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8E" w:rsidRPr="00720D9E" w:rsidRDefault="00982052" w:rsidP="00424AEB">
      <w:pPr>
        <w:jc w:val="center"/>
        <w:rPr>
          <w:b/>
          <w:sz w:val="32"/>
          <w:szCs w:val="32"/>
        </w:rPr>
      </w:pPr>
      <w:bookmarkStart w:id="0" w:name="_GoBack"/>
      <w:bookmarkEnd w:id="0"/>
      <w:r w:rsidRPr="00720D9E">
        <w:rPr>
          <w:b/>
          <w:sz w:val="32"/>
          <w:szCs w:val="32"/>
        </w:rPr>
        <w:t>Discussion Draft</w:t>
      </w:r>
    </w:p>
    <w:p w:rsidR="00424AEB" w:rsidRPr="00720D9E" w:rsidRDefault="00FA0E29" w:rsidP="00424AEB">
      <w:pPr>
        <w:jc w:val="center"/>
        <w:rPr>
          <w:b/>
          <w:sz w:val="32"/>
          <w:szCs w:val="32"/>
        </w:rPr>
      </w:pPr>
      <w:r>
        <w:rPr>
          <w:b/>
          <w:sz w:val="32"/>
          <w:szCs w:val="32"/>
        </w:rPr>
        <w:t xml:space="preserve">PROPOSED </w:t>
      </w:r>
      <w:r w:rsidR="00424AEB" w:rsidRPr="00720D9E">
        <w:rPr>
          <w:b/>
          <w:sz w:val="32"/>
          <w:szCs w:val="32"/>
        </w:rPr>
        <w:t>COMPLIANCE OFFSET PROTOCOL</w:t>
      </w:r>
    </w:p>
    <w:p w:rsidR="00424AEB" w:rsidRPr="00720D9E" w:rsidRDefault="00424AEB" w:rsidP="00424AEB">
      <w:pPr>
        <w:jc w:val="center"/>
        <w:rPr>
          <w:b/>
          <w:sz w:val="32"/>
          <w:szCs w:val="32"/>
        </w:rPr>
      </w:pPr>
      <w:r w:rsidRPr="00720D9E">
        <w:rPr>
          <w:b/>
          <w:sz w:val="32"/>
          <w:szCs w:val="32"/>
        </w:rPr>
        <w:t>MINE METHANE CAPTURE PROJECTS</w:t>
      </w:r>
    </w:p>
    <w:p w:rsidR="00424AEB" w:rsidRPr="00720D9E" w:rsidRDefault="00424AEB" w:rsidP="00424AEB"/>
    <w:sdt>
      <w:sdtPr>
        <w:rPr>
          <w:b/>
        </w:rPr>
        <w:id w:val="292110405"/>
        <w:docPartObj>
          <w:docPartGallery w:val="Table of Contents"/>
          <w:docPartUnique/>
        </w:docPartObj>
      </w:sdtPr>
      <w:sdtEndPr>
        <w:rPr>
          <w:b w:val="0"/>
          <w:noProof/>
        </w:rPr>
      </w:sdtEndPr>
      <w:sdtContent>
        <w:p w:rsidR="00424AEB" w:rsidRPr="00720D9E" w:rsidRDefault="00886736" w:rsidP="00D25B46">
          <w:pPr>
            <w:rPr>
              <w:b/>
            </w:rPr>
          </w:pPr>
          <w:r w:rsidRPr="00720D9E">
            <w:rPr>
              <w:b/>
            </w:rPr>
            <w:t>Table of Contents</w:t>
          </w:r>
        </w:p>
        <w:p w:rsidR="005A3A82" w:rsidRDefault="00424AEB">
          <w:pPr>
            <w:pStyle w:val="TOC1"/>
            <w:tabs>
              <w:tab w:val="right" w:leader="dot" w:pos="9350"/>
            </w:tabs>
            <w:rPr>
              <w:rFonts w:asciiTheme="minorHAnsi" w:eastAsiaTheme="minorEastAsia" w:hAnsiTheme="minorHAnsi" w:cstheme="minorBidi"/>
              <w:noProof/>
              <w:color w:val="auto"/>
              <w:sz w:val="22"/>
              <w:szCs w:val="22"/>
            </w:rPr>
          </w:pPr>
          <w:r w:rsidRPr="00720D9E">
            <w:fldChar w:fldCharType="begin"/>
          </w:r>
          <w:r w:rsidRPr="00720D9E">
            <w:instrText xml:space="preserve"> TOC \o "1-3" \h \z \u </w:instrText>
          </w:r>
          <w:r w:rsidRPr="00720D9E">
            <w:fldChar w:fldCharType="separate"/>
          </w:r>
          <w:hyperlink w:anchor="_Toc364243175" w:history="1">
            <w:r w:rsidR="005A3A82" w:rsidRPr="00E55DD7">
              <w:rPr>
                <w:rStyle w:val="Hyperlink"/>
                <w:noProof/>
              </w:rPr>
              <w:t>Chapter 1: Purpose and Definitions</w:t>
            </w:r>
            <w:r w:rsidR="005A3A82">
              <w:rPr>
                <w:noProof/>
                <w:webHidden/>
              </w:rPr>
              <w:tab/>
            </w:r>
            <w:r w:rsidR="005A3A82">
              <w:rPr>
                <w:noProof/>
                <w:webHidden/>
              </w:rPr>
              <w:fldChar w:fldCharType="begin"/>
            </w:r>
            <w:r w:rsidR="005A3A82">
              <w:rPr>
                <w:noProof/>
                <w:webHidden/>
              </w:rPr>
              <w:instrText xml:space="preserve"> PAGEREF _Toc364243175 \h </w:instrText>
            </w:r>
            <w:r w:rsidR="005A3A82">
              <w:rPr>
                <w:noProof/>
                <w:webHidden/>
              </w:rPr>
            </w:r>
            <w:r w:rsidR="005A3A82">
              <w:rPr>
                <w:noProof/>
                <w:webHidden/>
              </w:rPr>
              <w:fldChar w:fldCharType="separate"/>
            </w:r>
            <w:r w:rsidR="002360F4">
              <w:rPr>
                <w:noProof/>
                <w:webHidden/>
              </w:rPr>
              <w:t>4</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76" w:history="1">
            <w:r w:rsidR="005A3A82" w:rsidRPr="00E55DD7">
              <w:rPr>
                <w:rStyle w:val="Hyperlink"/>
                <w:noProof/>
              </w:rPr>
              <w:t>§ 1.1. Purpose.</w:t>
            </w:r>
            <w:r w:rsidR="005A3A82">
              <w:rPr>
                <w:noProof/>
                <w:webHidden/>
              </w:rPr>
              <w:tab/>
            </w:r>
            <w:r w:rsidR="005A3A82">
              <w:rPr>
                <w:noProof/>
                <w:webHidden/>
              </w:rPr>
              <w:fldChar w:fldCharType="begin"/>
            </w:r>
            <w:r w:rsidR="005A3A82">
              <w:rPr>
                <w:noProof/>
                <w:webHidden/>
              </w:rPr>
              <w:instrText xml:space="preserve"> PAGEREF _Toc364243176 \h </w:instrText>
            </w:r>
            <w:r w:rsidR="005A3A82">
              <w:rPr>
                <w:noProof/>
                <w:webHidden/>
              </w:rPr>
            </w:r>
            <w:r w:rsidR="005A3A82">
              <w:rPr>
                <w:noProof/>
                <w:webHidden/>
              </w:rPr>
              <w:fldChar w:fldCharType="separate"/>
            </w:r>
            <w:r w:rsidR="002360F4">
              <w:rPr>
                <w:noProof/>
                <w:webHidden/>
              </w:rPr>
              <w:t>4</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77" w:history="1">
            <w:r w:rsidR="005A3A82" w:rsidRPr="00E55DD7">
              <w:rPr>
                <w:rStyle w:val="Hyperlink"/>
                <w:noProof/>
              </w:rPr>
              <w:t>§ 1.2. Definitions.</w:t>
            </w:r>
            <w:r w:rsidR="005A3A82">
              <w:rPr>
                <w:noProof/>
                <w:webHidden/>
              </w:rPr>
              <w:tab/>
            </w:r>
            <w:r w:rsidR="005A3A82">
              <w:rPr>
                <w:noProof/>
                <w:webHidden/>
              </w:rPr>
              <w:fldChar w:fldCharType="begin"/>
            </w:r>
            <w:r w:rsidR="005A3A82">
              <w:rPr>
                <w:noProof/>
                <w:webHidden/>
              </w:rPr>
              <w:instrText xml:space="preserve"> PAGEREF _Toc364243177 \h </w:instrText>
            </w:r>
            <w:r w:rsidR="005A3A82">
              <w:rPr>
                <w:noProof/>
                <w:webHidden/>
              </w:rPr>
            </w:r>
            <w:r w:rsidR="005A3A82">
              <w:rPr>
                <w:noProof/>
                <w:webHidden/>
              </w:rPr>
              <w:fldChar w:fldCharType="separate"/>
            </w:r>
            <w:r w:rsidR="002360F4">
              <w:rPr>
                <w:noProof/>
                <w:webHidden/>
              </w:rPr>
              <w:t>5</w:t>
            </w:r>
            <w:r w:rsidR="005A3A82">
              <w:rPr>
                <w:noProof/>
                <w:webHidden/>
              </w:rPr>
              <w:fldChar w:fldCharType="end"/>
            </w:r>
          </w:hyperlink>
        </w:p>
        <w:p w:rsidR="005A3A82" w:rsidRDefault="000405AC">
          <w:pPr>
            <w:pStyle w:val="TOC1"/>
            <w:tabs>
              <w:tab w:val="right" w:leader="dot" w:pos="9350"/>
            </w:tabs>
            <w:rPr>
              <w:rFonts w:asciiTheme="minorHAnsi" w:eastAsiaTheme="minorEastAsia" w:hAnsiTheme="minorHAnsi" w:cstheme="minorBidi"/>
              <w:noProof/>
              <w:color w:val="auto"/>
              <w:sz w:val="22"/>
              <w:szCs w:val="22"/>
            </w:rPr>
          </w:pPr>
          <w:hyperlink w:anchor="_Toc364243178" w:history="1">
            <w:r w:rsidR="005A3A82" w:rsidRPr="00E55DD7">
              <w:rPr>
                <w:rStyle w:val="Hyperlink"/>
                <w:noProof/>
              </w:rPr>
              <w:t>Chapter 2: Eligible Activities – Quantification Methodology</w:t>
            </w:r>
            <w:r w:rsidR="005A3A82">
              <w:rPr>
                <w:noProof/>
                <w:webHidden/>
              </w:rPr>
              <w:tab/>
            </w:r>
            <w:r w:rsidR="005A3A82">
              <w:rPr>
                <w:noProof/>
                <w:webHidden/>
              </w:rPr>
              <w:fldChar w:fldCharType="begin"/>
            </w:r>
            <w:r w:rsidR="005A3A82">
              <w:rPr>
                <w:noProof/>
                <w:webHidden/>
              </w:rPr>
              <w:instrText xml:space="preserve"> PAGEREF _Toc364243178 \h </w:instrText>
            </w:r>
            <w:r w:rsidR="005A3A82">
              <w:rPr>
                <w:noProof/>
                <w:webHidden/>
              </w:rPr>
            </w:r>
            <w:r w:rsidR="005A3A82">
              <w:rPr>
                <w:noProof/>
                <w:webHidden/>
              </w:rPr>
              <w:fldChar w:fldCharType="separate"/>
            </w:r>
            <w:r w:rsidR="002360F4">
              <w:rPr>
                <w:noProof/>
                <w:webHidden/>
              </w:rPr>
              <w:t>12</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79" w:history="1">
            <w:r w:rsidR="005A3A82" w:rsidRPr="00E55DD7">
              <w:rPr>
                <w:rStyle w:val="Hyperlink"/>
                <w:noProof/>
              </w:rPr>
              <w:t>§ 2.1. Active Underground Mine Ventilation Air Methane Activities.</w:t>
            </w:r>
            <w:r w:rsidR="005A3A82">
              <w:rPr>
                <w:noProof/>
                <w:webHidden/>
              </w:rPr>
              <w:tab/>
            </w:r>
            <w:r w:rsidR="005A3A82">
              <w:rPr>
                <w:noProof/>
                <w:webHidden/>
              </w:rPr>
              <w:fldChar w:fldCharType="begin"/>
            </w:r>
            <w:r w:rsidR="005A3A82">
              <w:rPr>
                <w:noProof/>
                <w:webHidden/>
              </w:rPr>
              <w:instrText xml:space="preserve"> PAGEREF _Toc364243179 \h </w:instrText>
            </w:r>
            <w:r w:rsidR="005A3A82">
              <w:rPr>
                <w:noProof/>
                <w:webHidden/>
              </w:rPr>
            </w:r>
            <w:r w:rsidR="005A3A82">
              <w:rPr>
                <w:noProof/>
                <w:webHidden/>
              </w:rPr>
              <w:fldChar w:fldCharType="separate"/>
            </w:r>
            <w:r w:rsidR="002360F4">
              <w:rPr>
                <w:noProof/>
                <w:webHidden/>
              </w:rPr>
              <w:t>13</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80" w:history="1">
            <w:r w:rsidR="005A3A82" w:rsidRPr="00E55DD7">
              <w:rPr>
                <w:rStyle w:val="Hyperlink"/>
                <w:noProof/>
              </w:rPr>
              <w:t>§ 2.2. Active Underground Mine Methane Drainage Activities.</w:t>
            </w:r>
            <w:r w:rsidR="005A3A82">
              <w:rPr>
                <w:noProof/>
                <w:webHidden/>
              </w:rPr>
              <w:tab/>
            </w:r>
            <w:r w:rsidR="005A3A82">
              <w:rPr>
                <w:noProof/>
                <w:webHidden/>
              </w:rPr>
              <w:fldChar w:fldCharType="begin"/>
            </w:r>
            <w:r w:rsidR="005A3A82">
              <w:rPr>
                <w:noProof/>
                <w:webHidden/>
              </w:rPr>
              <w:instrText xml:space="preserve"> PAGEREF _Toc364243180 \h </w:instrText>
            </w:r>
            <w:r w:rsidR="005A3A82">
              <w:rPr>
                <w:noProof/>
                <w:webHidden/>
              </w:rPr>
            </w:r>
            <w:r w:rsidR="005A3A82">
              <w:rPr>
                <w:noProof/>
                <w:webHidden/>
              </w:rPr>
              <w:fldChar w:fldCharType="separate"/>
            </w:r>
            <w:r w:rsidR="002360F4">
              <w:rPr>
                <w:noProof/>
                <w:webHidden/>
              </w:rPr>
              <w:t>14</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81" w:history="1">
            <w:r w:rsidR="005A3A82" w:rsidRPr="00E55DD7">
              <w:rPr>
                <w:rStyle w:val="Hyperlink"/>
                <w:noProof/>
              </w:rPr>
              <w:t>§ 2.3. Active Surface Mine Methane Drainage Activities.</w:t>
            </w:r>
            <w:r w:rsidR="005A3A82">
              <w:rPr>
                <w:noProof/>
                <w:webHidden/>
              </w:rPr>
              <w:tab/>
            </w:r>
            <w:r w:rsidR="005A3A82">
              <w:rPr>
                <w:noProof/>
                <w:webHidden/>
              </w:rPr>
              <w:fldChar w:fldCharType="begin"/>
            </w:r>
            <w:r w:rsidR="005A3A82">
              <w:rPr>
                <w:noProof/>
                <w:webHidden/>
              </w:rPr>
              <w:instrText xml:space="preserve"> PAGEREF _Toc364243181 \h </w:instrText>
            </w:r>
            <w:r w:rsidR="005A3A82">
              <w:rPr>
                <w:noProof/>
                <w:webHidden/>
              </w:rPr>
            </w:r>
            <w:r w:rsidR="005A3A82">
              <w:rPr>
                <w:noProof/>
                <w:webHidden/>
              </w:rPr>
              <w:fldChar w:fldCharType="separate"/>
            </w:r>
            <w:r w:rsidR="002360F4">
              <w:rPr>
                <w:noProof/>
                <w:webHidden/>
              </w:rPr>
              <w:t>15</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82" w:history="1">
            <w:r w:rsidR="005A3A82" w:rsidRPr="00E55DD7">
              <w:rPr>
                <w:rStyle w:val="Hyperlink"/>
                <w:noProof/>
              </w:rPr>
              <w:t>§ 2.4. Abandoned Underground Mine Methane Recovery Activities.</w:t>
            </w:r>
            <w:r w:rsidR="005A3A82">
              <w:rPr>
                <w:noProof/>
                <w:webHidden/>
              </w:rPr>
              <w:tab/>
            </w:r>
            <w:r w:rsidR="005A3A82">
              <w:rPr>
                <w:noProof/>
                <w:webHidden/>
              </w:rPr>
              <w:fldChar w:fldCharType="begin"/>
            </w:r>
            <w:r w:rsidR="005A3A82">
              <w:rPr>
                <w:noProof/>
                <w:webHidden/>
              </w:rPr>
              <w:instrText xml:space="preserve"> PAGEREF _Toc364243182 \h </w:instrText>
            </w:r>
            <w:r w:rsidR="005A3A82">
              <w:rPr>
                <w:noProof/>
                <w:webHidden/>
              </w:rPr>
            </w:r>
            <w:r w:rsidR="005A3A82">
              <w:rPr>
                <w:noProof/>
                <w:webHidden/>
              </w:rPr>
              <w:fldChar w:fldCharType="separate"/>
            </w:r>
            <w:r w:rsidR="002360F4">
              <w:rPr>
                <w:noProof/>
                <w:webHidden/>
              </w:rPr>
              <w:t>16</w:t>
            </w:r>
            <w:r w:rsidR="005A3A82">
              <w:rPr>
                <w:noProof/>
                <w:webHidden/>
              </w:rPr>
              <w:fldChar w:fldCharType="end"/>
            </w:r>
          </w:hyperlink>
        </w:p>
        <w:p w:rsidR="005A3A82" w:rsidRDefault="000405AC">
          <w:pPr>
            <w:pStyle w:val="TOC1"/>
            <w:tabs>
              <w:tab w:val="right" w:leader="dot" w:pos="9350"/>
            </w:tabs>
            <w:rPr>
              <w:rFonts w:asciiTheme="minorHAnsi" w:eastAsiaTheme="minorEastAsia" w:hAnsiTheme="minorHAnsi" w:cstheme="minorBidi"/>
              <w:noProof/>
              <w:color w:val="auto"/>
              <w:sz w:val="22"/>
              <w:szCs w:val="22"/>
            </w:rPr>
          </w:pPr>
          <w:hyperlink w:anchor="_Toc364243183" w:history="1">
            <w:r w:rsidR="005A3A82" w:rsidRPr="00E55DD7">
              <w:rPr>
                <w:rStyle w:val="Hyperlink"/>
                <w:noProof/>
              </w:rPr>
              <w:t>Chapter 3.  Eligibility</w:t>
            </w:r>
            <w:r w:rsidR="005A3A82">
              <w:rPr>
                <w:noProof/>
                <w:webHidden/>
              </w:rPr>
              <w:tab/>
            </w:r>
            <w:r w:rsidR="005A3A82">
              <w:rPr>
                <w:noProof/>
                <w:webHidden/>
              </w:rPr>
              <w:fldChar w:fldCharType="begin"/>
            </w:r>
            <w:r w:rsidR="005A3A82">
              <w:rPr>
                <w:noProof/>
                <w:webHidden/>
              </w:rPr>
              <w:instrText xml:space="preserve"> PAGEREF _Toc364243183 \h </w:instrText>
            </w:r>
            <w:r w:rsidR="005A3A82">
              <w:rPr>
                <w:noProof/>
                <w:webHidden/>
              </w:rPr>
            </w:r>
            <w:r w:rsidR="005A3A82">
              <w:rPr>
                <w:noProof/>
                <w:webHidden/>
              </w:rPr>
              <w:fldChar w:fldCharType="separate"/>
            </w:r>
            <w:r w:rsidR="002360F4">
              <w:rPr>
                <w:noProof/>
                <w:webHidden/>
              </w:rPr>
              <w:t>18</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84" w:history="1">
            <w:r w:rsidR="005A3A82" w:rsidRPr="00E55DD7">
              <w:rPr>
                <w:rStyle w:val="Hyperlink"/>
                <w:noProof/>
              </w:rPr>
              <w:t>§ 3.1. General Eligibility Requirements.</w:t>
            </w:r>
            <w:r w:rsidR="005A3A82">
              <w:rPr>
                <w:noProof/>
                <w:webHidden/>
              </w:rPr>
              <w:tab/>
            </w:r>
            <w:r w:rsidR="005A3A82">
              <w:rPr>
                <w:noProof/>
                <w:webHidden/>
              </w:rPr>
              <w:fldChar w:fldCharType="begin"/>
            </w:r>
            <w:r w:rsidR="005A3A82">
              <w:rPr>
                <w:noProof/>
                <w:webHidden/>
              </w:rPr>
              <w:instrText xml:space="preserve"> PAGEREF _Toc364243184 \h </w:instrText>
            </w:r>
            <w:r w:rsidR="005A3A82">
              <w:rPr>
                <w:noProof/>
                <w:webHidden/>
              </w:rPr>
            </w:r>
            <w:r w:rsidR="005A3A82">
              <w:rPr>
                <w:noProof/>
                <w:webHidden/>
              </w:rPr>
              <w:fldChar w:fldCharType="separate"/>
            </w:r>
            <w:r w:rsidR="002360F4">
              <w:rPr>
                <w:noProof/>
                <w:webHidden/>
              </w:rPr>
              <w:t>18</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85" w:history="1">
            <w:r w:rsidR="005A3A82" w:rsidRPr="00E55DD7">
              <w:rPr>
                <w:rStyle w:val="Hyperlink"/>
                <w:noProof/>
              </w:rPr>
              <w:t>§ 3.2. Location.</w:t>
            </w:r>
            <w:r w:rsidR="005A3A82">
              <w:rPr>
                <w:noProof/>
                <w:webHidden/>
              </w:rPr>
              <w:tab/>
            </w:r>
            <w:r w:rsidR="005A3A82">
              <w:rPr>
                <w:noProof/>
                <w:webHidden/>
              </w:rPr>
              <w:fldChar w:fldCharType="begin"/>
            </w:r>
            <w:r w:rsidR="005A3A82">
              <w:rPr>
                <w:noProof/>
                <w:webHidden/>
              </w:rPr>
              <w:instrText xml:space="preserve"> PAGEREF _Toc364243185 \h </w:instrText>
            </w:r>
            <w:r w:rsidR="005A3A82">
              <w:rPr>
                <w:noProof/>
                <w:webHidden/>
              </w:rPr>
            </w:r>
            <w:r w:rsidR="005A3A82">
              <w:rPr>
                <w:noProof/>
                <w:webHidden/>
              </w:rPr>
              <w:fldChar w:fldCharType="separate"/>
            </w:r>
            <w:r w:rsidR="002360F4">
              <w:rPr>
                <w:noProof/>
                <w:webHidden/>
              </w:rPr>
              <w:t>19</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86" w:history="1">
            <w:r w:rsidR="005A3A82" w:rsidRPr="00E55DD7">
              <w:rPr>
                <w:rStyle w:val="Hyperlink"/>
                <w:noProof/>
              </w:rPr>
              <w:t>§ 3.3. Offset Project Operator or Authorized Project Designee.</w:t>
            </w:r>
            <w:r w:rsidR="005A3A82">
              <w:rPr>
                <w:noProof/>
                <w:webHidden/>
              </w:rPr>
              <w:tab/>
            </w:r>
            <w:r w:rsidR="005A3A82">
              <w:rPr>
                <w:noProof/>
                <w:webHidden/>
              </w:rPr>
              <w:fldChar w:fldCharType="begin"/>
            </w:r>
            <w:r w:rsidR="005A3A82">
              <w:rPr>
                <w:noProof/>
                <w:webHidden/>
              </w:rPr>
              <w:instrText xml:space="preserve"> PAGEREF _Toc364243186 \h </w:instrText>
            </w:r>
            <w:r w:rsidR="005A3A82">
              <w:rPr>
                <w:noProof/>
                <w:webHidden/>
              </w:rPr>
            </w:r>
            <w:r w:rsidR="005A3A82">
              <w:rPr>
                <w:noProof/>
                <w:webHidden/>
              </w:rPr>
              <w:fldChar w:fldCharType="separate"/>
            </w:r>
            <w:r w:rsidR="002360F4">
              <w:rPr>
                <w:noProof/>
                <w:webHidden/>
              </w:rPr>
              <w:t>19</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87" w:history="1">
            <w:r w:rsidR="005A3A82" w:rsidRPr="00E55DD7">
              <w:rPr>
                <w:rStyle w:val="Hyperlink"/>
                <w:noProof/>
              </w:rPr>
              <w:t>§ 3.4. Additionality.</w:t>
            </w:r>
            <w:r w:rsidR="005A3A82">
              <w:rPr>
                <w:noProof/>
                <w:webHidden/>
              </w:rPr>
              <w:tab/>
            </w:r>
            <w:r w:rsidR="005A3A82">
              <w:rPr>
                <w:noProof/>
                <w:webHidden/>
              </w:rPr>
              <w:fldChar w:fldCharType="begin"/>
            </w:r>
            <w:r w:rsidR="005A3A82">
              <w:rPr>
                <w:noProof/>
                <w:webHidden/>
              </w:rPr>
              <w:instrText xml:space="preserve"> PAGEREF _Toc364243187 \h </w:instrText>
            </w:r>
            <w:r w:rsidR="005A3A82">
              <w:rPr>
                <w:noProof/>
                <w:webHidden/>
              </w:rPr>
            </w:r>
            <w:r w:rsidR="005A3A82">
              <w:rPr>
                <w:noProof/>
                <w:webHidden/>
              </w:rPr>
              <w:fldChar w:fldCharType="separate"/>
            </w:r>
            <w:r w:rsidR="002360F4">
              <w:rPr>
                <w:noProof/>
                <w:webHidden/>
              </w:rPr>
              <w:t>20</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88" w:history="1">
            <w:r w:rsidR="005A3A82" w:rsidRPr="00E55DD7">
              <w:rPr>
                <w:rStyle w:val="Hyperlink"/>
                <w:noProof/>
              </w:rPr>
              <w:t>§ 3.4.1. Legal Requirement Test.</w:t>
            </w:r>
            <w:r w:rsidR="005A3A82">
              <w:rPr>
                <w:noProof/>
                <w:webHidden/>
              </w:rPr>
              <w:tab/>
            </w:r>
            <w:r w:rsidR="005A3A82">
              <w:rPr>
                <w:noProof/>
                <w:webHidden/>
              </w:rPr>
              <w:fldChar w:fldCharType="begin"/>
            </w:r>
            <w:r w:rsidR="005A3A82">
              <w:rPr>
                <w:noProof/>
                <w:webHidden/>
              </w:rPr>
              <w:instrText xml:space="preserve"> PAGEREF _Toc364243188 \h </w:instrText>
            </w:r>
            <w:r w:rsidR="005A3A82">
              <w:rPr>
                <w:noProof/>
                <w:webHidden/>
              </w:rPr>
            </w:r>
            <w:r w:rsidR="005A3A82">
              <w:rPr>
                <w:noProof/>
                <w:webHidden/>
              </w:rPr>
              <w:fldChar w:fldCharType="separate"/>
            </w:r>
            <w:r w:rsidR="002360F4">
              <w:rPr>
                <w:noProof/>
                <w:webHidden/>
              </w:rPr>
              <w:t>20</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89" w:history="1">
            <w:r w:rsidR="005A3A82" w:rsidRPr="00E55DD7">
              <w:rPr>
                <w:rStyle w:val="Hyperlink"/>
                <w:noProof/>
              </w:rPr>
              <w:t>§ 3.4.2. Performance Standard Evaluation.</w:t>
            </w:r>
            <w:r w:rsidR="005A3A82">
              <w:rPr>
                <w:noProof/>
                <w:webHidden/>
              </w:rPr>
              <w:tab/>
            </w:r>
            <w:r w:rsidR="005A3A82">
              <w:rPr>
                <w:noProof/>
                <w:webHidden/>
              </w:rPr>
              <w:fldChar w:fldCharType="begin"/>
            </w:r>
            <w:r w:rsidR="005A3A82">
              <w:rPr>
                <w:noProof/>
                <w:webHidden/>
              </w:rPr>
              <w:instrText xml:space="preserve"> PAGEREF _Toc364243189 \h </w:instrText>
            </w:r>
            <w:r w:rsidR="005A3A82">
              <w:rPr>
                <w:noProof/>
                <w:webHidden/>
              </w:rPr>
            </w:r>
            <w:r w:rsidR="005A3A82">
              <w:rPr>
                <w:noProof/>
                <w:webHidden/>
              </w:rPr>
              <w:fldChar w:fldCharType="separate"/>
            </w:r>
            <w:r w:rsidR="002360F4">
              <w:rPr>
                <w:noProof/>
                <w:webHidden/>
              </w:rPr>
              <w:t>20</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90" w:history="1">
            <w:r w:rsidR="005A3A82" w:rsidRPr="00E55DD7">
              <w:rPr>
                <w:rStyle w:val="Hyperlink"/>
                <w:noProof/>
              </w:rPr>
              <w:t>§ 3.5. Methane Source Boundaries.</w:t>
            </w:r>
            <w:r w:rsidR="005A3A82">
              <w:rPr>
                <w:noProof/>
                <w:webHidden/>
              </w:rPr>
              <w:tab/>
            </w:r>
            <w:r w:rsidR="005A3A82">
              <w:rPr>
                <w:noProof/>
                <w:webHidden/>
              </w:rPr>
              <w:fldChar w:fldCharType="begin"/>
            </w:r>
            <w:r w:rsidR="005A3A82">
              <w:rPr>
                <w:noProof/>
                <w:webHidden/>
              </w:rPr>
              <w:instrText xml:space="preserve"> PAGEREF _Toc364243190 \h </w:instrText>
            </w:r>
            <w:r w:rsidR="005A3A82">
              <w:rPr>
                <w:noProof/>
                <w:webHidden/>
              </w:rPr>
            </w:r>
            <w:r w:rsidR="005A3A82">
              <w:rPr>
                <w:noProof/>
                <w:webHidden/>
              </w:rPr>
              <w:fldChar w:fldCharType="separate"/>
            </w:r>
            <w:r w:rsidR="002360F4">
              <w:rPr>
                <w:noProof/>
                <w:webHidden/>
              </w:rPr>
              <w:t>22</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91" w:history="1">
            <w:r w:rsidR="005A3A82" w:rsidRPr="00E55DD7">
              <w:rPr>
                <w:rStyle w:val="Hyperlink"/>
                <w:noProof/>
              </w:rPr>
              <w:t>§ 3.6. Offset Project Commencement.</w:t>
            </w:r>
            <w:r w:rsidR="005A3A82">
              <w:rPr>
                <w:noProof/>
                <w:webHidden/>
              </w:rPr>
              <w:tab/>
            </w:r>
            <w:r w:rsidR="005A3A82">
              <w:rPr>
                <w:noProof/>
                <w:webHidden/>
              </w:rPr>
              <w:fldChar w:fldCharType="begin"/>
            </w:r>
            <w:r w:rsidR="005A3A82">
              <w:rPr>
                <w:noProof/>
                <w:webHidden/>
              </w:rPr>
              <w:instrText xml:space="preserve"> PAGEREF _Toc364243191 \h </w:instrText>
            </w:r>
            <w:r w:rsidR="005A3A82">
              <w:rPr>
                <w:noProof/>
                <w:webHidden/>
              </w:rPr>
            </w:r>
            <w:r w:rsidR="005A3A82">
              <w:rPr>
                <w:noProof/>
                <w:webHidden/>
              </w:rPr>
              <w:fldChar w:fldCharType="separate"/>
            </w:r>
            <w:r w:rsidR="002360F4">
              <w:rPr>
                <w:noProof/>
                <w:webHidden/>
              </w:rPr>
              <w:t>23</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92" w:history="1">
            <w:r w:rsidR="005A3A82" w:rsidRPr="00E55DD7">
              <w:rPr>
                <w:rStyle w:val="Hyperlink"/>
                <w:noProof/>
              </w:rPr>
              <w:t>§ 3.7. Project Crediting Period.</w:t>
            </w:r>
            <w:r w:rsidR="005A3A82">
              <w:rPr>
                <w:noProof/>
                <w:webHidden/>
              </w:rPr>
              <w:tab/>
            </w:r>
            <w:r w:rsidR="005A3A82">
              <w:rPr>
                <w:noProof/>
                <w:webHidden/>
              </w:rPr>
              <w:fldChar w:fldCharType="begin"/>
            </w:r>
            <w:r w:rsidR="005A3A82">
              <w:rPr>
                <w:noProof/>
                <w:webHidden/>
              </w:rPr>
              <w:instrText xml:space="preserve"> PAGEREF _Toc364243192 \h </w:instrText>
            </w:r>
            <w:r w:rsidR="005A3A82">
              <w:rPr>
                <w:noProof/>
                <w:webHidden/>
              </w:rPr>
            </w:r>
            <w:r w:rsidR="005A3A82">
              <w:rPr>
                <w:noProof/>
                <w:webHidden/>
              </w:rPr>
              <w:fldChar w:fldCharType="separate"/>
            </w:r>
            <w:r w:rsidR="002360F4">
              <w:rPr>
                <w:noProof/>
                <w:webHidden/>
              </w:rPr>
              <w:t>23</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93" w:history="1">
            <w:r w:rsidR="005A3A82" w:rsidRPr="00E55DD7">
              <w:rPr>
                <w:rStyle w:val="Hyperlink"/>
                <w:noProof/>
              </w:rPr>
              <w:t>§ 3.8. Regulatory Compliance.</w:t>
            </w:r>
            <w:r w:rsidR="005A3A82">
              <w:rPr>
                <w:noProof/>
                <w:webHidden/>
              </w:rPr>
              <w:tab/>
            </w:r>
            <w:r w:rsidR="005A3A82">
              <w:rPr>
                <w:noProof/>
                <w:webHidden/>
              </w:rPr>
              <w:fldChar w:fldCharType="begin"/>
            </w:r>
            <w:r w:rsidR="005A3A82">
              <w:rPr>
                <w:noProof/>
                <w:webHidden/>
              </w:rPr>
              <w:instrText xml:space="preserve"> PAGEREF _Toc364243193 \h </w:instrText>
            </w:r>
            <w:r w:rsidR="005A3A82">
              <w:rPr>
                <w:noProof/>
                <w:webHidden/>
              </w:rPr>
            </w:r>
            <w:r w:rsidR="005A3A82">
              <w:rPr>
                <w:noProof/>
                <w:webHidden/>
              </w:rPr>
              <w:fldChar w:fldCharType="separate"/>
            </w:r>
            <w:r w:rsidR="002360F4">
              <w:rPr>
                <w:noProof/>
                <w:webHidden/>
              </w:rPr>
              <w:t>23</w:t>
            </w:r>
            <w:r w:rsidR="005A3A82">
              <w:rPr>
                <w:noProof/>
                <w:webHidden/>
              </w:rPr>
              <w:fldChar w:fldCharType="end"/>
            </w:r>
          </w:hyperlink>
        </w:p>
        <w:p w:rsidR="005A3A82" w:rsidRDefault="000405AC">
          <w:pPr>
            <w:pStyle w:val="TOC1"/>
            <w:tabs>
              <w:tab w:val="right" w:leader="dot" w:pos="9350"/>
            </w:tabs>
            <w:rPr>
              <w:rFonts w:asciiTheme="minorHAnsi" w:eastAsiaTheme="minorEastAsia" w:hAnsiTheme="minorHAnsi" w:cstheme="minorBidi"/>
              <w:noProof/>
              <w:color w:val="auto"/>
              <w:sz w:val="22"/>
              <w:szCs w:val="22"/>
            </w:rPr>
          </w:pPr>
          <w:hyperlink w:anchor="_Toc364243194" w:history="1">
            <w:r w:rsidR="005A3A82" w:rsidRPr="00E55DD7">
              <w:rPr>
                <w:rStyle w:val="Hyperlink"/>
                <w:noProof/>
              </w:rPr>
              <w:t>Chapter 4. GHG Assessment Boundary – Quantification Methodology</w:t>
            </w:r>
            <w:r w:rsidR="005A3A82">
              <w:rPr>
                <w:noProof/>
                <w:webHidden/>
              </w:rPr>
              <w:tab/>
            </w:r>
            <w:r w:rsidR="005A3A82">
              <w:rPr>
                <w:noProof/>
                <w:webHidden/>
              </w:rPr>
              <w:fldChar w:fldCharType="begin"/>
            </w:r>
            <w:r w:rsidR="005A3A82">
              <w:rPr>
                <w:noProof/>
                <w:webHidden/>
              </w:rPr>
              <w:instrText xml:space="preserve"> PAGEREF _Toc364243194 \h </w:instrText>
            </w:r>
            <w:r w:rsidR="005A3A82">
              <w:rPr>
                <w:noProof/>
                <w:webHidden/>
              </w:rPr>
            </w:r>
            <w:r w:rsidR="005A3A82">
              <w:rPr>
                <w:noProof/>
                <w:webHidden/>
              </w:rPr>
              <w:fldChar w:fldCharType="separate"/>
            </w:r>
            <w:r w:rsidR="002360F4">
              <w:rPr>
                <w:noProof/>
                <w:webHidden/>
              </w:rPr>
              <w:t>24</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95" w:history="1">
            <w:r w:rsidR="005A3A82" w:rsidRPr="00E55DD7">
              <w:rPr>
                <w:rStyle w:val="Hyperlink"/>
                <w:noProof/>
              </w:rPr>
              <w:t>§ 4.1. Active Underground Mine VAM Activities.</w:t>
            </w:r>
            <w:r w:rsidR="005A3A82">
              <w:rPr>
                <w:noProof/>
                <w:webHidden/>
              </w:rPr>
              <w:tab/>
            </w:r>
            <w:r w:rsidR="005A3A82">
              <w:rPr>
                <w:noProof/>
                <w:webHidden/>
              </w:rPr>
              <w:fldChar w:fldCharType="begin"/>
            </w:r>
            <w:r w:rsidR="005A3A82">
              <w:rPr>
                <w:noProof/>
                <w:webHidden/>
              </w:rPr>
              <w:instrText xml:space="preserve"> PAGEREF _Toc364243195 \h </w:instrText>
            </w:r>
            <w:r w:rsidR="005A3A82">
              <w:rPr>
                <w:noProof/>
                <w:webHidden/>
              </w:rPr>
            </w:r>
            <w:r w:rsidR="005A3A82">
              <w:rPr>
                <w:noProof/>
                <w:webHidden/>
              </w:rPr>
              <w:fldChar w:fldCharType="separate"/>
            </w:r>
            <w:r w:rsidR="002360F4">
              <w:rPr>
                <w:noProof/>
                <w:webHidden/>
              </w:rPr>
              <w:t>24</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196" w:history="1">
            <w:r w:rsidR="005A3A82" w:rsidRPr="00E55DD7">
              <w:rPr>
                <w:rStyle w:val="Hyperlink"/>
                <w:iCs/>
                <w:noProof/>
              </w:rPr>
              <w:t>Figure 4.1.</w:t>
            </w:r>
            <w:r w:rsidR="005A3A82" w:rsidRPr="00E55DD7">
              <w:rPr>
                <w:rStyle w:val="Hyperlink"/>
                <w:noProof/>
              </w:rPr>
              <w:t xml:space="preserve"> Illustration of the greenhouse gas assessment boundary for active underground mine VAM activities.</w:t>
            </w:r>
            <w:r w:rsidR="005A3A82">
              <w:rPr>
                <w:noProof/>
                <w:webHidden/>
              </w:rPr>
              <w:tab/>
            </w:r>
            <w:r w:rsidR="005A3A82">
              <w:rPr>
                <w:noProof/>
                <w:webHidden/>
              </w:rPr>
              <w:fldChar w:fldCharType="begin"/>
            </w:r>
            <w:r w:rsidR="005A3A82">
              <w:rPr>
                <w:noProof/>
                <w:webHidden/>
              </w:rPr>
              <w:instrText xml:space="preserve"> PAGEREF _Toc364243196 \h </w:instrText>
            </w:r>
            <w:r w:rsidR="005A3A82">
              <w:rPr>
                <w:noProof/>
                <w:webHidden/>
              </w:rPr>
            </w:r>
            <w:r w:rsidR="005A3A82">
              <w:rPr>
                <w:noProof/>
                <w:webHidden/>
              </w:rPr>
              <w:fldChar w:fldCharType="separate"/>
            </w:r>
            <w:r w:rsidR="002360F4">
              <w:rPr>
                <w:noProof/>
                <w:webHidden/>
              </w:rPr>
              <w:t>25</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197" w:history="1">
            <w:r w:rsidR="005A3A82" w:rsidRPr="00E55DD7">
              <w:rPr>
                <w:rStyle w:val="Hyperlink"/>
                <w:iCs/>
                <w:noProof/>
              </w:rPr>
              <w:t>Table 4.1.</w:t>
            </w:r>
            <w:r w:rsidR="005A3A82" w:rsidRPr="00E55DD7">
              <w:rPr>
                <w:rStyle w:val="Hyperlink"/>
                <w:noProof/>
              </w:rPr>
              <w:t xml:space="preserve"> List of the greenhouse gas sinks, sources, and reservoirs for active underground mine VAM activities.</w:t>
            </w:r>
            <w:r w:rsidR="005A3A82">
              <w:rPr>
                <w:noProof/>
                <w:webHidden/>
              </w:rPr>
              <w:tab/>
            </w:r>
            <w:r w:rsidR="005A3A82">
              <w:rPr>
                <w:noProof/>
                <w:webHidden/>
              </w:rPr>
              <w:fldChar w:fldCharType="begin"/>
            </w:r>
            <w:r w:rsidR="005A3A82">
              <w:rPr>
                <w:noProof/>
                <w:webHidden/>
              </w:rPr>
              <w:instrText xml:space="preserve"> PAGEREF _Toc364243197 \h </w:instrText>
            </w:r>
            <w:r w:rsidR="005A3A82">
              <w:rPr>
                <w:noProof/>
                <w:webHidden/>
              </w:rPr>
            </w:r>
            <w:r w:rsidR="005A3A82">
              <w:rPr>
                <w:noProof/>
                <w:webHidden/>
              </w:rPr>
              <w:fldChar w:fldCharType="separate"/>
            </w:r>
            <w:r w:rsidR="002360F4">
              <w:rPr>
                <w:noProof/>
                <w:webHidden/>
              </w:rPr>
              <w:t>25</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198" w:history="1">
            <w:r w:rsidR="005A3A82" w:rsidRPr="00E55DD7">
              <w:rPr>
                <w:rStyle w:val="Hyperlink"/>
                <w:noProof/>
              </w:rPr>
              <w:t>§ 4.2. Active Underground Mine Methane Drainage Activities.</w:t>
            </w:r>
            <w:r w:rsidR="005A3A82">
              <w:rPr>
                <w:noProof/>
                <w:webHidden/>
              </w:rPr>
              <w:tab/>
            </w:r>
            <w:r w:rsidR="005A3A82">
              <w:rPr>
                <w:noProof/>
                <w:webHidden/>
              </w:rPr>
              <w:fldChar w:fldCharType="begin"/>
            </w:r>
            <w:r w:rsidR="005A3A82">
              <w:rPr>
                <w:noProof/>
                <w:webHidden/>
              </w:rPr>
              <w:instrText xml:space="preserve"> PAGEREF _Toc364243198 \h </w:instrText>
            </w:r>
            <w:r w:rsidR="005A3A82">
              <w:rPr>
                <w:noProof/>
                <w:webHidden/>
              </w:rPr>
            </w:r>
            <w:r w:rsidR="005A3A82">
              <w:rPr>
                <w:noProof/>
                <w:webHidden/>
              </w:rPr>
              <w:fldChar w:fldCharType="separate"/>
            </w:r>
            <w:r w:rsidR="002360F4">
              <w:rPr>
                <w:noProof/>
                <w:webHidden/>
              </w:rPr>
              <w:t>26</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199" w:history="1">
            <w:r w:rsidR="005A3A82" w:rsidRPr="00E55DD7">
              <w:rPr>
                <w:rStyle w:val="Hyperlink"/>
                <w:iCs/>
                <w:noProof/>
              </w:rPr>
              <w:t>Figure 4.2.</w:t>
            </w:r>
            <w:r w:rsidR="005A3A82" w:rsidRPr="00E55DD7">
              <w:rPr>
                <w:rStyle w:val="Hyperlink"/>
                <w:noProof/>
              </w:rPr>
              <w:t xml:space="preserve"> Illustration of the greenhouse gas assessment boundary for active underground mine methane drainage activities.</w:t>
            </w:r>
            <w:r w:rsidR="005A3A82">
              <w:rPr>
                <w:noProof/>
                <w:webHidden/>
              </w:rPr>
              <w:tab/>
            </w:r>
            <w:r w:rsidR="005A3A82">
              <w:rPr>
                <w:noProof/>
                <w:webHidden/>
              </w:rPr>
              <w:fldChar w:fldCharType="begin"/>
            </w:r>
            <w:r w:rsidR="005A3A82">
              <w:rPr>
                <w:noProof/>
                <w:webHidden/>
              </w:rPr>
              <w:instrText xml:space="preserve"> PAGEREF _Toc364243199 \h </w:instrText>
            </w:r>
            <w:r w:rsidR="005A3A82">
              <w:rPr>
                <w:noProof/>
                <w:webHidden/>
              </w:rPr>
            </w:r>
            <w:r w:rsidR="005A3A82">
              <w:rPr>
                <w:noProof/>
                <w:webHidden/>
              </w:rPr>
              <w:fldChar w:fldCharType="separate"/>
            </w:r>
            <w:r w:rsidR="002360F4">
              <w:rPr>
                <w:noProof/>
                <w:webHidden/>
              </w:rPr>
              <w:t>27</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00" w:history="1">
            <w:r w:rsidR="005A3A82" w:rsidRPr="00E55DD7">
              <w:rPr>
                <w:rStyle w:val="Hyperlink"/>
                <w:iCs/>
                <w:noProof/>
              </w:rPr>
              <w:t>Table 4.2.</w:t>
            </w:r>
            <w:r w:rsidR="005A3A82" w:rsidRPr="00E55DD7">
              <w:rPr>
                <w:rStyle w:val="Hyperlink"/>
                <w:noProof/>
              </w:rPr>
              <w:t xml:space="preserve"> List of identified greenhouse gas sinks, sources, and reservoirs for active underground mine methane drainage activities.</w:t>
            </w:r>
            <w:r w:rsidR="005A3A82">
              <w:rPr>
                <w:noProof/>
                <w:webHidden/>
              </w:rPr>
              <w:tab/>
            </w:r>
            <w:r w:rsidR="005A3A82">
              <w:rPr>
                <w:noProof/>
                <w:webHidden/>
              </w:rPr>
              <w:fldChar w:fldCharType="begin"/>
            </w:r>
            <w:r w:rsidR="005A3A82">
              <w:rPr>
                <w:noProof/>
                <w:webHidden/>
              </w:rPr>
              <w:instrText xml:space="preserve"> PAGEREF _Toc364243200 \h </w:instrText>
            </w:r>
            <w:r w:rsidR="005A3A82">
              <w:rPr>
                <w:noProof/>
                <w:webHidden/>
              </w:rPr>
            </w:r>
            <w:r w:rsidR="005A3A82">
              <w:rPr>
                <w:noProof/>
                <w:webHidden/>
              </w:rPr>
              <w:fldChar w:fldCharType="separate"/>
            </w:r>
            <w:r w:rsidR="002360F4">
              <w:rPr>
                <w:noProof/>
                <w:webHidden/>
              </w:rPr>
              <w:t>27</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01" w:history="1">
            <w:r w:rsidR="005A3A82" w:rsidRPr="00E55DD7">
              <w:rPr>
                <w:rStyle w:val="Hyperlink"/>
                <w:noProof/>
              </w:rPr>
              <w:t>§ 4.3. Active Surface Mine Methane Drainage Activities.</w:t>
            </w:r>
            <w:r w:rsidR="005A3A82">
              <w:rPr>
                <w:noProof/>
                <w:webHidden/>
              </w:rPr>
              <w:tab/>
            </w:r>
            <w:r w:rsidR="005A3A82">
              <w:rPr>
                <w:noProof/>
                <w:webHidden/>
              </w:rPr>
              <w:fldChar w:fldCharType="begin"/>
            </w:r>
            <w:r w:rsidR="005A3A82">
              <w:rPr>
                <w:noProof/>
                <w:webHidden/>
              </w:rPr>
              <w:instrText xml:space="preserve"> PAGEREF _Toc364243201 \h </w:instrText>
            </w:r>
            <w:r w:rsidR="005A3A82">
              <w:rPr>
                <w:noProof/>
                <w:webHidden/>
              </w:rPr>
            </w:r>
            <w:r w:rsidR="005A3A82">
              <w:rPr>
                <w:noProof/>
                <w:webHidden/>
              </w:rPr>
              <w:fldChar w:fldCharType="separate"/>
            </w:r>
            <w:r w:rsidR="002360F4">
              <w:rPr>
                <w:noProof/>
                <w:webHidden/>
              </w:rPr>
              <w:t>29</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02" w:history="1">
            <w:r w:rsidR="005A3A82" w:rsidRPr="00E55DD7">
              <w:rPr>
                <w:rStyle w:val="Hyperlink"/>
                <w:iCs/>
                <w:noProof/>
              </w:rPr>
              <w:t>Figure 4.3.</w:t>
            </w:r>
            <w:r w:rsidR="005A3A82" w:rsidRPr="00E55DD7">
              <w:rPr>
                <w:rStyle w:val="Hyperlink"/>
                <w:noProof/>
              </w:rPr>
              <w:t xml:space="preserve"> Illustration of the greenhouse gas assessment boundary for active surface mine methane drainage activities.</w:t>
            </w:r>
            <w:r w:rsidR="005A3A82">
              <w:rPr>
                <w:noProof/>
                <w:webHidden/>
              </w:rPr>
              <w:tab/>
            </w:r>
            <w:r w:rsidR="005A3A82">
              <w:rPr>
                <w:noProof/>
                <w:webHidden/>
              </w:rPr>
              <w:fldChar w:fldCharType="begin"/>
            </w:r>
            <w:r w:rsidR="005A3A82">
              <w:rPr>
                <w:noProof/>
                <w:webHidden/>
              </w:rPr>
              <w:instrText xml:space="preserve"> PAGEREF _Toc364243202 \h </w:instrText>
            </w:r>
            <w:r w:rsidR="005A3A82">
              <w:rPr>
                <w:noProof/>
                <w:webHidden/>
              </w:rPr>
            </w:r>
            <w:r w:rsidR="005A3A82">
              <w:rPr>
                <w:noProof/>
                <w:webHidden/>
              </w:rPr>
              <w:fldChar w:fldCharType="separate"/>
            </w:r>
            <w:r w:rsidR="002360F4">
              <w:rPr>
                <w:noProof/>
                <w:webHidden/>
              </w:rPr>
              <w:t>29</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03" w:history="1">
            <w:r w:rsidR="005A3A82" w:rsidRPr="00E55DD7">
              <w:rPr>
                <w:rStyle w:val="Hyperlink"/>
                <w:iCs/>
                <w:noProof/>
              </w:rPr>
              <w:t>Table 4.3.</w:t>
            </w:r>
            <w:r w:rsidR="005A3A82" w:rsidRPr="00E55DD7">
              <w:rPr>
                <w:rStyle w:val="Hyperlink"/>
                <w:noProof/>
              </w:rPr>
              <w:t xml:space="preserve"> List of the greenhouse gas sinks, sources, and reservoirs for active surface mine methane drainage activities.</w:t>
            </w:r>
            <w:r w:rsidR="005A3A82">
              <w:rPr>
                <w:noProof/>
                <w:webHidden/>
              </w:rPr>
              <w:tab/>
            </w:r>
            <w:r w:rsidR="005A3A82">
              <w:rPr>
                <w:noProof/>
                <w:webHidden/>
              </w:rPr>
              <w:fldChar w:fldCharType="begin"/>
            </w:r>
            <w:r w:rsidR="005A3A82">
              <w:rPr>
                <w:noProof/>
                <w:webHidden/>
              </w:rPr>
              <w:instrText xml:space="preserve"> PAGEREF _Toc364243203 \h </w:instrText>
            </w:r>
            <w:r w:rsidR="005A3A82">
              <w:rPr>
                <w:noProof/>
                <w:webHidden/>
              </w:rPr>
            </w:r>
            <w:r w:rsidR="005A3A82">
              <w:rPr>
                <w:noProof/>
                <w:webHidden/>
              </w:rPr>
              <w:fldChar w:fldCharType="separate"/>
            </w:r>
            <w:r w:rsidR="002360F4">
              <w:rPr>
                <w:noProof/>
                <w:webHidden/>
              </w:rPr>
              <w:t>30</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04" w:history="1">
            <w:r w:rsidR="005A3A82" w:rsidRPr="00E55DD7">
              <w:rPr>
                <w:rStyle w:val="Hyperlink"/>
                <w:noProof/>
              </w:rPr>
              <w:t>§ 4.4. Abandoned Underground Mine Methane Recovery Activities.</w:t>
            </w:r>
            <w:r w:rsidR="005A3A82">
              <w:rPr>
                <w:noProof/>
                <w:webHidden/>
              </w:rPr>
              <w:tab/>
            </w:r>
            <w:r w:rsidR="005A3A82">
              <w:rPr>
                <w:noProof/>
                <w:webHidden/>
              </w:rPr>
              <w:fldChar w:fldCharType="begin"/>
            </w:r>
            <w:r w:rsidR="005A3A82">
              <w:rPr>
                <w:noProof/>
                <w:webHidden/>
              </w:rPr>
              <w:instrText xml:space="preserve"> PAGEREF _Toc364243204 \h </w:instrText>
            </w:r>
            <w:r w:rsidR="005A3A82">
              <w:rPr>
                <w:noProof/>
                <w:webHidden/>
              </w:rPr>
            </w:r>
            <w:r w:rsidR="005A3A82">
              <w:rPr>
                <w:noProof/>
                <w:webHidden/>
              </w:rPr>
              <w:fldChar w:fldCharType="separate"/>
            </w:r>
            <w:r w:rsidR="002360F4">
              <w:rPr>
                <w:noProof/>
                <w:webHidden/>
              </w:rPr>
              <w:t>31</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05" w:history="1">
            <w:r w:rsidR="005A3A82" w:rsidRPr="00E55DD7">
              <w:rPr>
                <w:rStyle w:val="Hyperlink"/>
                <w:iCs/>
                <w:noProof/>
              </w:rPr>
              <w:t>Figure 4.4.</w:t>
            </w:r>
            <w:r w:rsidR="005A3A82" w:rsidRPr="00E55DD7">
              <w:rPr>
                <w:rStyle w:val="Hyperlink"/>
                <w:noProof/>
              </w:rPr>
              <w:t xml:space="preserve"> Illustration of the greenhouse gas assessment boundary for abandoned underground mine methane recovery activities.</w:t>
            </w:r>
            <w:r w:rsidR="005A3A82">
              <w:rPr>
                <w:noProof/>
                <w:webHidden/>
              </w:rPr>
              <w:tab/>
            </w:r>
            <w:r w:rsidR="005A3A82">
              <w:rPr>
                <w:noProof/>
                <w:webHidden/>
              </w:rPr>
              <w:fldChar w:fldCharType="begin"/>
            </w:r>
            <w:r w:rsidR="005A3A82">
              <w:rPr>
                <w:noProof/>
                <w:webHidden/>
              </w:rPr>
              <w:instrText xml:space="preserve"> PAGEREF _Toc364243205 \h </w:instrText>
            </w:r>
            <w:r w:rsidR="005A3A82">
              <w:rPr>
                <w:noProof/>
                <w:webHidden/>
              </w:rPr>
            </w:r>
            <w:r w:rsidR="005A3A82">
              <w:rPr>
                <w:noProof/>
                <w:webHidden/>
              </w:rPr>
              <w:fldChar w:fldCharType="separate"/>
            </w:r>
            <w:r w:rsidR="002360F4">
              <w:rPr>
                <w:noProof/>
                <w:webHidden/>
              </w:rPr>
              <w:t>32</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06" w:history="1">
            <w:r w:rsidR="005A3A82" w:rsidRPr="00E55DD7">
              <w:rPr>
                <w:rStyle w:val="Hyperlink"/>
                <w:iCs/>
                <w:noProof/>
              </w:rPr>
              <w:t>Table 4.4.</w:t>
            </w:r>
            <w:r w:rsidR="005A3A82" w:rsidRPr="00E55DD7">
              <w:rPr>
                <w:rStyle w:val="Hyperlink"/>
                <w:noProof/>
              </w:rPr>
              <w:t xml:space="preserve"> List of the greenhouse gas sinks, sources, and reservoirs for abandoned underground mine methane recovery activities.</w:t>
            </w:r>
            <w:r w:rsidR="005A3A82">
              <w:rPr>
                <w:noProof/>
                <w:webHidden/>
              </w:rPr>
              <w:tab/>
            </w:r>
            <w:r w:rsidR="005A3A82">
              <w:rPr>
                <w:noProof/>
                <w:webHidden/>
              </w:rPr>
              <w:fldChar w:fldCharType="begin"/>
            </w:r>
            <w:r w:rsidR="005A3A82">
              <w:rPr>
                <w:noProof/>
                <w:webHidden/>
              </w:rPr>
              <w:instrText xml:space="preserve"> PAGEREF _Toc364243206 \h </w:instrText>
            </w:r>
            <w:r w:rsidR="005A3A82">
              <w:rPr>
                <w:noProof/>
                <w:webHidden/>
              </w:rPr>
            </w:r>
            <w:r w:rsidR="005A3A82">
              <w:rPr>
                <w:noProof/>
                <w:webHidden/>
              </w:rPr>
              <w:fldChar w:fldCharType="separate"/>
            </w:r>
            <w:r w:rsidR="002360F4">
              <w:rPr>
                <w:noProof/>
                <w:webHidden/>
              </w:rPr>
              <w:t>32</w:t>
            </w:r>
            <w:r w:rsidR="005A3A82">
              <w:rPr>
                <w:noProof/>
                <w:webHidden/>
              </w:rPr>
              <w:fldChar w:fldCharType="end"/>
            </w:r>
          </w:hyperlink>
        </w:p>
        <w:p w:rsidR="005A3A82" w:rsidRDefault="000405AC">
          <w:pPr>
            <w:pStyle w:val="TOC1"/>
            <w:tabs>
              <w:tab w:val="right" w:leader="dot" w:pos="9350"/>
            </w:tabs>
            <w:rPr>
              <w:rFonts w:asciiTheme="minorHAnsi" w:eastAsiaTheme="minorEastAsia" w:hAnsiTheme="minorHAnsi" w:cstheme="minorBidi"/>
              <w:noProof/>
              <w:color w:val="auto"/>
              <w:sz w:val="22"/>
              <w:szCs w:val="22"/>
            </w:rPr>
          </w:pPr>
          <w:hyperlink w:anchor="_Toc364243207" w:history="1">
            <w:r w:rsidR="005A3A82" w:rsidRPr="00E55DD7">
              <w:rPr>
                <w:rStyle w:val="Hyperlink"/>
                <w:noProof/>
              </w:rPr>
              <w:t>Chapter 5. Quantifying GHG Emission Reductions – Quantification Methodology</w:t>
            </w:r>
            <w:r w:rsidR="005A3A82">
              <w:rPr>
                <w:noProof/>
                <w:webHidden/>
              </w:rPr>
              <w:tab/>
            </w:r>
            <w:r w:rsidR="005A3A82">
              <w:rPr>
                <w:noProof/>
                <w:webHidden/>
              </w:rPr>
              <w:fldChar w:fldCharType="begin"/>
            </w:r>
            <w:r w:rsidR="005A3A82">
              <w:rPr>
                <w:noProof/>
                <w:webHidden/>
              </w:rPr>
              <w:instrText xml:space="preserve"> PAGEREF _Toc364243207 \h </w:instrText>
            </w:r>
            <w:r w:rsidR="005A3A82">
              <w:rPr>
                <w:noProof/>
                <w:webHidden/>
              </w:rPr>
            </w:r>
            <w:r w:rsidR="005A3A82">
              <w:rPr>
                <w:noProof/>
                <w:webHidden/>
              </w:rPr>
              <w:fldChar w:fldCharType="separate"/>
            </w:r>
            <w:r w:rsidR="002360F4">
              <w:rPr>
                <w:noProof/>
                <w:webHidden/>
              </w:rPr>
              <w:t>34</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08" w:history="1">
            <w:r w:rsidR="005A3A82" w:rsidRPr="00E55DD7">
              <w:rPr>
                <w:rStyle w:val="Hyperlink"/>
                <w:noProof/>
              </w:rPr>
              <w:t>§ 5.1. Active Underground Ventilation Air Methane Activities.</w:t>
            </w:r>
            <w:r w:rsidR="005A3A82">
              <w:rPr>
                <w:noProof/>
                <w:webHidden/>
              </w:rPr>
              <w:tab/>
            </w:r>
            <w:r w:rsidR="005A3A82">
              <w:rPr>
                <w:noProof/>
                <w:webHidden/>
              </w:rPr>
              <w:fldChar w:fldCharType="begin"/>
            </w:r>
            <w:r w:rsidR="005A3A82">
              <w:rPr>
                <w:noProof/>
                <w:webHidden/>
              </w:rPr>
              <w:instrText xml:space="preserve"> PAGEREF _Toc364243208 \h </w:instrText>
            </w:r>
            <w:r w:rsidR="005A3A82">
              <w:rPr>
                <w:noProof/>
                <w:webHidden/>
              </w:rPr>
            </w:r>
            <w:r w:rsidR="005A3A82">
              <w:rPr>
                <w:noProof/>
                <w:webHidden/>
              </w:rPr>
              <w:fldChar w:fldCharType="separate"/>
            </w:r>
            <w:r w:rsidR="002360F4">
              <w:rPr>
                <w:noProof/>
                <w:webHidden/>
              </w:rPr>
              <w:t>34</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09" w:history="1">
            <w:r w:rsidR="005A3A82" w:rsidRPr="00E55DD7">
              <w:rPr>
                <w:rStyle w:val="Hyperlink"/>
                <w:noProof/>
              </w:rPr>
              <w:t>§ 5.1.1. Quantifying Baseline Emissions</w:t>
            </w:r>
            <w:r w:rsidR="005A3A82">
              <w:rPr>
                <w:noProof/>
                <w:webHidden/>
              </w:rPr>
              <w:tab/>
            </w:r>
            <w:r w:rsidR="005A3A82">
              <w:rPr>
                <w:noProof/>
                <w:webHidden/>
              </w:rPr>
              <w:fldChar w:fldCharType="begin"/>
            </w:r>
            <w:r w:rsidR="005A3A82">
              <w:rPr>
                <w:noProof/>
                <w:webHidden/>
              </w:rPr>
              <w:instrText xml:space="preserve"> PAGEREF _Toc364243209 \h </w:instrText>
            </w:r>
            <w:r w:rsidR="005A3A82">
              <w:rPr>
                <w:noProof/>
                <w:webHidden/>
              </w:rPr>
            </w:r>
            <w:r w:rsidR="005A3A82">
              <w:rPr>
                <w:noProof/>
                <w:webHidden/>
              </w:rPr>
              <w:fldChar w:fldCharType="separate"/>
            </w:r>
            <w:r w:rsidR="002360F4">
              <w:rPr>
                <w:noProof/>
                <w:webHidden/>
              </w:rPr>
              <w:t>34</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10" w:history="1">
            <w:r w:rsidR="005A3A82" w:rsidRPr="00E55DD7">
              <w:rPr>
                <w:rStyle w:val="Hyperlink"/>
                <w:noProof/>
              </w:rPr>
              <w:t>§ 5.1.2. Quantifying Project Emissions.</w:t>
            </w:r>
            <w:r w:rsidR="005A3A82">
              <w:rPr>
                <w:noProof/>
                <w:webHidden/>
              </w:rPr>
              <w:tab/>
            </w:r>
            <w:r w:rsidR="005A3A82">
              <w:rPr>
                <w:noProof/>
                <w:webHidden/>
              </w:rPr>
              <w:fldChar w:fldCharType="begin"/>
            </w:r>
            <w:r w:rsidR="005A3A82">
              <w:rPr>
                <w:noProof/>
                <w:webHidden/>
              </w:rPr>
              <w:instrText xml:space="preserve"> PAGEREF _Toc364243210 \h </w:instrText>
            </w:r>
            <w:r w:rsidR="005A3A82">
              <w:rPr>
                <w:noProof/>
                <w:webHidden/>
              </w:rPr>
            </w:r>
            <w:r w:rsidR="005A3A82">
              <w:rPr>
                <w:noProof/>
                <w:webHidden/>
              </w:rPr>
              <w:fldChar w:fldCharType="separate"/>
            </w:r>
            <w:r w:rsidR="002360F4">
              <w:rPr>
                <w:noProof/>
                <w:webHidden/>
              </w:rPr>
              <w:t>37</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11" w:history="1">
            <w:r w:rsidR="005A3A82" w:rsidRPr="00E55DD7">
              <w:rPr>
                <w:rStyle w:val="Hyperlink"/>
                <w:noProof/>
              </w:rPr>
              <w:t>§ 5.2. Active Underground Mine Methane Drainage Activities.</w:t>
            </w:r>
            <w:r w:rsidR="005A3A82">
              <w:rPr>
                <w:noProof/>
                <w:webHidden/>
              </w:rPr>
              <w:tab/>
            </w:r>
            <w:r w:rsidR="005A3A82">
              <w:rPr>
                <w:noProof/>
                <w:webHidden/>
              </w:rPr>
              <w:fldChar w:fldCharType="begin"/>
            </w:r>
            <w:r w:rsidR="005A3A82">
              <w:rPr>
                <w:noProof/>
                <w:webHidden/>
              </w:rPr>
              <w:instrText xml:space="preserve"> PAGEREF _Toc364243211 \h </w:instrText>
            </w:r>
            <w:r w:rsidR="005A3A82">
              <w:rPr>
                <w:noProof/>
                <w:webHidden/>
              </w:rPr>
            </w:r>
            <w:r w:rsidR="005A3A82">
              <w:rPr>
                <w:noProof/>
                <w:webHidden/>
              </w:rPr>
              <w:fldChar w:fldCharType="separate"/>
            </w:r>
            <w:r w:rsidR="002360F4">
              <w:rPr>
                <w:noProof/>
                <w:webHidden/>
              </w:rPr>
              <w:t>41</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12" w:history="1">
            <w:r w:rsidR="005A3A82" w:rsidRPr="00E55DD7">
              <w:rPr>
                <w:rStyle w:val="Hyperlink"/>
                <w:noProof/>
              </w:rPr>
              <w:t>§ 5.2.1. Quantifying Baseline Emissions.</w:t>
            </w:r>
            <w:r w:rsidR="005A3A82">
              <w:rPr>
                <w:noProof/>
                <w:webHidden/>
              </w:rPr>
              <w:tab/>
            </w:r>
            <w:r w:rsidR="005A3A82">
              <w:rPr>
                <w:noProof/>
                <w:webHidden/>
              </w:rPr>
              <w:fldChar w:fldCharType="begin"/>
            </w:r>
            <w:r w:rsidR="005A3A82">
              <w:rPr>
                <w:noProof/>
                <w:webHidden/>
              </w:rPr>
              <w:instrText xml:space="preserve"> PAGEREF _Toc364243212 \h </w:instrText>
            </w:r>
            <w:r w:rsidR="005A3A82">
              <w:rPr>
                <w:noProof/>
                <w:webHidden/>
              </w:rPr>
            </w:r>
            <w:r w:rsidR="005A3A82">
              <w:rPr>
                <w:noProof/>
                <w:webHidden/>
              </w:rPr>
              <w:fldChar w:fldCharType="separate"/>
            </w:r>
            <w:r w:rsidR="002360F4">
              <w:rPr>
                <w:noProof/>
                <w:webHidden/>
              </w:rPr>
              <w:t>42</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13" w:history="1">
            <w:r w:rsidR="005A3A82" w:rsidRPr="00E55DD7">
              <w:rPr>
                <w:rStyle w:val="Hyperlink"/>
                <w:noProof/>
              </w:rPr>
              <w:t>§ 5.2.2. Quantifying Project Emissions.</w:t>
            </w:r>
            <w:r w:rsidR="005A3A82">
              <w:rPr>
                <w:noProof/>
                <w:webHidden/>
              </w:rPr>
              <w:tab/>
            </w:r>
            <w:r w:rsidR="005A3A82">
              <w:rPr>
                <w:noProof/>
                <w:webHidden/>
              </w:rPr>
              <w:fldChar w:fldCharType="begin"/>
            </w:r>
            <w:r w:rsidR="005A3A82">
              <w:rPr>
                <w:noProof/>
                <w:webHidden/>
              </w:rPr>
              <w:instrText xml:space="preserve"> PAGEREF _Toc364243213 \h </w:instrText>
            </w:r>
            <w:r w:rsidR="005A3A82">
              <w:rPr>
                <w:noProof/>
                <w:webHidden/>
              </w:rPr>
            </w:r>
            <w:r w:rsidR="005A3A82">
              <w:rPr>
                <w:noProof/>
                <w:webHidden/>
              </w:rPr>
              <w:fldChar w:fldCharType="separate"/>
            </w:r>
            <w:r w:rsidR="002360F4">
              <w:rPr>
                <w:noProof/>
                <w:webHidden/>
              </w:rPr>
              <w:t>47</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14" w:history="1">
            <w:r w:rsidR="005A3A82" w:rsidRPr="00E55DD7">
              <w:rPr>
                <w:rStyle w:val="Hyperlink"/>
                <w:noProof/>
              </w:rPr>
              <w:t>§ 5.3. Active Surface Mine Methane Drainage Activities.</w:t>
            </w:r>
            <w:r w:rsidR="005A3A82">
              <w:rPr>
                <w:noProof/>
                <w:webHidden/>
              </w:rPr>
              <w:tab/>
            </w:r>
            <w:r w:rsidR="005A3A82">
              <w:rPr>
                <w:noProof/>
                <w:webHidden/>
              </w:rPr>
              <w:fldChar w:fldCharType="begin"/>
            </w:r>
            <w:r w:rsidR="005A3A82">
              <w:rPr>
                <w:noProof/>
                <w:webHidden/>
              </w:rPr>
              <w:instrText xml:space="preserve"> PAGEREF _Toc364243214 \h </w:instrText>
            </w:r>
            <w:r w:rsidR="005A3A82">
              <w:rPr>
                <w:noProof/>
                <w:webHidden/>
              </w:rPr>
            </w:r>
            <w:r w:rsidR="005A3A82">
              <w:rPr>
                <w:noProof/>
                <w:webHidden/>
              </w:rPr>
              <w:fldChar w:fldCharType="separate"/>
            </w:r>
            <w:r w:rsidR="002360F4">
              <w:rPr>
                <w:noProof/>
                <w:webHidden/>
              </w:rPr>
              <w:t>51</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15" w:history="1">
            <w:r w:rsidR="005A3A82" w:rsidRPr="00E55DD7">
              <w:rPr>
                <w:rStyle w:val="Hyperlink"/>
                <w:noProof/>
              </w:rPr>
              <w:t>§ 5.3.1. Quantifying Baseline Emissions.</w:t>
            </w:r>
            <w:r w:rsidR="005A3A82">
              <w:rPr>
                <w:noProof/>
                <w:webHidden/>
              </w:rPr>
              <w:tab/>
            </w:r>
            <w:r w:rsidR="005A3A82">
              <w:rPr>
                <w:noProof/>
                <w:webHidden/>
              </w:rPr>
              <w:fldChar w:fldCharType="begin"/>
            </w:r>
            <w:r w:rsidR="005A3A82">
              <w:rPr>
                <w:noProof/>
                <w:webHidden/>
              </w:rPr>
              <w:instrText xml:space="preserve"> PAGEREF _Toc364243215 \h </w:instrText>
            </w:r>
            <w:r w:rsidR="005A3A82">
              <w:rPr>
                <w:noProof/>
                <w:webHidden/>
              </w:rPr>
            </w:r>
            <w:r w:rsidR="005A3A82">
              <w:rPr>
                <w:noProof/>
                <w:webHidden/>
              </w:rPr>
              <w:fldChar w:fldCharType="separate"/>
            </w:r>
            <w:r w:rsidR="002360F4">
              <w:rPr>
                <w:noProof/>
                <w:webHidden/>
              </w:rPr>
              <w:t>52</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16" w:history="1">
            <w:r w:rsidR="005A3A82" w:rsidRPr="00E55DD7">
              <w:rPr>
                <w:rStyle w:val="Hyperlink"/>
                <w:noProof/>
              </w:rPr>
              <w:t>§ 5.3.2 Quantifying Project Emissions.</w:t>
            </w:r>
            <w:r w:rsidR="005A3A82">
              <w:rPr>
                <w:noProof/>
                <w:webHidden/>
              </w:rPr>
              <w:tab/>
            </w:r>
            <w:r w:rsidR="005A3A82">
              <w:rPr>
                <w:noProof/>
                <w:webHidden/>
              </w:rPr>
              <w:fldChar w:fldCharType="begin"/>
            </w:r>
            <w:r w:rsidR="005A3A82">
              <w:rPr>
                <w:noProof/>
                <w:webHidden/>
              </w:rPr>
              <w:instrText xml:space="preserve"> PAGEREF _Toc364243216 \h </w:instrText>
            </w:r>
            <w:r w:rsidR="005A3A82">
              <w:rPr>
                <w:noProof/>
                <w:webHidden/>
              </w:rPr>
            </w:r>
            <w:r w:rsidR="005A3A82">
              <w:rPr>
                <w:noProof/>
                <w:webHidden/>
              </w:rPr>
              <w:fldChar w:fldCharType="separate"/>
            </w:r>
            <w:r w:rsidR="002360F4">
              <w:rPr>
                <w:noProof/>
                <w:webHidden/>
              </w:rPr>
              <w:t>60</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17" w:history="1">
            <w:r w:rsidR="005A3A82" w:rsidRPr="00E55DD7">
              <w:rPr>
                <w:rStyle w:val="Hyperlink"/>
                <w:noProof/>
              </w:rPr>
              <w:t>§ 5.4. Abandoned Underground Mine Methane Recovery Activities.</w:t>
            </w:r>
            <w:r w:rsidR="005A3A82">
              <w:rPr>
                <w:noProof/>
                <w:webHidden/>
              </w:rPr>
              <w:tab/>
            </w:r>
            <w:r w:rsidR="005A3A82">
              <w:rPr>
                <w:noProof/>
                <w:webHidden/>
              </w:rPr>
              <w:fldChar w:fldCharType="begin"/>
            </w:r>
            <w:r w:rsidR="005A3A82">
              <w:rPr>
                <w:noProof/>
                <w:webHidden/>
              </w:rPr>
              <w:instrText xml:space="preserve"> PAGEREF _Toc364243217 \h </w:instrText>
            </w:r>
            <w:r w:rsidR="005A3A82">
              <w:rPr>
                <w:noProof/>
                <w:webHidden/>
              </w:rPr>
            </w:r>
            <w:r w:rsidR="005A3A82">
              <w:rPr>
                <w:noProof/>
                <w:webHidden/>
              </w:rPr>
              <w:fldChar w:fldCharType="separate"/>
            </w:r>
            <w:r w:rsidR="002360F4">
              <w:rPr>
                <w:noProof/>
                <w:webHidden/>
              </w:rPr>
              <w:t>65</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18" w:history="1">
            <w:r w:rsidR="005A3A82" w:rsidRPr="00E55DD7">
              <w:rPr>
                <w:rStyle w:val="Hyperlink"/>
                <w:noProof/>
              </w:rPr>
              <w:t>§ 5.4.1 Quantifying Baseline Emissions.</w:t>
            </w:r>
            <w:r w:rsidR="005A3A82">
              <w:rPr>
                <w:noProof/>
                <w:webHidden/>
              </w:rPr>
              <w:tab/>
            </w:r>
            <w:r w:rsidR="005A3A82">
              <w:rPr>
                <w:noProof/>
                <w:webHidden/>
              </w:rPr>
              <w:fldChar w:fldCharType="begin"/>
            </w:r>
            <w:r w:rsidR="005A3A82">
              <w:rPr>
                <w:noProof/>
                <w:webHidden/>
              </w:rPr>
              <w:instrText xml:space="preserve"> PAGEREF _Toc364243218 \h </w:instrText>
            </w:r>
            <w:r w:rsidR="005A3A82">
              <w:rPr>
                <w:noProof/>
                <w:webHidden/>
              </w:rPr>
            </w:r>
            <w:r w:rsidR="005A3A82">
              <w:rPr>
                <w:noProof/>
                <w:webHidden/>
              </w:rPr>
              <w:fldChar w:fldCharType="separate"/>
            </w:r>
            <w:r w:rsidR="002360F4">
              <w:rPr>
                <w:noProof/>
                <w:webHidden/>
              </w:rPr>
              <w:t>66</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19" w:history="1">
            <w:r w:rsidR="005A3A82" w:rsidRPr="00E55DD7">
              <w:rPr>
                <w:rStyle w:val="Hyperlink"/>
                <w:noProof/>
              </w:rPr>
              <w:t>§ 5.4.2. Quantifying Project Emissions.</w:t>
            </w:r>
            <w:r w:rsidR="005A3A82">
              <w:rPr>
                <w:noProof/>
                <w:webHidden/>
              </w:rPr>
              <w:tab/>
            </w:r>
            <w:r w:rsidR="005A3A82">
              <w:rPr>
                <w:noProof/>
                <w:webHidden/>
              </w:rPr>
              <w:fldChar w:fldCharType="begin"/>
            </w:r>
            <w:r w:rsidR="005A3A82">
              <w:rPr>
                <w:noProof/>
                <w:webHidden/>
              </w:rPr>
              <w:instrText xml:space="preserve"> PAGEREF _Toc364243219 \h </w:instrText>
            </w:r>
            <w:r w:rsidR="005A3A82">
              <w:rPr>
                <w:noProof/>
                <w:webHidden/>
              </w:rPr>
            </w:r>
            <w:r w:rsidR="005A3A82">
              <w:rPr>
                <w:noProof/>
                <w:webHidden/>
              </w:rPr>
              <w:fldChar w:fldCharType="separate"/>
            </w:r>
            <w:r w:rsidR="002360F4">
              <w:rPr>
                <w:noProof/>
                <w:webHidden/>
              </w:rPr>
              <w:t>71</w:t>
            </w:r>
            <w:r w:rsidR="005A3A82">
              <w:rPr>
                <w:noProof/>
                <w:webHidden/>
              </w:rPr>
              <w:fldChar w:fldCharType="end"/>
            </w:r>
          </w:hyperlink>
        </w:p>
        <w:p w:rsidR="005A3A82" w:rsidRDefault="000405AC">
          <w:pPr>
            <w:pStyle w:val="TOC1"/>
            <w:tabs>
              <w:tab w:val="right" w:leader="dot" w:pos="9350"/>
            </w:tabs>
            <w:rPr>
              <w:rFonts w:asciiTheme="minorHAnsi" w:eastAsiaTheme="minorEastAsia" w:hAnsiTheme="minorHAnsi" w:cstheme="minorBidi"/>
              <w:noProof/>
              <w:color w:val="auto"/>
              <w:sz w:val="22"/>
              <w:szCs w:val="22"/>
            </w:rPr>
          </w:pPr>
          <w:hyperlink w:anchor="_Toc364243220" w:history="1">
            <w:r w:rsidR="005A3A82" w:rsidRPr="00E55DD7">
              <w:rPr>
                <w:rStyle w:val="Hyperlink"/>
                <w:noProof/>
              </w:rPr>
              <w:t>Chapter 6. Monitoring</w:t>
            </w:r>
            <w:r w:rsidR="005A3A82">
              <w:rPr>
                <w:noProof/>
                <w:webHidden/>
              </w:rPr>
              <w:tab/>
            </w:r>
            <w:r w:rsidR="005A3A82">
              <w:rPr>
                <w:noProof/>
                <w:webHidden/>
              </w:rPr>
              <w:fldChar w:fldCharType="begin"/>
            </w:r>
            <w:r w:rsidR="005A3A82">
              <w:rPr>
                <w:noProof/>
                <w:webHidden/>
              </w:rPr>
              <w:instrText xml:space="preserve"> PAGEREF _Toc364243220 \h </w:instrText>
            </w:r>
            <w:r w:rsidR="005A3A82">
              <w:rPr>
                <w:noProof/>
                <w:webHidden/>
              </w:rPr>
            </w:r>
            <w:r w:rsidR="005A3A82">
              <w:rPr>
                <w:noProof/>
                <w:webHidden/>
              </w:rPr>
              <w:fldChar w:fldCharType="separate"/>
            </w:r>
            <w:r w:rsidR="002360F4">
              <w:rPr>
                <w:noProof/>
                <w:webHidden/>
              </w:rPr>
              <w:t>76</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21" w:history="1">
            <w:r w:rsidR="005A3A82" w:rsidRPr="00E55DD7">
              <w:rPr>
                <w:rStyle w:val="Hyperlink"/>
                <w:noProof/>
              </w:rPr>
              <w:t>§ 6.1. General Monitoring Requirements.</w:t>
            </w:r>
            <w:r w:rsidR="005A3A82">
              <w:rPr>
                <w:noProof/>
                <w:webHidden/>
              </w:rPr>
              <w:tab/>
            </w:r>
            <w:r w:rsidR="005A3A82">
              <w:rPr>
                <w:noProof/>
                <w:webHidden/>
              </w:rPr>
              <w:fldChar w:fldCharType="begin"/>
            </w:r>
            <w:r w:rsidR="005A3A82">
              <w:rPr>
                <w:noProof/>
                <w:webHidden/>
              </w:rPr>
              <w:instrText xml:space="preserve"> PAGEREF _Toc364243221 \h </w:instrText>
            </w:r>
            <w:r w:rsidR="005A3A82">
              <w:rPr>
                <w:noProof/>
                <w:webHidden/>
              </w:rPr>
            </w:r>
            <w:r w:rsidR="005A3A82">
              <w:rPr>
                <w:noProof/>
                <w:webHidden/>
              </w:rPr>
              <w:fldChar w:fldCharType="separate"/>
            </w:r>
            <w:r w:rsidR="002360F4">
              <w:rPr>
                <w:noProof/>
                <w:webHidden/>
              </w:rPr>
              <w:t>76</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22" w:history="1">
            <w:r w:rsidR="005A3A82" w:rsidRPr="00E55DD7">
              <w:rPr>
                <w:rStyle w:val="Hyperlink"/>
                <w:noProof/>
              </w:rPr>
              <w:t>§ 6.2. Instrument QA/QC.</w:t>
            </w:r>
            <w:r w:rsidR="005A3A82">
              <w:rPr>
                <w:noProof/>
                <w:webHidden/>
              </w:rPr>
              <w:tab/>
            </w:r>
            <w:r w:rsidR="005A3A82">
              <w:rPr>
                <w:noProof/>
                <w:webHidden/>
              </w:rPr>
              <w:fldChar w:fldCharType="begin"/>
            </w:r>
            <w:r w:rsidR="005A3A82">
              <w:rPr>
                <w:noProof/>
                <w:webHidden/>
              </w:rPr>
              <w:instrText xml:space="preserve"> PAGEREF _Toc364243222 \h </w:instrText>
            </w:r>
            <w:r w:rsidR="005A3A82">
              <w:rPr>
                <w:noProof/>
                <w:webHidden/>
              </w:rPr>
            </w:r>
            <w:r w:rsidR="005A3A82">
              <w:rPr>
                <w:noProof/>
                <w:webHidden/>
              </w:rPr>
              <w:fldChar w:fldCharType="separate"/>
            </w:r>
            <w:r w:rsidR="002360F4">
              <w:rPr>
                <w:noProof/>
                <w:webHidden/>
              </w:rPr>
              <w:t>77</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23" w:history="1">
            <w:r w:rsidR="005A3A82" w:rsidRPr="00E55DD7">
              <w:rPr>
                <w:rStyle w:val="Hyperlink"/>
                <w:noProof/>
              </w:rPr>
              <w:t>§ 6.3. Document Retention.</w:t>
            </w:r>
            <w:r w:rsidR="005A3A82">
              <w:rPr>
                <w:noProof/>
                <w:webHidden/>
              </w:rPr>
              <w:tab/>
            </w:r>
            <w:r w:rsidR="005A3A82">
              <w:rPr>
                <w:noProof/>
                <w:webHidden/>
              </w:rPr>
              <w:fldChar w:fldCharType="begin"/>
            </w:r>
            <w:r w:rsidR="005A3A82">
              <w:rPr>
                <w:noProof/>
                <w:webHidden/>
              </w:rPr>
              <w:instrText xml:space="preserve"> PAGEREF _Toc364243223 \h </w:instrText>
            </w:r>
            <w:r w:rsidR="005A3A82">
              <w:rPr>
                <w:noProof/>
                <w:webHidden/>
              </w:rPr>
            </w:r>
            <w:r w:rsidR="005A3A82">
              <w:rPr>
                <w:noProof/>
                <w:webHidden/>
              </w:rPr>
              <w:fldChar w:fldCharType="separate"/>
            </w:r>
            <w:r w:rsidR="002360F4">
              <w:rPr>
                <w:noProof/>
                <w:webHidden/>
              </w:rPr>
              <w:t>78</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24" w:history="1">
            <w:r w:rsidR="005A3A82" w:rsidRPr="00E55DD7">
              <w:rPr>
                <w:rStyle w:val="Hyperlink"/>
                <w:noProof/>
              </w:rPr>
              <w:t>§ 6.4. Active Underground Mine Ventilation Air Methane Activities.</w:t>
            </w:r>
            <w:r w:rsidR="005A3A82">
              <w:rPr>
                <w:noProof/>
                <w:webHidden/>
              </w:rPr>
              <w:tab/>
            </w:r>
            <w:r w:rsidR="005A3A82">
              <w:rPr>
                <w:noProof/>
                <w:webHidden/>
              </w:rPr>
              <w:fldChar w:fldCharType="begin"/>
            </w:r>
            <w:r w:rsidR="005A3A82">
              <w:rPr>
                <w:noProof/>
                <w:webHidden/>
              </w:rPr>
              <w:instrText xml:space="preserve"> PAGEREF _Toc364243224 \h </w:instrText>
            </w:r>
            <w:r w:rsidR="005A3A82">
              <w:rPr>
                <w:noProof/>
                <w:webHidden/>
              </w:rPr>
            </w:r>
            <w:r w:rsidR="005A3A82">
              <w:rPr>
                <w:noProof/>
                <w:webHidden/>
              </w:rPr>
              <w:fldChar w:fldCharType="separate"/>
            </w:r>
            <w:r w:rsidR="002360F4">
              <w:rPr>
                <w:noProof/>
                <w:webHidden/>
              </w:rPr>
              <w:t>80</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25" w:history="1">
            <w:r w:rsidR="005A3A82" w:rsidRPr="00E55DD7">
              <w:rPr>
                <w:rStyle w:val="Hyperlink"/>
                <w:iCs/>
                <w:noProof/>
              </w:rPr>
              <w:t>Table 6.1.</w:t>
            </w:r>
            <w:r w:rsidR="005A3A82" w:rsidRPr="00E55DD7">
              <w:rPr>
                <w:rStyle w:val="Hyperlink"/>
                <w:noProof/>
              </w:rPr>
              <w:t xml:space="preserve"> Active Underground Mine VAM Activity Monitoring Parameters – Quantification Methodology</w:t>
            </w:r>
            <w:r w:rsidR="005A3A82">
              <w:rPr>
                <w:noProof/>
                <w:webHidden/>
              </w:rPr>
              <w:tab/>
            </w:r>
            <w:r w:rsidR="005A3A82">
              <w:rPr>
                <w:noProof/>
                <w:webHidden/>
              </w:rPr>
              <w:fldChar w:fldCharType="begin"/>
            </w:r>
            <w:r w:rsidR="005A3A82">
              <w:rPr>
                <w:noProof/>
                <w:webHidden/>
              </w:rPr>
              <w:instrText xml:space="preserve"> PAGEREF _Toc364243225 \h </w:instrText>
            </w:r>
            <w:r w:rsidR="005A3A82">
              <w:rPr>
                <w:noProof/>
                <w:webHidden/>
              </w:rPr>
            </w:r>
            <w:r w:rsidR="005A3A82">
              <w:rPr>
                <w:noProof/>
                <w:webHidden/>
              </w:rPr>
              <w:fldChar w:fldCharType="separate"/>
            </w:r>
            <w:r w:rsidR="002360F4">
              <w:rPr>
                <w:noProof/>
                <w:webHidden/>
              </w:rPr>
              <w:t>80</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26" w:history="1">
            <w:r w:rsidR="005A3A82" w:rsidRPr="00E55DD7">
              <w:rPr>
                <w:rStyle w:val="Hyperlink"/>
                <w:noProof/>
              </w:rPr>
              <w:t>§ 6.5. Active Underground Mine Methane Drainage Activities.</w:t>
            </w:r>
            <w:r w:rsidR="005A3A82">
              <w:rPr>
                <w:noProof/>
                <w:webHidden/>
              </w:rPr>
              <w:tab/>
            </w:r>
            <w:r w:rsidR="005A3A82">
              <w:rPr>
                <w:noProof/>
                <w:webHidden/>
              </w:rPr>
              <w:fldChar w:fldCharType="begin"/>
            </w:r>
            <w:r w:rsidR="005A3A82">
              <w:rPr>
                <w:noProof/>
                <w:webHidden/>
              </w:rPr>
              <w:instrText xml:space="preserve"> PAGEREF _Toc364243226 \h </w:instrText>
            </w:r>
            <w:r w:rsidR="005A3A82">
              <w:rPr>
                <w:noProof/>
                <w:webHidden/>
              </w:rPr>
            </w:r>
            <w:r w:rsidR="005A3A82">
              <w:rPr>
                <w:noProof/>
                <w:webHidden/>
              </w:rPr>
              <w:fldChar w:fldCharType="separate"/>
            </w:r>
            <w:r w:rsidR="002360F4">
              <w:rPr>
                <w:noProof/>
                <w:webHidden/>
              </w:rPr>
              <w:t>83</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27" w:history="1">
            <w:r w:rsidR="005A3A82" w:rsidRPr="00E55DD7">
              <w:rPr>
                <w:rStyle w:val="Hyperlink"/>
                <w:iCs/>
                <w:noProof/>
              </w:rPr>
              <w:t>Table 6.2.</w:t>
            </w:r>
            <w:r w:rsidR="005A3A82" w:rsidRPr="00E55DD7">
              <w:rPr>
                <w:rStyle w:val="Hyperlink"/>
                <w:noProof/>
              </w:rPr>
              <w:t xml:space="preserve"> Active Underground Mine Methane Drainage Activity Monitoring Parameters – Quantification Methodology</w:t>
            </w:r>
            <w:r w:rsidR="005A3A82">
              <w:rPr>
                <w:noProof/>
                <w:webHidden/>
              </w:rPr>
              <w:tab/>
            </w:r>
            <w:r w:rsidR="005A3A82">
              <w:rPr>
                <w:noProof/>
                <w:webHidden/>
              </w:rPr>
              <w:fldChar w:fldCharType="begin"/>
            </w:r>
            <w:r w:rsidR="005A3A82">
              <w:rPr>
                <w:noProof/>
                <w:webHidden/>
              </w:rPr>
              <w:instrText xml:space="preserve"> PAGEREF _Toc364243227 \h </w:instrText>
            </w:r>
            <w:r w:rsidR="005A3A82">
              <w:rPr>
                <w:noProof/>
                <w:webHidden/>
              </w:rPr>
            </w:r>
            <w:r w:rsidR="005A3A82">
              <w:rPr>
                <w:noProof/>
                <w:webHidden/>
              </w:rPr>
              <w:fldChar w:fldCharType="separate"/>
            </w:r>
            <w:r w:rsidR="002360F4">
              <w:rPr>
                <w:noProof/>
                <w:webHidden/>
              </w:rPr>
              <w:t>84</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28" w:history="1">
            <w:r w:rsidR="005A3A82" w:rsidRPr="00E55DD7">
              <w:rPr>
                <w:rStyle w:val="Hyperlink"/>
                <w:noProof/>
              </w:rPr>
              <w:t>§ 6.6. Active Surface Mine Methane Drainage Activities.</w:t>
            </w:r>
            <w:r w:rsidR="005A3A82">
              <w:rPr>
                <w:noProof/>
                <w:webHidden/>
              </w:rPr>
              <w:tab/>
            </w:r>
            <w:r w:rsidR="005A3A82">
              <w:rPr>
                <w:noProof/>
                <w:webHidden/>
              </w:rPr>
              <w:fldChar w:fldCharType="begin"/>
            </w:r>
            <w:r w:rsidR="005A3A82">
              <w:rPr>
                <w:noProof/>
                <w:webHidden/>
              </w:rPr>
              <w:instrText xml:space="preserve"> PAGEREF _Toc364243228 \h </w:instrText>
            </w:r>
            <w:r w:rsidR="005A3A82">
              <w:rPr>
                <w:noProof/>
                <w:webHidden/>
              </w:rPr>
            </w:r>
            <w:r w:rsidR="005A3A82">
              <w:rPr>
                <w:noProof/>
                <w:webHidden/>
              </w:rPr>
              <w:fldChar w:fldCharType="separate"/>
            </w:r>
            <w:r w:rsidR="002360F4">
              <w:rPr>
                <w:noProof/>
                <w:webHidden/>
              </w:rPr>
              <w:t>88</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29" w:history="1">
            <w:r w:rsidR="005A3A82" w:rsidRPr="00E55DD7">
              <w:rPr>
                <w:rStyle w:val="Hyperlink"/>
                <w:iCs/>
                <w:noProof/>
              </w:rPr>
              <w:t>Table 6.3.</w:t>
            </w:r>
            <w:r w:rsidR="005A3A82" w:rsidRPr="00E55DD7">
              <w:rPr>
                <w:rStyle w:val="Hyperlink"/>
                <w:noProof/>
              </w:rPr>
              <w:t xml:space="preserve"> Active Surface Mine Methane Drainage Activity Monitoring Parameters – Quantification Methodology</w:t>
            </w:r>
            <w:r w:rsidR="005A3A82">
              <w:rPr>
                <w:noProof/>
                <w:webHidden/>
              </w:rPr>
              <w:tab/>
            </w:r>
            <w:r w:rsidR="005A3A82">
              <w:rPr>
                <w:noProof/>
                <w:webHidden/>
              </w:rPr>
              <w:fldChar w:fldCharType="begin"/>
            </w:r>
            <w:r w:rsidR="005A3A82">
              <w:rPr>
                <w:noProof/>
                <w:webHidden/>
              </w:rPr>
              <w:instrText xml:space="preserve"> PAGEREF _Toc364243229 \h </w:instrText>
            </w:r>
            <w:r w:rsidR="005A3A82">
              <w:rPr>
                <w:noProof/>
                <w:webHidden/>
              </w:rPr>
            </w:r>
            <w:r w:rsidR="005A3A82">
              <w:rPr>
                <w:noProof/>
                <w:webHidden/>
              </w:rPr>
              <w:fldChar w:fldCharType="separate"/>
            </w:r>
            <w:r w:rsidR="002360F4">
              <w:rPr>
                <w:noProof/>
                <w:webHidden/>
              </w:rPr>
              <w:t>90</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30" w:history="1">
            <w:r w:rsidR="005A3A82" w:rsidRPr="00E55DD7">
              <w:rPr>
                <w:rStyle w:val="Hyperlink"/>
                <w:noProof/>
              </w:rPr>
              <w:t>§ 6.7. Abandoned Underground Mine Methane Recovery Activities.</w:t>
            </w:r>
            <w:r w:rsidR="005A3A82">
              <w:rPr>
                <w:noProof/>
                <w:webHidden/>
              </w:rPr>
              <w:tab/>
            </w:r>
            <w:r w:rsidR="005A3A82">
              <w:rPr>
                <w:noProof/>
                <w:webHidden/>
              </w:rPr>
              <w:fldChar w:fldCharType="begin"/>
            </w:r>
            <w:r w:rsidR="005A3A82">
              <w:rPr>
                <w:noProof/>
                <w:webHidden/>
              </w:rPr>
              <w:instrText xml:space="preserve"> PAGEREF _Toc364243230 \h </w:instrText>
            </w:r>
            <w:r w:rsidR="005A3A82">
              <w:rPr>
                <w:noProof/>
                <w:webHidden/>
              </w:rPr>
            </w:r>
            <w:r w:rsidR="005A3A82">
              <w:rPr>
                <w:noProof/>
                <w:webHidden/>
              </w:rPr>
              <w:fldChar w:fldCharType="separate"/>
            </w:r>
            <w:r w:rsidR="002360F4">
              <w:rPr>
                <w:noProof/>
                <w:webHidden/>
              </w:rPr>
              <w:t>101</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31" w:history="1">
            <w:r w:rsidR="005A3A82" w:rsidRPr="00E55DD7">
              <w:rPr>
                <w:rStyle w:val="Hyperlink"/>
                <w:noProof/>
              </w:rPr>
              <w:t>Table 6.4. Abandoned Underground Mine Methane Recovery Activity Monitoring Parameters – Quantification Methodology</w:t>
            </w:r>
            <w:r w:rsidR="005A3A82">
              <w:rPr>
                <w:noProof/>
                <w:webHidden/>
              </w:rPr>
              <w:tab/>
            </w:r>
            <w:r w:rsidR="005A3A82">
              <w:rPr>
                <w:noProof/>
                <w:webHidden/>
              </w:rPr>
              <w:fldChar w:fldCharType="begin"/>
            </w:r>
            <w:r w:rsidR="005A3A82">
              <w:rPr>
                <w:noProof/>
                <w:webHidden/>
              </w:rPr>
              <w:instrText xml:space="preserve"> PAGEREF _Toc364243231 \h </w:instrText>
            </w:r>
            <w:r w:rsidR="005A3A82">
              <w:rPr>
                <w:noProof/>
                <w:webHidden/>
              </w:rPr>
            </w:r>
            <w:r w:rsidR="005A3A82">
              <w:rPr>
                <w:noProof/>
                <w:webHidden/>
              </w:rPr>
              <w:fldChar w:fldCharType="separate"/>
            </w:r>
            <w:r w:rsidR="002360F4">
              <w:rPr>
                <w:noProof/>
                <w:webHidden/>
              </w:rPr>
              <w:t>102</w:t>
            </w:r>
            <w:r w:rsidR="005A3A82">
              <w:rPr>
                <w:noProof/>
                <w:webHidden/>
              </w:rPr>
              <w:fldChar w:fldCharType="end"/>
            </w:r>
          </w:hyperlink>
        </w:p>
        <w:p w:rsidR="005A3A82" w:rsidRDefault="000405AC">
          <w:pPr>
            <w:pStyle w:val="TOC1"/>
            <w:tabs>
              <w:tab w:val="right" w:leader="dot" w:pos="9350"/>
            </w:tabs>
            <w:rPr>
              <w:rFonts w:asciiTheme="minorHAnsi" w:eastAsiaTheme="minorEastAsia" w:hAnsiTheme="minorHAnsi" w:cstheme="minorBidi"/>
              <w:noProof/>
              <w:color w:val="auto"/>
              <w:sz w:val="22"/>
              <w:szCs w:val="22"/>
            </w:rPr>
          </w:pPr>
          <w:hyperlink w:anchor="_Toc364243232" w:history="1">
            <w:r w:rsidR="005A3A82" w:rsidRPr="00E55DD7">
              <w:rPr>
                <w:rStyle w:val="Hyperlink"/>
                <w:noProof/>
              </w:rPr>
              <w:t>Chapter 7.  Reporting</w:t>
            </w:r>
            <w:r w:rsidR="005A3A82">
              <w:rPr>
                <w:noProof/>
                <w:webHidden/>
              </w:rPr>
              <w:tab/>
            </w:r>
            <w:r w:rsidR="005A3A82">
              <w:rPr>
                <w:noProof/>
                <w:webHidden/>
              </w:rPr>
              <w:fldChar w:fldCharType="begin"/>
            </w:r>
            <w:r w:rsidR="005A3A82">
              <w:rPr>
                <w:noProof/>
                <w:webHidden/>
              </w:rPr>
              <w:instrText xml:space="preserve"> PAGEREF _Toc364243232 \h </w:instrText>
            </w:r>
            <w:r w:rsidR="005A3A82">
              <w:rPr>
                <w:noProof/>
                <w:webHidden/>
              </w:rPr>
            </w:r>
            <w:r w:rsidR="005A3A82">
              <w:rPr>
                <w:noProof/>
                <w:webHidden/>
              </w:rPr>
              <w:fldChar w:fldCharType="separate"/>
            </w:r>
            <w:r w:rsidR="002360F4">
              <w:rPr>
                <w:noProof/>
                <w:webHidden/>
              </w:rPr>
              <w:t>106</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33" w:history="1">
            <w:r w:rsidR="005A3A82" w:rsidRPr="00E55DD7">
              <w:rPr>
                <w:rStyle w:val="Hyperlink"/>
                <w:noProof/>
              </w:rPr>
              <w:t>§ 7.1. Listing Requirements.</w:t>
            </w:r>
            <w:r w:rsidR="005A3A82">
              <w:rPr>
                <w:noProof/>
                <w:webHidden/>
              </w:rPr>
              <w:tab/>
            </w:r>
            <w:r w:rsidR="005A3A82">
              <w:rPr>
                <w:noProof/>
                <w:webHidden/>
              </w:rPr>
              <w:fldChar w:fldCharType="begin"/>
            </w:r>
            <w:r w:rsidR="005A3A82">
              <w:rPr>
                <w:noProof/>
                <w:webHidden/>
              </w:rPr>
              <w:instrText xml:space="preserve"> PAGEREF _Toc364243233 \h </w:instrText>
            </w:r>
            <w:r w:rsidR="005A3A82">
              <w:rPr>
                <w:noProof/>
                <w:webHidden/>
              </w:rPr>
            </w:r>
            <w:r w:rsidR="005A3A82">
              <w:rPr>
                <w:noProof/>
                <w:webHidden/>
              </w:rPr>
              <w:fldChar w:fldCharType="separate"/>
            </w:r>
            <w:r w:rsidR="002360F4">
              <w:rPr>
                <w:noProof/>
                <w:webHidden/>
              </w:rPr>
              <w:t>107</w:t>
            </w:r>
            <w:r w:rsidR="005A3A82">
              <w:rPr>
                <w:noProof/>
                <w:webHidden/>
              </w:rPr>
              <w:fldChar w:fldCharType="end"/>
            </w:r>
          </w:hyperlink>
        </w:p>
        <w:p w:rsidR="005A3A82" w:rsidRDefault="000405AC">
          <w:pPr>
            <w:pStyle w:val="TOC2"/>
            <w:tabs>
              <w:tab w:val="right" w:leader="dot" w:pos="9350"/>
            </w:tabs>
            <w:rPr>
              <w:rFonts w:asciiTheme="minorHAnsi" w:eastAsiaTheme="minorEastAsia" w:hAnsiTheme="minorHAnsi" w:cstheme="minorBidi"/>
              <w:noProof/>
              <w:color w:val="auto"/>
              <w:sz w:val="22"/>
              <w:szCs w:val="22"/>
            </w:rPr>
          </w:pPr>
          <w:hyperlink w:anchor="_Toc364243234" w:history="1">
            <w:r w:rsidR="005A3A82" w:rsidRPr="00E55DD7">
              <w:rPr>
                <w:rStyle w:val="Hyperlink"/>
                <w:noProof/>
              </w:rPr>
              <w:t>§ 7.2. Offset Project Data Report.</w:t>
            </w:r>
            <w:r w:rsidR="005A3A82">
              <w:rPr>
                <w:noProof/>
                <w:webHidden/>
              </w:rPr>
              <w:tab/>
            </w:r>
            <w:r w:rsidR="005A3A82">
              <w:rPr>
                <w:noProof/>
                <w:webHidden/>
              </w:rPr>
              <w:fldChar w:fldCharType="begin"/>
            </w:r>
            <w:r w:rsidR="005A3A82">
              <w:rPr>
                <w:noProof/>
                <w:webHidden/>
              </w:rPr>
              <w:instrText xml:space="preserve"> PAGEREF _Toc364243234 \h </w:instrText>
            </w:r>
            <w:r w:rsidR="005A3A82">
              <w:rPr>
                <w:noProof/>
                <w:webHidden/>
              </w:rPr>
            </w:r>
            <w:r w:rsidR="005A3A82">
              <w:rPr>
                <w:noProof/>
                <w:webHidden/>
              </w:rPr>
              <w:fldChar w:fldCharType="separate"/>
            </w:r>
            <w:r w:rsidR="002360F4">
              <w:rPr>
                <w:noProof/>
                <w:webHidden/>
              </w:rPr>
              <w:t>113</w:t>
            </w:r>
            <w:r w:rsidR="005A3A82">
              <w:rPr>
                <w:noProof/>
                <w:webHidden/>
              </w:rPr>
              <w:fldChar w:fldCharType="end"/>
            </w:r>
          </w:hyperlink>
        </w:p>
        <w:p w:rsidR="005A3A82" w:rsidRDefault="000405AC">
          <w:pPr>
            <w:pStyle w:val="TOC1"/>
            <w:tabs>
              <w:tab w:val="right" w:leader="dot" w:pos="9350"/>
            </w:tabs>
            <w:rPr>
              <w:rFonts w:asciiTheme="minorHAnsi" w:eastAsiaTheme="minorEastAsia" w:hAnsiTheme="minorHAnsi" w:cstheme="minorBidi"/>
              <w:noProof/>
              <w:color w:val="auto"/>
              <w:sz w:val="22"/>
              <w:szCs w:val="22"/>
            </w:rPr>
          </w:pPr>
          <w:hyperlink w:anchor="_Toc364243235" w:history="1">
            <w:r w:rsidR="005A3A82" w:rsidRPr="00E55DD7">
              <w:rPr>
                <w:rStyle w:val="Hyperlink"/>
                <w:noProof/>
              </w:rPr>
              <w:t>Chapter 8.  Verification</w:t>
            </w:r>
            <w:r w:rsidR="005A3A82">
              <w:rPr>
                <w:noProof/>
                <w:webHidden/>
              </w:rPr>
              <w:tab/>
            </w:r>
            <w:r w:rsidR="005A3A82">
              <w:rPr>
                <w:noProof/>
                <w:webHidden/>
              </w:rPr>
              <w:fldChar w:fldCharType="begin"/>
            </w:r>
            <w:r w:rsidR="005A3A82">
              <w:rPr>
                <w:noProof/>
                <w:webHidden/>
              </w:rPr>
              <w:instrText xml:space="preserve"> PAGEREF _Toc364243235 \h </w:instrText>
            </w:r>
            <w:r w:rsidR="005A3A82">
              <w:rPr>
                <w:noProof/>
                <w:webHidden/>
              </w:rPr>
            </w:r>
            <w:r w:rsidR="005A3A82">
              <w:rPr>
                <w:noProof/>
                <w:webHidden/>
              </w:rPr>
              <w:fldChar w:fldCharType="separate"/>
            </w:r>
            <w:r w:rsidR="002360F4">
              <w:rPr>
                <w:noProof/>
                <w:webHidden/>
              </w:rPr>
              <w:t>116</w:t>
            </w:r>
            <w:r w:rsidR="005A3A82">
              <w:rPr>
                <w:noProof/>
                <w:webHidden/>
              </w:rPr>
              <w:fldChar w:fldCharType="end"/>
            </w:r>
          </w:hyperlink>
        </w:p>
        <w:p w:rsidR="005A3A82" w:rsidRDefault="000405AC">
          <w:pPr>
            <w:pStyle w:val="TOC1"/>
            <w:tabs>
              <w:tab w:val="right" w:leader="dot" w:pos="9350"/>
            </w:tabs>
            <w:rPr>
              <w:rFonts w:asciiTheme="minorHAnsi" w:eastAsiaTheme="minorEastAsia" w:hAnsiTheme="minorHAnsi" w:cstheme="minorBidi"/>
              <w:noProof/>
              <w:color w:val="auto"/>
              <w:sz w:val="22"/>
              <w:szCs w:val="22"/>
            </w:rPr>
          </w:pPr>
          <w:hyperlink w:anchor="_Toc364243236" w:history="1">
            <w:r w:rsidR="005A3A82" w:rsidRPr="00E55DD7">
              <w:rPr>
                <w:rStyle w:val="Hyperlink"/>
                <w:noProof/>
              </w:rPr>
              <w:t>Appendix A.  Emission Factors – Quantification Methodology</w:t>
            </w:r>
            <w:r w:rsidR="005A3A82">
              <w:rPr>
                <w:noProof/>
                <w:webHidden/>
              </w:rPr>
              <w:tab/>
            </w:r>
            <w:r w:rsidR="005A3A82">
              <w:rPr>
                <w:noProof/>
                <w:webHidden/>
              </w:rPr>
              <w:fldChar w:fldCharType="begin"/>
            </w:r>
            <w:r w:rsidR="005A3A82">
              <w:rPr>
                <w:noProof/>
                <w:webHidden/>
              </w:rPr>
              <w:instrText xml:space="preserve"> PAGEREF _Toc364243236 \h </w:instrText>
            </w:r>
            <w:r w:rsidR="005A3A82">
              <w:rPr>
                <w:noProof/>
                <w:webHidden/>
              </w:rPr>
            </w:r>
            <w:r w:rsidR="005A3A82">
              <w:rPr>
                <w:noProof/>
                <w:webHidden/>
              </w:rPr>
              <w:fldChar w:fldCharType="separate"/>
            </w:r>
            <w:r w:rsidR="002360F4">
              <w:rPr>
                <w:noProof/>
                <w:webHidden/>
              </w:rPr>
              <w:t>117</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37" w:history="1">
            <w:r w:rsidR="005A3A82" w:rsidRPr="00E55DD7">
              <w:rPr>
                <w:rStyle w:val="Hyperlink"/>
                <w:noProof/>
              </w:rPr>
              <w:t>Table A.1 CO</w:t>
            </w:r>
            <w:r w:rsidR="005A3A82" w:rsidRPr="00E55DD7">
              <w:rPr>
                <w:rStyle w:val="Hyperlink"/>
                <w:noProof/>
                <w:vertAlign w:val="subscript"/>
              </w:rPr>
              <w:t>2</w:t>
            </w:r>
            <w:r w:rsidR="005A3A82" w:rsidRPr="00E55DD7">
              <w:rPr>
                <w:rStyle w:val="Hyperlink"/>
                <w:noProof/>
              </w:rPr>
              <w:t xml:space="preserve"> Emission Factors for Fossil Fuel Use</w:t>
            </w:r>
            <w:r w:rsidR="005A3A82">
              <w:rPr>
                <w:noProof/>
                <w:webHidden/>
              </w:rPr>
              <w:tab/>
            </w:r>
            <w:r w:rsidR="005A3A82">
              <w:rPr>
                <w:noProof/>
                <w:webHidden/>
              </w:rPr>
              <w:fldChar w:fldCharType="begin"/>
            </w:r>
            <w:r w:rsidR="005A3A82">
              <w:rPr>
                <w:noProof/>
                <w:webHidden/>
              </w:rPr>
              <w:instrText xml:space="preserve"> PAGEREF _Toc364243237 \h </w:instrText>
            </w:r>
            <w:r w:rsidR="005A3A82">
              <w:rPr>
                <w:noProof/>
                <w:webHidden/>
              </w:rPr>
            </w:r>
            <w:r w:rsidR="005A3A82">
              <w:rPr>
                <w:noProof/>
                <w:webHidden/>
              </w:rPr>
              <w:fldChar w:fldCharType="separate"/>
            </w:r>
            <w:r w:rsidR="002360F4">
              <w:rPr>
                <w:noProof/>
                <w:webHidden/>
              </w:rPr>
              <w:t>117</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38" w:history="1">
            <w:r w:rsidR="005A3A82" w:rsidRPr="00E55DD7">
              <w:rPr>
                <w:rStyle w:val="Hyperlink"/>
                <w:noProof/>
              </w:rPr>
              <w:t>Table A.2 Emissions &amp; Generation Resource Integrated Database (eGRID) Table</w:t>
            </w:r>
            <w:r w:rsidR="005A3A82">
              <w:rPr>
                <w:noProof/>
                <w:webHidden/>
              </w:rPr>
              <w:tab/>
            </w:r>
            <w:r w:rsidR="005A3A82">
              <w:rPr>
                <w:noProof/>
                <w:webHidden/>
              </w:rPr>
              <w:fldChar w:fldCharType="begin"/>
            </w:r>
            <w:r w:rsidR="005A3A82">
              <w:rPr>
                <w:noProof/>
                <w:webHidden/>
              </w:rPr>
              <w:instrText xml:space="preserve"> PAGEREF _Toc364243238 \h </w:instrText>
            </w:r>
            <w:r w:rsidR="005A3A82">
              <w:rPr>
                <w:noProof/>
                <w:webHidden/>
              </w:rPr>
            </w:r>
            <w:r w:rsidR="005A3A82">
              <w:rPr>
                <w:noProof/>
                <w:webHidden/>
              </w:rPr>
              <w:fldChar w:fldCharType="separate"/>
            </w:r>
            <w:r w:rsidR="002360F4">
              <w:rPr>
                <w:noProof/>
                <w:webHidden/>
              </w:rPr>
              <w:t>120</w:t>
            </w:r>
            <w:r w:rsidR="005A3A82">
              <w:rPr>
                <w:noProof/>
                <w:webHidden/>
              </w:rPr>
              <w:fldChar w:fldCharType="end"/>
            </w:r>
          </w:hyperlink>
        </w:p>
        <w:p w:rsidR="005A3A82" w:rsidRDefault="000405AC">
          <w:pPr>
            <w:pStyle w:val="TOC1"/>
            <w:tabs>
              <w:tab w:val="right" w:leader="dot" w:pos="9350"/>
            </w:tabs>
            <w:rPr>
              <w:rFonts w:asciiTheme="minorHAnsi" w:eastAsiaTheme="minorEastAsia" w:hAnsiTheme="minorHAnsi" w:cstheme="minorBidi"/>
              <w:noProof/>
              <w:color w:val="auto"/>
              <w:sz w:val="22"/>
              <w:szCs w:val="22"/>
            </w:rPr>
          </w:pPr>
          <w:hyperlink w:anchor="_Toc364243239" w:history="1">
            <w:r w:rsidR="005A3A82" w:rsidRPr="00E55DD7">
              <w:rPr>
                <w:rStyle w:val="Hyperlink"/>
                <w:noProof/>
              </w:rPr>
              <w:t>Appendix B.  Device Destruction Efficiencies – Quantification Methodology</w:t>
            </w:r>
            <w:r w:rsidR="005A3A82">
              <w:rPr>
                <w:noProof/>
                <w:webHidden/>
              </w:rPr>
              <w:tab/>
            </w:r>
            <w:r w:rsidR="005A3A82">
              <w:rPr>
                <w:noProof/>
                <w:webHidden/>
              </w:rPr>
              <w:fldChar w:fldCharType="begin"/>
            </w:r>
            <w:r w:rsidR="005A3A82">
              <w:rPr>
                <w:noProof/>
                <w:webHidden/>
              </w:rPr>
              <w:instrText xml:space="preserve"> PAGEREF _Toc364243239 \h </w:instrText>
            </w:r>
            <w:r w:rsidR="005A3A82">
              <w:rPr>
                <w:noProof/>
                <w:webHidden/>
              </w:rPr>
            </w:r>
            <w:r w:rsidR="005A3A82">
              <w:rPr>
                <w:noProof/>
                <w:webHidden/>
              </w:rPr>
              <w:fldChar w:fldCharType="separate"/>
            </w:r>
            <w:r w:rsidR="002360F4">
              <w:rPr>
                <w:noProof/>
                <w:webHidden/>
              </w:rPr>
              <w:t>121</w:t>
            </w:r>
            <w:r w:rsidR="005A3A82">
              <w:rPr>
                <w:noProof/>
                <w:webHidden/>
              </w:rPr>
              <w:fldChar w:fldCharType="end"/>
            </w:r>
          </w:hyperlink>
        </w:p>
        <w:p w:rsidR="005A3A82" w:rsidRDefault="000405AC">
          <w:pPr>
            <w:pStyle w:val="TOC3"/>
            <w:tabs>
              <w:tab w:val="right" w:leader="dot" w:pos="9350"/>
            </w:tabs>
            <w:rPr>
              <w:rFonts w:asciiTheme="minorHAnsi" w:eastAsiaTheme="minorEastAsia" w:hAnsiTheme="minorHAnsi" w:cstheme="minorBidi"/>
              <w:noProof/>
              <w:color w:val="auto"/>
              <w:sz w:val="22"/>
              <w:szCs w:val="22"/>
            </w:rPr>
          </w:pPr>
          <w:hyperlink w:anchor="_Toc364243240" w:history="1">
            <w:r w:rsidR="005A3A82" w:rsidRPr="00E55DD7">
              <w:rPr>
                <w:rStyle w:val="Hyperlink"/>
                <w:noProof/>
              </w:rPr>
              <w:t>Table B.1 Default Destruction Efficiencies by Destruction Device</w:t>
            </w:r>
            <w:r w:rsidR="005A3A82">
              <w:rPr>
                <w:noProof/>
                <w:webHidden/>
              </w:rPr>
              <w:tab/>
            </w:r>
            <w:r w:rsidR="005A3A82">
              <w:rPr>
                <w:noProof/>
                <w:webHidden/>
              </w:rPr>
              <w:fldChar w:fldCharType="begin"/>
            </w:r>
            <w:r w:rsidR="005A3A82">
              <w:rPr>
                <w:noProof/>
                <w:webHidden/>
              </w:rPr>
              <w:instrText xml:space="preserve"> PAGEREF _Toc364243240 \h </w:instrText>
            </w:r>
            <w:r w:rsidR="005A3A82">
              <w:rPr>
                <w:noProof/>
                <w:webHidden/>
              </w:rPr>
            </w:r>
            <w:r w:rsidR="005A3A82">
              <w:rPr>
                <w:noProof/>
                <w:webHidden/>
              </w:rPr>
              <w:fldChar w:fldCharType="separate"/>
            </w:r>
            <w:r w:rsidR="002360F4">
              <w:rPr>
                <w:noProof/>
                <w:webHidden/>
              </w:rPr>
              <w:t>121</w:t>
            </w:r>
            <w:r w:rsidR="005A3A82">
              <w:rPr>
                <w:noProof/>
                <w:webHidden/>
              </w:rPr>
              <w:fldChar w:fldCharType="end"/>
            </w:r>
          </w:hyperlink>
        </w:p>
        <w:p w:rsidR="005A3A82" w:rsidRDefault="000405AC">
          <w:pPr>
            <w:pStyle w:val="TOC1"/>
            <w:tabs>
              <w:tab w:val="right" w:leader="dot" w:pos="9350"/>
            </w:tabs>
            <w:rPr>
              <w:rFonts w:asciiTheme="minorHAnsi" w:eastAsiaTheme="minorEastAsia" w:hAnsiTheme="minorHAnsi" w:cstheme="minorBidi"/>
              <w:noProof/>
              <w:color w:val="auto"/>
              <w:sz w:val="22"/>
              <w:szCs w:val="22"/>
            </w:rPr>
          </w:pPr>
          <w:hyperlink w:anchor="_Toc364243241" w:history="1">
            <w:r w:rsidR="005A3A82" w:rsidRPr="00E55DD7">
              <w:rPr>
                <w:rStyle w:val="Hyperlink"/>
                <w:noProof/>
              </w:rPr>
              <w:t>Appendix C.  Data Substitution Methodology – Quantification Methodology</w:t>
            </w:r>
            <w:r w:rsidR="005A3A82">
              <w:rPr>
                <w:noProof/>
                <w:webHidden/>
              </w:rPr>
              <w:tab/>
            </w:r>
            <w:r w:rsidR="005A3A82">
              <w:rPr>
                <w:noProof/>
                <w:webHidden/>
              </w:rPr>
              <w:fldChar w:fldCharType="begin"/>
            </w:r>
            <w:r w:rsidR="005A3A82">
              <w:rPr>
                <w:noProof/>
                <w:webHidden/>
              </w:rPr>
              <w:instrText xml:space="preserve"> PAGEREF _Toc364243241 \h </w:instrText>
            </w:r>
            <w:r w:rsidR="005A3A82">
              <w:rPr>
                <w:noProof/>
                <w:webHidden/>
              </w:rPr>
            </w:r>
            <w:r w:rsidR="005A3A82">
              <w:rPr>
                <w:noProof/>
                <w:webHidden/>
              </w:rPr>
              <w:fldChar w:fldCharType="separate"/>
            </w:r>
            <w:r w:rsidR="002360F4">
              <w:rPr>
                <w:noProof/>
                <w:webHidden/>
              </w:rPr>
              <w:t>122</w:t>
            </w:r>
            <w:r w:rsidR="005A3A82">
              <w:rPr>
                <w:noProof/>
                <w:webHidden/>
              </w:rPr>
              <w:fldChar w:fldCharType="end"/>
            </w:r>
          </w:hyperlink>
        </w:p>
        <w:p w:rsidR="00424AEB" w:rsidRPr="00720D9E" w:rsidRDefault="00424AEB">
          <w:r w:rsidRPr="00720D9E">
            <w:rPr>
              <w:b/>
              <w:bCs/>
              <w:noProof/>
            </w:rPr>
            <w:fldChar w:fldCharType="end"/>
          </w:r>
        </w:p>
      </w:sdtContent>
    </w:sdt>
    <w:p w:rsidR="00B50C83" w:rsidRPr="00720D9E" w:rsidRDefault="00D25B46" w:rsidP="00A27548">
      <w:pPr>
        <w:pStyle w:val="Heading1"/>
      </w:pPr>
      <w:bookmarkStart w:id="1" w:name="_Toc364243175"/>
      <w:r w:rsidRPr="00720D9E">
        <w:t>Chapter</w:t>
      </w:r>
      <w:r w:rsidR="00886736" w:rsidRPr="00720D9E">
        <w:t xml:space="preserve"> </w:t>
      </w:r>
      <w:r w:rsidRPr="00720D9E">
        <w:t>1</w:t>
      </w:r>
      <w:r w:rsidR="00886736" w:rsidRPr="00720D9E">
        <w:t xml:space="preserve">: </w:t>
      </w:r>
      <w:r w:rsidR="00B50C83" w:rsidRPr="00720D9E">
        <w:t>Purpose and Definitions</w:t>
      </w:r>
      <w:bookmarkEnd w:id="1"/>
    </w:p>
    <w:p w:rsidR="00B50C83" w:rsidRPr="00720D9E" w:rsidRDefault="00731F76" w:rsidP="00A27548">
      <w:pPr>
        <w:pStyle w:val="Heading2"/>
      </w:pPr>
      <w:bookmarkStart w:id="2" w:name="_Toc364243176"/>
      <w:r w:rsidRPr="00720D9E">
        <w:t>§ 1</w:t>
      </w:r>
      <w:r w:rsidR="00926183" w:rsidRPr="00720D9E">
        <w:t>.1</w:t>
      </w:r>
      <w:r w:rsidRPr="00720D9E">
        <w:t xml:space="preserve">. </w:t>
      </w:r>
      <w:r w:rsidR="00B50C83" w:rsidRPr="00720D9E">
        <w:t>Purpose</w:t>
      </w:r>
      <w:r w:rsidRPr="00720D9E">
        <w:t>.</w:t>
      </w:r>
      <w:bookmarkEnd w:id="2"/>
    </w:p>
    <w:p w:rsidR="0056242F" w:rsidRPr="00720D9E" w:rsidRDefault="00B50C83" w:rsidP="0056242F">
      <w:pPr>
        <w:pStyle w:val="ListParagraph"/>
        <w:numPr>
          <w:ilvl w:val="0"/>
          <w:numId w:val="61"/>
        </w:numPr>
        <w:spacing w:after="200"/>
        <w:ind w:hanging="720"/>
      </w:pPr>
      <w:r w:rsidRPr="00720D9E">
        <w:t xml:space="preserve">The purpose of the Compliance Offset Protocol Mine Methane Capture Projects (protocol) is to quantify greenhouse gas (GHG) emission reductions associated with </w:t>
      </w:r>
      <w:r w:rsidR="008A5EC3" w:rsidRPr="00720D9E">
        <w:t xml:space="preserve">the </w:t>
      </w:r>
      <w:r w:rsidRPr="00720D9E">
        <w:t>capture and destruction of methane (CH</w:t>
      </w:r>
      <w:r w:rsidRPr="00720D9E">
        <w:rPr>
          <w:vertAlign w:val="subscript"/>
        </w:rPr>
        <w:t>4</w:t>
      </w:r>
      <w:r w:rsidRPr="00720D9E">
        <w:t xml:space="preserve">) that would otherwise be vented into the atmosphere as a result of mining operations at active underground </w:t>
      </w:r>
      <w:r w:rsidR="0056242F" w:rsidRPr="00720D9E">
        <w:t>and</w:t>
      </w:r>
      <w:r w:rsidRPr="00720D9E">
        <w:t xml:space="preserve"> surface</w:t>
      </w:r>
      <w:r w:rsidR="0056242F" w:rsidRPr="00720D9E">
        <w:t xml:space="preserve"> coal and trona</w:t>
      </w:r>
      <w:r w:rsidRPr="00720D9E">
        <w:t xml:space="preserve"> mines and abandoned underground </w:t>
      </w:r>
      <w:r w:rsidR="0056242F" w:rsidRPr="00720D9E">
        <w:t xml:space="preserve">coal </w:t>
      </w:r>
      <w:r w:rsidRPr="00720D9E">
        <w:t>mines</w:t>
      </w:r>
      <w:r w:rsidR="0091485B" w:rsidRPr="00720D9E">
        <w:t>.</w:t>
      </w:r>
      <w:r w:rsidR="0056242F" w:rsidRPr="00720D9E">
        <w:t xml:space="preserve"> </w:t>
      </w:r>
    </w:p>
    <w:p w:rsidR="0056242F" w:rsidRPr="00720D9E" w:rsidRDefault="0056242F" w:rsidP="0056242F">
      <w:pPr>
        <w:pStyle w:val="ListParagraph"/>
        <w:numPr>
          <w:ilvl w:val="0"/>
          <w:numId w:val="61"/>
        </w:numPr>
        <w:spacing w:after="200"/>
        <w:ind w:hanging="720"/>
      </w:pPr>
      <w:r w:rsidRPr="00720D9E">
        <w:t>AB 32 exempts quantification methodologies from the Administrative Procedure Act (APA)</w:t>
      </w:r>
      <w:r w:rsidR="008A5EC3" w:rsidRPr="00720D9E">
        <w:t>;</w:t>
      </w:r>
      <w:r w:rsidRPr="00720D9E">
        <w:rPr>
          <w:rStyle w:val="FootnoteReference"/>
        </w:rPr>
        <w:footnoteReference w:id="1"/>
      </w:r>
      <w:r w:rsidRPr="00720D9E">
        <w:t xml:space="preserve"> however those elements of the protocol are still regulatory. The exemption allows future updates to the quantification methodologies to be made through a public review and Board adoption process but without the need for rulemaking documents. Each protocol identifies sections that are considered quantification </w:t>
      </w:r>
      <w:r w:rsidR="008A5EC3" w:rsidRPr="00720D9E">
        <w:t xml:space="preserve">methodologies </w:t>
      </w:r>
      <w:r w:rsidRPr="00720D9E">
        <w:t xml:space="preserve">and exempt from APA requirements. Any changes to the non-quantification elements of the offset protocols would be considered a regulatory update subject to the full regulatory development process. Those sections that are considered to be a quantification methodology are clearly indicated in the title of the chapter or </w:t>
      </w:r>
      <w:r w:rsidR="006F24A1" w:rsidRPr="00720D9E">
        <w:t>subchapter</w:t>
      </w:r>
      <w:r w:rsidRPr="00720D9E">
        <w:t xml:space="preserve"> if only a portion of that chapter is considered part of the quantification methodology of the protocol.</w:t>
      </w:r>
    </w:p>
    <w:p w:rsidR="00B50C83" w:rsidRPr="00720D9E" w:rsidRDefault="00731F76" w:rsidP="00A27548">
      <w:pPr>
        <w:pStyle w:val="Heading2"/>
      </w:pPr>
      <w:bookmarkStart w:id="3" w:name="_Toc364243177"/>
      <w:r w:rsidRPr="00720D9E">
        <w:lastRenderedPageBreak/>
        <w:t xml:space="preserve">§ </w:t>
      </w:r>
      <w:r w:rsidR="00926183" w:rsidRPr="00720D9E">
        <w:t>1.</w:t>
      </w:r>
      <w:r w:rsidRPr="00720D9E">
        <w:t xml:space="preserve">2. </w:t>
      </w:r>
      <w:r w:rsidR="00B50C83" w:rsidRPr="00720D9E">
        <w:t>Definitions</w:t>
      </w:r>
      <w:r w:rsidRPr="00720D9E">
        <w:t>.</w:t>
      </w:r>
      <w:bookmarkEnd w:id="3"/>
    </w:p>
    <w:p w:rsidR="000140FB" w:rsidRPr="00720D9E" w:rsidRDefault="000140FB" w:rsidP="0078624D">
      <w:pPr>
        <w:pStyle w:val="ListParagraph"/>
        <w:numPr>
          <w:ilvl w:val="0"/>
          <w:numId w:val="7"/>
        </w:numPr>
        <w:spacing w:before="200"/>
        <w:ind w:left="720" w:hanging="720"/>
      </w:pPr>
      <w:r w:rsidRPr="00720D9E">
        <w:t>For the purpose</w:t>
      </w:r>
      <w:r w:rsidR="008A5EC3" w:rsidRPr="00720D9E">
        <w:t>s</w:t>
      </w:r>
      <w:r w:rsidRPr="00720D9E">
        <w:t xml:space="preserve"> of this protocol, the following definitions apply:</w:t>
      </w:r>
    </w:p>
    <w:p w:rsidR="000140FB" w:rsidRPr="00720D9E" w:rsidRDefault="0044227F" w:rsidP="00DC7C4C">
      <w:pPr>
        <w:pStyle w:val="ListParagraph"/>
        <w:numPr>
          <w:ilvl w:val="0"/>
          <w:numId w:val="10"/>
        </w:numPr>
        <w:spacing w:before="200"/>
        <w:ind w:left="1440" w:hanging="720"/>
      </w:pPr>
      <w:r w:rsidRPr="00720D9E">
        <w:t>“</w:t>
      </w:r>
      <w:r w:rsidR="00B50C83" w:rsidRPr="00720D9E">
        <w:t xml:space="preserve">Abandoned </w:t>
      </w:r>
      <w:r w:rsidR="002A4B2B" w:rsidRPr="00720D9E">
        <w:t>U</w:t>
      </w:r>
      <w:r w:rsidR="00B50C83" w:rsidRPr="00720D9E">
        <w:t xml:space="preserve">nderground </w:t>
      </w:r>
      <w:r w:rsidR="002A4B2B" w:rsidRPr="00720D9E">
        <w:t>M</w:t>
      </w:r>
      <w:r w:rsidR="00B50C83" w:rsidRPr="00720D9E">
        <w:t>ine</w:t>
      </w:r>
      <w:r w:rsidRPr="00720D9E">
        <w:t>”</w:t>
      </w:r>
      <w:r w:rsidR="00B50C83" w:rsidRPr="00720D9E">
        <w:t xml:space="preserve"> means</w:t>
      </w:r>
      <w:r w:rsidR="00BF6CA8" w:rsidRPr="00720D9E">
        <w:t xml:space="preserve"> a mine where all mining activity including mine development and mineral production has ceased, mine personnel are not present in the mine workings, and mine ventilation fans are no longer operative.</w:t>
      </w:r>
      <w:r w:rsidR="00850E2E" w:rsidRPr="00720D9E">
        <w:t xml:space="preserve"> </w:t>
      </w:r>
      <w:r w:rsidR="00B87A35" w:rsidRPr="00720D9E">
        <w:t xml:space="preserve"> </w:t>
      </w:r>
      <w:r w:rsidR="00850E2E" w:rsidRPr="00720D9E">
        <w:t xml:space="preserve">A mine must be classified </w:t>
      </w:r>
      <w:r w:rsidR="00B87A35" w:rsidRPr="00720D9E">
        <w:t xml:space="preserve">by </w:t>
      </w:r>
      <w:r w:rsidR="001E2000" w:rsidRPr="00720D9E">
        <w:t>the Mine Safety and Health Administration (</w:t>
      </w:r>
      <w:r w:rsidR="00B87A35" w:rsidRPr="00720D9E">
        <w:t>MSHA</w:t>
      </w:r>
      <w:r w:rsidR="001E2000" w:rsidRPr="00720D9E">
        <w:t>)</w:t>
      </w:r>
      <w:r w:rsidR="00B87A35" w:rsidRPr="00720D9E">
        <w:t xml:space="preserve"> </w:t>
      </w:r>
      <w:r w:rsidR="00850E2E" w:rsidRPr="00720D9E">
        <w:t xml:space="preserve">as abandoned </w:t>
      </w:r>
      <w:r w:rsidR="00B87A35" w:rsidRPr="00720D9E">
        <w:t xml:space="preserve">or temporarily idle in order </w:t>
      </w:r>
      <w:r w:rsidR="00850E2E" w:rsidRPr="00720D9E">
        <w:t xml:space="preserve">to be eligible for an abandoned mine methane recovery </w:t>
      </w:r>
      <w:r w:rsidR="00AD122A" w:rsidRPr="00720D9E">
        <w:t>activity</w:t>
      </w:r>
      <w:r w:rsidR="00850E2E" w:rsidRPr="00720D9E">
        <w:t>.</w:t>
      </w:r>
    </w:p>
    <w:p w:rsidR="000140FB" w:rsidRPr="00720D9E" w:rsidRDefault="002A4B2B" w:rsidP="00DC7C4C">
      <w:pPr>
        <w:pStyle w:val="ListParagraph"/>
        <w:numPr>
          <w:ilvl w:val="0"/>
          <w:numId w:val="10"/>
        </w:numPr>
        <w:spacing w:before="200"/>
        <w:ind w:left="1440" w:hanging="720"/>
      </w:pPr>
      <w:r w:rsidRPr="00720D9E">
        <w:t>“Abandoned Mine Methane” or “AMM” means methane released from an abandoned mine.</w:t>
      </w:r>
      <w:r w:rsidR="006661D6" w:rsidRPr="00720D9E">
        <w:t xml:space="preserve"> </w:t>
      </w:r>
    </w:p>
    <w:p w:rsidR="000140FB" w:rsidRPr="00720D9E" w:rsidRDefault="0044227F" w:rsidP="00DC7C4C">
      <w:pPr>
        <w:pStyle w:val="ListParagraph"/>
        <w:numPr>
          <w:ilvl w:val="0"/>
          <w:numId w:val="10"/>
        </w:numPr>
        <w:spacing w:before="200"/>
        <w:ind w:left="1440" w:hanging="720"/>
      </w:pPr>
      <w:r w:rsidRPr="00720D9E">
        <w:t>“</w:t>
      </w:r>
      <w:r w:rsidR="00B50C83" w:rsidRPr="00720D9E">
        <w:t>Accuracy</w:t>
      </w:r>
      <w:r w:rsidRPr="00720D9E">
        <w:t>”</w:t>
      </w:r>
      <w:r w:rsidR="00B50C83" w:rsidRPr="00720D9E">
        <w:t xml:space="preserve"> means the closeness of </w:t>
      </w:r>
      <w:r w:rsidR="00916BAF" w:rsidRPr="00720D9E">
        <w:t>the agreement between the result of the measurement and the true value of the particular quantity</w:t>
      </w:r>
      <w:r w:rsidR="00FF2B60" w:rsidRPr="00720D9E">
        <w:t xml:space="preserve"> (or a reference value determined empirically using internationally accepted and traceable calibration materials and standard method)</w:t>
      </w:r>
      <w:r w:rsidR="00916BAF" w:rsidRPr="00720D9E">
        <w:t>, taking into account both random and systematic factors.</w:t>
      </w:r>
      <w:r w:rsidR="00B50C83" w:rsidRPr="00720D9E">
        <w:t xml:space="preserve"> </w:t>
      </w:r>
    </w:p>
    <w:p w:rsidR="000D1E80" w:rsidRPr="00720D9E" w:rsidRDefault="0044227F" w:rsidP="000D1E80">
      <w:pPr>
        <w:pStyle w:val="ListParagraph"/>
        <w:numPr>
          <w:ilvl w:val="0"/>
          <w:numId w:val="10"/>
        </w:numPr>
        <w:spacing w:before="200"/>
        <w:ind w:left="1440" w:hanging="720"/>
      </w:pPr>
      <w:r w:rsidRPr="00720D9E">
        <w:t>“</w:t>
      </w:r>
      <w:r w:rsidR="00B50C83" w:rsidRPr="00720D9E">
        <w:t xml:space="preserve">Active </w:t>
      </w:r>
      <w:r w:rsidR="00B87A35" w:rsidRPr="00720D9E">
        <w:t>S</w:t>
      </w:r>
      <w:r w:rsidR="00B50C83" w:rsidRPr="00720D9E">
        <w:t xml:space="preserve">urface </w:t>
      </w:r>
      <w:r w:rsidR="00B87A35" w:rsidRPr="00720D9E">
        <w:t>M</w:t>
      </w:r>
      <w:r w:rsidR="00B50C83" w:rsidRPr="00720D9E">
        <w:t>ine</w:t>
      </w:r>
      <w:r w:rsidRPr="00720D9E">
        <w:t>”</w:t>
      </w:r>
      <w:r w:rsidR="00B50C83" w:rsidRPr="00720D9E">
        <w:t xml:space="preserve"> means</w:t>
      </w:r>
      <w:r w:rsidR="00A01D72" w:rsidRPr="00720D9E">
        <w:t xml:space="preserve"> a </w:t>
      </w:r>
      <w:r w:rsidR="00B87A35" w:rsidRPr="00720D9E">
        <w:t xml:space="preserve">permitted </w:t>
      </w:r>
      <w:r w:rsidR="00A01D72" w:rsidRPr="00720D9E">
        <w:t>mine in which the mineral lies near the surface and can be extracted by removing the c</w:t>
      </w:r>
      <w:r w:rsidR="00B87A35" w:rsidRPr="00720D9E">
        <w:t xml:space="preserve">overing layers of rock and soil. </w:t>
      </w:r>
      <w:r w:rsidR="00A10468" w:rsidRPr="00720D9E">
        <w:t xml:space="preserve"> </w:t>
      </w:r>
      <w:r w:rsidR="00B87A35" w:rsidRPr="00720D9E">
        <w:t xml:space="preserve">A mine must be classified by </w:t>
      </w:r>
      <w:r w:rsidR="001E2000" w:rsidRPr="00720D9E">
        <w:t>the Mine Safety and Health Administration (</w:t>
      </w:r>
      <w:r w:rsidR="00B87A35" w:rsidRPr="00720D9E">
        <w:t>MSHA</w:t>
      </w:r>
      <w:r w:rsidR="001E2000" w:rsidRPr="00720D9E">
        <w:t>)</w:t>
      </w:r>
      <w:r w:rsidR="00B87A35" w:rsidRPr="00720D9E">
        <w:t xml:space="preserve"> as active or intermittent in order to be eligible for an active surface mine methane drainage </w:t>
      </w:r>
      <w:r w:rsidR="00AD122A" w:rsidRPr="00720D9E">
        <w:t>activity</w:t>
      </w:r>
      <w:r w:rsidR="00B87A35" w:rsidRPr="00720D9E">
        <w:t>.</w:t>
      </w:r>
    </w:p>
    <w:p w:rsidR="000D1E80" w:rsidRPr="00720D9E" w:rsidRDefault="0044227F" w:rsidP="000D1E80">
      <w:pPr>
        <w:pStyle w:val="ListParagraph"/>
        <w:numPr>
          <w:ilvl w:val="0"/>
          <w:numId w:val="10"/>
        </w:numPr>
        <w:spacing w:before="200"/>
        <w:ind w:left="1440" w:hanging="720"/>
      </w:pPr>
      <w:r w:rsidRPr="00720D9E">
        <w:t>“</w:t>
      </w:r>
      <w:r w:rsidR="00B50C83" w:rsidRPr="00720D9E">
        <w:t xml:space="preserve">Active </w:t>
      </w:r>
      <w:r w:rsidR="00AF4D32" w:rsidRPr="00720D9E">
        <w:t>U</w:t>
      </w:r>
      <w:r w:rsidR="00B50C83" w:rsidRPr="00720D9E">
        <w:t xml:space="preserve">nderground </w:t>
      </w:r>
      <w:r w:rsidR="00AF4D32" w:rsidRPr="00720D9E">
        <w:t>M</w:t>
      </w:r>
      <w:r w:rsidR="00B50C83" w:rsidRPr="00720D9E">
        <w:t>ine</w:t>
      </w:r>
      <w:r w:rsidRPr="00720D9E">
        <w:t>”</w:t>
      </w:r>
      <w:r w:rsidR="00B50C83" w:rsidRPr="00720D9E">
        <w:t xml:space="preserve"> means</w:t>
      </w:r>
      <w:r w:rsidR="00A01D72" w:rsidRPr="00720D9E">
        <w:t xml:space="preserve"> a</w:t>
      </w:r>
      <w:r w:rsidR="00B87A35" w:rsidRPr="00720D9E">
        <w:t xml:space="preserve"> permitted</w:t>
      </w:r>
      <w:r w:rsidR="00A01D72" w:rsidRPr="00720D9E">
        <w:t xml:space="preserve"> mine usually located several hundred feet below the earth’s surface</w:t>
      </w:r>
      <w:r w:rsidR="00B87A35" w:rsidRPr="00720D9E">
        <w:t xml:space="preserve">. </w:t>
      </w:r>
      <w:r w:rsidR="00A10468" w:rsidRPr="00720D9E">
        <w:t xml:space="preserve"> </w:t>
      </w:r>
      <w:r w:rsidR="00B87A35" w:rsidRPr="00720D9E">
        <w:t xml:space="preserve">A mine must be classified </w:t>
      </w:r>
      <w:r w:rsidR="001E2000" w:rsidRPr="00720D9E">
        <w:t xml:space="preserve">by the Mine Safety and Health Administration (MSHA) </w:t>
      </w:r>
      <w:r w:rsidR="00A10468" w:rsidRPr="00720D9E">
        <w:t xml:space="preserve">as active or intermittent in order to be eligible for an active underground mine methane drainage or </w:t>
      </w:r>
      <w:r w:rsidR="004B76AE" w:rsidRPr="00720D9E">
        <w:t>ventilation air methane</w:t>
      </w:r>
      <w:r w:rsidR="00A10468" w:rsidRPr="00720D9E">
        <w:t xml:space="preserve"> </w:t>
      </w:r>
      <w:r w:rsidR="009D40FD" w:rsidRPr="00720D9E">
        <w:t>activity</w:t>
      </w:r>
      <w:r w:rsidR="00A10468" w:rsidRPr="00720D9E">
        <w:t>.</w:t>
      </w:r>
    </w:p>
    <w:p w:rsidR="000817B1" w:rsidRPr="00720D9E" w:rsidRDefault="000817B1" w:rsidP="00DC7C4C">
      <w:pPr>
        <w:pStyle w:val="ListParagraph"/>
        <w:numPr>
          <w:ilvl w:val="0"/>
          <w:numId w:val="10"/>
        </w:numPr>
        <w:spacing w:before="200"/>
        <w:ind w:left="1440" w:hanging="720"/>
      </w:pPr>
      <w:r w:rsidRPr="00720D9E">
        <w:t>“ASTM” means the American Society of Testing and Materials.</w:t>
      </w:r>
    </w:p>
    <w:p w:rsidR="000140FB" w:rsidRPr="00720D9E" w:rsidRDefault="00916BAF" w:rsidP="00DC7C4C">
      <w:pPr>
        <w:pStyle w:val="ListParagraph"/>
        <w:numPr>
          <w:ilvl w:val="0"/>
          <w:numId w:val="10"/>
        </w:numPr>
        <w:spacing w:before="200"/>
        <w:ind w:left="1440" w:hanging="720"/>
      </w:pPr>
      <w:r w:rsidRPr="00720D9E">
        <w:t>“Basin” mean</w:t>
      </w:r>
      <w:r w:rsidR="003E3877" w:rsidRPr="00720D9E">
        <w:t>s</w:t>
      </w:r>
      <w:r w:rsidRPr="00720D9E">
        <w:t xml:space="preserve"> geological provinces as defined by the American Association of Petroleum Geologists (AAPG) Geologic Note: AAPG</w:t>
      </w:r>
      <w:r w:rsidR="00120B09" w:rsidRPr="00720D9E">
        <w:t>-CSD Geological Provinces Code Map: AAPG Bulletin, Prepared by Richard F. Meyer, Laurie G. Wallace, and Fred J. Wagner, Jr., Volume 75, Number 10 (October 1991), which is hereby incorporated by reference</w:t>
      </w:r>
      <w:r w:rsidR="000140FB" w:rsidRPr="00720D9E">
        <w:t>.</w:t>
      </w:r>
    </w:p>
    <w:p w:rsidR="000140FB" w:rsidRPr="00720D9E" w:rsidRDefault="002C520E" w:rsidP="00DC7C4C">
      <w:pPr>
        <w:pStyle w:val="ListParagraph"/>
        <w:numPr>
          <w:ilvl w:val="0"/>
          <w:numId w:val="10"/>
        </w:numPr>
        <w:spacing w:before="200"/>
        <w:ind w:left="1440" w:hanging="720"/>
      </w:pPr>
      <w:r w:rsidRPr="00720D9E">
        <w:lastRenderedPageBreak/>
        <w:t>“Boiler” means a closed vessel or arrangement of vessels and tubes, together with a furnace or other heat source, in which water is heated to produce hot water or steam.</w:t>
      </w:r>
    </w:p>
    <w:p w:rsidR="000140FB" w:rsidRPr="00720D9E" w:rsidRDefault="002C520E" w:rsidP="00DC7C4C">
      <w:pPr>
        <w:pStyle w:val="ListParagraph"/>
        <w:numPr>
          <w:ilvl w:val="0"/>
          <w:numId w:val="10"/>
        </w:numPr>
        <w:spacing w:before="200"/>
        <w:ind w:left="1440" w:hanging="720"/>
      </w:pPr>
      <w:r w:rsidRPr="00720D9E">
        <w:t xml:space="preserve">“Cap-and-Trade Regulation” </w:t>
      </w:r>
      <w:r w:rsidR="00291006" w:rsidRPr="00720D9E">
        <w:t xml:space="preserve">or “Regulation” </w:t>
      </w:r>
      <w:r w:rsidRPr="00720D9E">
        <w:t>or “Cap-and-Trade Program” means ARB’s regulation establishing the California Cap on Greenhouse Gas Emissions and Market-Based Compliance Mechanisms set forth in title 17, California Code of Regulations, Chapter 1, Subchapter 10, article 5 (commencing with section 95800)</w:t>
      </w:r>
      <w:r w:rsidR="00760059" w:rsidRPr="00720D9E">
        <w:t>.</w:t>
      </w:r>
    </w:p>
    <w:p w:rsidR="000140FB" w:rsidRPr="00720D9E" w:rsidRDefault="00120B09" w:rsidP="00DC7C4C">
      <w:pPr>
        <w:pStyle w:val="ListParagraph"/>
        <w:numPr>
          <w:ilvl w:val="0"/>
          <w:numId w:val="10"/>
        </w:numPr>
        <w:spacing w:before="200"/>
        <w:ind w:left="1440" w:hanging="720"/>
      </w:pPr>
      <w:r w:rsidRPr="00720D9E">
        <w:t>“Coal” means all solid fuels classified as anthracite, bituminous, sub-bituminous, or lignite by the American Society for Testing and Materials Designation ASTM D388-05 “Standard Classification of Coals by Rank” (2005), which is hereby incorporated by reference.</w:t>
      </w:r>
    </w:p>
    <w:p w:rsidR="000140FB" w:rsidRPr="00720D9E" w:rsidRDefault="00120B09" w:rsidP="00DC7C4C">
      <w:pPr>
        <w:pStyle w:val="ListParagraph"/>
        <w:numPr>
          <w:ilvl w:val="0"/>
          <w:numId w:val="10"/>
        </w:numPr>
        <w:spacing w:before="200"/>
        <w:ind w:left="1440" w:hanging="720"/>
      </w:pPr>
      <w:r w:rsidRPr="00720D9E">
        <w:t xml:space="preserve">“Coal Bed Methane” or “CBM” </w:t>
      </w:r>
      <w:r w:rsidR="000D1E80" w:rsidRPr="00720D9E">
        <w:t xml:space="preserve">or </w:t>
      </w:r>
      <w:r w:rsidR="002A4B2B" w:rsidRPr="00720D9E">
        <w:t xml:space="preserve">“Virgin Coal Bed Methane” </w:t>
      </w:r>
      <w:r w:rsidRPr="00720D9E">
        <w:t>means</w:t>
      </w:r>
      <w:r w:rsidR="00F7032D" w:rsidRPr="00720D9E">
        <w:t>, for purpose</w:t>
      </w:r>
      <w:r w:rsidR="003E3877" w:rsidRPr="00720D9E">
        <w:t>s</w:t>
      </w:r>
      <w:r w:rsidR="00F7032D" w:rsidRPr="00720D9E">
        <w:t xml:space="preserve"> of this protocol,</w:t>
      </w:r>
      <w:r w:rsidRPr="00720D9E">
        <w:t xml:space="preserve"> </w:t>
      </w:r>
      <w:r w:rsidR="00850E2E" w:rsidRPr="00720D9E">
        <w:t>methane-rich natural gas</w:t>
      </w:r>
      <w:r w:rsidR="00333380" w:rsidRPr="00720D9E">
        <w:t xml:space="preserve"> drained from </w:t>
      </w:r>
      <w:r w:rsidR="00A01D72" w:rsidRPr="00720D9E">
        <w:t>coal seams and surrounding strata not disturbed by mining</w:t>
      </w:r>
      <w:r w:rsidR="00AF4D32" w:rsidRPr="00720D9E">
        <w:t>.</w:t>
      </w:r>
      <w:r w:rsidR="00FF2B60" w:rsidRPr="00720D9E">
        <w:t xml:space="preserve">  The extraction, capture, and destruction of coal bed methane are unrelated to mining activities and are not eligible under this protocol.</w:t>
      </w:r>
    </w:p>
    <w:p w:rsidR="00871DCC" w:rsidRPr="00720D9E" w:rsidRDefault="00120B09" w:rsidP="0068313C">
      <w:pPr>
        <w:pStyle w:val="ListParagraph"/>
        <w:numPr>
          <w:ilvl w:val="0"/>
          <w:numId w:val="10"/>
        </w:numPr>
        <w:spacing w:before="200"/>
        <w:ind w:left="1440" w:hanging="720"/>
      </w:pPr>
      <w:r w:rsidRPr="00720D9E">
        <w:t>“Emission Factor” means a unique value for determining an amount of a GHG emitted for a given quantity of activity</w:t>
      </w:r>
      <w:r w:rsidR="00A77EBB" w:rsidRPr="00720D9E">
        <w:t xml:space="preserve"> (e.g., metric tons of carbon dioxide emitted per barrel of fossil fuel burned).</w:t>
      </w:r>
    </w:p>
    <w:p w:rsidR="00871DCC" w:rsidRPr="00720D9E" w:rsidRDefault="00A77EBB" w:rsidP="00DC7C4C">
      <w:pPr>
        <w:pStyle w:val="ListParagraph"/>
        <w:numPr>
          <w:ilvl w:val="0"/>
          <w:numId w:val="10"/>
        </w:numPr>
        <w:spacing w:before="200"/>
        <w:ind w:left="1440" w:hanging="720"/>
      </w:pPr>
      <w:r w:rsidRPr="00720D9E">
        <w:t>“Flare” means a combustion device, whether at ground level or elevated, that uses an open flame to burn combustible gases with combustion air provided by uncontrolled ambient air around the flame.</w:t>
      </w:r>
    </w:p>
    <w:p w:rsidR="009F38CF" w:rsidRPr="00720D9E" w:rsidRDefault="009F38CF" w:rsidP="00DC7C4C">
      <w:pPr>
        <w:pStyle w:val="ListParagraph"/>
        <w:numPr>
          <w:ilvl w:val="0"/>
          <w:numId w:val="10"/>
        </w:numPr>
        <w:spacing w:before="200"/>
        <w:ind w:left="1440" w:hanging="720"/>
      </w:pPr>
      <w:r w:rsidRPr="00720D9E">
        <w:t>“Flooded Mine”</w:t>
      </w:r>
      <w:r w:rsidR="00DA546B" w:rsidRPr="00720D9E">
        <w:t xml:space="preserve"> means a</w:t>
      </w:r>
      <w:r w:rsidR="00AC7707" w:rsidRPr="00720D9E">
        <w:t xml:space="preserve"> mine that is</w:t>
      </w:r>
      <w:r w:rsidR="002404B3" w:rsidRPr="00720D9E">
        <w:t xml:space="preserve"> flooded, i.e.</w:t>
      </w:r>
      <w:r w:rsidR="00DA546B" w:rsidRPr="00720D9E">
        <w:t xml:space="preserve"> </w:t>
      </w:r>
      <w:r w:rsidR="00AF4D32" w:rsidRPr="00720D9E">
        <w:t>filled with</w:t>
      </w:r>
      <w:r w:rsidR="00AC7707" w:rsidRPr="00720D9E">
        <w:t xml:space="preserve"> water, as a result of the turning off of pumps at time of abandonment.</w:t>
      </w:r>
    </w:p>
    <w:p w:rsidR="00871DCC" w:rsidRPr="00720D9E" w:rsidRDefault="00A77EBB" w:rsidP="005B7F7F">
      <w:pPr>
        <w:pStyle w:val="ListParagraph"/>
        <w:numPr>
          <w:ilvl w:val="0"/>
          <w:numId w:val="10"/>
        </w:numPr>
        <w:spacing w:before="200"/>
        <w:ind w:left="1440" w:hanging="720"/>
      </w:pPr>
      <w:r w:rsidRPr="00720D9E">
        <w:t>“Flow Meter” means a measurement device consisting of one or more individual components that is designed to measure the bulk fluid movement of liquid or gas through a piped system at a designated point.</w:t>
      </w:r>
      <w:r w:rsidR="005B7F7F" w:rsidRPr="00720D9E">
        <w:t xml:space="preserve">  Bulk fluid movement can be measured with a variety of devices in units of mass flow or volume.</w:t>
      </w:r>
    </w:p>
    <w:p w:rsidR="009E516D" w:rsidRPr="00720D9E" w:rsidRDefault="009E516D" w:rsidP="009E516D">
      <w:pPr>
        <w:pStyle w:val="ListParagraph"/>
        <w:numPr>
          <w:ilvl w:val="0"/>
          <w:numId w:val="10"/>
        </w:numPr>
        <w:spacing w:before="200"/>
        <w:ind w:left="1440" w:hanging="720"/>
      </w:pPr>
      <w:r w:rsidRPr="00720D9E">
        <w:lastRenderedPageBreak/>
        <w:t xml:space="preserve">“Gas Enrichment” or “Enrichment” </w:t>
      </w:r>
      <w:r w:rsidR="001444E6" w:rsidRPr="00720D9E">
        <w:t xml:space="preserve">means </w:t>
      </w:r>
      <w:r w:rsidR="004B705B" w:rsidRPr="00720D9E">
        <w:t xml:space="preserve">the process of upgrading </w:t>
      </w:r>
      <w:r w:rsidR="001444E6" w:rsidRPr="00720D9E">
        <w:t xml:space="preserve">extracted mine gas to </w:t>
      </w:r>
      <w:r w:rsidRPr="00720D9E">
        <w:t>pipeline quality</w:t>
      </w:r>
      <w:r w:rsidR="006A5356" w:rsidRPr="00720D9E">
        <w:t>.</w:t>
      </w:r>
    </w:p>
    <w:p w:rsidR="009E516D" w:rsidRPr="00720D9E" w:rsidRDefault="009E516D" w:rsidP="009E516D">
      <w:pPr>
        <w:pStyle w:val="ListParagraph"/>
        <w:numPr>
          <w:ilvl w:val="0"/>
          <w:numId w:val="10"/>
        </w:numPr>
        <w:spacing w:before="200"/>
        <w:ind w:left="1440" w:hanging="720"/>
      </w:pPr>
      <w:r w:rsidRPr="00720D9E">
        <w:t xml:space="preserve">“Gas Processing” or “Processing” </w:t>
      </w:r>
      <w:r w:rsidR="001444E6" w:rsidRPr="00720D9E">
        <w:t xml:space="preserve">means </w:t>
      </w:r>
      <w:r w:rsidR="00193E06" w:rsidRPr="00720D9E">
        <w:t>applying techniques such as dehydration and separation to</w:t>
      </w:r>
      <w:r w:rsidRPr="00720D9E">
        <w:t xml:space="preserve"> </w:t>
      </w:r>
      <w:r w:rsidR="001444E6" w:rsidRPr="00720D9E">
        <w:t xml:space="preserve">extracted mine gas </w:t>
      </w:r>
      <w:r w:rsidR="00193E06" w:rsidRPr="00720D9E">
        <w:t>to prepare it</w:t>
      </w:r>
      <w:r w:rsidR="001444E6" w:rsidRPr="00720D9E">
        <w:t xml:space="preserve"> for an </w:t>
      </w:r>
      <w:r w:rsidRPr="00720D9E">
        <w:t>end-use</w:t>
      </w:r>
      <w:r w:rsidR="001444E6" w:rsidRPr="00720D9E">
        <w:t xml:space="preserve"> management option.</w:t>
      </w:r>
    </w:p>
    <w:p w:rsidR="00871DCC" w:rsidRPr="00720D9E" w:rsidRDefault="002A4B2B" w:rsidP="00DC7C4C">
      <w:pPr>
        <w:pStyle w:val="ListParagraph"/>
        <w:numPr>
          <w:ilvl w:val="0"/>
          <w:numId w:val="10"/>
        </w:numPr>
        <w:spacing w:before="200"/>
        <w:ind w:left="1440" w:hanging="720"/>
      </w:pPr>
      <w:r w:rsidRPr="00720D9E">
        <w:t xml:space="preserve">“Gob” means the </w:t>
      </w:r>
      <w:r w:rsidR="00605085" w:rsidRPr="00720D9E">
        <w:t xml:space="preserve">part of the mine from which the mineral and artificial supports have been removed and the roof allowed to fall in. </w:t>
      </w:r>
      <w:r w:rsidR="003E3877" w:rsidRPr="00720D9E">
        <w:t xml:space="preserve">Gob is also known </w:t>
      </w:r>
      <w:r w:rsidRPr="00720D9E">
        <w:t>as “Goaf</w:t>
      </w:r>
      <w:r w:rsidR="003E3877" w:rsidRPr="00720D9E">
        <w:t>.</w:t>
      </w:r>
      <w:r w:rsidRPr="00720D9E">
        <w:t>”</w:t>
      </w:r>
    </w:p>
    <w:p w:rsidR="00871DCC" w:rsidRPr="00720D9E" w:rsidRDefault="002C520E" w:rsidP="00DC7C4C">
      <w:pPr>
        <w:pStyle w:val="ListParagraph"/>
        <w:numPr>
          <w:ilvl w:val="0"/>
          <w:numId w:val="10"/>
        </w:numPr>
        <w:spacing w:before="200"/>
        <w:ind w:left="1440" w:hanging="720"/>
      </w:pPr>
      <w:r w:rsidRPr="00720D9E">
        <w:t>“</w:t>
      </w:r>
      <w:r w:rsidR="0044227F" w:rsidRPr="00720D9E">
        <w:t>Greenhouse Gas Assessment Boundary</w:t>
      </w:r>
      <w:r w:rsidRPr="00720D9E">
        <w:t>”</w:t>
      </w:r>
      <w:r w:rsidR="00291006" w:rsidRPr="00720D9E">
        <w:t xml:space="preserve"> or “GHG Assessment Boundary” or “Offset Project Boundary” </w:t>
      </w:r>
      <w:r w:rsidR="00952263" w:rsidRPr="00720D9E">
        <w:rPr>
          <w:sz w:val="23"/>
          <w:szCs w:val="23"/>
        </w:rPr>
        <w:t>is defined by and includes all GHG emission sources, GHG sinks or GHG reservoirs that are affected by an offset project and under control of the Offset Project Operator or Authorized Project Designee. GHG emissions sources, GHG sinks or GHG reservoirs not under control of the Offset Project Operator or Authorized Project Designee are not included in the offset project boundary.</w:t>
      </w:r>
      <w:r w:rsidR="00A10468" w:rsidRPr="00720D9E">
        <w:t xml:space="preserve"> </w:t>
      </w:r>
    </w:p>
    <w:p w:rsidR="00871DCC" w:rsidRPr="00720D9E" w:rsidRDefault="00333380" w:rsidP="00003552">
      <w:pPr>
        <w:pStyle w:val="ListParagraph"/>
        <w:numPr>
          <w:ilvl w:val="0"/>
          <w:numId w:val="10"/>
        </w:numPr>
        <w:spacing w:before="200"/>
        <w:ind w:left="1440" w:hanging="720"/>
      </w:pPr>
      <w:r w:rsidRPr="00720D9E">
        <w:t>“Methane Drainage</w:t>
      </w:r>
      <w:r w:rsidR="002A4B2B" w:rsidRPr="00720D9E">
        <w:t xml:space="preserve"> System</w:t>
      </w:r>
      <w:r w:rsidRPr="00720D9E">
        <w:t>”</w:t>
      </w:r>
      <w:r w:rsidR="002A4B2B" w:rsidRPr="00720D9E">
        <w:t xml:space="preserve"> or “Drainage System” means a system that drains methane from coal</w:t>
      </w:r>
      <w:r w:rsidR="005F2866" w:rsidRPr="00720D9E">
        <w:t xml:space="preserve"> or trona</w:t>
      </w:r>
      <w:r w:rsidR="002A4B2B" w:rsidRPr="00720D9E">
        <w:t xml:space="preserve"> seams and/or surrounding rock strata</w:t>
      </w:r>
      <w:r w:rsidR="005F2866" w:rsidRPr="00720D9E">
        <w:t xml:space="preserve"> and transports it to a common collection point</w:t>
      </w:r>
      <w:r w:rsidR="002A4B2B" w:rsidRPr="00720D9E">
        <w:t>.</w:t>
      </w:r>
      <w:r w:rsidR="00740796" w:rsidRPr="00720D9E">
        <w:t xml:space="preserve"> </w:t>
      </w:r>
      <w:r w:rsidR="00826098" w:rsidRPr="00720D9E">
        <w:t xml:space="preserve"> </w:t>
      </w:r>
      <w:r w:rsidR="00FC3E8C" w:rsidRPr="00720D9E">
        <w:t xml:space="preserve">Methane drainage systems </w:t>
      </w:r>
      <w:r w:rsidR="00193E06" w:rsidRPr="00720D9E">
        <w:t>may comprise</w:t>
      </w:r>
      <w:r w:rsidR="00FC3E8C" w:rsidRPr="00720D9E">
        <w:t xml:space="preserve"> </w:t>
      </w:r>
      <w:r w:rsidR="00193E06" w:rsidRPr="00720D9E">
        <w:t>multiple</w:t>
      </w:r>
      <w:r w:rsidR="00FC3E8C" w:rsidRPr="00720D9E">
        <w:t xml:space="preserve"> methane sources. </w:t>
      </w:r>
    </w:p>
    <w:p w:rsidR="00FC3E8C" w:rsidRPr="00720D9E" w:rsidRDefault="000C2992" w:rsidP="00FC3E8C">
      <w:pPr>
        <w:pStyle w:val="ListParagraph"/>
        <w:numPr>
          <w:ilvl w:val="0"/>
          <w:numId w:val="10"/>
        </w:numPr>
        <w:spacing w:before="200"/>
        <w:ind w:left="1440" w:hanging="720"/>
      </w:pPr>
      <w:r w:rsidRPr="00720D9E">
        <w:t xml:space="preserve">“Methane Source” </w:t>
      </w:r>
      <w:r w:rsidR="00FC3E8C" w:rsidRPr="00720D9E">
        <w:t>means a methane source type (i.e., ventilation shafts, pre-mining surface wells, pre-mining in-mine boreholes, gob wells, existing coal bed methane wells that would otherwise be shut-in and abandoned, abandoned wells that are re-activated, and converted dewatering wells) in the aggregate.  In this protocol, “methane source” does not refer to any specific shaft, borehole,</w:t>
      </w:r>
      <w:r w:rsidR="00BE4831" w:rsidRPr="00720D9E">
        <w:t xml:space="preserve"> or</w:t>
      </w:r>
      <w:r w:rsidR="00FC3E8C" w:rsidRPr="00720D9E">
        <w:t xml:space="preserve"> well</w:t>
      </w:r>
      <w:r w:rsidR="00BE4831" w:rsidRPr="00720D9E">
        <w:t>,</w:t>
      </w:r>
      <w:r w:rsidR="00FC3E8C" w:rsidRPr="00720D9E">
        <w:t xml:space="preserve"> but instead refers to all the shafts, boreholes, </w:t>
      </w:r>
      <w:r w:rsidR="00BE4831" w:rsidRPr="00720D9E">
        <w:t xml:space="preserve">and </w:t>
      </w:r>
      <w:r w:rsidR="00FC3E8C" w:rsidRPr="00720D9E">
        <w:t>wells of the same type collectively.</w:t>
      </w:r>
    </w:p>
    <w:p w:rsidR="005A22EB" w:rsidRPr="00720D9E" w:rsidRDefault="00F30987" w:rsidP="00DC7C4C">
      <w:pPr>
        <w:pStyle w:val="ListParagraph"/>
        <w:numPr>
          <w:ilvl w:val="0"/>
          <w:numId w:val="10"/>
        </w:numPr>
        <w:spacing w:before="200"/>
        <w:ind w:left="1440" w:hanging="720"/>
      </w:pPr>
      <w:r w:rsidRPr="00720D9E">
        <w:t>“Mine Gas” or “M</w:t>
      </w:r>
      <w:r w:rsidR="006661D6" w:rsidRPr="00720D9E">
        <w:t>G</w:t>
      </w:r>
      <w:r w:rsidRPr="00720D9E">
        <w:t xml:space="preserve">” means </w:t>
      </w:r>
      <w:r w:rsidR="00635B0B" w:rsidRPr="00720D9E">
        <w:t xml:space="preserve">the unprocessed </w:t>
      </w:r>
      <w:r w:rsidRPr="00720D9E">
        <w:t>gas extracted from</w:t>
      </w:r>
      <w:r w:rsidR="00635B0B" w:rsidRPr="00720D9E">
        <w:t xml:space="preserve"> within a mine through </w:t>
      </w:r>
      <w:r w:rsidR="00962496" w:rsidRPr="00720D9E">
        <w:t xml:space="preserve">a </w:t>
      </w:r>
      <w:r w:rsidRPr="00720D9E">
        <w:t>methane drainage system that often contains various levels of other components (e.g. nitrogen, oxygen, carbon dioxide, hydrogen sulfide, NMHC, etc.).</w:t>
      </w:r>
    </w:p>
    <w:p w:rsidR="00CD29E5" w:rsidRPr="00720D9E" w:rsidRDefault="00CD29E5" w:rsidP="00DC7C4C">
      <w:pPr>
        <w:pStyle w:val="ListParagraph"/>
        <w:numPr>
          <w:ilvl w:val="0"/>
          <w:numId w:val="10"/>
        </w:numPr>
        <w:spacing w:before="200"/>
        <w:ind w:left="1440" w:hanging="720"/>
      </w:pPr>
      <w:r w:rsidRPr="00720D9E">
        <w:lastRenderedPageBreak/>
        <w:t>“Mine Methane”</w:t>
      </w:r>
      <w:r w:rsidR="006661D6" w:rsidRPr="00720D9E">
        <w:t xml:space="preserve"> or “MM”</w:t>
      </w:r>
      <w:r w:rsidR="007E39D0" w:rsidRPr="00720D9E">
        <w:t xml:space="preserve"> means methane contained in mineral deposits and surrounding strata that is released as a result of mining </w:t>
      </w:r>
      <w:r w:rsidR="00F30987" w:rsidRPr="00720D9E">
        <w:t>operations</w:t>
      </w:r>
      <w:r w:rsidR="00635B0B" w:rsidRPr="00720D9E">
        <w:t>; the methane portion of mine gas</w:t>
      </w:r>
      <w:r w:rsidR="007E39D0" w:rsidRPr="00720D9E">
        <w:t>.</w:t>
      </w:r>
      <w:r w:rsidR="00635B0B" w:rsidRPr="00720D9E">
        <w:t xml:space="preserve">  </w:t>
      </w:r>
    </w:p>
    <w:p w:rsidR="005C6F4D" w:rsidRPr="00720D9E" w:rsidRDefault="005C6F4D" w:rsidP="005C6F4D">
      <w:pPr>
        <w:pStyle w:val="ListParagraph"/>
        <w:numPr>
          <w:ilvl w:val="0"/>
          <w:numId w:val="10"/>
        </w:numPr>
        <w:spacing w:before="200"/>
        <w:ind w:left="1440" w:hanging="720"/>
      </w:pPr>
      <w:r w:rsidRPr="00720D9E">
        <w:t>“Mine Operator” means the operating entity listed on the state well drilling permit, or a state operating permit for wells where no drilling permit is issued by the state.</w:t>
      </w:r>
    </w:p>
    <w:p w:rsidR="00871DCC" w:rsidRPr="00720D9E" w:rsidRDefault="00256F11" w:rsidP="00DC7C4C">
      <w:pPr>
        <w:pStyle w:val="ListParagraph"/>
        <w:numPr>
          <w:ilvl w:val="0"/>
          <w:numId w:val="10"/>
        </w:numPr>
        <w:spacing w:before="200"/>
        <w:ind w:left="1440" w:hanging="720"/>
      </w:pPr>
      <w:r w:rsidRPr="00720D9E">
        <w:t xml:space="preserve">“Mine Safety and Health Administration” or “MSHA” means the </w:t>
      </w:r>
      <w:r w:rsidR="00BE4831" w:rsidRPr="00720D9E">
        <w:t xml:space="preserve">U.S. </w:t>
      </w:r>
      <w:r w:rsidRPr="00720D9E">
        <w:t>federal agency which regulates mine health and safety.</w:t>
      </w:r>
    </w:p>
    <w:p w:rsidR="00871DCC" w:rsidRPr="00720D9E" w:rsidRDefault="00256F11" w:rsidP="00DC7C4C">
      <w:pPr>
        <w:pStyle w:val="ListParagraph"/>
        <w:numPr>
          <w:ilvl w:val="0"/>
          <w:numId w:val="10"/>
        </w:numPr>
        <w:spacing w:before="200"/>
        <w:ind w:left="1440" w:hanging="720"/>
      </w:pPr>
      <w:r w:rsidRPr="00720D9E">
        <w:t xml:space="preserve">“Mining Activities” means the working of an area, or panel, of coal or </w:t>
      </w:r>
      <w:r w:rsidR="00785451" w:rsidRPr="00720D9E">
        <w:t>trona</w:t>
      </w:r>
      <w:r w:rsidRPr="00720D9E">
        <w:t xml:space="preserve"> that has been developed and equipped to facilitate mineral extraction and is shown on a mining plan.</w:t>
      </w:r>
    </w:p>
    <w:p w:rsidR="009F38CF" w:rsidRPr="00720D9E" w:rsidRDefault="009F38CF" w:rsidP="00DC7C4C">
      <w:pPr>
        <w:pStyle w:val="ListParagraph"/>
        <w:numPr>
          <w:ilvl w:val="0"/>
          <w:numId w:val="10"/>
        </w:numPr>
        <w:spacing w:before="200"/>
        <w:ind w:left="1440" w:hanging="720"/>
      </w:pPr>
      <w:r w:rsidRPr="00720D9E">
        <w:t>“</w:t>
      </w:r>
      <w:r w:rsidR="00512B9F" w:rsidRPr="00720D9E">
        <w:t>Mountaintop</w:t>
      </w:r>
      <w:r w:rsidRPr="00720D9E">
        <w:t xml:space="preserve"> Removal Mining” </w:t>
      </w:r>
      <w:r w:rsidR="00484D38" w:rsidRPr="00720D9E">
        <w:t xml:space="preserve">means a method of surface mining involving the removal of </w:t>
      </w:r>
      <w:r w:rsidR="00512B9F" w:rsidRPr="00720D9E">
        <w:t>mountaintops</w:t>
      </w:r>
      <w:r w:rsidR="00484D38" w:rsidRPr="00720D9E">
        <w:t xml:space="preserve"> to expose coal seams and disposal of the associated mining overburden in adjacent valleys</w:t>
      </w:r>
      <w:r w:rsidR="00BE4831" w:rsidRPr="00720D9E">
        <w:t>. Projects which occur at mines that employ mountaintop removal mining are not eligible under this protocol.</w:t>
      </w:r>
    </w:p>
    <w:p w:rsidR="00871DCC" w:rsidRPr="00720D9E" w:rsidRDefault="00120B09" w:rsidP="00DC7C4C">
      <w:pPr>
        <w:pStyle w:val="ListParagraph"/>
        <w:numPr>
          <w:ilvl w:val="0"/>
          <w:numId w:val="10"/>
        </w:numPr>
        <w:spacing w:before="200"/>
        <w:ind w:left="1440" w:hanging="720"/>
      </w:pPr>
      <w:r w:rsidRPr="00720D9E">
        <w:t>“Natural Gas Pipeline” or “Pipeline” means</w:t>
      </w:r>
      <w:r w:rsidR="00B71733" w:rsidRPr="00720D9E">
        <w:t xml:space="preserve"> a high pressure pipeline transporting saleable quality natural gas offsite to distribution, metering or regulating stations or directly to customers.</w:t>
      </w:r>
    </w:p>
    <w:p w:rsidR="003435E0" w:rsidRPr="00720D9E" w:rsidRDefault="003435E0" w:rsidP="003435E0">
      <w:pPr>
        <w:pStyle w:val="ListParagraph"/>
        <w:numPr>
          <w:ilvl w:val="0"/>
          <w:numId w:val="10"/>
        </w:numPr>
        <w:spacing w:before="200"/>
        <w:ind w:left="1440" w:hanging="720"/>
      </w:pPr>
      <w:r w:rsidRPr="00720D9E">
        <w:t xml:space="preserve">“Non-Qualifying Destruction Device” or “Non-Qualifying Device” means a destruction device that is either operational at the mine prior to offset project commencement or </w:t>
      </w:r>
      <w:r w:rsidR="00D03EB6" w:rsidRPr="00720D9E">
        <w:t>used to combust mine methane via</w:t>
      </w:r>
      <w:r w:rsidRPr="00720D9E">
        <w:t xml:space="preserve"> an ineligible end-use management option per </w:t>
      </w:r>
      <w:r w:rsidR="00C179DE" w:rsidRPr="00720D9E">
        <w:t>section</w:t>
      </w:r>
      <w:r w:rsidRPr="00720D9E">
        <w:t xml:space="preserve"> </w:t>
      </w:r>
      <w:r w:rsidR="00645452" w:rsidRPr="00720D9E">
        <w:t>3.4</w:t>
      </w:r>
      <w:r w:rsidRPr="00720D9E">
        <w:t>.2.</w:t>
      </w:r>
      <w:r w:rsidR="00080059" w:rsidRPr="00720D9E">
        <w:t xml:space="preserve">  Methane </w:t>
      </w:r>
      <w:r w:rsidR="00D42339" w:rsidRPr="00720D9E">
        <w:t>destroyed by</w:t>
      </w:r>
      <w:r w:rsidR="00080059" w:rsidRPr="00720D9E">
        <w:t xml:space="preserve"> a non-qualifying device must be monitored for quantification of both the baseline and project scenarios.</w:t>
      </w:r>
    </w:p>
    <w:p w:rsidR="001E25BD" w:rsidRPr="00720D9E" w:rsidRDefault="001E25BD" w:rsidP="00DC7C4C">
      <w:pPr>
        <w:pStyle w:val="ListParagraph"/>
        <w:numPr>
          <w:ilvl w:val="0"/>
          <w:numId w:val="10"/>
        </w:numPr>
        <w:spacing w:before="200"/>
        <w:ind w:left="1440" w:hanging="720"/>
      </w:pPr>
      <w:r w:rsidRPr="00720D9E">
        <w:t xml:space="preserve">“Offset Project Expansion” </w:t>
      </w:r>
      <w:r w:rsidR="000C2992" w:rsidRPr="00720D9E">
        <w:t xml:space="preserve">means the addition of a new methane source or </w:t>
      </w:r>
      <w:r w:rsidR="006F6110" w:rsidRPr="00720D9E">
        <w:t xml:space="preserve">new </w:t>
      </w:r>
      <w:r w:rsidR="000C2992" w:rsidRPr="00720D9E">
        <w:t xml:space="preserve">destruction device to an existing MMC project.  A methane source is </w:t>
      </w:r>
      <w:r w:rsidR="006F6110" w:rsidRPr="00720D9E">
        <w:t>deemed</w:t>
      </w:r>
      <w:r w:rsidR="000C2992" w:rsidRPr="00720D9E">
        <w:t xml:space="preserve"> new if </w:t>
      </w:r>
      <w:r w:rsidR="006F6110" w:rsidRPr="00720D9E">
        <w:t>it is</w:t>
      </w:r>
      <w:r w:rsidR="000C2992" w:rsidRPr="00720D9E">
        <w:t xml:space="preserve"> either drilled </w:t>
      </w:r>
      <w:r w:rsidR="006F6110" w:rsidRPr="00720D9E">
        <w:t>after</w:t>
      </w:r>
      <w:r w:rsidR="004447DE" w:rsidRPr="00720D9E">
        <w:t xml:space="preserve"> offset</w:t>
      </w:r>
      <w:r w:rsidR="006F6110" w:rsidRPr="00720D9E">
        <w:t xml:space="preserve"> project commencement or connected to a </w:t>
      </w:r>
      <w:r w:rsidR="000C2992" w:rsidRPr="00720D9E">
        <w:t xml:space="preserve">destruction device </w:t>
      </w:r>
      <w:r w:rsidR="006F6110" w:rsidRPr="00720D9E">
        <w:t>after</w:t>
      </w:r>
      <w:r w:rsidR="004447DE" w:rsidRPr="00720D9E">
        <w:t xml:space="preserve"> offset</w:t>
      </w:r>
      <w:r w:rsidR="006F6110" w:rsidRPr="00720D9E">
        <w:t xml:space="preserve"> project commencement.  A destruction device is deemed new if it becomes operational after </w:t>
      </w:r>
      <w:r w:rsidR="004447DE" w:rsidRPr="00720D9E">
        <w:t xml:space="preserve">offset </w:t>
      </w:r>
      <w:r w:rsidR="006F6110" w:rsidRPr="00720D9E">
        <w:t xml:space="preserve">project commencement.  Under certain circumstances, </w:t>
      </w:r>
      <w:r w:rsidR="00D86551" w:rsidRPr="00720D9E">
        <w:t>described</w:t>
      </w:r>
      <w:r w:rsidR="006F6110" w:rsidRPr="00720D9E">
        <w:t xml:space="preserve"> in </w:t>
      </w:r>
      <w:r w:rsidR="00D25B46" w:rsidRPr="00720D9E">
        <w:lastRenderedPageBreak/>
        <w:t>Chapter</w:t>
      </w:r>
      <w:r w:rsidR="006F6110" w:rsidRPr="00720D9E">
        <w:t xml:space="preserve"> </w:t>
      </w:r>
      <w:r w:rsidR="006F24A1" w:rsidRPr="00720D9E">
        <w:t>2</w:t>
      </w:r>
      <w:r w:rsidR="006F6110" w:rsidRPr="00720D9E">
        <w:t xml:space="preserve">, the addition of new methane sources or new destruction devices may qualify as </w:t>
      </w:r>
      <w:r w:rsidR="00D86551" w:rsidRPr="00720D9E">
        <w:t xml:space="preserve">a </w:t>
      </w:r>
      <w:r w:rsidR="006F6110" w:rsidRPr="00720D9E">
        <w:t>new MMC project</w:t>
      </w:r>
      <w:r w:rsidR="00D86551" w:rsidRPr="00720D9E">
        <w:t xml:space="preserve"> or an offset project expansion</w:t>
      </w:r>
      <w:r w:rsidR="006F6110" w:rsidRPr="00720D9E">
        <w:t>.  In those cases</w:t>
      </w:r>
      <w:r w:rsidR="00BE4831" w:rsidRPr="00720D9E">
        <w:t>,</w:t>
      </w:r>
      <w:r w:rsidR="006F6110" w:rsidRPr="00720D9E">
        <w:t xml:space="preserve"> an </w:t>
      </w:r>
      <w:r w:rsidR="00BD7C42" w:rsidRPr="00720D9E">
        <w:t xml:space="preserve">Offset Project Operator </w:t>
      </w:r>
      <w:r w:rsidR="006F6110" w:rsidRPr="00720D9E">
        <w:t>may choose</w:t>
      </w:r>
      <w:r w:rsidR="0086192B" w:rsidRPr="00720D9E">
        <w:t xml:space="preserve"> how to define the addition.</w:t>
      </w:r>
      <w:r w:rsidR="00D86551" w:rsidRPr="00720D9E">
        <w:t xml:space="preserve"> </w:t>
      </w:r>
      <w:r w:rsidR="006F6110" w:rsidRPr="00720D9E">
        <w:t xml:space="preserve"> </w:t>
      </w:r>
      <w:r w:rsidR="0086192B" w:rsidRPr="00720D9E">
        <w:t xml:space="preserve">Offset project expansion, unlike the establishment of a new MMC project, will not result in a new </w:t>
      </w:r>
      <w:r w:rsidR="004447DE" w:rsidRPr="00720D9E">
        <w:t xml:space="preserve">offset </w:t>
      </w:r>
      <w:r w:rsidR="0086192B" w:rsidRPr="00720D9E">
        <w:t xml:space="preserve">project commencement date or crediting period.  Offset project expansion, unlike the establishment of a new MMC project, allows the </w:t>
      </w:r>
      <w:r w:rsidR="00BE4831" w:rsidRPr="00720D9E">
        <w:t xml:space="preserve">Offset Project Operator </w:t>
      </w:r>
      <w:r w:rsidR="0086192B" w:rsidRPr="00720D9E">
        <w:t>to submit a single annual</w:t>
      </w:r>
      <w:r w:rsidR="001F5DC6" w:rsidRPr="00720D9E">
        <w:t xml:space="preserve"> Offset Project Data Report</w:t>
      </w:r>
      <w:r w:rsidR="0086192B" w:rsidRPr="00720D9E">
        <w:t xml:space="preserve"> </w:t>
      </w:r>
      <w:r w:rsidR="001F5DC6" w:rsidRPr="00720D9E">
        <w:t>(</w:t>
      </w:r>
      <w:r w:rsidR="0086192B" w:rsidRPr="00720D9E">
        <w:t>OPDR</w:t>
      </w:r>
      <w:r w:rsidR="001F5DC6" w:rsidRPr="00720D9E">
        <w:t>)</w:t>
      </w:r>
      <w:r w:rsidR="0086192B" w:rsidRPr="00720D9E">
        <w:t xml:space="preserve"> and undergo a single annual verification.</w:t>
      </w:r>
    </w:p>
    <w:p w:rsidR="00871DCC" w:rsidRPr="00720D9E" w:rsidRDefault="00580732" w:rsidP="00AD122A">
      <w:pPr>
        <w:pStyle w:val="ListParagraph"/>
        <w:numPr>
          <w:ilvl w:val="0"/>
          <w:numId w:val="10"/>
        </w:numPr>
        <w:spacing w:before="200"/>
        <w:ind w:left="1440" w:hanging="720"/>
      </w:pPr>
      <w:r w:rsidRPr="00720D9E">
        <w:t>“Oxidation” means a reaction in which the atoms in an element lose electrons and the valence of the element is correspondingly increased.</w:t>
      </w:r>
    </w:p>
    <w:p w:rsidR="00871DCC" w:rsidRPr="00720D9E" w:rsidRDefault="00A50771" w:rsidP="00DC7C4C">
      <w:pPr>
        <w:pStyle w:val="ListParagraph"/>
        <w:numPr>
          <w:ilvl w:val="0"/>
          <w:numId w:val="10"/>
        </w:numPr>
        <w:spacing w:before="200"/>
        <w:ind w:left="1440" w:hanging="720"/>
      </w:pPr>
      <w:r w:rsidRPr="00720D9E">
        <w:t>“Pre-mining In-mine Boreholes”</w:t>
      </w:r>
      <w:r w:rsidR="00BF12F2" w:rsidRPr="00720D9E">
        <w:t xml:space="preserve"> means a borehole drilled into an unmined </w:t>
      </w:r>
      <w:r w:rsidR="00FE322A" w:rsidRPr="00720D9E">
        <w:t>seam</w:t>
      </w:r>
      <w:r w:rsidR="00BF12F2" w:rsidRPr="00720D9E">
        <w:t xml:space="preserve"> from within the mine </w:t>
      </w:r>
      <w:r w:rsidR="00FE322A" w:rsidRPr="00720D9E">
        <w:t xml:space="preserve">to drain methane from the seam </w:t>
      </w:r>
      <w:r w:rsidR="004F20B7" w:rsidRPr="00720D9E">
        <w:t xml:space="preserve">ahead of the advancement of mining.  </w:t>
      </w:r>
      <w:r w:rsidR="00BE4831" w:rsidRPr="00720D9E">
        <w:t xml:space="preserve">This is also </w:t>
      </w:r>
      <w:r w:rsidR="009E4CCC" w:rsidRPr="00720D9E">
        <w:t>known</w:t>
      </w:r>
      <w:r w:rsidR="00BF214C" w:rsidRPr="00720D9E">
        <w:t xml:space="preserve"> as horizontal pre-mining boreholes.</w:t>
      </w:r>
    </w:p>
    <w:p w:rsidR="00871DCC" w:rsidRPr="00720D9E" w:rsidRDefault="00A50771" w:rsidP="00DC7C4C">
      <w:pPr>
        <w:pStyle w:val="ListParagraph"/>
        <w:numPr>
          <w:ilvl w:val="0"/>
          <w:numId w:val="10"/>
        </w:numPr>
        <w:spacing w:before="200"/>
        <w:ind w:left="1440" w:hanging="720"/>
      </w:pPr>
      <w:r w:rsidRPr="00720D9E">
        <w:t>“Pre-mining Surface Wells”</w:t>
      </w:r>
      <w:r w:rsidR="00FE322A" w:rsidRPr="00720D9E">
        <w:t xml:space="preserve"> means a well drilled into </w:t>
      </w:r>
      <w:r w:rsidR="00BF214C" w:rsidRPr="00720D9E">
        <w:t>an unmined seam from the surface to drain methane from the seam</w:t>
      </w:r>
      <w:r w:rsidR="004F20B7" w:rsidRPr="00720D9E">
        <w:t xml:space="preserve"> and surrounding strata</w:t>
      </w:r>
      <w:r w:rsidR="00BF214C" w:rsidRPr="00720D9E">
        <w:t xml:space="preserve">, often months or years in advance of mining. </w:t>
      </w:r>
      <w:r w:rsidR="009E4CCC" w:rsidRPr="00720D9E">
        <w:t xml:space="preserve"> </w:t>
      </w:r>
      <w:r w:rsidR="00BE4831" w:rsidRPr="00720D9E">
        <w:t>This is also</w:t>
      </w:r>
      <w:r w:rsidR="009E4CCC" w:rsidRPr="00720D9E">
        <w:t xml:space="preserve"> known as surface pre-mining boreholes, surface-to-seam boreholes, and surface-drilled directional boreholes.</w:t>
      </w:r>
    </w:p>
    <w:p w:rsidR="00871DCC" w:rsidRPr="00720D9E" w:rsidRDefault="00A50771" w:rsidP="00DC7C4C">
      <w:pPr>
        <w:pStyle w:val="ListParagraph"/>
        <w:numPr>
          <w:ilvl w:val="0"/>
          <w:numId w:val="10"/>
        </w:numPr>
        <w:spacing w:before="200"/>
        <w:ind w:left="1440" w:hanging="720"/>
      </w:pPr>
      <w:r w:rsidRPr="00720D9E">
        <w:t>“Post-mining Gob Well” or “Gob Well” means a well used to extract methane from the gob. Gob wells may be drilled from the surface or within the mine.</w:t>
      </w:r>
    </w:p>
    <w:p w:rsidR="00871DCC" w:rsidRPr="00720D9E" w:rsidRDefault="00377450" w:rsidP="00DC7C4C">
      <w:pPr>
        <w:pStyle w:val="ListParagraph"/>
        <w:numPr>
          <w:ilvl w:val="0"/>
          <w:numId w:val="10"/>
        </w:numPr>
        <w:spacing w:before="200"/>
        <w:ind w:left="1440" w:hanging="720"/>
      </w:pPr>
      <w:r w:rsidRPr="00720D9E">
        <w:t>“</w:t>
      </w:r>
      <w:r w:rsidR="0044227F" w:rsidRPr="00720D9E">
        <w:t>Project Activity</w:t>
      </w:r>
      <w:r w:rsidRPr="00720D9E">
        <w:t>”</w:t>
      </w:r>
      <w:r w:rsidR="0044227F" w:rsidRPr="00720D9E">
        <w:t xml:space="preserve"> means change in </w:t>
      </w:r>
      <w:r w:rsidRPr="00720D9E">
        <w:t>mine methane</w:t>
      </w:r>
      <w:r w:rsidR="0044227F" w:rsidRPr="00720D9E">
        <w:t xml:space="preserve"> management that leads to a reduction in GHG emissions in comparison to the baseline management and GHG emissions. </w:t>
      </w:r>
    </w:p>
    <w:p w:rsidR="003435E0" w:rsidRPr="00720D9E" w:rsidRDefault="003435E0" w:rsidP="00DC7C4C">
      <w:pPr>
        <w:pStyle w:val="ListParagraph"/>
        <w:numPr>
          <w:ilvl w:val="0"/>
          <w:numId w:val="10"/>
        </w:numPr>
        <w:spacing w:before="200"/>
        <w:ind w:left="1440" w:hanging="720"/>
      </w:pPr>
      <w:r w:rsidRPr="00720D9E">
        <w:t>“Qualifying Destruction Device” or “Qualifying Device” means a destruction device</w:t>
      </w:r>
      <w:r w:rsidR="00BE4831" w:rsidRPr="00720D9E">
        <w:t xml:space="preserve"> that was</w:t>
      </w:r>
      <w:r w:rsidRPr="00720D9E">
        <w:t xml:space="preserve"> not operational at the mine prior to offset project commencement and </w:t>
      </w:r>
      <w:r w:rsidR="00BE4831" w:rsidRPr="00720D9E">
        <w:t xml:space="preserve">that was </w:t>
      </w:r>
      <w:r w:rsidRPr="00720D9E">
        <w:t xml:space="preserve">not </w:t>
      </w:r>
      <w:r w:rsidR="00D03EB6" w:rsidRPr="00720D9E">
        <w:t xml:space="preserve">used to combust mine methane via </w:t>
      </w:r>
      <w:r w:rsidRPr="00720D9E">
        <w:t xml:space="preserve">an ineligible end-use management option per </w:t>
      </w:r>
      <w:r w:rsidR="00C179DE" w:rsidRPr="00720D9E">
        <w:t>section</w:t>
      </w:r>
      <w:r w:rsidRPr="00720D9E">
        <w:t xml:space="preserve"> </w:t>
      </w:r>
      <w:r w:rsidR="00645452" w:rsidRPr="00720D9E">
        <w:t>3.4</w:t>
      </w:r>
      <w:r w:rsidRPr="00720D9E">
        <w:t>.2.</w:t>
      </w:r>
      <w:r w:rsidR="00080059" w:rsidRPr="00720D9E">
        <w:t xml:space="preserve">  Methane </w:t>
      </w:r>
      <w:r w:rsidR="00080059" w:rsidRPr="00720D9E">
        <w:lastRenderedPageBreak/>
        <w:t>destructed by a non-qualifying device must be monitored for quantification of both the baseline and project scenarios.</w:t>
      </w:r>
    </w:p>
    <w:p w:rsidR="005815D0" w:rsidRPr="00720D9E" w:rsidRDefault="005815D0" w:rsidP="00DC7C4C">
      <w:pPr>
        <w:pStyle w:val="ListParagraph"/>
        <w:numPr>
          <w:ilvl w:val="0"/>
          <w:numId w:val="10"/>
        </w:numPr>
        <w:spacing w:before="200"/>
        <w:ind w:left="1440" w:hanging="720"/>
      </w:pPr>
      <w:r w:rsidRPr="00720D9E">
        <w:t>“Sealed</w:t>
      </w:r>
      <w:r w:rsidR="00BE4831" w:rsidRPr="00720D9E">
        <w:t>,</w:t>
      </w:r>
      <w:r w:rsidRPr="00720D9E">
        <w:t>”</w:t>
      </w:r>
      <w:r w:rsidR="004A5FA3" w:rsidRPr="00720D9E">
        <w:t xml:space="preserve"> in reference to an abandoned mine, means </w:t>
      </w:r>
      <w:r w:rsidR="004A5FA3" w:rsidRPr="00720D9E">
        <w:rPr>
          <w:lang w:val="en"/>
        </w:rPr>
        <w:t>any entrances into the mine (e.g.</w:t>
      </w:r>
      <w:r w:rsidR="00BE4831" w:rsidRPr="00720D9E">
        <w:rPr>
          <w:lang w:val="en"/>
        </w:rPr>
        <w:t>,</w:t>
      </w:r>
      <w:r w:rsidR="004A5FA3" w:rsidRPr="00720D9E">
        <w:rPr>
          <w:lang w:val="en"/>
        </w:rPr>
        <w:t xml:space="preserve"> ventilation shafts, methane drainage wells) have been sealed.  The volume of methane trapped in the mine and the rate at which mine gas is emitted from the mine is dependent on the standard of the sealing.</w:t>
      </w:r>
    </w:p>
    <w:p w:rsidR="00281BB9" w:rsidRPr="00720D9E" w:rsidRDefault="00281BB9" w:rsidP="00DC7C4C">
      <w:pPr>
        <w:pStyle w:val="ListParagraph"/>
        <w:numPr>
          <w:ilvl w:val="0"/>
          <w:numId w:val="10"/>
        </w:numPr>
        <w:spacing w:before="200"/>
        <w:ind w:left="1440" w:hanging="720"/>
      </w:pPr>
      <w:r w:rsidRPr="00720D9E">
        <w:t>“Shut-in” means to close, temporarily, a well capable of production.</w:t>
      </w:r>
    </w:p>
    <w:p w:rsidR="00871DCC" w:rsidRPr="00720D9E" w:rsidRDefault="00D26657" w:rsidP="00DC7C4C">
      <w:pPr>
        <w:pStyle w:val="ListParagraph"/>
        <w:numPr>
          <w:ilvl w:val="0"/>
          <w:numId w:val="10"/>
        </w:numPr>
        <w:spacing w:before="200"/>
        <w:ind w:left="1440" w:hanging="720"/>
      </w:pPr>
      <w:r w:rsidRPr="00720D9E">
        <w:t>“Standard Conditions” or “Standard Temperature and Pressure” or “STP" means</w:t>
      </w:r>
      <w:r w:rsidR="008626A2" w:rsidRPr="00720D9E">
        <w:t xml:space="preserve"> 60</w:t>
      </w:r>
      <w:r w:rsidR="00164E80" w:rsidRPr="00720D9E">
        <w:t xml:space="preserve"> degrees</w:t>
      </w:r>
      <w:r w:rsidR="008626A2" w:rsidRPr="00720D9E">
        <w:t xml:space="preserve"> Fahrenheit and </w:t>
      </w:r>
      <w:r w:rsidR="00164E80" w:rsidRPr="00720D9E">
        <w:t>14.7 pounds per square in absolute</w:t>
      </w:r>
      <w:r w:rsidR="008626A2" w:rsidRPr="00720D9E">
        <w:t>.</w:t>
      </w:r>
    </w:p>
    <w:p w:rsidR="00871DCC" w:rsidRPr="00720D9E" w:rsidRDefault="00D26657" w:rsidP="00DC7C4C">
      <w:pPr>
        <w:pStyle w:val="ListParagraph"/>
        <w:numPr>
          <w:ilvl w:val="0"/>
          <w:numId w:val="10"/>
        </w:numPr>
        <w:spacing w:before="200"/>
        <w:ind w:left="1440" w:hanging="720"/>
      </w:pPr>
      <w:r w:rsidRPr="00720D9E">
        <w:t>“Standard Cubic Foot” or “scf” is a measure of quantity of gas, equal to a cubic foot of volume at 60 degrees Fahrenheit and 14.</w:t>
      </w:r>
      <w:r w:rsidR="00164E80" w:rsidRPr="00720D9E">
        <w:t>7</w:t>
      </w:r>
      <w:r w:rsidRPr="00720D9E">
        <w:t xml:space="preserve"> pounds per square inch (1 atm) </w:t>
      </w:r>
      <w:r w:rsidR="00B35ED3" w:rsidRPr="00720D9E">
        <w:t xml:space="preserve">of </w:t>
      </w:r>
      <w:r w:rsidRPr="00720D9E">
        <w:t>pressure.</w:t>
      </w:r>
    </w:p>
    <w:p w:rsidR="00DB3C31" w:rsidRPr="00720D9E" w:rsidRDefault="00DB3C31" w:rsidP="00DC7C4C">
      <w:pPr>
        <w:pStyle w:val="ListParagraph"/>
        <w:numPr>
          <w:ilvl w:val="0"/>
          <w:numId w:val="10"/>
        </w:numPr>
        <w:spacing w:before="200"/>
        <w:ind w:left="1440" w:hanging="720"/>
      </w:pPr>
      <w:r w:rsidRPr="00720D9E">
        <w:t>“Surface Mine Methane” or “SMM”</w:t>
      </w:r>
      <w:r w:rsidR="006661D6" w:rsidRPr="00720D9E">
        <w:t xml:space="preserve"> means methane contained in mineral deposits and surrounding strata that is released as a result of surface mining operations.</w:t>
      </w:r>
    </w:p>
    <w:p w:rsidR="00871DCC" w:rsidRPr="00720D9E" w:rsidRDefault="00340BCA" w:rsidP="00DC7C4C">
      <w:pPr>
        <w:pStyle w:val="ListParagraph"/>
        <w:numPr>
          <w:ilvl w:val="0"/>
          <w:numId w:val="10"/>
        </w:numPr>
        <w:spacing w:before="200"/>
        <w:ind w:left="1440" w:hanging="720"/>
      </w:pPr>
      <w:r w:rsidRPr="00720D9E">
        <w:t>“Thermal Energy” means the thermal output produced by a combustion source used directly as part of a man</w:t>
      </w:r>
      <w:r w:rsidR="00B71733" w:rsidRPr="00720D9E">
        <w:t>ufacturing process, industrial/commercial process, or heating/cooling application, but not used to produce electricity.</w:t>
      </w:r>
    </w:p>
    <w:p w:rsidR="00164E80" w:rsidRPr="00720D9E" w:rsidRDefault="00164E80" w:rsidP="00DC7C4C">
      <w:pPr>
        <w:pStyle w:val="ListParagraph"/>
        <w:numPr>
          <w:ilvl w:val="0"/>
          <w:numId w:val="10"/>
        </w:numPr>
        <w:spacing w:before="200"/>
        <w:ind w:left="1440" w:hanging="720"/>
      </w:pPr>
      <w:r w:rsidRPr="00720D9E">
        <w:t>“Trona”</w:t>
      </w:r>
      <w:r w:rsidR="00675034" w:rsidRPr="00720D9E">
        <w:t xml:space="preserve"> means a water</w:t>
      </w:r>
      <w:r w:rsidR="00D92291" w:rsidRPr="00720D9E">
        <w:t>-</w:t>
      </w:r>
      <w:r w:rsidR="00675034" w:rsidRPr="00720D9E">
        <w:t>bearing sodium carbonate compound that is mined and processed into soda ash or bicarbonate of soda.</w:t>
      </w:r>
    </w:p>
    <w:p w:rsidR="00871DCC" w:rsidRPr="00720D9E" w:rsidRDefault="00B71733" w:rsidP="00DC7C4C">
      <w:pPr>
        <w:pStyle w:val="ListParagraph"/>
        <w:numPr>
          <w:ilvl w:val="0"/>
          <w:numId w:val="10"/>
        </w:numPr>
        <w:spacing w:before="200"/>
        <w:ind w:left="1440" w:hanging="720"/>
      </w:pPr>
      <w:r w:rsidRPr="00720D9E">
        <w:t>“Uncertainty” means the degree to which data or a data system is deemed to be indefinite or unreliable.</w:t>
      </w:r>
    </w:p>
    <w:p w:rsidR="00871DCC" w:rsidRPr="00720D9E" w:rsidRDefault="00D26657" w:rsidP="00DC7C4C">
      <w:pPr>
        <w:pStyle w:val="ListParagraph"/>
        <w:numPr>
          <w:ilvl w:val="0"/>
          <w:numId w:val="10"/>
        </w:numPr>
        <w:spacing w:before="200"/>
        <w:ind w:left="1440" w:hanging="720"/>
      </w:pPr>
      <w:r w:rsidRPr="00720D9E">
        <w:t>“</w:t>
      </w:r>
      <w:r w:rsidR="0044227F" w:rsidRPr="00720D9E">
        <w:t>Uncertainty Deduction</w:t>
      </w:r>
      <w:r w:rsidRPr="00720D9E">
        <w:t>”</w:t>
      </w:r>
      <w:r w:rsidR="0044227F" w:rsidRPr="00720D9E">
        <w:t xml:space="preserve"> means </w:t>
      </w:r>
      <w:r w:rsidRPr="00720D9E">
        <w:t xml:space="preserve">a </w:t>
      </w:r>
      <w:r w:rsidR="0044227F" w:rsidRPr="00720D9E">
        <w:t>deduction</w:t>
      </w:r>
      <w:r w:rsidR="00B35ED3" w:rsidRPr="00720D9E">
        <w:t xml:space="preserve"> applied to the emission reductions achieved by an abandoned mine methane recovery </w:t>
      </w:r>
      <w:r w:rsidR="009D40FD" w:rsidRPr="00720D9E">
        <w:t xml:space="preserve">activity </w:t>
      </w:r>
      <w:r w:rsidR="00B35ED3" w:rsidRPr="00720D9E">
        <w:t xml:space="preserve">to </w:t>
      </w:r>
      <w:r w:rsidR="0044227F" w:rsidRPr="00720D9E">
        <w:t xml:space="preserve">account for uncertainty </w:t>
      </w:r>
      <w:r w:rsidR="00B35ED3" w:rsidRPr="00720D9E">
        <w:t xml:space="preserve">related to the use of emission rate decline curves in order to ensure that </w:t>
      </w:r>
      <w:r w:rsidR="0044227F" w:rsidRPr="00720D9E">
        <w:t xml:space="preserve">credited emission reductions remain conservative. </w:t>
      </w:r>
    </w:p>
    <w:p w:rsidR="00871DCC" w:rsidRPr="00720D9E" w:rsidRDefault="00B35ED3" w:rsidP="00DC7C4C">
      <w:pPr>
        <w:pStyle w:val="ListParagraph"/>
        <w:numPr>
          <w:ilvl w:val="0"/>
          <w:numId w:val="10"/>
        </w:numPr>
        <w:spacing w:before="200"/>
        <w:ind w:left="1440" w:hanging="720"/>
      </w:pPr>
      <w:r w:rsidRPr="00720D9E">
        <w:t>“Vented Emissions” means</w:t>
      </w:r>
      <w:r w:rsidR="00D92291" w:rsidRPr="00720D9E">
        <w:t>, for purpose</w:t>
      </w:r>
      <w:r w:rsidR="00BE4831" w:rsidRPr="00720D9E">
        <w:t>s</w:t>
      </w:r>
      <w:r w:rsidR="00D92291" w:rsidRPr="00720D9E">
        <w:t xml:space="preserve"> of this protocol,</w:t>
      </w:r>
      <w:r w:rsidRPr="00720D9E">
        <w:t xml:space="preserve"> intentional or designed releases of CH</w:t>
      </w:r>
      <w:r w:rsidRPr="00720D9E">
        <w:rPr>
          <w:vertAlign w:val="subscript"/>
        </w:rPr>
        <w:t>4</w:t>
      </w:r>
      <w:r w:rsidRPr="00720D9E">
        <w:t xml:space="preserve"> containing natural gas or hyd</w:t>
      </w:r>
      <w:r w:rsidR="00340BCA" w:rsidRPr="00720D9E">
        <w:t>rocarbon gas through mine ventilation and methane drainage systems.</w:t>
      </w:r>
    </w:p>
    <w:p w:rsidR="00871DCC" w:rsidRPr="00720D9E" w:rsidRDefault="00256F11" w:rsidP="00DC7C4C">
      <w:pPr>
        <w:pStyle w:val="ListParagraph"/>
        <w:numPr>
          <w:ilvl w:val="0"/>
          <w:numId w:val="10"/>
        </w:numPr>
        <w:spacing w:before="200"/>
        <w:ind w:left="1440" w:hanging="720"/>
      </w:pPr>
      <w:r w:rsidRPr="00720D9E">
        <w:lastRenderedPageBreak/>
        <w:t xml:space="preserve">“Ventilation Air Methane” or “VAM” means methane contained in exhaust air of the ventilation system of a mine, which originates across the mine workings and </w:t>
      </w:r>
      <w:r w:rsidR="00BE4831" w:rsidRPr="00720D9E">
        <w:t xml:space="preserve">is </w:t>
      </w:r>
      <w:r w:rsidRPr="00720D9E">
        <w:t>diluted to low concentrations by the circulation of outside air.</w:t>
      </w:r>
    </w:p>
    <w:p w:rsidR="00F73110" w:rsidRPr="00720D9E" w:rsidRDefault="00F73110" w:rsidP="00DC7C4C">
      <w:pPr>
        <w:pStyle w:val="ListParagraph"/>
        <w:numPr>
          <w:ilvl w:val="0"/>
          <w:numId w:val="10"/>
        </w:numPr>
        <w:spacing w:before="200"/>
        <w:ind w:left="1440" w:hanging="720"/>
      </w:pPr>
      <w:r w:rsidRPr="00720D9E">
        <w:t>“Ventilation Air Methane Collection System” or “VAM Collection System” means a system that captures the ventilation air methane from the ventilation system.</w:t>
      </w:r>
    </w:p>
    <w:p w:rsidR="005815D0" w:rsidRPr="00720D9E" w:rsidRDefault="00256F11" w:rsidP="00DC7C4C">
      <w:pPr>
        <w:pStyle w:val="ListParagraph"/>
        <w:numPr>
          <w:ilvl w:val="0"/>
          <w:numId w:val="10"/>
        </w:numPr>
        <w:spacing w:before="200"/>
        <w:ind w:left="1440" w:hanging="720"/>
      </w:pPr>
      <w:r w:rsidRPr="00720D9E">
        <w:t>“Ventilation System” means a system</w:t>
      </w:r>
      <w:r w:rsidR="00EA09B3" w:rsidRPr="00720D9E">
        <w:t xml:space="preserve"> of fans</w:t>
      </w:r>
      <w:r w:rsidRPr="00720D9E">
        <w:t xml:space="preserve"> that </w:t>
      </w:r>
      <w:r w:rsidR="00D92291" w:rsidRPr="00720D9E">
        <w:t xml:space="preserve">provides a flow of air to underground workings of a mine for the purpose of sufficiently diluting </w:t>
      </w:r>
      <w:r w:rsidR="00EA09B3" w:rsidRPr="00720D9E">
        <w:t>and removing</w:t>
      </w:r>
      <w:r w:rsidR="00D92291" w:rsidRPr="00720D9E">
        <w:t xml:space="preserve"> methane and other </w:t>
      </w:r>
      <w:r w:rsidR="00EA09B3" w:rsidRPr="00720D9E">
        <w:t>noxious gases.</w:t>
      </w:r>
      <w:r w:rsidR="00EA09B3" w:rsidRPr="00720D9E" w:rsidDel="00EA09B3">
        <w:t xml:space="preserve"> </w:t>
      </w:r>
      <w:r w:rsidR="005815D0" w:rsidRPr="00720D9E">
        <w:t>“Venting</w:t>
      </w:r>
      <w:r w:rsidR="00BE4831" w:rsidRPr="00720D9E">
        <w:t>,</w:t>
      </w:r>
      <w:r w:rsidR="005815D0" w:rsidRPr="00720D9E">
        <w:t>”</w:t>
      </w:r>
      <w:r w:rsidR="004A5FA3" w:rsidRPr="00720D9E">
        <w:t xml:space="preserve"> in reference to an abandoned mine</w:t>
      </w:r>
      <w:r w:rsidR="00EA09B3" w:rsidRPr="00720D9E">
        <w:t>,</w:t>
      </w:r>
      <w:r w:rsidR="004A5FA3" w:rsidRPr="00720D9E">
        <w:t xml:space="preserve"> means that</w:t>
      </w:r>
      <w:r w:rsidR="004A5FA3" w:rsidRPr="00720D9E">
        <w:rPr>
          <w:lang w:val="en"/>
        </w:rPr>
        <w:t xml:space="preserve"> existing wells and ventilation shafts are left unsealed, allowing air into the mine and methane to escape freely to the atmosphere.</w:t>
      </w:r>
    </w:p>
    <w:p w:rsidR="00871DCC" w:rsidRPr="00720D9E" w:rsidRDefault="00120B09" w:rsidP="00DC7C4C">
      <w:pPr>
        <w:pStyle w:val="ListParagraph"/>
        <w:numPr>
          <w:ilvl w:val="0"/>
          <w:numId w:val="10"/>
        </w:numPr>
        <w:spacing w:before="200"/>
        <w:ind w:left="1440" w:hanging="720"/>
      </w:pPr>
      <w:r w:rsidRPr="00720D9E">
        <w:t xml:space="preserve">“Well” means </w:t>
      </w:r>
      <w:r w:rsidR="00D275A2" w:rsidRPr="00720D9E">
        <w:t xml:space="preserve">a well </w:t>
      </w:r>
      <w:r w:rsidR="00340BCA" w:rsidRPr="00720D9E">
        <w:t>drilled</w:t>
      </w:r>
      <w:r w:rsidR="00D275A2" w:rsidRPr="00720D9E">
        <w:t xml:space="preserve"> for extraction of natur</w:t>
      </w:r>
      <w:r w:rsidR="00871DCC" w:rsidRPr="00720D9E">
        <w:t>al gas from a coal seam</w:t>
      </w:r>
      <w:r w:rsidR="00EA09B3" w:rsidRPr="00720D9E">
        <w:t>, surrounding strata,</w:t>
      </w:r>
      <w:r w:rsidR="00871DCC" w:rsidRPr="00720D9E">
        <w:t xml:space="preserve"> or mine.</w:t>
      </w:r>
    </w:p>
    <w:p w:rsidR="005903BC" w:rsidRPr="00720D9E" w:rsidRDefault="005903BC" w:rsidP="0078624D">
      <w:pPr>
        <w:pStyle w:val="ListParagraph"/>
        <w:numPr>
          <w:ilvl w:val="0"/>
          <w:numId w:val="7"/>
        </w:numPr>
        <w:spacing w:before="200"/>
        <w:ind w:left="720" w:hanging="720"/>
      </w:pPr>
      <w:r w:rsidRPr="00720D9E">
        <w:t xml:space="preserve">For terms not defined in section </w:t>
      </w:r>
      <w:r w:rsidR="00645452" w:rsidRPr="00720D9E">
        <w:t>1.2</w:t>
      </w:r>
      <w:r w:rsidRPr="00720D9E">
        <w:t>(a), the definitions in the Regulation apply.</w:t>
      </w:r>
    </w:p>
    <w:p w:rsidR="003454D8" w:rsidRPr="00720D9E" w:rsidRDefault="003454D8" w:rsidP="0078624D">
      <w:pPr>
        <w:pStyle w:val="ListParagraph"/>
        <w:numPr>
          <w:ilvl w:val="0"/>
          <w:numId w:val="7"/>
        </w:numPr>
        <w:spacing w:before="200"/>
        <w:ind w:left="720" w:hanging="720"/>
      </w:pPr>
      <w:r w:rsidRPr="00720D9E">
        <w:t>Acronyms. For the purpose</w:t>
      </w:r>
      <w:r w:rsidR="00BE4831" w:rsidRPr="00720D9E">
        <w:t>s</w:t>
      </w:r>
      <w:r w:rsidRPr="00720D9E">
        <w:t xml:space="preserve"> of this protocol, the following acronyms apply:</w:t>
      </w:r>
    </w:p>
    <w:p w:rsidR="005C5693" w:rsidRPr="00720D9E" w:rsidRDefault="005C5693" w:rsidP="0078624D">
      <w:pPr>
        <w:pStyle w:val="ListParagraph"/>
        <w:numPr>
          <w:ilvl w:val="0"/>
          <w:numId w:val="8"/>
        </w:numPr>
        <w:spacing w:after="200"/>
        <w:ind w:hanging="720"/>
      </w:pPr>
      <w:r w:rsidRPr="00720D9E">
        <w:t>“AAPG” means American Association of Petroleum Geologists.</w:t>
      </w:r>
    </w:p>
    <w:p w:rsidR="00274E08" w:rsidRPr="00720D9E" w:rsidRDefault="00274E08" w:rsidP="0078624D">
      <w:pPr>
        <w:pStyle w:val="ListParagraph"/>
        <w:numPr>
          <w:ilvl w:val="0"/>
          <w:numId w:val="8"/>
        </w:numPr>
        <w:spacing w:after="200"/>
        <w:ind w:hanging="720"/>
      </w:pPr>
      <w:r w:rsidRPr="00720D9E">
        <w:t>“AB 32” means Assembly Bill 32, the Global Warming Solutions Act of 2006.</w:t>
      </w:r>
    </w:p>
    <w:p w:rsidR="001F5DC6" w:rsidRPr="00720D9E" w:rsidRDefault="001F5DC6" w:rsidP="0078624D">
      <w:pPr>
        <w:pStyle w:val="ListParagraph"/>
        <w:numPr>
          <w:ilvl w:val="0"/>
          <w:numId w:val="8"/>
        </w:numPr>
        <w:spacing w:after="200"/>
        <w:ind w:hanging="720"/>
      </w:pPr>
      <w:r w:rsidRPr="00720D9E">
        <w:t xml:space="preserve">“AMM” means </w:t>
      </w:r>
      <w:r w:rsidR="005C5693" w:rsidRPr="00720D9E">
        <w:t>a</w:t>
      </w:r>
      <w:r w:rsidRPr="00720D9E">
        <w:t xml:space="preserve">bandoned </w:t>
      </w:r>
      <w:r w:rsidR="005C5693" w:rsidRPr="00720D9E">
        <w:t>m</w:t>
      </w:r>
      <w:r w:rsidRPr="00720D9E">
        <w:t xml:space="preserve">ine </w:t>
      </w:r>
      <w:r w:rsidR="005C5693" w:rsidRPr="00720D9E">
        <w:t>m</w:t>
      </w:r>
      <w:r w:rsidRPr="00720D9E">
        <w:t>ethane</w:t>
      </w:r>
      <w:r w:rsidR="005C5693" w:rsidRPr="00720D9E">
        <w:t>.</w:t>
      </w:r>
    </w:p>
    <w:p w:rsidR="003A0D54" w:rsidRPr="00720D9E" w:rsidRDefault="003A0D54" w:rsidP="0078624D">
      <w:pPr>
        <w:pStyle w:val="ListParagraph"/>
        <w:numPr>
          <w:ilvl w:val="0"/>
          <w:numId w:val="8"/>
        </w:numPr>
        <w:spacing w:after="200"/>
        <w:ind w:hanging="720"/>
      </w:pPr>
      <w:r w:rsidRPr="00720D9E">
        <w:t>“APA” means Administrative Procedure Act</w:t>
      </w:r>
      <w:r w:rsidR="005C5693" w:rsidRPr="00720D9E">
        <w:t>.</w:t>
      </w:r>
    </w:p>
    <w:p w:rsidR="00CD29E5" w:rsidRPr="00720D9E" w:rsidRDefault="00CD29E5" w:rsidP="0078624D">
      <w:pPr>
        <w:pStyle w:val="ListParagraph"/>
        <w:numPr>
          <w:ilvl w:val="0"/>
          <w:numId w:val="8"/>
        </w:numPr>
        <w:spacing w:after="200"/>
        <w:ind w:hanging="720"/>
      </w:pPr>
      <w:r w:rsidRPr="00720D9E">
        <w:t>“APD” means Authorized Project Designee.</w:t>
      </w:r>
    </w:p>
    <w:p w:rsidR="00916BAF" w:rsidRPr="00720D9E" w:rsidRDefault="00916BAF" w:rsidP="0078624D">
      <w:pPr>
        <w:pStyle w:val="ListParagraph"/>
        <w:numPr>
          <w:ilvl w:val="0"/>
          <w:numId w:val="8"/>
        </w:numPr>
        <w:spacing w:after="200"/>
        <w:ind w:hanging="720"/>
      </w:pPr>
      <w:r w:rsidRPr="00720D9E">
        <w:t>“ARB” means the California Air Resources Board</w:t>
      </w:r>
      <w:r w:rsidR="00BF6CA8" w:rsidRPr="00720D9E">
        <w:t>.</w:t>
      </w:r>
    </w:p>
    <w:p w:rsidR="00760059" w:rsidRPr="00720D9E" w:rsidRDefault="005B7F7F" w:rsidP="0078624D">
      <w:pPr>
        <w:pStyle w:val="ListParagraph"/>
        <w:numPr>
          <w:ilvl w:val="0"/>
          <w:numId w:val="8"/>
        </w:numPr>
        <w:spacing w:after="200"/>
        <w:ind w:hanging="720"/>
      </w:pPr>
      <w:r w:rsidRPr="00720D9E" w:rsidDel="005B7F7F">
        <w:t xml:space="preserve"> </w:t>
      </w:r>
      <w:r w:rsidR="00760059" w:rsidRPr="00720D9E">
        <w:t>“atm” means atmosphere in reference to a unit of pressure.</w:t>
      </w:r>
    </w:p>
    <w:p w:rsidR="00B71733" w:rsidRPr="00720D9E" w:rsidRDefault="00B71733" w:rsidP="0078624D">
      <w:pPr>
        <w:pStyle w:val="ListParagraph"/>
        <w:numPr>
          <w:ilvl w:val="0"/>
          <w:numId w:val="8"/>
        </w:numPr>
        <w:spacing w:after="200"/>
        <w:ind w:hanging="720"/>
      </w:pPr>
      <w:r w:rsidRPr="00720D9E">
        <w:t>“BAU” means business as usual</w:t>
      </w:r>
      <w:r w:rsidR="00BF6CA8" w:rsidRPr="00720D9E">
        <w:t>.</w:t>
      </w:r>
    </w:p>
    <w:p w:rsidR="005C5693" w:rsidRPr="00720D9E" w:rsidRDefault="005C5693" w:rsidP="0078624D">
      <w:pPr>
        <w:pStyle w:val="ListParagraph"/>
        <w:numPr>
          <w:ilvl w:val="0"/>
          <w:numId w:val="8"/>
        </w:numPr>
        <w:spacing w:after="200"/>
        <w:ind w:hanging="720"/>
      </w:pPr>
      <w:r w:rsidRPr="00720D9E">
        <w:t>“Btu” means British thermal unit.</w:t>
      </w:r>
    </w:p>
    <w:p w:rsidR="00A50771" w:rsidRPr="00720D9E" w:rsidRDefault="00A50771" w:rsidP="0078624D">
      <w:pPr>
        <w:pStyle w:val="ListParagraph"/>
        <w:numPr>
          <w:ilvl w:val="0"/>
          <w:numId w:val="8"/>
        </w:numPr>
        <w:spacing w:after="200"/>
        <w:ind w:hanging="720"/>
      </w:pPr>
      <w:r w:rsidRPr="00720D9E">
        <w:t xml:space="preserve">“CBM” </w:t>
      </w:r>
      <w:r w:rsidR="00BE4831" w:rsidRPr="00720D9E">
        <w:t xml:space="preserve">means </w:t>
      </w:r>
      <w:r w:rsidRPr="00720D9E">
        <w:t>coal bed methane</w:t>
      </w:r>
      <w:r w:rsidR="005C5693" w:rsidRPr="00720D9E">
        <w:t>.</w:t>
      </w:r>
    </w:p>
    <w:p w:rsidR="00BF6CA8" w:rsidRPr="00720D9E" w:rsidRDefault="00BF6CA8" w:rsidP="0078624D">
      <w:pPr>
        <w:pStyle w:val="ListParagraph"/>
        <w:numPr>
          <w:ilvl w:val="0"/>
          <w:numId w:val="8"/>
        </w:numPr>
        <w:spacing w:after="200"/>
        <w:ind w:hanging="720"/>
      </w:pPr>
      <w:r w:rsidRPr="00720D9E">
        <w:t>“CH</w:t>
      </w:r>
      <w:r w:rsidRPr="00720D9E">
        <w:rPr>
          <w:vertAlign w:val="subscript"/>
        </w:rPr>
        <w:t>4</w:t>
      </w:r>
      <w:r w:rsidRPr="00720D9E">
        <w:t>” means methane.</w:t>
      </w:r>
    </w:p>
    <w:p w:rsidR="00BF6CA8" w:rsidRPr="00720D9E" w:rsidRDefault="00BF6CA8" w:rsidP="0078624D">
      <w:pPr>
        <w:pStyle w:val="ListParagraph"/>
        <w:numPr>
          <w:ilvl w:val="0"/>
          <w:numId w:val="8"/>
        </w:numPr>
        <w:spacing w:after="200"/>
        <w:ind w:hanging="720"/>
      </w:pPr>
      <w:r w:rsidRPr="00720D9E">
        <w:t>“CO</w:t>
      </w:r>
      <w:r w:rsidRPr="00720D9E">
        <w:rPr>
          <w:vertAlign w:val="subscript"/>
        </w:rPr>
        <w:t>2</w:t>
      </w:r>
      <w:r w:rsidRPr="00720D9E">
        <w:t>” means carbon dioxide.</w:t>
      </w:r>
    </w:p>
    <w:p w:rsidR="00BF6CA8" w:rsidRPr="00720D9E" w:rsidRDefault="00BF6CA8" w:rsidP="0078624D">
      <w:pPr>
        <w:pStyle w:val="ListParagraph"/>
        <w:numPr>
          <w:ilvl w:val="0"/>
          <w:numId w:val="8"/>
        </w:numPr>
        <w:spacing w:after="200"/>
        <w:ind w:hanging="720"/>
      </w:pPr>
      <w:r w:rsidRPr="00720D9E">
        <w:t>“CO</w:t>
      </w:r>
      <w:r w:rsidRPr="00720D9E">
        <w:rPr>
          <w:vertAlign w:val="subscript"/>
        </w:rPr>
        <w:t>2</w:t>
      </w:r>
      <w:r w:rsidRPr="00720D9E">
        <w:t>e” means carbon dioxide equivalent.</w:t>
      </w:r>
    </w:p>
    <w:p w:rsidR="00BF6CA8" w:rsidRPr="00720D9E" w:rsidRDefault="005B7F7F" w:rsidP="0078624D">
      <w:pPr>
        <w:pStyle w:val="ListParagraph"/>
        <w:numPr>
          <w:ilvl w:val="0"/>
          <w:numId w:val="8"/>
        </w:numPr>
        <w:spacing w:after="200"/>
        <w:ind w:hanging="720"/>
      </w:pPr>
      <w:r w:rsidRPr="00720D9E" w:rsidDel="005B7F7F">
        <w:lastRenderedPageBreak/>
        <w:t xml:space="preserve"> </w:t>
      </w:r>
      <w:r w:rsidR="00BF6CA8" w:rsidRPr="00720D9E">
        <w:t>“F” means Fahrenheit.</w:t>
      </w:r>
    </w:p>
    <w:p w:rsidR="00BF6CA8" w:rsidRPr="00720D9E" w:rsidRDefault="00BF6CA8" w:rsidP="0078624D">
      <w:pPr>
        <w:pStyle w:val="ListParagraph"/>
        <w:numPr>
          <w:ilvl w:val="0"/>
          <w:numId w:val="8"/>
        </w:numPr>
        <w:spacing w:after="200"/>
        <w:ind w:hanging="720"/>
      </w:pPr>
      <w:r w:rsidRPr="00720D9E">
        <w:t>“GHG” means greenhouse gas.</w:t>
      </w:r>
    </w:p>
    <w:p w:rsidR="00BF6CA8" w:rsidRPr="00720D9E" w:rsidRDefault="00BF6CA8" w:rsidP="0078624D">
      <w:pPr>
        <w:pStyle w:val="ListParagraph"/>
        <w:numPr>
          <w:ilvl w:val="0"/>
          <w:numId w:val="8"/>
        </w:numPr>
        <w:spacing w:after="200"/>
        <w:ind w:hanging="720"/>
      </w:pPr>
      <w:r w:rsidRPr="00720D9E">
        <w:t>“GWP” means global warming potential.</w:t>
      </w:r>
    </w:p>
    <w:p w:rsidR="005815D0" w:rsidRPr="00720D9E" w:rsidRDefault="005815D0" w:rsidP="0078624D">
      <w:pPr>
        <w:pStyle w:val="ListParagraph"/>
        <w:numPr>
          <w:ilvl w:val="0"/>
          <w:numId w:val="8"/>
        </w:numPr>
        <w:spacing w:after="200"/>
        <w:ind w:hanging="720"/>
      </w:pPr>
      <w:r w:rsidRPr="00720D9E">
        <w:t>“kg” means kilogram</w:t>
      </w:r>
      <w:r w:rsidR="00BE4831" w:rsidRPr="00720D9E">
        <w:t>.</w:t>
      </w:r>
    </w:p>
    <w:p w:rsidR="005815D0" w:rsidRPr="00720D9E" w:rsidRDefault="005815D0" w:rsidP="0078624D">
      <w:pPr>
        <w:pStyle w:val="ListParagraph"/>
        <w:numPr>
          <w:ilvl w:val="0"/>
          <w:numId w:val="8"/>
        </w:numPr>
        <w:spacing w:after="200"/>
        <w:ind w:hanging="720"/>
      </w:pPr>
      <w:r w:rsidRPr="00720D9E">
        <w:t>“lb” means pound</w:t>
      </w:r>
      <w:r w:rsidR="00BE4831" w:rsidRPr="00720D9E">
        <w:t>.</w:t>
      </w:r>
    </w:p>
    <w:p w:rsidR="00062A6F" w:rsidRPr="00720D9E" w:rsidRDefault="00062A6F" w:rsidP="0078624D">
      <w:pPr>
        <w:pStyle w:val="ListParagraph"/>
        <w:numPr>
          <w:ilvl w:val="0"/>
          <w:numId w:val="8"/>
        </w:numPr>
        <w:spacing w:after="200"/>
        <w:ind w:hanging="720"/>
      </w:pPr>
      <w:r w:rsidRPr="00720D9E">
        <w:t>“m” means minute.</w:t>
      </w:r>
    </w:p>
    <w:p w:rsidR="00B34B10" w:rsidRPr="00720D9E" w:rsidRDefault="00B34B10" w:rsidP="0078624D">
      <w:pPr>
        <w:pStyle w:val="ListParagraph"/>
        <w:numPr>
          <w:ilvl w:val="0"/>
          <w:numId w:val="8"/>
        </w:numPr>
        <w:spacing w:after="200"/>
        <w:ind w:hanging="720"/>
      </w:pPr>
      <w:r w:rsidRPr="00720D9E">
        <w:t>“MG” means mine gas.</w:t>
      </w:r>
    </w:p>
    <w:p w:rsidR="00B34B10" w:rsidRPr="00720D9E" w:rsidRDefault="00B34B10" w:rsidP="0078624D">
      <w:pPr>
        <w:pStyle w:val="ListParagraph"/>
        <w:numPr>
          <w:ilvl w:val="0"/>
          <w:numId w:val="8"/>
        </w:numPr>
        <w:spacing w:after="200"/>
        <w:ind w:hanging="720"/>
      </w:pPr>
      <w:r w:rsidRPr="00720D9E">
        <w:t>“MM” means mine methane.</w:t>
      </w:r>
    </w:p>
    <w:p w:rsidR="00D275A2" w:rsidRPr="00720D9E" w:rsidRDefault="00D275A2" w:rsidP="0078624D">
      <w:pPr>
        <w:pStyle w:val="ListParagraph"/>
        <w:numPr>
          <w:ilvl w:val="0"/>
          <w:numId w:val="8"/>
        </w:numPr>
        <w:spacing w:after="200"/>
        <w:ind w:hanging="720"/>
      </w:pPr>
      <w:r w:rsidRPr="00720D9E">
        <w:t>“MMBtu” means million British thermal units.</w:t>
      </w:r>
    </w:p>
    <w:p w:rsidR="00B34B10" w:rsidRPr="00720D9E" w:rsidRDefault="00B34B10" w:rsidP="0078624D">
      <w:pPr>
        <w:pStyle w:val="ListParagraph"/>
        <w:numPr>
          <w:ilvl w:val="0"/>
          <w:numId w:val="8"/>
        </w:numPr>
        <w:spacing w:after="200"/>
        <w:ind w:hanging="720"/>
      </w:pPr>
      <w:r w:rsidRPr="00720D9E">
        <w:t>“MMC” means mine methane capture.</w:t>
      </w:r>
    </w:p>
    <w:p w:rsidR="00B34B10" w:rsidRPr="00720D9E" w:rsidRDefault="00B34B10" w:rsidP="0078624D">
      <w:pPr>
        <w:pStyle w:val="ListParagraph"/>
        <w:numPr>
          <w:ilvl w:val="0"/>
          <w:numId w:val="8"/>
        </w:numPr>
        <w:spacing w:after="200"/>
        <w:ind w:hanging="720"/>
      </w:pPr>
      <w:r w:rsidRPr="00720D9E">
        <w:t xml:space="preserve">“MRR” means Mandatory Reporting Regulation; the </w:t>
      </w:r>
      <w:r w:rsidRPr="00720D9E">
        <w:rPr>
          <w:lang w:val="en"/>
        </w:rPr>
        <w:t>Regulation for the Mandatory Reporting of Greenhouse Gas Emissions.</w:t>
      </w:r>
    </w:p>
    <w:p w:rsidR="00A01D72" w:rsidRPr="00720D9E" w:rsidRDefault="00D275A2" w:rsidP="0078624D">
      <w:pPr>
        <w:pStyle w:val="ListParagraph"/>
        <w:numPr>
          <w:ilvl w:val="0"/>
          <w:numId w:val="8"/>
        </w:numPr>
        <w:spacing w:after="200"/>
        <w:ind w:hanging="720"/>
      </w:pPr>
      <w:r w:rsidRPr="00720D9E">
        <w:t>“Mscf” means thousand standard cubic feet.</w:t>
      </w:r>
    </w:p>
    <w:p w:rsidR="00A01D72" w:rsidRPr="00720D9E" w:rsidRDefault="00A01D72" w:rsidP="0078624D">
      <w:pPr>
        <w:pStyle w:val="ListParagraph"/>
        <w:numPr>
          <w:ilvl w:val="0"/>
          <w:numId w:val="8"/>
        </w:numPr>
        <w:spacing w:after="200"/>
        <w:ind w:hanging="720"/>
      </w:pPr>
      <w:r w:rsidRPr="00720D9E">
        <w:t>“MSHA” means Mine Safety and Health Administration.</w:t>
      </w:r>
    </w:p>
    <w:p w:rsidR="005815D0" w:rsidRPr="00720D9E" w:rsidRDefault="005815D0" w:rsidP="0078624D">
      <w:pPr>
        <w:pStyle w:val="ListParagraph"/>
        <w:numPr>
          <w:ilvl w:val="0"/>
          <w:numId w:val="8"/>
        </w:numPr>
        <w:spacing w:after="200"/>
        <w:ind w:hanging="720"/>
      </w:pPr>
      <w:r w:rsidRPr="00720D9E">
        <w:t xml:space="preserve"> “MWh” means megawatt hour</w:t>
      </w:r>
      <w:r w:rsidR="00BE4831" w:rsidRPr="00720D9E">
        <w:t>.</w:t>
      </w:r>
    </w:p>
    <w:p w:rsidR="00BF6CA8" w:rsidRPr="00720D9E" w:rsidRDefault="00BF6CA8" w:rsidP="0078624D">
      <w:pPr>
        <w:pStyle w:val="ListParagraph"/>
        <w:numPr>
          <w:ilvl w:val="0"/>
          <w:numId w:val="8"/>
        </w:numPr>
        <w:spacing w:after="200"/>
        <w:ind w:hanging="720"/>
      </w:pPr>
      <w:r w:rsidRPr="00720D9E">
        <w:t>“N</w:t>
      </w:r>
      <w:r w:rsidRPr="00720D9E">
        <w:rPr>
          <w:vertAlign w:val="subscript"/>
        </w:rPr>
        <w:t>2</w:t>
      </w:r>
      <w:r w:rsidRPr="00720D9E">
        <w:t>O” means nitrous oxide.</w:t>
      </w:r>
    </w:p>
    <w:p w:rsidR="00ED6FDB" w:rsidRPr="00720D9E" w:rsidRDefault="00ED6FDB" w:rsidP="0078624D">
      <w:pPr>
        <w:pStyle w:val="ListParagraph"/>
        <w:numPr>
          <w:ilvl w:val="0"/>
          <w:numId w:val="8"/>
        </w:numPr>
        <w:spacing w:after="200"/>
        <w:ind w:hanging="720"/>
      </w:pPr>
      <w:r w:rsidRPr="00720D9E">
        <w:t>“OPDR” means Offset Project Development Report</w:t>
      </w:r>
      <w:r w:rsidR="005C5693" w:rsidRPr="00720D9E">
        <w:t>.</w:t>
      </w:r>
    </w:p>
    <w:p w:rsidR="00CD29E5" w:rsidRPr="00720D9E" w:rsidRDefault="00CD29E5" w:rsidP="0078624D">
      <w:pPr>
        <w:pStyle w:val="ListParagraph"/>
        <w:numPr>
          <w:ilvl w:val="0"/>
          <w:numId w:val="8"/>
        </w:numPr>
        <w:spacing w:after="200"/>
        <w:ind w:hanging="720"/>
      </w:pPr>
      <w:r w:rsidRPr="00720D9E">
        <w:t>“OPO” means Offset Project Operator.</w:t>
      </w:r>
    </w:p>
    <w:p w:rsidR="005815D0" w:rsidRPr="00720D9E" w:rsidRDefault="005815D0" w:rsidP="0078624D">
      <w:pPr>
        <w:pStyle w:val="ListParagraph"/>
        <w:numPr>
          <w:ilvl w:val="0"/>
          <w:numId w:val="8"/>
        </w:numPr>
        <w:spacing w:after="200"/>
        <w:ind w:hanging="720"/>
      </w:pPr>
      <w:r w:rsidRPr="00720D9E">
        <w:t>“R” means Rankine</w:t>
      </w:r>
      <w:r w:rsidR="00BE4831" w:rsidRPr="00720D9E">
        <w:t>.</w:t>
      </w:r>
    </w:p>
    <w:p w:rsidR="00BF6CA8" w:rsidRPr="00720D9E" w:rsidRDefault="00BF6CA8" w:rsidP="0078624D">
      <w:pPr>
        <w:pStyle w:val="ListParagraph"/>
        <w:numPr>
          <w:ilvl w:val="0"/>
          <w:numId w:val="8"/>
        </w:numPr>
        <w:spacing w:after="200"/>
        <w:ind w:hanging="720"/>
      </w:pPr>
      <w:r w:rsidRPr="00720D9E">
        <w:t>“scf” means standard cubic foot.</w:t>
      </w:r>
    </w:p>
    <w:p w:rsidR="005815D0" w:rsidRPr="00720D9E" w:rsidRDefault="005815D0" w:rsidP="0078624D">
      <w:pPr>
        <w:pStyle w:val="ListParagraph"/>
        <w:numPr>
          <w:ilvl w:val="0"/>
          <w:numId w:val="8"/>
        </w:numPr>
        <w:spacing w:after="200"/>
        <w:ind w:hanging="720"/>
      </w:pPr>
      <w:r w:rsidRPr="00720D9E">
        <w:t>“scf/d” means standard cubic feet per day.</w:t>
      </w:r>
    </w:p>
    <w:p w:rsidR="00062A6F" w:rsidRPr="00720D9E" w:rsidRDefault="00062A6F" w:rsidP="0078624D">
      <w:pPr>
        <w:pStyle w:val="ListParagraph"/>
        <w:numPr>
          <w:ilvl w:val="0"/>
          <w:numId w:val="8"/>
        </w:numPr>
        <w:spacing w:after="200"/>
        <w:ind w:hanging="720"/>
      </w:pPr>
      <w:r w:rsidRPr="00720D9E">
        <w:t>“scfm” means standard cubic feet per minute.</w:t>
      </w:r>
    </w:p>
    <w:p w:rsidR="00DB3C31" w:rsidRPr="00720D9E" w:rsidRDefault="00DB3C31" w:rsidP="0078624D">
      <w:pPr>
        <w:pStyle w:val="ListParagraph"/>
        <w:numPr>
          <w:ilvl w:val="0"/>
          <w:numId w:val="8"/>
        </w:numPr>
        <w:spacing w:after="200"/>
        <w:ind w:hanging="720"/>
      </w:pPr>
      <w:r w:rsidRPr="00720D9E">
        <w:t>“SMM” mean surface mine methane.</w:t>
      </w:r>
    </w:p>
    <w:p w:rsidR="00760059" w:rsidRPr="00720D9E" w:rsidRDefault="00760059" w:rsidP="0078624D">
      <w:pPr>
        <w:pStyle w:val="ListParagraph"/>
        <w:numPr>
          <w:ilvl w:val="0"/>
          <w:numId w:val="8"/>
        </w:numPr>
        <w:spacing w:after="200"/>
        <w:ind w:hanging="720"/>
      </w:pPr>
      <w:r w:rsidRPr="00720D9E">
        <w:t>“SSR” means GHG sources, sinks</w:t>
      </w:r>
      <w:r w:rsidR="00D568E3" w:rsidRPr="00720D9E">
        <w:t>,</w:t>
      </w:r>
      <w:r w:rsidRPr="00720D9E">
        <w:t xml:space="preserve"> and reservoirs.</w:t>
      </w:r>
    </w:p>
    <w:p w:rsidR="00BF6CA8" w:rsidRPr="00720D9E" w:rsidRDefault="00BF6CA8" w:rsidP="0078624D">
      <w:pPr>
        <w:pStyle w:val="ListParagraph"/>
        <w:numPr>
          <w:ilvl w:val="0"/>
          <w:numId w:val="8"/>
        </w:numPr>
        <w:spacing w:after="200"/>
        <w:ind w:hanging="720"/>
      </w:pPr>
      <w:r w:rsidRPr="00720D9E">
        <w:t>“STP” means standard temperature and pressure.</w:t>
      </w:r>
    </w:p>
    <w:p w:rsidR="005815D0" w:rsidRPr="00720D9E" w:rsidRDefault="005815D0" w:rsidP="0078624D">
      <w:pPr>
        <w:pStyle w:val="ListParagraph"/>
        <w:numPr>
          <w:ilvl w:val="0"/>
          <w:numId w:val="8"/>
        </w:numPr>
        <w:spacing w:after="200"/>
        <w:ind w:hanging="720"/>
      </w:pPr>
      <w:r w:rsidRPr="00720D9E">
        <w:t xml:space="preserve">“t” means </w:t>
      </w:r>
      <w:r w:rsidR="00F73110" w:rsidRPr="00720D9E">
        <w:t xml:space="preserve">metric </w:t>
      </w:r>
      <w:r w:rsidRPr="00720D9E">
        <w:t>ton</w:t>
      </w:r>
      <w:r w:rsidR="00BE4831" w:rsidRPr="00720D9E">
        <w:t>.</w:t>
      </w:r>
    </w:p>
    <w:p w:rsidR="00377450" w:rsidRPr="00720D9E" w:rsidRDefault="00377450" w:rsidP="0078624D">
      <w:pPr>
        <w:pStyle w:val="ListParagraph"/>
        <w:numPr>
          <w:ilvl w:val="0"/>
          <w:numId w:val="8"/>
        </w:numPr>
        <w:spacing w:after="200"/>
        <w:ind w:hanging="720"/>
      </w:pPr>
      <w:r w:rsidRPr="00720D9E">
        <w:t>“QA/QC” means quality assurance and quality control.</w:t>
      </w:r>
    </w:p>
    <w:p w:rsidR="00B34B10" w:rsidRPr="00720D9E" w:rsidRDefault="00B34B10" w:rsidP="0078624D">
      <w:pPr>
        <w:pStyle w:val="ListParagraph"/>
        <w:numPr>
          <w:ilvl w:val="0"/>
          <w:numId w:val="8"/>
        </w:numPr>
        <w:spacing w:after="200"/>
        <w:ind w:hanging="720"/>
      </w:pPr>
      <w:r w:rsidRPr="00720D9E">
        <w:t>“VAM” means ventilation air methane.</w:t>
      </w:r>
    </w:p>
    <w:p w:rsidR="00155E2B" w:rsidRPr="00720D9E" w:rsidRDefault="00D25B46" w:rsidP="00A27548">
      <w:pPr>
        <w:pStyle w:val="Heading1"/>
        <w:rPr>
          <w:rFonts w:ascii="Arial-BoldMT" w:hAnsi="Arial-BoldMT" w:cs="Arial-BoldMT"/>
          <w:sz w:val="20"/>
          <w:szCs w:val="20"/>
        </w:rPr>
      </w:pPr>
      <w:bookmarkStart w:id="4" w:name="_Toc364243178"/>
      <w:r w:rsidRPr="00720D9E">
        <w:t>Chapter</w:t>
      </w:r>
      <w:r w:rsidR="00971F96" w:rsidRPr="00720D9E">
        <w:t xml:space="preserve"> </w:t>
      </w:r>
      <w:r w:rsidR="006F24A1" w:rsidRPr="00720D9E">
        <w:t>2</w:t>
      </w:r>
      <w:r w:rsidR="00971F96" w:rsidRPr="00720D9E">
        <w:t>:</w:t>
      </w:r>
      <w:r w:rsidR="00A27548" w:rsidRPr="00720D9E">
        <w:t xml:space="preserve"> </w:t>
      </w:r>
      <w:r w:rsidR="009D40FD" w:rsidRPr="00720D9E">
        <w:t>Eligible Activities</w:t>
      </w:r>
      <w:r w:rsidR="0056242F" w:rsidRPr="00720D9E">
        <w:t xml:space="preserve"> – Quantification Methodology</w:t>
      </w:r>
      <w:bookmarkEnd w:id="4"/>
    </w:p>
    <w:p w:rsidR="00871DCC" w:rsidRPr="00720D9E" w:rsidRDefault="008F3F10" w:rsidP="00507402">
      <w:r w:rsidRPr="00720D9E">
        <w:t xml:space="preserve">This protocol </w:t>
      </w:r>
      <w:r w:rsidR="005903BC" w:rsidRPr="00720D9E">
        <w:t>includes four</w:t>
      </w:r>
      <w:r w:rsidRPr="00720D9E">
        <w:t xml:space="preserve"> </w:t>
      </w:r>
      <w:r w:rsidR="00355BA6" w:rsidRPr="00720D9E">
        <w:t xml:space="preserve">mine methane capture </w:t>
      </w:r>
      <w:r w:rsidR="009D40FD" w:rsidRPr="00720D9E">
        <w:t>activities</w:t>
      </w:r>
      <w:r w:rsidRPr="00720D9E">
        <w:t xml:space="preserve"> designed to reduce GHG emissions that result from the mining process at</w:t>
      </w:r>
      <w:r w:rsidR="00355BA6" w:rsidRPr="00720D9E">
        <w:t xml:space="preserve"> active underground mines, </w:t>
      </w:r>
      <w:r w:rsidR="00871DCC" w:rsidRPr="00720D9E">
        <w:t xml:space="preserve">active </w:t>
      </w:r>
      <w:r w:rsidR="00871DCC" w:rsidRPr="00720D9E">
        <w:lastRenderedPageBreak/>
        <w:t>surface mines</w:t>
      </w:r>
      <w:r w:rsidR="00355BA6" w:rsidRPr="00720D9E">
        <w:t>,</w:t>
      </w:r>
      <w:r w:rsidR="00871DCC" w:rsidRPr="00720D9E">
        <w:t xml:space="preserve"> and abandoned underground mines.</w:t>
      </w:r>
      <w:r w:rsidR="00355BA6" w:rsidRPr="00720D9E">
        <w:t xml:space="preserve"> </w:t>
      </w:r>
      <w:r w:rsidR="00507402" w:rsidRPr="00720D9E">
        <w:t xml:space="preserve"> </w:t>
      </w:r>
      <w:r w:rsidR="00355BA6" w:rsidRPr="00720D9E">
        <w:t>The following types of mine methane capture activities are eligible:</w:t>
      </w:r>
    </w:p>
    <w:p w:rsidR="00480477" w:rsidRPr="00720D9E" w:rsidRDefault="00480477" w:rsidP="00480477">
      <w:pPr>
        <w:pStyle w:val="Heading2"/>
      </w:pPr>
      <w:bookmarkStart w:id="5" w:name="_Toc364243179"/>
      <w:r w:rsidRPr="00720D9E">
        <w:t xml:space="preserve">§ </w:t>
      </w:r>
      <w:r w:rsidR="00926183" w:rsidRPr="00720D9E">
        <w:t>2.1</w:t>
      </w:r>
      <w:r w:rsidRPr="00720D9E">
        <w:t>. Active Underground</w:t>
      </w:r>
      <w:r w:rsidR="00D973CA" w:rsidRPr="00720D9E">
        <w:t xml:space="preserve"> Mine</w:t>
      </w:r>
      <w:r w:rsidRPr="00720D9E">
        <w:t xml:space="preserve"> Ventilation Air Methane </w:t>
      </w:r>
      <w:r w:rsidR="009D40FD" w:rsidRPr="00720D9E">
        <w:t>Activities</w:t>
      </w:r>
      <w:r w:rsidRPr="00720D9E">
        <w:t>.</w:t>
      </w:r>
      <w:bookmarkEnd w:id="5"/>
    </w:p>
    <w:p w:rsidR="00480477" w:rsidRPr="00720D9E" w:rsidRDefault="00480477" w:rsidP="00480477">
      <w:r w:rsidRPr="00720D9E">
        <w:t xml:space="preserve">This protocol applies to </w:t>
      </w:r>
      <w:r w:rsidR="009D40FD" w:rsidRPr="00720D9E">
        <w:t>MMC</w:t>
      </w:r>
      <w:r w:rsidRPr="00720D9E">
        <w:t xml:space="preserve"> projects that install a </w:t>
      </w:r>
      <w:r w:rsidR="009D40FD" w:rsidRPr="00720D9E">
        <w:t>ventilation air methane (</w:t>
      </w:r>
      <w:r w:rsidRPr="00720D9E">
        <w:t>VAM</w:t>
      </w:r>
      <w:r w:rsidR="009D40FD" w:rsidRPr="00720D9E">
        <w:t>)</w:t>
      </w:r>
      <w:r w:rsidRPr="00720D9E">
        <w:t xml:space="preserve"> collection system and </w:t>
      </w:r>
      <w:r w:rsidR="009D40FD" w:rsidRPr="00720D9E">
        <w:t>qualifying device</w:t>
      </w:r>
      <w:r w:rsidRPr="00720D9E">
        <w:t xml:space="preserve"> to destroy the methane in VAM otherwise vented into the atmosphere </w:t>
      </w:r>
      <w:r w:rsidR="00655DB6" w:rsidRPr="00720D9E">
        <w:t xml:space="preserve">through the return air shaft(s) </w:t>
      </w:r>
      <w:r w:rsidRPr="00720D9E">
        <w:t xml:space="preserve">as a result of underground </w:t>
      </w:r>
      <w:r w:rsidR="00C55023" w:rsidRPr="00720D9E">
        <w:t xml:space="preserve">coal or trona </w:t>
      </w:r>
      <w:r w:rsidRPr="00720D9E">
        <w:t>mining operations.</w:t>
      </w:r>
    </w:p>
    <w:p w:rsidR="00003552" w:rsidRPr="00720D9E" w:rsidRDefault="00003552" w:rsidP="00003552">
      <w:pPr>
        <w:pStyle w:val="ListParagraph"/>
        <w:numPr>
          <w:ilvl w:val="0"/>
          <w:numId w:val="12"/>
        </w:numPr>
        <w:ind w:left="720"/>
      </w:pPr>
      <w:r w:rsidRPr="00720D9E">
        <w:t xml:space="preserve">Ventilation shafts </w:t>
      </w:r>
      <w:r w:rsidR="00F64066" w:rsidRPr="00720D9E">
        <w:t xml:space="preserve">are </w:t>
      </w:r>
      <w:r w:rsidRPr="00720D9E">
        <w:t xml:space="preserve">the only methane source eligible for VAM </w:t>
      </w:r>
      <w:r w:rsidR="009D40FD" w:rsidRPr="00720D9E">
        <w:t>activities</w:t>
      </w:r>
      <w:r w:rsidRPr="00720D9E">
        <w:t>.</w:t>
      </w:r>
    </w:p>
    <w:p w:rsidR="003435E0" w:rsidRPr="00720D9E" w:rsidRDefault="003435E0" w:rsidP="00DC7C4C">
      <w:pPr>
        <w:pStyle w:val="ListParagraph"/>
        <w:numPr>
          <w:ilvl w:val="0"/>
          <w:numId w:val="12"/>
        </w:numPr>
        <w:ind w:left="720"/>
      </w:pPr>
      <w:r w:rsidRPr="00720D9E">
        <w:t xml:space="preserve">In order to be considered a qualifying device for the purpose of this protocol, </w:t>
      </w:r>
      <w:r w:rsidR="009D40FD" w:rsidRPr="00720D9E">
        <w:t xml:space="preserve">the device </w:t>
      </w:r>
      <w:r w:rsidRPr="00720D9E">
        <w:t xml:space="preserve">must not be operating at the mine prior to </w:t>
      </w:r>
      <w:r w:rsidR="004447DE" w:rsidRPr="00720D9E">
        <w:t xml:space="preserve">offset </w:t>
      </w:r>
      <w:r w:rsidRPr="00720D9E">
        <w:t>project commencement.</w:t>
      </w:r>
    </w:p>
    <w:p w:rsidR="00C4451C" w:rsidRPr="00720D9E" w:rsidRDefault="00C4451C" w:rsidP="00E36874">
      <w:pPr>
        <w:pStyle w:val="ListParagraph"/>
        <w:numPr>
          <w:ilvl w:val="0"/>
          <w:numId w:val="12"/>
        </w:numPr>
        <w:ind w:left="720"/>
        <w:rPr>
          <w:color w:val="auto"/>
        </w:rPr>
      </w:pPr>
      <w:r w:rsidRPr="00720D9E">
        <w:rPr>
          <w:color w:val="auto"/>
        </w:rPr>
        <w:t xml:space="preserve">At active underground mines, an </w:t>
      </w:r>
      <w:r w:rsidR="00BD6520" w:rsidRPr="00720D9E">
        <w:rPr>
          <w:color w:val="auto"/>
        </w:rPr>
        <w:t>Offset Project Operator</w:t>
      </w:r>
      <w:r w:rsidR="00F64066" w:rsidRPr="00720D9E">
        <w:rPr>
          <w:color w:val="auto"/>
        </w:rPr>
        <w:t xml:space="preserve"> or </w:t>
      </w:r>
      <w:r w:rsidR="00BD6520" w:rsidRPr="00720D9E">
        <w:rPr>
          <w:color w:val="auto"/>
        </w:rPr>
        <w:t xml:space="preserve">Authorized Project Designee </w:t>
      </w:r>
      <w:r w:rsidRPr="00720D9E">
        <w:rPr>
          <w:color w:val="auto"/>
        </w:rPr>
        <w:t xml:space="preserve">may operate both VAM and methane drainage activities as a single </w:t>
      </w:r>
      <w:r w:rsidR="00C65518" w:rsidRPr="00720D9E">
        <w:rPr>
          <w:color w:val="auto"/>
        </w:rPr>
        <w:t xml:space="preserve">offset </w:t>
      </w:r>
      <w:r w:rsidRPr="00720D9E">
        <w:rPr>
          <w:color w:val="auto"/>
        </w:rPr>
        <w:t xml:space="preserve">project all sharing the earliest commencement date.  Alternatively, the </w:t>
      </w:r>
      <w:r w:rsidR="00F64066" w:rsidRPr="00720D9E">
        <w:rPr>
          <w:color w:val="auto"/>
        </w:rPr>
        <w:t>Offset Project Operator or Authorized Project Designee</w:t>
      </w:r>
      <w:r w:rsidRPr="00720D9E">
        <w:rPr>
          <w:color w:val="auto"/>
        </w:rPr>
        <w:t xml:space="preserve"> may elect to operate separate</w:t>
      </w:r>
      <w:r w:rsidR="00C65518" w:rsidRPr="00720D9E">
        <w:rPr>
          <w:color w:val="auto"/>
        </w:rPr>
        <w:t xml:space="preserve"> offset</w:t>
      </w:r>
      <w:r w:rsidRPr="00720D9E">
        <w:rPr>
          <w:color w:val="auto"/>
        </w:rPr>
        <w:t xml:space="preserve"> projects for each activity with unique commencement dates.</w:t>
      </w:r>
    </w:p>
    <w:p w:rsidR="0086192B" w:rsidRPr="00720D9E" w:rsidRDefault="001E25BD" w:rsidP="00E36874">
      <w:pPr>
        <w:pStyle w:val="ListParagraph"/>
        <w:numPr>
          <w:ilvl w:val="0"/>
          <w:numId w:val="12"/>
        </w:numPr>
        <w:ind w:left="720"/>
        <w:rPr>
          <w:color w:val="auto"/>
        </w:rPr>
      </w:pPr>
      <w:r w:rsidRPr="00720D9E">
        <w:rPr>
          <w:color w:val="auto"/>
        </w:rPr>
        <w:t xml:space="preserve">If </w:t>
      </w:r>
      <w:r w:rsidR="00C4451C" w:rsidRPr="00720D9E">
        <w:rPr>
          <w:color w:val="auto"/>
        </w:rPr>
        <w:t xml:space="preserve">a </w:t>
      </w:r>
      <w:r w:rsidR="0086192B" w:rsidRPr="00720D9E">
        <w:rPr>
          <w:color w:val="auto"/>
        </w:rPr>
        <w:t xml:space="preserve">newly </w:t>
      </w:r>
      <w:r w:rsidR="00C65518" w:rsidRPr="00720D9E">
        <w:rPr>
          <w:color w:val="auto"/>
        </w:rPr>
        <w:t>constructed ventilation</w:t>
      </w:r>
      <w:r w:rsidR="0086192B" w:rsidRPr="00720D9E">
        <w:rPr>
          <w:color w:val="auto"/>
        </w:rPr>
        <w:t xml:space="preserve"> shaft</w:t>
      </w:r>
      <w:r w:rsidR="00C4451C" w:rsidRPr="00720D9E">
        <w:rPr>
          <w:color w:val="auto"/>
        </w:rPr>
        <w:t xml:space="preserve"> is connected</w:t>
      </w:r>
      <w:r w:rsidR="0086192B" w:rsidRPr="00720D9E">
        <w:rPr>
          <w:color w:val="auto"/>
        </w:rPr>
        <w:t xml:space="preserve"> to an existing or new destruction device after</w:t>
      </w:r>
      <w:r w:rsidRPr="00720D9E">
        <w:rPr>
          <w:color w:val="auto"/>
        </w:rPr>
        <w:t xml:space="preserve"> </w:t>
      </w:r>
      <w:r w:rsidR="004447DE" w:rsidRPr="00720D9E">
        <w:rPr>
          <w:color w:val="auto"/>
        </w:rPr>
        <w:t xml:space="preserve">offset </w:t>
      </w:r>
      <w:r w:rsidRPr="00720D9E">
        <w:rPr>
          <w:color w:val="auto"/>
        </w:rPr>
        <w:t xml:space="preserve">project commencement, the </w:t>
      </w:r>
      <w:r w:rsidR="00F64066" w:rsidRPr="00720D9E">
        <w:rPr>
          <w:color w:val="auto"/>
        </w:rPr>
        <w:t xml:space="preserve">Offset Project Operator </w:t>
      </w:r>
      <w:r w:rsidRPr="00720D9E">
        <w:rPr>
          <w:color w:val="auto"/>
        </w:rPr>
        <w:t xml:space="preserve">may </w:t>
      </w:r>
      <w:r w:rsidR="00F64066" w:rsidRPr="00720D9E">
        <w:rPr>
          <w:color w:val="auto"/>
        </w:rPr>
        <w:t xml:space="preserve">either </w:t>
      </w:r>
      <w:r w:rsidRPr="00720D9E">
        <w:rPr>
          <w:color w:val="auto"/>
        </w:rPr>
        <w:t>classify it as a</w:t>
      </w:r>
      <w:r w:rsidR="00F126D0" w:rsidRPr="00720D9E">
        <w:rPr>
          <w:color w:val="auto"/>
        </w:rPr>
        <w:t>n offset</w:t>
      </w:r>
      <w:r w:rsidRPr="00720D9E">
        <w:rPr>
          <w:color w:val="auto"/>
        </w:rPr>
        <w:t xml:space="preserve"> project expansion or register the addition as a new MMC </w:t>
      </w:r>
      <w:r w:rsidR="0086192B" w:rsidRPr="00720D9E">
        <w:rPr>
          <w:color w:val="auto"/>
        </w:rPr>
        <w:t xml:space="preserve">project.  </w:t>
      </w:r>
    </w:p>
    <w:p w:rsidR="00C65518" w:rsidRPr="00720D9E" w:rsidRDefault="00C65518" w:rsidP="00E36874">
      <w:pPr>
        <w:pStyle w:val="ListParagraph"/>
        <w:numPr>
          <w:ilvl w:val="0"/>
          <w:numId w:val="12"/>
        </w:numPr>
        <w:ind w:left="720"/>
        <w:rPr>
          <w:color w:val="auto"/>
        </w:rPr>
      </w:pPr>
      <w:r w:rsidRPr="00720D9E">
        <w:rPr>
          <w:color w:val="auto"/>
        </w:rPr>
        <w:t>If a</w:t>
      </w:r>
      <w:r w:rsidR="004447DE" w:rsidRPr="00720D9E">
        <w:rPr>
          <w:color w:val="auto"/>
        </w:rPr>
        <w:t>n existing</w:t>
      </w:r>
      <w:r w:rsidRPr="00720D9E">
        <w:rPr>
          <w:color w:val="auto"/>
        </w:rPr>
        <w:t xml:space="preserve"> ventilation shaft that was </w:t>
      </w:r>
      <w:r w:rsidR="004447DE" w:rsidRPr="00720D9E">
        <w:rPr>
          <w:color w:val="auto"/>
        </w:rPr>
        <w:t>not connected to a destruction device</w:t>
      </w:r>
      <w:r w:rsidRPr="00720D9E">
        <w:rPr>
          <w:color w:val="auto"/>
        </w:rPr>
        <w:t xml:space="preserve"> at time of offset project commencement is connected to an existing or new destruction device after </w:t>
      </w:r>
      <w:r w:rsidR="004447DE" w:rsidRPr="00720D9E">
        <w:rPr>
          <w:color w:val="auto"/>
        </w:rPr>
        <w:t xml:space="preserve">offset </w:t>
      </w:r>
      <w:r w:rsidRPr="00720D9E">
        <w:rPr>
          <w:color w:val="auto"/>
        </w:rPr>
        <w:t xml:space="preserve">project commencement, the Offset Project Operator may either classify it as an offset project expansion or register the addition as a new MMC project. </w:t>
      </w:r>
    </w:p>
    <w:p w:rsidR="00E36874" w:rsidRPr="00720D9E" w:rsidRDefault="0086192B" w:rsidP="00E36874">
      <w:pPr>
        <w:pStyle w:val="ListParagraph"/>
        <w:numPr>
          <w:ilvl w:val="0"/>
          <w:numId w:val="12"/>
        </w:numPr>
        <w:ind w:left="720"/>
        <w:rPr>
          <w:color w:val="auto"/>
        </w:rPr>
      </w:pPr>
      <w:r w:rsidRPr="00720D9E">
        <w:rPr>
          <w:color w:val="auto"/>
        </w:rPr>
        <w:t xml:space="preserve">If a new </w:t>
      </w:r>
      <w:r w:rsidR="00C4451C" w:rsidRPr="00720D9E">
        <w:rPr>
          <w:color w:val="auto"/>
        </w:rPr>
        <w:t xml:space="preserve">qualifying </w:t>
      </w:r>
      <w:r w:rsidRPr="00720D9E">
        <w:rPr>
          <w:color w:val="auto"/>
        </w:rPr>
        <w:t xml:space="preserve">destruction device </w:t>
      </w:r>
      <w:r w:rsidR="00C4451C" w:rsidRPr="00720D9E">
        <w:rPr>
          <w:color w:val="auto"/>
        </w:rPr>
        <w:t xml:space="preserve">is added </w:t>
      </w:r>
      <w:r w:rsidRPr="00720D9E">
        <w:rPr>
          <w:color w:val="auto"/>
        </w:rPr>
        <w:t xml:space="preserve">to a ventilation shaft </w:t>
      </w:r>
      <w:r w:rsidR="00990626" w:rsidRPr="00720D9E">
        <w:rPr>
          <w:color w:val="auto"/>
        </w:rPr>
        <w:t xml:space="preserve">currently </w:t>
      </w:r>
      <w:r w:rsidRPr="00720D9E">
        <w:rPr>
          <w:color w:val="auto"/>
        </w:rPr>
        <w:t>connected to an existing qualifying destruction device this</w:t>
      </w:r>
      <w:r w:rsidR="00E36874" w:rsidRPr="00720D9E">
        <w:rPr>
          <w:color w:val="auto"/>
        </w:rPr>
        <w:t xml:space="preserve"> addition of the new destruction device</w:t>
      </w:r>
      <w:r w:rsidRPr="00720D9E">
        <w:rPr>
          <w:color w:val="auto"/>
        </w:rPr>
        <w:t xml:space="preserve"> is considered a</w:t>
      </w:r>
      <w:r w:rsidR="00F126D0" w:rsidRPr="00720D9E">
        <w:rPr>
          <w:color w:val="auto"/>
        </w:rPr>
        <w:t>n offset</w:t>
      </w:r>
      <w:r w:rsidRPr="00720D9E">
        <w:rPr>
          <w:color w:val="auto"/>
        </w:rPr>
        <w:t xml:space="preserve"> project expansion.  </w:t>
      </w:r>
    </w:p>
    <w:p w:rsidR="00E36874" w:rsidRPr="00720D9E" w:rsidRDefault="00BE2003" w:rsidP="00E36874">
      <w:pPr>
        <w:pStyle w:val="ListParagraph"/>
        <w:numPr>
          <w:ilvl w:val="0"/>
          <w:numId w:val="12"/>
        </w:numPr>
        <w:ind w:left="720"/>
        <w:rPr>
          <w:color w:val="auto"/>
        </w:rPr>
      </w:pPr>
      <w:r w:rsidRPr="00720D9E">
        <w:rPr>
          <w:color w:val="auto"/>
        </w:rPr>
        <w:t>Ventilation air methane from any ventilation shaft connected to a non-qualifying destruction device at any point during the year prior to offset project commencement is not eligible for crediting.</w:t>
      </w:r>
      <w:r w:rsidRPr="00720D9E" w:rsidDel="00BE2003">
        <w:rPr>
          <w:color w:val="auto"/>
        </w:rPr>
        <w:t xml:space="preserve"> </w:t>
      </w:r>
    </w:p>
    <w:p w:rsidR="00EF6581" w:rsidRPr="00720D9E" w:rsidRDefault="00EF6581" w:rsidP="00EF6581">
      <w:pPr>
        <w:pStyle w:val="Heading2"/>
      </w:pPr>
      <w:bookmarkStart w:id="6" w:name="_Toc364243180"/>
      <w:r w:rsidRPr="00720D9E">
        <w:lastRenderedPageBreak/>
        <w:t xml:space="preserve">§ </w:t>
      </w:r>
      <w:r w:rsidR="00926183" w:rsidRPr="00720D9E">
        <w:t>2.2</w:t>
      </w:r>
      <w:r w:rsidR="00971F96" w:rsidRPr="00720D9E">
        <w:t>.</w:t>
      </w:r>
      <w:r w:rsidRPr="00720D9E">
        <w:t xml:space="preserve"> Active Underground Mine Methane Drainage </w:t>
      </w:r>
      <w:r w:rsidR="00C4451C" w:rsidRPr="00720D9E">
        <w:t>Activities</w:t>
      </w:r>
      <w:r w:rsidR="00971F96" w:rsidRPr="00720D9E">
        <w:t>.</w:t>
      </w:r>
      <w:bookmarkEnd w:id="6"/>
    </w:p>
    <w:p w:rsidR="00A50771" w:rsidRPr="00720D9E" w:rsidRDefault="007E523A" w:rsidP="00EF6581">
      <w:r w:rsidRPr="00720D9E">
        <w:t xml:space="preserve">This protocol applies to </w:t>
      </w:r>
      <w:r w:rsidR="00C4451C" w:rsidRPr="00720D9E">
        <w:t xml:space="preserve">MMC projects </w:t>
      </w:r>
      <w:r w:rsidRPr="00720D9E">
        <w:t>that install equipment to capture and destroy methane extracted through a methane drainage system that would otherwise be vented into the atmosphere</w:t>
      </w:r>
      <w:r w:rsidR="003D2DD4" w:rsidRPr="00720D9E">
        <w:t xml:space="preserve"> as a result of underground </w:t>
      </w:r>
      <w:r w:rsidR="00C55023" w:rsidRPr="00720D9E">
        <w:t xml:space="preserve">coal or trona </w:t>
      </w:r>
      <w:r w:rsidR="003D2DD4" w:rsidRPr="00720D9E">
        <w:t>mining operations</w:t>
      </w:r>
      <w:r w:rsidRPr="00720D9E">
        <w:t xml:space="preserve">. </w:t>
      </w:r>
    </w:p>
    <w:p w:rsidR="00A50771" w:rsidRPr="00720D9E" w:rsidRDefault="00380225" w:rsidP="00DC7C4C">
      <w:pPr>
        <w:pStyle w:val="ListParagraph"/>
        <w:numPr>
          <w:ilvl w:val="0"/>
          <w:numId w:val="11"/>
        </w:numPr>
        <w:ind w:hanging="720"/>
      </w:pPr>
      <w:r w:rsidRPr="00720D9E">
        <w:t>Methane d</w:t>
      </w:r>
      <w:r w:rsidR="007E523A" w:rsidRPr="00720D9E">
        <w:t xml:space="preserve">rainage systems </w:t>
      </w:r>
      <w:r w:rsidR="0033362F" w:rsidRPr="00720D9E">
        <w:t>must</w:t>
      </w:r>
      <w:r w:rsidR="007E523A" w:rsidRPr="00720D9E">
        <w:t xml:space="preserve"> consist of</w:t>
      </w:r>
      <w:r w:rsidR="0033362F" w:rsidRPr="00720D9E">
        <w:t xml:space="preserve"> one, or a combination of, the following</w:t>
      </w:r>
      <w:r w:rsidR="00003552" w:rsidRPr="00720D9E">
        <w:t xml:space="preserve"> methane sources</w:t>
      </w:r>
      <w:r w:rsidR="00F64066" w:rsidRPr="00720D9E">
        <w:t xml:space="preserve"> that drain methane from the coal seam, surrounding strata, or underground workings of the mine before, during, and/or after mining</w:t>
      </w:r>
      <w:r w:rsidR="0086288B" w:rsidRPr="00720D9E">
        <w:t>:</w:t>
      </w:r>
    </w:p>
    <w:p w:rsidR="00A50771" w:rsidRPr="00720D9E" w:rsidRDefault="007E523A" w:rsidP="00DC7C4C">
      <w:pPr>
        <w:pStyle w:val="ListParagraph"/>
        <w:numPr>
          <w:ilvl w:val="0"/>
          <w:numId w:val="9"/>
        </w:numPr>
        <w:ind w:hanging="720"/>
      </w:pPr>
      <w:r w:rsidRPr="00720D9E">
        <w:t>pre-mining surface wells</w:t>
      </w:r>
      <w:r w:rsidR="0086288B" w:rsidRPr="00720D9E">
        <w:t>;</w:t>
      </w:r>
    </w:p>
    <w:p w:rsidR="00A50771" w:rsidRPr="00720D9E" w:rsidRDefault="007E523A" w:rsidP="00DC7C4C">
      <w:pPr>
        <w:pStyle w:val="ListParagraph"/>
        <w:numPr>
          <w:ilvl w:val="0"/>
          <w:numId w:val="9"/>
        </w:numPr>
        <w:ind w:hanging="720"/>
      </w:pPr>
      <w:r w:rsidRPr="00720D9E">
        <w:t>pre-mining in-mine boreholes</w:t>
      </w:r>
      <w:r w:rsidR="0086288B" w:rsidRPr="00720D9E">
        <w:t>;</w:t>
      </w:r>
      <w:r w:rsidRPr="00720D9E">
        <w:t xml:space="preserve"> and </w:t>
      </w:r>
    </w:p>
    <w:p w:rsidR="0086288B" w:rsidRPr="00720D9E" w:rsidRDefault="007E523A" w:rsidP="00DC7C4C">
      <w:pPr>
        <w:pStyle w:val="ListParagraph"/>
        <w:numPr>
          <w:ilvl w:val="0"/>
          <w:numId w:val="9"/>
        </w:numPr>
        <w:ind w:hanging="720"/>
      </w:pPr>
      <w:r w:rsidRPr="00720D9E">
        <w:t>post-mining gob wells</w:t>
      </w:r>
      <w:r w:rsidR="00F64066" w:rsidRPr="00720D9E">
        <w:t>.</w:t>
      </w:r>
    </w:p>
    <w:p w:rsidR="00DB3715" w:rsidRPr="00720D9E" w:rsidRDefault="00DB3715" w:rsidP="00DB3715">
      <w:pPr>
        <w:pStyle w:val="ListParagraph"/>
        <w:numPr>
          <w:ilvl w:val="0"/>
          <w:numId w:val="11"/>
        </w:numPr>
        <w:ind w:hanging="720"/>
      </w:pPr>
      <w:r w:rsidRPr="00720D9E">
        <w:t xml:space="preserve">In order to be considered a qualifying device for the purpose of this protocol, a methane destruction device </w:t>
      </w:r>
      <w:r w:rsidR="00EA1605" w:rsidRPr="00720D9E">
        <w:t xml:space="preserve">for an active underground mine methane drainage </w:t>
      </w:r>
      <w:r w:rsidR="00293E44" w:rsidRPr="00720D9E">
        <w:t>activity</w:t>
      </w:r>
      <w:r w:rsidR="00EA1605" w:rsidRPr="00720D9E">
        <w:t xml:space="preserve"> </w:t>
      </w:r>
      <w:r w:rsidRPr="00720D9E">
        <w:t xml:space="preserve">must not be operating at the mine prior to </w:t>
      </w:r>
      <w:r w:rsidR="004447DE" w:rsidRPr="00720D9E">
        <w:t xml:space="preserve">offset </w:t>
      </w:r>
      <w:r w:rsidRPr="00720D9E">
        <w:t>project commencement and must represent an end-use management option other than natural gas pipeline injection.</w:t>
      </w:r>
    </w:p>
    <w:p w:rsidR="00AA702F" w:rsidRPr="00720D9E" w:rsidRDefault="00AA702F" w:rsidP="00E36874">
      <w:pPr>
        <w:pStyle w:val="ListParagraph"/>
        <w:numPr>
          <w:ilvl w:val="0"/>
          <w:numId w:val="11"/>
        </w:numPr>
        <w:ind w:hanging="720"/>
        <w:rPr>
          <w:color w:val="auto"/>
        </w:rPr>
      </w:pPr>
      <w:r w:rsidRPr="00720D9E">
        <w:rPr>
          <w:color w:val="auto"/>
        </w:rPr>
        <w:t xml:space="preserve">At active underground mines, an </w:t>
      </w:r>
      <w:r w:rsidR="00F64066" w:rsidRPr="00720D9E">
        <w:rPr>
          <w:color w:val="auto"/>
        </w:rPr>
        <w:t>Offset Project Operator or Authorized Project Designee</w:t>
      </w:r>
      <w:r w:rsidR="00512B9F" w:rsidRPr="00720D9E">
        <w:rPr>
          <w:color w:val="auto"/>
        </w:rPr>
        <w:t xml:space="preserve"> </w:t>
      </w:r>
      <w:r w:rsidRPr="00720D9E">
        <w:rPr>
          <w:color w:val="auto"/>
        </w:rPr>
        <w:t xml:space="preserve">may operate both VAM and methane drainage activities as a single project all sharing the earliest commencement date.  Alternatively, the </w:t>
      </w:r>
      <w:r w:rsidR="00F64066" w:rsidRPr="00720D9E">
        <w:rPr>
          <w:color w:val="auto"/>
        </w:rPr>
        <w:t>Offset Project Operator or Authorized Project Designee</w:t>
      </w:r>
      <w:r w:rsidR="00512B9F" w:rsidRPr="00720D9E">
        <w:rPr>
          <w:color w:val="auto"/>
        </w:rPr>
        <w:t xml:space="preserve"> </w:t>
      </w:r>
      <w:r w:rsidRPr="00720D9E">
        <w:rPr>
          <w:color w:val="auto"/>
        </w:rPr>
        <w:t>may elect to operate separate projects for each activity with unique commencement dates.</w:t>
      </w:r>
    </w:p>
    <w:p w:rsidR="00E36874" w:rsidRPr="00720D9E" w:rsidRDefault="00E36874" w:rsidP="00E36874">
      <w:pPr>
        <w:pStyle w:val="ListParagraph"/>
        <w:numPr>
          <w:ilvl w:val="0"/>
          <w:numId w:val="11"/>
        </w:numPr>
        <w:ind w:hanging="720"/>
        <w:rPr>
          <w:color w:val="auto"/>
        </w:rPr>
      </w:pPr>
      <w:r w:rsidRPr="00720D9E">
        <w:rPr>
          <w:color w:val="auto"/>
        </w:rPr>
        <w:t xml:space="preserve">If a newly drilled well/borehole </w:t>
      </w:r>
      <w:r w:rsidR="00990626" w:rsidRPr="00720D9E">
        <w:rPr>
          <w:color w:val="auto"/>
        </w:rPr>
        <w:t>is connected</w:t>
      </w:r>
      <w:r w:rsidRPr="00720D9E">
        <w:rPr>
          <w:color w:val="auto"/>
        </w:rPr>
        <w:t xml:space="preserve"> to an existing or new </w:t>
      </w:r>
      <w:r w:rsidR="00990626" w:rsidRPr="00720D9E">
        <w:rPr>
          <w:color w:val="auto"/>
        </w:rPr>
        <w:t xml:space="preserve">qualifying </w:t>
      </w:r>
      <w:r w:rsidRPr="00720D9E">
        <w:rPr>
          <w:color w:val="auto"/>
        </w:rPr>
        <w:t xml:space="preserve">destruction device after </w:t>
      </w:r>
      <w:r w:rsidR="004447DE" w:rsidRPr="00720D9E">
        <w:rPr>
          <w:color w:val="auto"/>
        </w:rPr>
        <w:t xml:space="preserve">offset </w:t>
      </w:r>
      <w:r w:rsidRPr="00720D9E">
        <w:rPr>
          <w:color w:val="auto"/>
        </w:rPr>
        <w:t xml:space="preserve">project commencement, the </w:t>
      </w:r>
      <w:r w:rsidR="00133AFE" w:rsidRPr="00720D9E">
        <w:rPr>
          <w:color w:val="auto"/>
        </w:rPr>
        <w:t>Offset Project Operator</w:t>
      </w:r>
      <w:r w:rsidRPr="00720D9E">
        <w:rPr>
          <w:color w:val="auto"/>
        </w:rPr>
        <w:t xml:space="preserve"> may </w:t>
      </w:r>
      <w:r w:rsidR="00133AFE" w:rsidRPr="00720D9E">
        <w:rPr>
          <w:color w:val="auto"/>
        </w:rPr>
        <w:t>either</w:t>
      </w:r>
      <w:r w:rsidRPr="00720D9E">
        <w:rPr>
          <w:color w:val="auto"/>
        </w:rPr>
        <w:t xml:space="preserve"> classify it as a</w:t>
      </w:r>
      <w:r w:rsidR="00F126D0" w:rsidRPr="00720D9E">
        <w:rPr>
          <w:color w:val="auto"/>
        </w:rPr>
        <w:t>n offset</w:t>
      </w:r>
      <w:r w:rsidRPr="00720D9E">
        <w:rPr>
          <w:color w:val="auto"/>
        </w:rPr>
        <w:t xml:space="preserve"> project expansion or register the addition as a new MMC project.</w:t>
      </w:r>
    </w:p>
    <w:p w:rsidR="00BE2003" w:rsidRPr="00720D9E" w:rsidRDefault="00BE2003" w:rsidP="00BE2003">
      <w:pPr>
        <w:pStyle w:val="ListParagraph"/>
        <w:numPr>
          <w:ilvl w:val="0"/>
          <w:numId w:val="11"/>
        </w:numPr>
        <w:ind w:hanging="720"/>
        <w:rPr>
          <w:color w:val="auto"/>
        </w:rPr>
      </w:pPr>
      <w:r w:rsidRPr="00720D9E">
        <w:rPr>
          <w:color w:val="auto"/>
        </w:rPr>
        <w:t xml:space="preserve">If an existing well/borehole that was not connected to a destruction device at time of offset project commencement is connected to an existing or new destruction device after offset project commencement, the Offset Project Operator may either classify it as an offset project expansion or register the addition as a new MMC project. </w:t>
      </w:r>
    </w:p>
    <w:p w:rsidR="00E36874" w:rsidRPr="00720D9E" w:rsidRDefault="00F126D0" w:rsidP="00F126D0">
      <w:pPr>
        <w:pStyle w:val="ListParagraph"/>
        <w:numPr>
          <w:ilvl w:val="0"/>
          <w:numId w:val="11"/>
        </w:numPr>
        <w:ind w:hanging="720"/>
        <w:rPr>
          <w:color w:val="auto"/>
        </w:rPr>
      </w:pPr>
      <w:r w:rsidRPr="00720D9E">
        <w:rPr>
          <w:color w:val="auto"/>
        </w:rPr>
        <w:lastRenderedPageBreak/>
        <w:t xml:space="preserve">If </w:t>
      </w:r>
      <w:r w:rsidR="00E36874" w:rsidRPr="00720D9E">
        <w:rPr>
          <w:color w:val="auto"/>
        </w:rPr>
        <w:t>a new</w:t>
      </w:r>
      <w:r w:rsidR="00990626" w:rsidRPr="00720D9E">
        <w:rPr>
          <w:color w:val="auto"/>
        </w:rPr>
        <w:t xml:space="preserve"> qualifying</w:t>
      </w:r>
      <w:r w:rsidR="00E36874" w:rsidRPr="00720D9E">
        <w:rPr>
          <w:color w:val="auto"/>
        </w:rPr>
        <w:t xml:space="preserve"> destruction device </w:t>
      </w:r>
      <w:r w:rsidR="00990626" w:rsidRPr="00720D9E">
        <w:rPr>
          <w:color w:val="auto"/>
        </w:rPr>
        <w:t xml:space="preserve">is connected </w:t>
      </w:r>
      <w:r w:rsidR="00E36874" w:rsidRPr="00720D9E">
        <w:rPr>
          <w:color w:val="auto"/>
        </w:rPr>
        <w:t xml:space="preserve">to a </w:t>
      </w:r>
      <w:r w:rsidR="008878A2" w:rsidRPr="00720D9E">
        <w:rPr>
          <w:color w:val="auto"/>
        </w:rPr>
        <w:t>well/borehole</w:t>
      </w:r>
      <w:r w:rsidR="00E36874" w:rsidRPr="00720D9E">
        <w:rPr>
          <w:color w:val="auto"/>
        </w:rPr>
        <w:t xml:space="preserve"> </w:t>
      </w:r>
      <w:r w:rsidR="00990626" w:rsidRPr="00720D9E">
        <w:rPr>
          <w:color w:val="auto"/>
        </w:rPr>
        <w:t xml:space="preserve">currently </w:t>
      </w:r>
      <w:r w:rsidR="00E36874" w:rsidRPr="00720D9E">
        <w:rPr>
          <w:color w:val="auto"/>
        </w:rPr>
        <w:t>connected to an existing qualifying destruction device</w:t>
      </w:r>
      <w:r w:rsidR="00336534" w:rsidRPr="00720D9E">
        <w:rPr>
          <w:color w:val="auto"/>
        </w:rPr>
        <w:t>,</w:t>
      </w:r>
      <w:r w:rsidR="00E36874" w:rsidRPr="00720D9E">
        <w:rPr>
          <w:color w:val="auto"/>
        </w:rPr>
        <w:t xml:space="preserve"> this addition of the new destruction device is considered a</w:t>
      </w:r>
      <w:r w:rsidRPr="00720D9E">
        <w:rPr>
          <w:color w:val="auto"/>
        </w:rPr>
        <w:t>n offset</w:t>
      </w:r>
      <w:r w:rsidR="00E36874" w:rsidRPr="00720D9E">
        <w:rPr>
          <w:color w:val="auto"/>
        </w:rPr>
        <w:t xml:space="preserve"> project expansion</w:t>
      </w:r>
      <w:r w:rsidRPr="00720D9E">
        <w:rPr>
          <w:color w:val="auto"/>
        </w:rPr>
        <w:t>.</w:t>
      </w:r>
    </w:p>
    <w:p w:rsidR="00E36874" w:rsidRPr="00720D9E" w:rsidRDefault="00BE2003" w:rsidP="00F126D0">
      <w:pPr>
        <w:pStyle w:val="ListParagraph"/>
        <w:numPr>
          <w:ilvl w:val="0"/>
          <w:numId w:val="11"/>
        </w:numPr>
        <w:ind w:hanging="720"/>
        <w:rPr>
          <w:color w:val="auto"/>
        </w:rPr>
      </w:pPr>
      <w:r w:rsidRPr="00720D9E">
        <w:rPr>
          <w:color w:val="auto"/>
        </w:rPr>
        <w:t xml:space="preserve">Mine methane from any </w:t>
      </w:r>
      <w:r w:rsidR="008D6DA1" w:rsidRPr="00720D9E">
        <w:rPr>
          <w:color w:val="auto"/>
        </w:rPr>
        <w:t>well or borehole</w:t>
      </w:r>
      <w:r w:rsidRPr="00720D9E">
        <w:rPr>
          <w:color w:val="auto"/>
        </w:rPr>
        <w:t xml:space="preserve"> connected to a non-qualifying destruction device at any point during the year prior to offset project commencement is not eligible for crediting.</w:t>
      </w:r>
      <w:r w:rsidRPr="00720D9E" w:rsidDel="00BE2003">
        <w:rPr>
          <w:color w:val="auto"/>
        </w:rPr>
        <w:t xml:space="preserve"> </w:t>
      </w:r>
    </w:p>
    <w:p w:rsidR="00A50771" w:rsidRPr="00720D9E" w:rsidRDefault="00990626" w:rsidP="00DC7C4C">
      <w:pPr>
        <w:pStyle w:val="ListParagraph"/>
        <w:numPr>
          <w:ilvl w:val="0"/>
          <w:numId w:val="11"/>
        </w:numPr>
        <w:ind w:hanging="720"/>
      </w:pPr>
      <w:r w:rsidRPr="00720D9E">
        <w:t>A</w:t>
      </w:r>
      <w:r w:rsidR="00043DD7" w:rsidRPr="00720D9E">
        <w:t xml:space="preserve">ctive underground mines </w:t>
      </w:r>
      <w:r w:rsidRPr="00720D9E">
        <w:t xml:space="preserve">with MMC projects </w:t>
      </w:r>
      <w:r w:rsidR="00043DD7" w:rsidRPr="00720D9E">
        <w:t>must not:</w:t>
      </w:r>
    </w:p>
    <w:p w:rsidR="00043DD7" w:rsidRPr="00720D9E" w:rsidRDefault="00043DD7" w:rsidP="0078624D">
      <w:pPr>
        <w:pStyle w:val="ListParagraph"/>
        <w:numPr>
          <w:ilvl w:val="0"/>
          <w:numId w:val="4"/>
        </w:numPr>
        <w:ind w:left="1440" w:hanging="720"/>
      </w:pPr>
      <w:r w:rsidRPr="00720D9E">
        <w:t xml:space="preserve">capture </w:t>
      </w:r>
      <w:r w:rsidR="00B36E98" w:rsidRPr="00720D9E">
        <w:t xml:space="preserve">virgin </w:t>
      </w:r>
      <w:r w:rsidRPr="00720D9E">
        <w:t>coal bed methane (CBM) extracted from coal seams outside the extents of the mine according to the mine plan</w:t>
      </w:r>
      <w:r w:rsidR="00220AAE" w:rsidRPr="00720D9E">
        <w:t xml:space="preserve"> or from outside the methane source boundaries </w:t>
      </w:r>
      <w:r w:rsidR="00133AFE" w:rsidRPr="00720D9E">
        <w:t xml:space="preserve">as described </w:t>
      </w:r>
      <w:r w:rsidR="00220AAE" w:rsidRPr="00720D9E">
        <w:t xml:space="preserve">in </w:t>
      </w:r>
      <w:r w:rsidR="00C179DE" w:rsidRPr="00720D9E">
        <w:t xml:space="preserve">section </w:t>
      </w:r>
      <w:r w:rsidR="00645452" w:rsidRPr="00720D9E">
        <w:t>3.5</w:t>
      </w:r>
      <w:r w:rsidRPr="00720D9E">
        <w:t>;</w:t>
      </w:r>
      <w:r w:rsidR="00EF6581" w:rsidRPr="00720D9E">
        <w:t xml:space="preserve"> or</w:t>
      </w:r>
      <w:r w:rsidR="00220AAE" w:rsidRPr="00720D9E">
        <w:t xml:space="preserve"> </w:t>
      </w:r>
    </w:p>
    <w:p w:rsidR="00043DD7" w:rsidRPr="00720D9E" w:rsidRDefault="00043DD7" w:rsidP="0078624D">
      <w:pPr>
        <w:pStyle w:val="ListParagraph"/>
        <w:numPr>
          <w:ilvl w:val="0"/>
          <w:numId w:val="4"/>
        </w:numPr>
        <w:ind w:left="1440" w:hanging="720"/>
      </w:pPr>
      <w:r w:rsidRPr="00720D9E">
        <w:t>use CO</w:t>
      </w:r>
      <w:r w:rsidRPr="00720D9E">
        <w:rPr>
          <w:vertAlign w:val="subscript"/>
        </w:rPr>
        <w:t>2</w:t>
      </w:r>
      <w:r w:rsidR="00AA702F" w:rsidRPr="00720D9E">
        <w:t>, steam,</w:t>
      </w:r>
      <w:r w:rsidRPr="00720D9E">
        <w:t xml:space="preserve"> or any other fluid/gas to enhance mine methane drainage</w:t>
      </w:r>
      <w:r w:rsidR="007D23D6" w:rsidRPr="00720D9E">
        <w:t>.</w:t>
      </w:r>
    </w:p>
    <w:p w:rsidR="00CE4833" w:rsidRPr="00720D9E" w:rsidRDefault="004D4D6D" w:rsidP="00971F96">
      <w:pPr>
        <w:pStyle w:val="Heading2"/>
      </w:pPr>
      <w:bookmarkStart w:id="7" w:name="_Toc364243181"/>
      <w:r w:rsidRPr="00720D9E">
        <w:t xml:space="preserve">§ </w:t>
      </w:r>
      <w:r w:rsidR="00926183" w:rsidRPr="00720D9E">
        <w:t>2.3</w:t>
      </w:r>
      <w:r w:rsidR="00282991" w:rsidRPr="00720D9E">
        <w:t>.</w:t>
      </w:r>
      <w:r w:rsidR="00971F96" w:rsidRPr="00720D9E">
        <w:t xml:space="preserve"> </w:t>
      </w:r>
      <w:r w:rsidR="00CE4833" w:rsidRPr="00720D9E">
        <w:t xml:space="preserve">Active </w:t>
      </w:r>
      <w:r w:rsidR="00BB6FE8" w:rsidRPr="00720D9E">
        <w:t xml:space="preserve">Surface </w:t>
      </w:r>
      <w:r w:rsidR="00CE4833" w:rsidRPr="00720D9E">
        <w:t>M</w:t>
      </w:r>
      <w:r w:rsidR="00D22A20" w:rsidRPr="00720D9E">
        <w:t xml:space="preserve">ine Methane Drainage </w:t>
      </w:r>
      <w:r w:rsidR="00990626" w:rsidRPr="00720D9E">
        <w:t>Activities</w:t>
      </w:r>
      <w:r w:rsidR="00971F96" w:rsidRPr="00720D9E">
        <w:t>.</w:t>
      </w:r>
      <w:bookmarkEnd w:id="7"/>
    </w:p>
    <w:p w:rsidR="009F38CF" w:rsidRPr="00720D9E" w:rsidRDefault="007E523A" w:rsidP="00154730">
      <w:r w:rsidRPr="00720D9E">
        <w:t>This protocol applies to</w:t>
      </w:r>
      <w:r w:rsidR="0048590E" w:rsidRPr="00720D9E">
        <w:t xml:space="preserve"> </w:t>
      </w:r>
      <w:r w:rsidR="00990626" w:rsidRPr="00720D9E">
        <w:t>MMC</w:t>
      </w:r>
      <w:r w:rsidR="0086288B" w:rsidRPr="00720D9E">
        <w:t xml:space="preserve"> projects that install equipment to capture and destroy methane extracted through a methane drainage system that would otherwise be vented into the atmosphere</w:t>
      </w:r>
      <w:r w:rsidR="003D2DD4" w:rsidRPr="00720D9E">
        <w:t xml:space="preserve"> as a result of surface </w:t>
      </w:r>
      <w:r w:rsidR="00C55023" w:rsidRPr="00720D9E">
        <w:t xml:space="preserve">coal or trona </w:t>
      </w:r>
      <w:r w:rsidR="003D2DD4" w:rsidRPr="00720D9E">
        <w:t>mining operations</w:t>
      </w:r>
      <w:r w:rsidR="0086288B" w:rsidRPr="00720D9E">
        <w:t xml:space="preserve">. </w:t>
      </w:r>
    </w:p>
    <w:p w:rsidR="0086288B" w:rsidRPr="00720D9E" w:rsidRDefault="00380225" w:rsidP="00DC7C4C">
      <w:pPr>
        <w:pStyle w:val="ListParagraph"/>
        <w:numPr>
          <w:ilvl w:val="0"/>
          <w:numId w:val="13"/>
        </w:numPr>
        <w:ind w:hanging="720"/>
      </w:pPr>
      <w:r w:rsidRPr="00720D9E">
        <w:t>Methane d</w:t>
      </w:r>
      <w:r w:rsidR="0086288B" w:rsidRPr="00720D9E">
        <w:t xml:space="preserve">rainage systems </w:t>
      </w:r>
      <w:r w:rsidR="0033362F" w:rsidRPr="00720D9E">
        <w:t>must</w:t>
      </w:r>
      <w:r w:rsidR="0086288B" w:rsidRPr="00720D9E">
        <w:t xml:space="preserve"> consist of</w:t>
      </w:r>
      <w:r w:rsidR="0033362F" w:rsidRPr="00720D9E">
        <w:t xml:space="preserve"> one, or a combination, of the following</w:t>
      </w:r>
      <w:r w:rsidR="00003552" w:rsidRPr="00720D9E">
        <w:t xml:space="preserve"> methane sources</w:t>
      </w:r>
      <w:r w:rsidR="00133AFE" w:rsidRPr="00720D9E">
        <w:t xml:space="preserve"> that drain methane from the coal seam or surrounding strata before and/or during mining</w:t>
      </w:r>
      <w:r w:rsidR="0086288B" w:rsidRPr="00720D9E">
        <w:t xml:space="preserve">: </w:t>
      </w:r>
    </w:p>
    <w:p w:rsidR="0086288B" w:rsidRPr="00720D9E" w:rsidRDefault="0086288B" w:rsidP="0078624D">
      <w:pPr>
        <w:pStyle w:val="ListParagraph"/>
        <w:numPr>
          <w:ilvl w:val="0"/>
          <w:numId w:val="3"/>
        </w:numPr>
        <w:ind w:left="1440" w:hanging="720"/>
      </w:pPr>
      <w:r w:rsidRPr="00720D9E">
        <w:t>pre-mining surface wells;</w:t>
      </w:r>
    </w:p>
    <w:p w:rsidR="0086288B" w:rsidRPr="00720D9E" w:rsidRDefault="0086288B" w:rsidP="0078624D">
      <w:pPr>
        <w:pStyle w:val="ListParagraph"/>
        <w:numPr>
          <w:ilvl w:val="0"/>
          <w:numId w:val="3"/>
        </w:numPr>
        <w:ind w:left="1440" w:hanging="720"/>
      </w:pPr>
      <w:r w:rsidRPr="00720D9E">
        <w:t>pre-mining in-mine boreholes;</w:t>
      </w:r>
    </w:p>
    <w:p w:rsidR="00154730" w:rsidRPr="00720D9E" w:rsidRDefault="0086288B" w:rsidP="0078624D">
      <w:pPr>
        <w:pStyle w:val="ListParagraph"/>
        <w:numPr>
          <w:ilvl w:val="0"/>
          <w:numId w:val="3"/>
        </w:numPr>
        <w:ind w:left="1440" w:hanging="720"/>
      </w:pPr>
      <w:r w:rsidRPr="00720D9E">
        <w:t>existing coal bed methane (CBM) wells that would otherwi</w:t>
      </w:r>
      <w:r w:rsidR="00ED7D61" w:rsidRPr="00720D9E">
        <w:t>se be shut-in and abandoned</w:t>
      </w:r>
      <w:r w:rsidR="00336534" w:rsidRPr="00720D9E">
        <w:t xml:space="preserve"> as a result of encroaching mining</w:t>
      </w:r>
      <w:r w:rsidR="00ED7D61" w:rsidRPr="00720D9E">
        <w:t xml:space="preserve">; </w:t>
      </w:r>
    </w:p>
    <w:p w:rsidR="0033362F" w:rsidRPr="00720D9E" w:rsidRDefault="0086288B" w:rsidP="0078624D">
      <w:pPr>
        <w:pStyle w:val="ListParagraph"/>
        <w:numPr>
          <w:ilvl w:val="0"/>
          <w:numId w:val="3"/>
        </w:numPr>
        <w:ind w:left="1440" w:hanging="720"/>
      </w:pPr>
      <w:r w:rsidRPr="00720D9E">
        <w:t>abandoned wells that are re-activated</w:t>
      </w:r>
      <w:r w:rsidR="00ED7D61" w:rsidRPr="00720D9E">
        <w:t>; and</w:t>
      </w:r>
    </w:p>
    <w:p w:rsidR="00BF2299" w:rsidRPr="00720D9E" w:rsidRDefault="00BF2299" w:rsidP="0078624D">
      <w:pPr>
        <w:pStyle w:val="ListParagraph"/>
        <w:numPr>
          <w:ilvl w:val="0"/>
          <w:numId w:val="3"/>
        </w:numPr>
        <w:ind w:left="1440" w:hanging="720"/>
      </w:pPr>
      <w:r w:rsidRPr="00720D9E">
        <w:t>converted dewatering wells</w:t>
      </w:r>
      <w:r w:rsidR="00133AFE" w:rsidRPr="00720D9E">
        <w:t>.</w:t>
      </w:r>
    </w:p>
    <w:p w:rsidR="00EA1605" w:rsidRPr="00720D9E" w:rsidRDefault="00EA1605" w:rsidP="00EA1605">
      <w:pPr>
        <w:pStyle w:val="ListParagraph"/>
        <w:numPr>
          <w:ilvl w:val="0"/>
          <w:numId w:val="13"/>
        </w:numPr>
        <w:ind w:hanging="720"/>
      </w:pPr>
      <w:r w:rsidRPr="00720D9E">
        <w:t xml:space="preserve">In order to be considered a qualifying device for the purpose of this protocol, a methane destruction device for an active surface mine methane drainage </w:t>
      </w:r>
      <w:r w:rsidR="00293E44" w:rsidRPr="00720D9E">
        <w:t>activity</w:t>
      </w:r>
      <w:r w:rsidRPr="00720D9E">
        <w:t xml:space="preserve"> must not be operating at the mine prior to </w:t>
      </w:r>
      <w:r w:rsidR="004447DE" w:rsidRPr="00720D9E">
        <w:t xml:space="preserve">offset </w:t>
      </w:r>
      <w:r w:rsidRPr="00720D9E">
        <w:t>project commencement.</w:t>
      </w:r>
    </w:p>
    <w:p w:rsidR="00336534" w:rsidRPr="00720D9E" w:rsidRDefault="00336534" w:rsidP="00336534">
      <w:pPr>
        <w:pStyle w:val="ListParagraph"/>
        <w:numPr>
          <w:ilvl w:val="0"/>
          <w:numId w:val="13"/>
        </w:numPr>
        <w:ind w:hanging="720"/>
        <w:rPr>
          <w:color w:val="auto"/>
        </w:rPr>
      </w:pPr>
      <w:r w:rsidRPr="00720D9E">
        <w:rPr>
          <w:color w:val="auto"/>
        </w:rPr>
        <w:t xml:space="preserve">If a newly drilled well/borehole is connected to an existing or new qualifying destruction device after </w:t>
      </w:r>
      <w:r w:rsidR="004447DE" w:rsidRPr="00720D9E">
        <w:rPr>
          <w:color w:val="auto"/>
        </w:rPr>
        <w:t xml:space="preserve">offset </w:t>
      </w:r>
      <w:r w:rsidRPr="00720D9E">
        <w:rPr>
          <w:color w:val="auto"/>
        </w:rPr>
        <w:t xml:space="preserve">project commencement, the </w:t>
      </w:r>
      <w:r w:rsidR="002E56D6" w:rsidRPr="00720D9E">
        <w:rPr>
          <w:color w:val="auto"/>
        </w:rPr>
        <w:t xml:space="preserve">Offset Project </w:t>
      </w:r>
      <w:r w:rsidR="002E56D6" w:rsidRPr="00720D9E">
        <w:rPr>
          <w:color w:val="auto"/>
        </w:rPr>
        <w:lastRenderedPageBreak/>
        <w:t xml:space="preserve">Operator </w:t>
      </w:r>
      <w:r w:rsidRPr="00720D9E">
        <w:rPr>
          <w:color w:val="auto"/>
        </w:rPr>
        <w:t xml:space="preserve">may </w:t>
      </w:r>
      <w:r w:rsidR="00133AFE" w:rsidRPr="00720D9E">
        <w:rPr>
          <w:color w:val="auto"/>
        </w:rPr>
        <w:t>either</w:t>
      </w:r>
      <w:r w:rsidRPr="00720D9E">
        <w:rPr>
          <w:color w:val="auto"/>
        </w:rPr>
        <w:t xml:space="preserve"> classify it as an offset project expansion or register the addition as a new MMC project.</w:t>
      </w:r>
    </w:p>
    <w:p w:rsidR="00BE2003" w:rsidRPr="00720D9E" w:rsidRDefault="00BE2003" w:rsidP="00BE2003">
      <w:pPr>
        <w:pStyle w:val="ListParagraph"/>
        <w:numPr>
          <w:ilvl w:val="0"/>
          <w:numId w:val="13"/>
        </w:numPr>
        <w:ind w:hanging="720"/>
        <w:rPr>
          <w:color w:val="auto"/>
        </w:rPr>
      </w:pPr>
      <w:r w:rsidRPr="00720D9E">
        <w:rPr>
          <w:color w:val="auto"/>
        </w:rPr>
        <w:t xml:space="preserve">If an existing well/borehole that was not connected to a destruction device at time of offset project commencement is connected to an existing or new destruction device after offset project commencement, the Offset Project Operator may either classify it as an offset project expansion or register the addition as a new MMC project. </w:t>
      </w:r>
    </w:p>
    <w:p w:rsidR="00336534" w:rsidRPr="00720D9E" w:rsidRDefault="00336534" w:rsidP="00336534">
      <w:pPr>
        <w:pStyle w:val="ListParagraph"/>
        <w:numPr>
          <w:ilvl w:val="0"/>
          <w:numId w:val="13"/>
        </w:numPr>
        <w:ind w:hanging="720"/>
        <w:rPr>
          <w:color w:val="auto"/>
        </w:rPr>
      </w:pPr>
      <w:r w:rsidRPr="00720D9E">
        <w:rPr>
          <w:color w:val="auto"/>
        </w:rPr>
        <w:t>If a new qualifying destruction device is connected to a well/borehole currently connected to an existing qualifying destruction device, this addition of the new destruction device is considered an offset project expansion.</w:t>
      </w:r>
    </w:p>
    <w:p w:rsidR="00336534" w:rsidRPr="00720D9E" w:rsidRDefault="00BE2003" w:rsidP="00336534">
      <w:pPr>
        <w:pStyle w:val="ListParagraph"/>
        <w:numPr>
          <w:ilvl w:val="0"/>
          <w:numId w:val="13"/>
        </w:numPr>
        <w:ind w:hanging="720"/>
        <w:rPr>
          <w:color w:val="auto"/>
        </w:rPr>
      </w:pPr>
      <w:r w:rsidRPr="00720D9E">
        <w:rPr>
          <w:color w:val="auto"/>
        </w:rPr>
        <w:t xml:space="preserve">SMM from any </w:t>
      </w:r>
      <w:r w:rsidR="008D6DA1" w:rsidRPr="00720D9E">
        <w:rPr>
          <w:color w:val="auto"/>
        </w:rPr>
        <w:t xml:space="preserve">well or borehole </w:t>
      </w:r>
      <w:r w:rsidRPr="00720D9E">
        <w:rPr>
          <w:color w:val="auto"/>
        </w:rPr>
        <w:t>connected to a non-qualifying destruction device at any point during the year prior to offset project commencement is not eligible for crediting.</w:t>
      </w:r>
      <w:r w:rsidRPr="00720D9E" w:rsidDel="00BE2003">
        <w:rPr>
          <w:color w:val="auto"/>
        </w:rPr>
        <w:t xml:space="preserve"> </w:t>
      </w:r>
    </w:p>
    <w:p w:rsidR="00443A8A" w:rsidRPr="00720D9E" w:rsidRDefault="00133AFE" w:rsidP="00DC7C4C">
      <w:pPr>
        <w:pStyle w:val="ListParagraph"/>
        <w:numPr>
          <w:ilvl w:val="0"/>
          <w:numId w:val="13"/>
        </w:numPr>
        <w:ind w:hanging="720"/>
      </w:pPr>
      <w:r w:rsidRPr="00720D9E">
        <w:t xml:space="preserve">To be eligible for crediting under this protocol, </w:t>
      </w:r>
      <w:r w:rsidR="00336534" w:rsidRPr="00720D9E">
        <w:t>MMC</w:t>
      </w:r>
      <w:r w:rsidR="002E2807" w:rsidRPr="00720D9E">
        <w:t xml:space="preserve"> projects at active surface mines must not</w:t>
      </w:r>
      <w:r w:rsidR="00443A8A" w:rsidRPr="00720D9E">
        <w:t>:</w:t>
      </w:r>
    </w:p>
    <w:p w:rsidR="009F38CF" w:rsidRPr="00720D9E" w:rsidRDefault="00043DD7" w:rsidP="00DC7C4C">
      <w:pPr>
        <w:pStyle w:val="ListParagraph"/>
        <w:numPr>
          <w:ilvl w:val="1"/>
          <w:numId w:val="11"/>
        </w:numPr>
        <w:ind w:hanging="720"/>
      </w:pPr>
      <w:r w:rsidRPr="00720D9E">
        <w:t>capture</w:t>
      </w:r>
      <w:r w:rsidR="00443A8A" w:rsidRPr="00720D9E">
        <w:t xml:space="preserve"> </w:t>
      </w:r>
      <w:r w:rsidR="00B36E98" w:rsidRPr="00720D9E">
        <w:t xml:space="preserve">virgin </w:t>
      </w:r>
      <w:r w:rsidR="00443A8A" w:rsidRPr="00720D9E">
        <w:t xml:space="preserve">CBM </w:t>
      </w:r>
      <w:r w:rsidR="00B36E98" w:rsidRPr="00720D9E">
        <w:t>extracted from</w:t>
      </w:r>
      <w:r w:rsidR="00443A8A" w:rsidRPr="00720D9E">
        <w:t xml:space="preserve"> </w:t>
      </w:r>
      <w:r w:rsidR="00B36E98" w:rsidRPr="00720D9E">
        <w:t xml:space="preserve">wells </w:t>
      </w:r>
      <w:r w:rsidR="00443A8A" w:rsidRPr="00720D9E">
        <w:t>outside the</w:t>
      </w:r>
      <w:r w:rsidR="002E2807" w:rsidRPr="00720D9E">
        <w:t xml:space="preserve"> extents of the</w:t>
      </w:r>
      <w:r w:rsidR="00443A8A" w:rsidRPr="00720D9E">
        <w:t xml:space="preserve"> mine </w:t>
      </w:r>
      <w:r w:rsidR="002E2807" w:rsidRPr="00720D9E">
        <w:t xml:space="preserve">according to the mine </w:t>
      </w:r>
      <w:r w:rsidR="00443A8A" w:rsidRPr="00720D9E">
        <w:t>plan</w:t>
      </w:r>
      <w:r w:rsidR="00220AAE" w:rsidRPr="00720D9E">
        <w:t xml:space="preserve"> or from outside the methane source boundaries </w:t>
      </w:r>
      <w:r w:rsidR="00133AFE" w:rsidRPr="00720D9E">
        <w:t xml:space="preserve">as described </w:t>
      </w:r>
      <w:r w:rsidR="00220AAE" w:rsidRPr="00720D9E">
        <w:t xml:space="preserve">in </w:t>
      </w:r>
      <w:r w:rsidR="00C179DE" w:rsidRPr="00720D9E">
        <w:t xml:space="preserve">section </w:t>
      </w:r>
      <w:r w:rsidR="00645452" w:rsidRPr="00720D9E">
        <w:t>3.5</w:t>
      </w:r>
      <w:r w:rsidR="0033362F" w:rsidRPr="00720D9E">
        <w:t>;</w:t>
      </w:r>
      <w:r w:rsidR="00220AAE" w:rsidRPr="00720D9E">
        <w:t xml:space="preserve"> or</w:t>
      </w:r>
    </w:p>
    <w:p w:rsidR="009F38CF" w:rsidRPr="00720D9E" w:rsidRDefault="00443A8A" w:rsidP="00DC7C4C">
      <w:pPr>
        <w:pStyle w:val="ListParagraph"/>
        <w:numPr>
          <w:ilvl w:val="1"/>
          <w:numId w:val="11"/>
        </w:numPr>
        <w:ind w:hanging="720"/>
      </w:pPr>
      <w:r w:rsidRPr="00720D9E">
        <w:t>use CO</w:t>
      </w:r>
      <w:r w:rsidRPr="00720D9E">
        <w:rPr>
          <w:vertAlign w:val="subscript"/>
        </w:rPr>
        <w:t>2</w:t>
      </w:r>
      <w:r w:rsidR="00336534" w:rsidRPr="00720D9E">
        <w:t>, steam,</w:t>
      </w:r>
      <w:r w:rsidRPr="00720D9E">
        <w:t xml:space="preserve"> </w:t>
      </w:r>
      <w:r w:rsidR="00672C54" w:rsidRPr="00720D9E">
        <w:t>or any other fluid/</w:t>
      </w:r>
      <w:r w:rsidRPr="00720D9E">
        <w:t>gas to enhance mine methane drainage</w:t>
      </w:r>
      <w:r w:rsidR="0033362F" w:rsidRPr="00720D9E">
        <w:t>; or</w:t>
      </w:r>
    </w:p>
    <w:p w:rsidR="00443A8A" w:rsidRPr="00720D9E" w:rsidRDefault="00443A8A" w:rsidP="00DC7C4C">
      <w:pPr>
        <w:pStyle w:val="ListParagraph"/>
        <w:numPr>
          <w:ilvl w:val="1"/>
          <w:numId w:val="11"/>
        </w:numPr>
        <w:ind w:hanging="720"/>
      </w:pPr>
      <w:r w:rsidRPr="00720D9E">
        <w:t>occur at mines that employ mou</w:t>
      </w:r>
      <w:r w:rsidR="006A5C70" w:rsidRPr="00720D9E">
        <w:t>n</w:t>
      </w:r>
      <w:r w:rsidRPr="00720D9E">
        <w:t xml:space="preserve">taintop removal </w:t>
      </w:r>
      <w:r w:rsidR="001C0C96" w:rsidRPr="00720D9E">
        <w:t>mining methods</w:t>
      </w:r>
      <w:r w:rsidR="0033362F" w:rsidRPr="00720D9E">
        <w:t>.</w:t>
      </w:r>
    </w:p>
    <w:p w:rsidR="008F3F10" w:rsidRPr="00720D9E" w:rsidRDefault="009F38CF" w:rsidP="00971F96">
      <w:pPr>
        <w:pStyle w:val="Heading2"/>
      </w:pPr>
      <w:bookmarkStart w:id="8" w:name="_Toc364243182"/>
      <w:r w:rsidRPr="00720D9E">
        <w:t xml:space="preserve">§ </w:t>
      </w:r>
      <w:r w:rsidR="00926183" w:rsidRPr="00720D9E">
        <w:t>2.4</w:t>
      </w:r>
      <w:r w:rsidR="00971F96" w:rsidRPr="00720D9E">
        <w:t xml:space="preserve">. </w:t>
      </w:r>
      <w:r w:rsidR="00D22A20" w:rsidRPr="00720D9E">
        <w:t xml:space="preserve">Abandoned Underground Mine Methane Recovery </w:t>
      </w:r>
      <w:r w:rsidR="00336534" w:rsidRPr="00720D9E">
        <w:t>Activities</w:t>
      </w:r>
      <w:r w:rsidR="00971F96" w:rsidRPr="00720D9E">
        <w:t>.</w:t>
      </w:r>
      <w:bookmarkEnd w:id="8"/>
    </w:p>
    <w:p w:rsidR="009F38CF" w:rsidRPr="00720D9E" w:rsidRDefault="001C0C96" w:rsidP="001C0C96">
      <w:r w:rsidRPr="00720D9E">
        <w:t xml:space="preserve">This protocol applies to </w:t>
      </w:r>
      <w:r w:rsidR="00336534" w:rsidRPr="00720D9E">
        <w:t>MMC</w:t>
      </w:r>
      <w:r w:rsidRPr="00720D9E">
        <w:t xml:space="preserve"> projects that install equipment to capture and destroy methane extracted through a methane drainage system that would otherwise be vented into the atmosphere</w:t>
      </w:r>
      <w:r w:rsidR="003D2DD4" w:rsidRPr="00720D9E">
        <w:t xml:space="preserve"> as a result of </w:t>
      </w:r>
      <w:r w:rsidR="009858AD" w:rsidRPr="00720D9E">
        <w:t xml:space="preserve">previous underground </w:t>
      </w:r>
      <w:r w:rsidR="00C55023" w:rsidRPr="00720D9E">
        <w:t xml:space="preserve">coal </w:t>
      </w:r>
      <w:r w:rsidR="009858AD" w:rsidRPr="00720D9E">
        <w:t>mining operations</w:t>
      </w:r>
      <w:r w:rsidRPr="00720D9E">
        <w:t xml:space="preserve">. </w:t>
      </w:r>
    </w:p>
    <w:p w:rsidR="0033362F" w:rsidRPr="00720D9E" w:rsidRDefault="00380225" w:rsidP="00DC7C4C">
      <w:pPr>
        <w:pStyle w:val="ListParagraph"/>
        <w:numPr>
          <w:ilvl w:val="0"/>
          <w:numId w:val="14"/>
        </w:numPr>
        <w:ind w:hanging="720"/>
      </w:pPr>
      <w:r w:rsidRPr="00720D9E">
        <w:t>Methane d</w:t>
      </w:r>
      <w:r w:rsidR="001C0C96" w:rsidRPr="00720D9E">
        <w:t xml:space="preserve">rainage systems </w:t>
      </w:r>
      <w:r w:rsidR="0033362F" w:rsidRPr="00720D9E">
        <w:t>must</w:t>
      </w:r>
      <w:r w:rsidR="001C0C96" w:rsidRPr="00720D9E">
        <w:t xml:space="preserve"> consist of</w:t>
      </w:r>
      <w:r w:rsidR="0033362F" w:rsidRPr="00720D9E">
        <w:t xml:space="preserve"> one, or a combination of, the following</w:t>
      </w:r>
      <w:r w:rsidR="00003552" w:rsidRPr="00720D9E">
        <w:t xml:space="preserve"> methane sources</w:t>
      </w:r>
      <w:r w:rsidR="0033362F" w:rsidRPr="00720D9E">
        <w:t xml:space="preserve">: </w:t>
      </w:r>
    </w:p>
    <w:p w:rsidR="001C0C96" w:rsidRPr="00720D9E" w:rsidRDefault="001C0C96" w:rsidP="0078624D">
      <w:pPr>
        <w:pStyle w:val="ListParagraph"/>
        <w:numPr>
          <w:ilvl w:val="0"/>
          <w:numId w:val="5"/>
        </w:numPr>
        <w:ind w:left="1440" w:hanging="720"/>
      </w:pPr>
      <w:r w:rsidRPr="00720D9E">
        <w:t>pre-mining surface wells</w:t>
      </w:r>
      <w:r w:rsidR="0033362F" w:rsidRPr="00720D9E">
        <w:t xml:space="preserve">, </w:t>
      </w:r>
      <w:r w:rsidRPr="00720D9E">
        <w:t>pre-mining in-mine boreholes</w:t>
      </w:r>
      <w:r w:rsidR="0033362F" w:rsidRPr="00720D9E">
        <w:t xml:space="preserve">, or </w:t>
      </w:r>
      <w:r w:rsidRPr="00720D9E">
        <w:t>post-mining gob wells drilled into the mine during active mining</w:t>
      </w:r>
      <w:r w:rsidR="0033362F" w:rsidRPr="00720D9E">
        <w:t xml:space="preserve"> operations</w:t>
      </w:r>
      <w:r w:rsidRPr="00720D9E">
        <w:t>;</w:t>
      </w:r>
      <w:r w:rsidR="0033362F" w:rsidRPr="00720D9E">
        <w:t xml:space="preserve"> and</w:t>
      </w:r>
    </w:p>
    <w:p w:rsidR="00023F58" w:rsidRPr="00720D9E" w:rsidRDefault="001C0C96" w:rsidP="0078624D">
      <w:pPr>
        <w:pStyle w:val="ListParagraph"/>
        <w:numPr>
          <w:ilvl w:val="0"/>
          <w:numId w:val="5"/>
        </w:numPr>
        <w:ind w:left="1440" w:hanging="720"/>
      </w:pPr>
      <w:r w:rsidRPr="00720D9E">
        <w:t xml:space="preserve">newly drilled </w:t>
      </w:r>
      <w:r w:rsidR="00003552" w:rsidRPr="00720D9E">
        <w:t xml:space="preserve">surface </w:t>
      </w:r>
      <w:r w:rsidRPr="00720D9E">
        <w:t>wells</w:t>
      </w:r>
      <w:r w:rsidR="009858AD" w:rsidRPr="00720D9E">
        <w:t>.</w:t>
      </w:r>
    </w:p>
    <w:p w:rsidR="00EA1605" w:rsidRPr="00720D9E" w:rsidRDefault="00EA1605" w:rsidP="009D4842">
      <w:pPr>
        <w:pStyle w:val="ListParagraph"/>
        <w:numPr>
          <w:ilvl w:val="0"/>
          <w:numId w:val="14"/>
        </w:numPr>
        <w:ind w:hanging="720"/>
      </w:pPr>
      <w:r w:rsidRPr="00720D9E">
        <w:lastRenderedPageBreak/>
        <w:t xml:space="preserve">In order to be considered a qualifying device for the purpose of this protocol, a methane destruction device for an abandoned underground mine methane recovery </w:t>
      </w:r>
      <w:r w:rsidR="00293E44" w:rsidRPr="00720D9E">
        <w:t>activity</w:t>
      </w:r>
      <w:r w:rsidRPr="00720D9E">
        <w:t xml:space="preserve"> must not be operating at the mine prior to </w:t>
      </w:r>
      <w:r w:rsidR="004447DE" w:rsidRPr="00720D9E">
        <w:t xml:space="preserve">offset </w:t>
      </w:r>
      <w:r w:rsidRPr="00720D9E">
        <w:t>project commencement.</w:t>
      </w:r>
    </w:p>
    <w:p w:rsidR="001944B6" w:rsidRPr="00720D9E" w:rsidRDefault="00AE3664" w:rsidP="001944B6">
      <w:pPr>
        <w:pStyle w:val="ListParagraph"/>
        <w:numPr>
          <w:ilvl w:val="0"/>
          <w:numId w:val="14"/>
        </w:numPr>
        <w:ind w:hanging="720"/>
      </w:pPr>
      <w:r w:rsidRPr="00720D9E">
        <w:t>Abandoned underground m</w:t>
      </w:r>
      <w:r w:rsidR="003435E0" w:rsidRPr="00720D9E">
        <w:t xml:space="preserve">ine methane recovery </w:t>
      </w:r>
      <w:r w:rsidR="00336534" w:rsidRPr="00720D9E">
        <w:t xml:space="preserve">activities </w:t>
      </w:r>
      <w:r w:rsidRPr="00720D9E">
        <w:t xml:space="preserve">at multiple mines with multiple mine operators </w:t>
      </w:r>
      <w:r w:rsidR="00FE2A32" w:rsidRPr="00720D9E">
        <w:t>may</w:t>
      </w:r>
      <w:r w:rsidRPr="00720D9E">
        <w:t xml:space="preserve"> report and verify together as a single project per the requirements of the Regulation</w:t>
      </w:r>
      <w:r w:rsidR="001944B6" w:rsidRPr="00720D9E">
        <w:t xml:space="preserve"> if they meet the following criteria:</w:t>
      </w:r>
    </w:p>
    <w:p w:rsidR="003435E0" w:rsidRPr="00720D9E" w:rsidRDefault="00AE3664" w:rsidP="001944B6">
      <w:pPr>
        <w:pStyle w:val="ListParagraph"/>
        <w:numPr>
          <w:ilvl w:val="1"/>
          <w:numId w:val="14"/>
        </w:numPr>
        <w:ind w:hanging="720"/>
      </w:pPr>
      <w:r w:rsidRPr="00720D9E">
        <w:t xml:space="preserve">A single </w:t>
      </w:r>
      <w:r w:rsidR="002E56D6" w:rsidRPr="00720D9E">
        <w:t>Offset Project Operator</w:t>
      </w:r>
      <w:r w:rsidR="00FE2A32" w:rsidRPr="00720D9E">
        <w:t xml:space="preserve"> </w:t>
      </w:r>
      <w:r w:rsidR="001944B6" w:rsidRPr="00720D9E">
        <w:t>is</w:t>
      </w:r>
      <w:r w:rsidR="00FE2A32" w:rsidRPr="00720D9E">
        <w:t xml:space="preserve"> identified </w:t>
      </w:r>
      <w:r w:rsidRPr="00720D9E">
        <w:t xml:space="preserve">and emission reductions achieved by </w:t>
      </w:r>
      <w:r w:rsidR="0056242F" w:rsidRPr="00720D9E">
        <w:t>the</w:t>
      </w:r>
      <w:r w:rsidRPr="00720D9E">
        <w:t xml:space="preserve"> project will be credited to </w:t>
      </w:r>
      <w:r w:rsidR="0056242F" w:rsidRPr="00720D9E">
        <w:t xml:space="preserve">that </w:t>
      </w:r>
      <w:r w:rsidR="002E56D6" w:rsidRPr="00720D9E">
        <w:t>Offset Project Operator</w:t>
      </w:r>
      <w:r w:rsidRPr="00720D9E">
        <w:t>.</w:t>
      </w:r>
    </w:p>
    <w:p w:rsidR="001944B6" w:rsidRPr="00720D9E" w:rsidRDefault="001944B6" w:rsidP="001944B6">
      <w:pPr>
        <w:pStyle w:val="ListParagraph"/>
        <w:numPr>
          <w:ilvl w:val="1"/>
          <w:numId w:val="14"/>
        </w:numPr>
        <w:ind w:hanging="720"/>
      </w:pPr>
      <w:r w:rsidRPr="00720D9E">
        <w:t>The methane recovered from the mines is metered at a centralized point prior to being sent to a destruction device</w:t>
      </w:r>
      <w:r w:rsidR="008725A3" w:rsidRPr="00720D9E">
        <w:t>.</w:t>
      </w:r>
    </w:p>
    <w:p w:rsidR="001944B6" w:rsidRPr="00720D9E" w:rsidRDefault="001944B6" w:rsidP="008725A3">
      <w:pPr>
        <w:pStyle w:val="ListParagraph"/>
        <w:numPr>
          <w:ilvl w:val="1"/>
          <w:numId w:val="14"/>
        </w:numPr>
        <w:ind w:hanging="720"/>
      </w:pPr>
      <w:r w:rsidRPr="00720D9E">
        <w:t xml:space="preserve">The </w:t>
      </w:r>
      <w:r w:rsidR="002E56D6" w:rsidRPr="00720D9E">
        <w:t>Offset Project Operator</w:t>
      </w:r>
      <w:r w:rsidRPr="00720D9E">
        <w:t xml:space="preserve"> meets all monitoring, reporting and verification requirements in </w:t>
      </w:r>
      <w:r w:rsidR="006F24A1" w:rsidRPr="00720D9E">
        <w:t>Chapter</w:t>
      </w:r>
      <w:r w:rsidRPr="00720D9E">
        <w:t xml:space="preserve">s </w:t>
      </w:r>
      <w:r w:rsidR="006F24A1" w:rsidRPr="00720D9E">
        <w:t xml:space="preserve">6, </w:t>
      </w:r>
      <w:r w:rsidRPr="00720D9E">
        <w:t>7,</w:t>
      </w:r>
      <w:r w:rsidR="006F24A1" w:rsidRPr="00720D9E">
        <w:t xml:space="preserve"> and</w:t>
      </w:r>
      <w:r w:rsidRPr="00720D9E">
        <w:t xml:space="preserve"> 8.</w:t>
      </w:r>
    </w:p>
    <w:p w:rsidR="001944B6" w:rsidRPr="00720D9E" w:rsidRDefault="001944B6" w:rsidP="008725A3">
      <w:pPr>
        <w:pStyle w:val="ListParagraph"/>
        <w:numPr>
          <w:ilvl w:val="1"/>
          <w:numId w:val="14"/>
        </w:numPr>
        <w:ind w:hanging="720"/>
      </w:pPr>
      <w:r w:rsidRPr="00720D9E">
        <w:t xml:space="preserve">All mines are in </w:t>
      </w:r>
      <w:r w:rsidR="008725A3" w:rsidRPr="00720D9E">
        <w:t xml:space="preserve">compliance with regulations </w:t>
      </w:r>
      <w:r w:rsidRPr="00720D9E">
        <w:t xml:space="preserve">per section </w:t>
      </w:r>
      <w:r w:rsidR="00645452" w:rsidRPr="00720D9E">
        <w:t>3.8</w:t>
      </w:r>
      <w:r w:rsidRPr="00720D9E">
        <w:t xml:space="preserve">. </w:t>
      </w:r>
      <w:r w:rsidR="008725A3" w:rsidRPr="00720D9E">
        <w:t xml:space="preserve"> If a</w:t>
      </w:r>
      <w:r w:rsidR="00310F46" w:rsidRPr="00720D9E">
        <w:t>ny</w:t>
      </w:r>
      <w:r w:rsidR="008725A3" w:rsidRPr="00720D9E">
        <w:t xml:space="preserve"> mine is found to be out of compliance, no emission reductions will be credited to the project even if achieved by one of the other mines found to be in compliance. </w:t>
      </w:r>
    </w:p>
    <w:p w:rsidR="00293E44" w:rsidRPr="00720D9E" w:rsidRDefault="00293E44" w:rsidP="00336534">
      <w:pPr>
        <w:pStyle w:val="ListParagraph"/>
        <w:numPr>
          <w:ilvl w:val="0"/>
          <w:numId w:val="14"/>
        </w:numPr>
        <w:ind w:hanging="720"/>
        <w:rPr>
          <w:color w:val="auto"/>
        </w:rPr>
      </w:pPr>
      <w:r w:rsidRPr="00720D9E">
        <w:rPr>
          <w:color w:val="auto"/>
        </w:rPr>
        <w:t xml:space="preserve">In the event that there are vertically separated mines overlying and underlying other mines, </w:t>
      </w:r>
      <w:r w:rsidR="008B7442" w:rsidRPr="00720D9E">
        <w:rPr>
          <w:color w:val="auto"/>
        </w:rPr>
        <w:t>wells completed in one mine can be used to capture methane in overlying or underlying</w:t>
      </w:r>
      <w:r w:rsidRPr="00720D9E">
        <w:rPr>
          <w:color w:val="auto"/>
        </w:rPr>
        <w:t xml:space="preserve"> </w:t>
      </w:r>
      <w:r w:rsidR="008B7442" w:rsidRPr="00720D9E">
        <w:rPr>
          <w:color w:val="auto"/>
        </w:rPr>
        <w:t xml:space="preserve">mines provided the wells are within the maximum vertical extent of each mine per section </w:t>
      </w:r>
      <w:r w:rsidR="00645452" w:rsidRPr="00720D9E">
        <w:rPr>
          <w:color w:val="auto"/>
        </w:rPr>
        <w:t>3.5</w:t>
      </w:r>
      <w:r w:rsidR="008B7442" w:rsidRPr="00720D9E">
        <w:rPr>
          <w:color w:val="auto"/>
        </w:rPr>
        <w:t>(d)(4).</w:t>
      </w:r>
    </w:p>
    <w:p w:rsidR="00336534" w:rsidRPr="00720D9E" w:rsidRDefault="00336534" w:rsidP="00336534">
      <w:pPr>
        <w:pStyle w:val="ListParagraph"/>
        <w:numPr>
          <w:ilvl w:val="0"/>
          <w:numId w:val="14"/>
        </w:numPr>
        <w:ind w:hanging="720"/>
        <w:rPr>
          <w:color w:val="auto"/>
        </w:rPr>
      </w:pPr>
      <w:r w:rsidRPr="00720D9E">
        <w:rPr>
          <w:color w:val="auto"/>
        </w:rPr>
        <w:t xml:space="preserve">If a newly drilled well/borehole is connected to an existing or new qualifying destruction device after </w:t>
      </w:r>
      <w:r w:rsidR="004447DE" w:rsidRPr="00720D9E">
        <w:rPr>
          <w:color w:val="auto"/>
        </w:rPr>
        <w:t xml:space="preserve">offset </w:t>
      </w:r>
      <w:r w:rsidRPr="00720D9E">
        <w:rPr>
          <w:color w:val="auto"/>
        </w:rPr>
        <w:t xml:space="preserve">project commencement, the </w:t>
      </w:r>
      <w:r w:rsidR="002E56D6" w:rsidRPr="00720D9E">
        <w:rPr>
          <w:color w:val="auto"/>
        </w:rPr>
        <w:t xml:space="preserve">Offset Project Operator </w:t>
      </w:r>
      <w:r w:rsidRPr="00720D9E">
        <w:rPr>
          <w:color w:val="auto"/>
        </w:rPr>
        <w:t xml:space="preserve">may </w:t>
      </w:r>
      <w:r w:rsidR="00133AFE" w:rsidRPr="00720D9E">
        <w:rPr>
          <w:color w:val="auto"/>
        </w:rPr>
        <w:t>either</w:t>
      </w:r>
      <w:r w:rsidRPr="00720D9E">
        <w:rPr>
          <w:color w:val="auto"/>
        </w:rPr>
        <w:t xml:space="preserve"> classify it as an offset project expansion or register the addition as a new MMC project.</w:t>
      </w:r>
    </w:p>
    <w:p w:rsidR="00BE2003" w:rsidRPr="00720D9E" w:rsidRDefault="00BE2003" w:rsidP="00BE2003">
      <w:pPr>
        <w:pStyle w:val="ListParagraph"/>
        <w:numPr>
          <w:ilvl w:val="0"/>
          <w:numId w:val="14"/>
        </w:numPr>
        <w:ind w:hanging="720"/>
        <w:rPr>
          <w:color w:val="auto"/>
        </w:rPr>
      </w:pPr>
      <w:r w:rsidRPr="00720D9E">
        <w:rPr>
          <w:color w:val="auto"/>
        </w:rPr>
        <w:t xml:space="preserve">If an existing well/borehole that was not connected to a destruction device at time of offset project commencement is connected to an existing or new destruction device after offset project commencement, the Offset Project Operator may either classify it as an offset project expansion or register the addition as a new MMC project. </w:t>
      </w:r>
    </w:p>
    <w:p w:rsidR="00336534" w:rsidRPr="00720D9E" w:rsidRDefault="00336534" w:rsidP="00336534">
      <w:pPr>
        <w:pStyle w:val="ListParagraph"/>
        <w:numPr>
          <w:ilvl w:val="0"/>
          <w:numId w:val="14"/>
        </w:numPr>
        <w:ind w:hanging="720"/>
        <w:rPr>
          <w:color w:val="auto"/>
        </w:rPr>
      </w:pPr>
      <w:r w:rsidRPr="00720D9E">
        <w:rPr>
          <w:color w:val="auto"/>
        </w:rPr>
        <w:lastRenderedPageBreak/>
        <w:t>If a new qualifying destruction device is connected to a well/borehole currently connected to an existing qualifying destruction device, this addition of the new destruction device is considered an offset project expansion.</w:t>
      </w:r>
    </w:p>
    <w:p w:rsidR="00336534" w:rsidRPr="00720D9E" w:rsidRDefault="00BE2003" w:rsidP="00336534">
      <w:pPr>
        <w:pStyle w:val="ListParagraph"/>
        <w:numPr>
          <w:ilvl w:val="0"/>
          <w:numId w:val="14"/>
        </w:numPr>
        <w:ind w:hanging="720"/>
        <w:rPr>
          <w:color w:val="auto"/>
        </w:rPr>
      </w:pPr>
      <w:r w:rsidRPr="00720D9E">
        <w:rPr>
          <w:color w:val="auto"/>
        </w:rPr>
        <w:t xml:space="preserve">AMM from any </w:t>
      </w:r>
      <w:r w:rsidR="008D6DA1" w:rsidRPr="00720D9E">
        <w:rPr>
          <w:color w:val="auto"/>
        </w:rPr>
        <w:t xml:space="preserve">well or borehole </w:t>
      </w:r>
      <w:r w:rsidRPr="00720D9E">
        <w:rPr>
          <w:color w:val="auto"/>
        </w:rPr>
        <w:t>connected to a non-qualifying destruction device at any point during the year prior to offset project commencement is not eligible for crediting.</w:t>
      </w:r>
      <w:r w:rsidRPr="00720D9E" w:rsidDel="00BE2003">
        <w:rPr>
          <w:color w:val="auto"/>
        </w:rPr>
        <w:t xml:space="preserve"> </w:t>
      </w:r>
    </w:p>
    <w:p w:rsidR="002E2807" w:rsidRPr="00720D9E" w:rsidRDefault="00133AFE" w:rsidP="00DC7C4C">
      <w:pPr>
        <w:pStyle w:val="ListParagraph"/>
        <w:numPr>
          <w:ilvl w:val="0"/>
          <w:numId w:val="14"/>
        </w:numPr>
        <w:ind w:hanging="720"/>
      </w:pPr>
      <w:r w:rsidRPr="00720D9E">
        <w:t xml:space="preserve">To be eligible for crediting under this protocol, </w:t>
      </w:r>
      <w:r w:rsidR="00336534" w:rsidRPr="00720D9E">
        <w:t>MMC</w:t>
      </w:r>
      <w:r w:rsidR="002E2807" w:rsidRPr="00720D9E">
        <w:t xml:space="preserve"> projects at abandoned underground mines must not:</w:t>
      </w:r>
    </w:p>
    <w:p w:rsidR="002E2807" w:rsidRPr="00720D9E" w:rsidRDefault="00043DD7" w:rsidP="0078624D">
      <w:pPr>
        <w:pStyle w:val="ListParagraph"/>
        <w:numPr>
          <w:ilvl w:val="0"/>
          <w:numId w:val="6"/>
        </w:numPr>
        <w:ind w:left="1440" w:hanging="720"/>
      </w:pPr>
      <w:r w:rsidRPr="00720D9E">
        <w:t>capture</w:t>
      </w:r>
      <w:r w:rsidR="002E2807" w:rsidRPr="00720D9E">
        <w:t xml:space="preserve"> </w:t>
      </w:r>
      <w:r w:rsidR="00B36E98" w:rsidRPr="00720D9E">
        <w:t xml:space="preserve">virgin </w:t>
      </w:r>
      <w:r w:rsidR="002E2807" w:rsidRPr="00720D9E">
        <w:t xml:space="preserve">coal bed methane (CBM) </w:t>
      </w:r>
      <w:r w:rsidR="00B36E98" w:rsidRPr="00720D9E">
        <w:t xml:space="preserve">from </w:t>
      </w:r>
      <w:r w:rsidR="002E2807" w:rsidRPr="00720D9E">
        <w:t>wells outside the extents of the mine according to the final mine map</w:t>
      </w:r>
      <w:r w:rsidR="00B36E98" w:rsidRPr="00720D9E">
        <w:t>(</w:t>
      </w:r>
      <w:r w:rsidR="002E2807" w:rsidRPr="00720D9E">
        <w:t>s</w:t>
      </w:r>
      <w:r w:rsidR="00B36E98" w:rsidRPr="00720D9E">
        <w:t>)</w:t>
      </w:r>
      <w:r w:rsidR="00584758" w:rsidRPr="00720D9E">
        <w:t xml:space="preserve"> or from outside the </w:t>
      </w:r>
      <w:r w:rsidR="00220AAE" w:rsidRPr="00720D9E">
        <w:t xml:space="preserve">methane source boundaries </w:t>
      </w:r>
      <w:r w:rsidR="00584758" w:rsidRPr="00720D9E">
        <w:t xml:space="preserve">ascribed in </w:t>
      </w:r>
      <w:r w:rsidR="00C179DE" w:rsidRPr="00720D9E">
        <w:t>section</w:t>
      </w:r>
      <w:r w:rsidR="00AE3664" w:rsidRPr="00720D9E">
        <w:t xml:space="preserve"> </w:t>
      </w:r>
      <w:r w:rsidR="00645452" w:rsidRPr="00720D9E">
        <w:t>3.5</w:t>
      </w:r>
      <w:r w:rsidR="00220AAE" w:rsidRPr="00720D9E">
        <w:t>; or</w:t>
      </w:r>
    </w:p>
    <w:p w:rsidR="002E2807" w:rsidRPr="00720D9E" w:rsidRDefault="002E2807" w:rsidP="0078624D">
      <w:pPr>
        <w:pStyle w:val="ListParagraph"/>
        <w:numPr>
          <w:ilvl w:val="0"/>
          <w:numId w:val="6"/>
        </w:numPr>
        <w:ind w:left="1440" w:hanging="720"/>
      </w:pPr>
      <w:r w:rsidRPr="00720D9E">
        <w:t>use CO</w:t>
      </w:r>
      <w:r w:rsidRPr="00720D9E">
        <w:rPr>
          <w:vertAlign w:val="subscript"/>
        </w:rPr>
        <w:t>2</w:t>
      </w:r>
      <w:r w:rsidR="00336534" w:rsidRPr="00720D9E">
        <w:t>, steam,</w:t>
      </w:r>
      <w:r w:rsidRPr="00720D9E">
        <w:t xml:space="preserve"> or any other fluid/gas to enhance mine methane drainage; or</w:t>
      </w:r>
    </w:p>
    <w:p w:rsidR="002E2807" w:rsidRPr="00720D9E" w:rsidRDefault="002E2807" w:rsidP="0078624D">
      <w:pPr>
        <w:pStyle w:val="ListParagraph"/>
        <w:numPr>
          <w:ilvl w:val="0"/>
          <w:numId w:val="6"/>
        </w:numPr>
        <w:ind w:left="1440" w:hanging="720"/>
      </w:pPr>
      <w:r w:rsidRPr="00720D9E">
        <w:t>occur at flooded mines.</w:t>
      </w:r>
    </w:p>
    <w:p w:rsidR="00672C54" w:rsidRPr="00720D9E" w:rsidRDefault="00D25B46" w:rsidP="009F38CF">
      <w:pPr>
        <w:pStyle w:val="Heading1"/>
      </w:pPr>
      <w:bookmarkStart w:id="9" w:name="_Toc364243183"/>
      <w:r w:rsidRPr="00720D9E">
        <w:t>Chapter</w:t>
      </w:r>
      <w:r w:rsidR="00971F96" w:rsidRPr="00720D9E">
        <w:t xml:space="preserve"> </w:t>
      </w:r>
      <w:r w:rsidR="006F24A1" w:rsidRPr="00720D9E">
        <w:t>3</w:t>
      </w:r>
      <w:r w:rsidR="009F38CF" w:rsidRPr="00720D9E">
        <w:t xml:space="preserve">.  </w:t>
      </w:r>
      <w:r w:rsidR="00672C54" w:rsidRPr="00720D9E">
        <w:t>Eligibility</w:t>
      </w:r>
      <w:bookmarkEnd w:id="9"/>
    </w:p>
    <w:p w:rsidR="009F38CF" w:rsidRPr="00720D9E" w:rsidRDefault="009F38CF" w:rsidP="009F38CF">
      <w:r w:rsidRPr="00720D9E">
        <w:t xml:space="preserve">In addition to the offset project eligibility </w:t>
      </w:r>
      <w:r w:rsidR="00CD29E5" w:rsidRPr="00720D9E">
        <w:t xml:space="preserve">criteria and regulatory program requirements set forth in the Cap-and-Trade </w:t>
      </w:r>
      <w:r w:rsidRPr="00720D9E">
        <w:t>Regulation</w:t>
      </w:r>
      <w:r w:rsidR="00CD29E5" w:rsidRPr="00720D9E">
        <w:t xml:space="preserve"> (Regulation)</w:t>
      </w:r>
      <w:r w:rsidRPr="00720D9E">
        <w:t xml:space="preserve">, mine methane capture offset projects must adhere to the eligibility requirements below. </w:t>
      </w:r>
    </w:p>
    <w:p w:rsidR="009F38CF" w:rsidRPr="00720D9E" w:rsidRDefault="009F38CF" w:rsidP="00037C40">
      <w:pPr>
        <w:pStyle w:val="Heading2"/>
      </w:pPr>
      <w:bookmarkStart w:id="10" w:name="_Toc364243184"/>
      <w:r w:rsidRPr="00720D9E">
        <w:t xml:space="preserve">§ </w:t>
      </w:r>
      <w:r w:rsidR="00926183" w:rsidRPr="00720D9E">
        <w:t>3.1</w:t>
      </w:r>
      <w:r w:rsidR="00971F96" w:rsidRPr="00720D9E">
        <w:t xml:space="preserve">. </w:t>
      </w:r>
      <w:r w:rsidRPr="00720D9E">
        <w:t>General Eligibility Requirements</w:t>
      </w:r>
      <w:r w:rsidR="00971F96" w:rsidRPr="00720D9E">
        <w:t>.</w:t>
      </w:r>
      <w:bookmarkEnd w:id="10"/>
    </w:p>
    <w:p w:rsidR="00A27548" w:rsidRPr="00720D9E" w:rsidRDefault="00A27548" w:rsidP="00DC7C4C">
      <w:pPr>
        <w:pStyle w:val="ListParagraph"/>
        <w:numPr>
          <w:ilvl w:val="0"/>
          <w:numId w:val="15"/>
        </w:numPr>
        <w:ind w:hanging="720"/>
      </w:pPr>
      <w:r w:rsidRPr="00720D9E">
        <w:rPr>
          <w:bCs/>
        </w:rPr>
        <w:t xml:space="preserve">Offset projects that use this protocol </w:t>
      </w:r>
      <w:r w:rsidRPr="00720D9E">
        <w:t>must:</w:t>
      </w:r>
    </w:p>
    <w:p w:rsidR="00A27548" w:rsidRPr="00720D9E" w:rsidRDefault="00A27548" w:rsidP="0078624D">
      <w:pPr>
        <w:pStyle w:val="ListParagraph"/>
        <w:numPr>
          <w:ilvl w:val="0"/>
          <w:numId w:val="1"/>
        </w:numPr>
        <w:ind w:left="1440" w:hanging="720"/>
      </w:pPr>
      <w:r w:rsidRPr="00720D9E">
        <w:t>involve the installation and operation of a device, or set of devices, associated with the capture and destruction of mine methane;</w:t>
      </w:r>
    </w:p>
    <w:p w:rsidR="00A27548" w:rsidRPr="00720D9E" w:rsidRDefault="00A27548" w:rsidP="0078624D">
      <w:pPr>
        <w:pStyle w:val="ListParagraph"/>
        <w:numPr>
          <w:ilvl w:val="0"/>
          <w:numId w:val="1"/>
        </w:numPr>
        <w:ind w:left="1440" w:hanging="720"/>
      </w:pPr>
      <w:r w:rsidRPr="00720D9E">
        <w:t xml:space="preserve">capture mine methane that would otherwise be emitted to the atmosphere; </w:t>
      </w:r>
      <w:r w:rsidR="00CD29E5" w:rsidRPr="00720D9E">
        <w:t>and</w:t>
      </w:r>
    </w:p>
    <w:p w:rsidR="00A27548" w:rsidRPr="00720D9E" w:rsidRDefault="00A27548" w:rsidP="0078624D">
      <w:pPr>
        <w:pStyle w:val="ListParagraph"/>
        <w:numPr>
          <w:ilvl w:val="0"/>
          <w:numId w:val="1"/>
        </w:numPr>
        <w:ind w:left="1440" w:hanging="720"/>
      </w:pPr>
      <w:r w:rsidRPr="00720D9E">
        <w:t>destroy the captured mine methane through an eligible end-use management option</w:t>
      </w:r>
      <w:r w:rsidR="00CD29E5" w:rsidRPr="00720D9E">
        <w:t xml:space="preserve"> per </w:t>
      </w:r>
      <w:r w:rsidR="00C179DE" w:rsidRPr="00720D9E">
        <w:t>section</w:t>
      </w:r>
      <w:r w:rsidR="00DD3E68" w:rsidRPr="00720D9E">
        <w:t xml:space="preserve"> </w:t>
      </w:r>
      <w:r w:rsidR="00645452" w:rsidRPr="00720D9E">
        <w:t>3.4</w:t>
      </w:r>
      <w:r w:rsidR="00CD29E5" w:rsidRPr="00720D9E">
        <w:t>.</w:t>
      </w:r>
    </w:p>
    <w:p w:rsidR="00A27548" w:rsidRPr="00720D9E" w:rsidRDefault="002E56D6" w:rsidP="00DC7C4C">
      <w:pPr>
        <w:pStyle w:val="ListParagraph"/>
        <w:numPr>
          <w:ilvl w:val="0"/>
          <w:numId w:val="15"/>
        </w:numPr>
        <w:ind w:hanging="720"/>
      </w:pPr>
      <w:r w:rsidRPr="00720D9E">
        <w:t xml:space="preserve">Offset Project Operators </w:t>
      </w:r>
      <w:r w:rsidR="00A27548" w:rsidRPr="00720D9E">
        <w:t xml:space="preserve">or </w:t>
      </w:r>
      <w:r w:rsidRPr="00720D9E">
        <w:t>Authorized Project Designees</w:t>
      </w:r>
      <w:r w:rsidR="00A27548" w:rsidRPr="00720D9E">
        <w:t xml:space="preserve"> </w:t>
      </w:r>
      <w:r w:rsidR="00ED6FDB" w:rsidRPr="00720D9E">
        <w:t xml:space="preserve">that use this protocol </w:t>
      </w:r>
      <w:r w:rsidR="00A27548" w:rsidRPr="00720D9E">
        <w:t>must:</w:t>
      </w:r>
    </w:p>
    <w:p w:rsidR="00ED6FDB" w:rsidRPr="00720D9E" w:rsidRDefault="00ED6FDB" w:rsidP="0078624D">
      <w:pPr>
        <w:pStyle w:val="ListParagraph"/>
        <w:numPr>
          <w:ilvl w:val="0"/>
          <w:numId w:val="2"/>
        </w:numPr>
        <w:ind w:left="1440" w:hanging="720"/>
      </w:pPr>
      <w:r w:rsidRPr="00720D9E">
        <w:t xml:space="preserve">provide the listing information required in the Regulation and </w:t>
      </w:r>
      <w:r w:rsidR="00C179DE" w:rsidRPr="00720D9E">
        <w:t>section</w:t>
      </w:r>
      <w:r w:rsidR="00DD3E68" w:rsidRPr="00720D9E">
        <w:t xml:space="preserve"> </w:t>
      </w:r>
      <w:r w:rsidR="00645452" w:rsidRPr="00720D9E">
        <w:t>7.1</w:t>
      </w:r>
      <w:r w:rsidRPr="00720D9E">
        <w:t xml:space="preserve">; </w:t>
      </w:r>
    </w:p>
    <w:p w:rsidR="00A27548" w:rsidRPr="00720D9E" w:rsidRDefault="00A27548" w:rsidP="0078624D">
      <w:pPr>
        <w:pStyle w:val="ListParagraph"/>
        <w:numPr>
          <w:ilvl w:val="0"/>
          <w:numId w:val="2"/>
        </w:numPr>
        <w:ind w:left="1440" w:hanging="720"/>
      </w:pPr>
      <w:r w:rsidRPr="00720D9E">
        <w:lastRenderedPageBreak/>
        <w:t>monitor GHG emission sources within the GHG Assessment Boundary</w:t>
      </w:r>
      <w:r w:rsidR="00CD29E5" w:rsidRPr="00720D9E">
        <w:t xml:space="preserve"> as delineated in </w:t>
      </w:r>
      <w:r w:rsidR="00D25B46" w:rsidRPr="00720D9E">
        <w:t>Chapter</w:t>
      </w:r>
      <w:r w:rsidR="00DD3E68" w:rsidRPr="00720D9E">
        <w:t xml:space="preserve"> </w:t>
      </w:r>
      <w:r w:rsidR="006F24A1" w:rsidRPr="00720D9E">
        <w:t>4</w:t>
      </w:r>
      <w:r w:rsidR="00ED6FDB" w:rsidRPr="00720D9E">
        <w:t xml:space="preserve"> per the requirement</w:t>
      </w:r>
      <w:r w:rsidR="00D73E71" w:rsidRPr="00720D9E">
        <w:t>s</w:t>
      </w:r>
      <w:r w:rsidR="00ED6FDB" w:rsidRPr="00720D9E">
        <w:t xml:space="preserve"> of </w:t>
      </w:r>
      <w:r w:rsidR="00D25B46" w:rsidRPr="00720D9E">
        <w:t>Chapter</w:t>
      </w:r>
      <w:r w:rsidR="00DD3E68" w:rsidRPr="00720D9E">
        <w:t xml:space="preserve"> </w:t>
      </w:r>
      <w:r w:rsidR="006F24A1" w:rsidRPr="00720D9E">
        <w:t>6</w:t>
      </w:r>
      <w:r w:rsidRPr="00720D9E">
        <w:t>;</w:t>
      </w:r>
    </w:p>
    <w:p w:rsidR="00A27548" w:rsidRPr="00720D9E" w:rsidRDefault="00A27548" w:rsidP="0078624D">
      <w:pPr>
        <w:pStyle w:val="ListParagraph"/>
        <w:numPr>
          <w:ilvl w:val="0"/>
          <w:numId w:val="2"/>
        </w:numPr>
        <w:ind w:left="1440" w:hanging="720"/>
      </w:pPr>
      <w:r w:rsidRPr="00720D9E">
        <w:t>quantify GHG emission reductions</w:t>
      </w:r>
      <w:r w:rsidR="00CD29E5" w:rsidRPr="00720D9E">
        <w:t xml:space="preserve"> per </w:t>
      </w:r>
      <w:r w:rsidR="00D25B46" w:rsidRPr="00720D9E">
        <w:t>Chapter</w:t>
      </w:r>
      <w:r w:rsidR="00DD3E68" w:rsidRPr="00720D9E">
        <w:t xml:space="preserve"> </w:t>
      </w:r>
      <w:r w:rsidR="006F24A1" w:rsidRPr="00720D9E">
        <w:t>5</w:t>
      </w:r>
      <w:r w:rsidRPr="00720D9E">
        <w:t>;</w:t>
      </w:r>
    </w:p>
    <w:p w:rsidR="00A27548" w:rsidRPr="00720D9E" w:rsidRDefault="00A27548" w:rsidP="0078624D">
      <w:pPr>
        <w:pStyle w:val="ListParagraph"/>
        <w:numPr>
          <w:ilvl w:val="0"/>
          <w:numId w:val="2"/>
        </w:numPr>
        <w:ind w:left="1440" w:hanging="720"/>
      </w:pPr>
      <w:r w:rsidRPr="00720D9E">
        <w:t xml:space="preserve">prepare </w:t>
      </w:r>
      <w:r w:rsidR="00ED6FDB" w:rsidRPr="00720D9E">
        <w:t xml:space="preserve">and submit </w:t>
      </w:r>
      <w:r w:rsidRPr="00720D9E">
        <w:t>annual Offset Project Data Reports (OPDRs)</w:t>
      </w:r>
      <w:r w:rsidR="00ED6FDB" w:rsidRPr="00720D9E">
        <w:t xml:space="preserve"> that include the information requirements in </w:t>
      </w:r>
      <w:r w:rsidR="00C179DE" w:rsidRPr="00720D9E">
        <w:t>section</w:t>
      </w:r>
      <w:r w:rsidR="00F77CCE" w:rsidRPr="00720D9E">
        <w:t xml:space="preserve"> </w:t>
      </w:r>
      <w:r w:rsidR="00645452" w:rsidRPr="00720D9E">
        <w:t>7.2</w:t>
      </w:r>
      <w:r w:rsidRPr="00720D9E">
        <w:t>;</w:t>
      </w:r>
      <w:r w:rsidR="00D73E71" w:rsidRPr="00720D9E">
        <w:t xml:space="preserve"> and</w:t>
      </w:r>
    </w:p>
    <w:p w:rsidR="00A27548" w:rsidRPr="00720D9E" w:rsidRDefault="00A27548" w:rsidP="0078624D">
      <w:pPr>
        <w:pStyle w:val="ListParagraph"/>
        <w:numPr>
          <w:ilvl w:val="0"/>
          <w:numId w:val="2"/>
        </w:numPr>
        <w:ind w:left="1440" w:hanging="720"/>
      </w:pPr>
      <w:r w:rsidRPr="00720D9E">
        <w:t xml:space="preserve">undergo </w:t>
      </w:r>
      <w:r w:rsidR="00BD6520" w:rsidRPr="00720D9E">
        <w:t>required</w:t>
      </w:r>
      <w:r w:rsidRPr="00720D9E">
        <w:t xml:space="preserve">, independent verification by an ARB-accredited </w:t>
      </w:r>
      <w:r w:rsidR="00645D37" w:rsidRPr="00720D9E">
        <w:t xml:space="preserve">offset </w:t>
      </w:r>
      <w:r w:rsidRPr="00720D9E">
        <w:t>verification body</w:t>
      </w:r>
      <w:r w:rsidR="002A24DE" w:rsidRPr="00720D9E">
        <w:t xml:space="preserve"> in accordance with the Regulation and </w:t>
      </w:r>
      <w:r w:rsidR="00D25B46" w:rsidRPr="00720D9E">
        <w:t>Chapter</w:t>
      </w:r>
      <w:r w:rsidR="002B20FD" w:rsidRPr="00720D9E">
        <w:t xml:space="preserve"> </w:t>
      </w:r>
      <w:r w:rsidR="006F24A1" w:rsidRPr="00720D9E">
        <w:t>8</w:t>
      </w:r>
      <w:r w:rsidR="00D73E71" w:rsidRPr="00720D9E">
        <w:t>.</w:t>
      </w:r>
    </w:p>
    <w:p w:rsidR="00B728F8" w:rsidRPr="00720D9E" w:rsidRDefault="00B728F8" w:rsidP="00037C40">
      <w:pPr>
        <w:pStyle w:val="Heading2"/>
      </w:pPr>
      <w:bookmarkStart w:id="11" w:name="_Toc364243185"/>
      <w:r w:rsidRPr="00720D9E">
        <w:t xml:space="preserve">§ </w:t>
      </w:r>
      <w:r w:rsidR="00926183" w:rsidRPr="00720D9E">
        <w:t>3.2</w:t>
      </w:r>
      <w:r w:rsidR="00971F96" w:rsidRPr="00720D9E">
        <w:t xml:space="preserve">. </w:t>
      </w:r>
      <w:r w:rsidR="00023F58" w:rsidRPr="00720D9E">
        <w:t>Location</w:t>
      </w:r>
      <w:r w:rsidR="00971F96" w:rsidRPr="00720D9E">
        <w:t>.</w:t>
      </w:r>
      <w:bookmarkEnd w:id="11"/>
    </w:p>
    <w:p w:rsidR="00B728F8" w:rsidRPr="00720D9E" w:rsidRDefault="00B728F8" w:rsidP="00DC7C4C">
      <w:pPr>
        <w:pStyle w:val="ListParagraph"/>
        <w:numPr>
          <w:ilvl w:val="0"/>
          <w:numId w:val="16"/>
        </w:numPr>
        <w:ind w:hanging="720"/>
      </w:pPr>
      <w:r w:rsidRPr="00720D9E">
        <w:rPr>
          <w:bCs/>
        </w:rPr>
        <w:t xml:space="preserve">Only </w:t>
      </w:r>
      <w:r w:rsidRPr="00720D9E">
        <w:t>projects located in the United States are eligible under this protocol.</w:t>
      </w:r>
    </w:p>
    <w:p w:rsidR="00983D60" w:rsidRPr="00720D9E" w:rsidRDefault="007838B6" w:rsidP="00DC7C4C">
      <w:pPr>
        <w:pStyle w:val="ListParagraph"/>
        <w:numPr>
          <w:ilvl w:val="0"/>
          <w:numId w:val="16"/>
        </w:numPr>
        <w:ind w:hanging="720"/>
      </w:pPr>
      <w:r w:rsidRPr="00720D9E">
        <w:t>O</w:t>
      </w:r>
      <w:r w:rsidR="00672C54" w:rsidRPr="00720D9E">
        <w:t xml:space="preserve">ffset projects situated on the following categories of land are only eligible under this protocol if they meet the requirements of this protocol and the Regulation, including the waiver of sovereign immunity requirements of section 95975(l) of the Regulation: </w:t>
      </w:r>
    </w:p>
    <w:p w:rsidR="00983D60" w:rsidRPr="00720D9E" w:rsidRDefault="00983D60" w:rsidP="00DC7C4C">
      <w:pPr>
        <w:pStyle w:val="ListParagraph"/>
        <w:numPr>
          <w:ilvl w:val="1"/>
          <w:numId w:val="16"/>
        </w:numPr>
        <w:ind w:left="1440" w:hanging="720"/>
      </w:pPr>
      <w:r w:rsidRPr="00720D9E">
        <w:t xml:space="preserve">Land that is owned by, or subject to an ownership or possessory interest of a Tribe; </w:t>
      </w:r>
    </w:p>
    <w:p w:rsidR="00983D60" w:rsidRPr="00720D9E" w:rsidRDefault="00983D60" w:rsidP="00DC7C4C">
      <w:pPr>
        <w:pStyle w:val="ListParagraph"/>
        <w:numPr>
          <w:ilvl w:val="1"/>
          <w:numId w:val="16"/>
        </w:numPr>
        <w:ind w:left="1440" w:hanging="720"/>
      </w:pPr>
      <w:r w:rsidRPr="00720D9E">
        <w:t xml:space="preserve">Land that is “Indian lands” of a Tribe, as defined by 25 U.S.C. §81(a)(1); or </w:t>
      </w:r>
    </w:p>
    <w:p w:rsidR="00983D60" w:rsidRPr="00720D9E" w:rsidRDefault="00983D60" w:rsidP="00DC7C4C">
      <w:pPr>
        <w:pStyle w:val="ListParagraph"/>
        <w:numPr>
          <w:ilvl w:val="1"/>
          <w:numId w:val="16"/>
        </w:numPr>
        <w:ind w:left="1440" w:hanging="720"/>
      </w:pPr>
      <w:r w:rsidRPr="00720D9E">
        <w:t>Land that is owned by any person, entity, or Tribe, within the external borders of such Indian lands.</w:t>
      </w:r>
    </w:p>
    <w:p w:rsidR="0058768B" w:rsidRPr="00720D9E" w:rsidRDefault="00983D60" w:rsidP="00DC7C4C">
      <w:pPr>
        <w:pStyle w:val="ListParagraph"/>
        <w:numPr>
          <w:ilvl w:val="0"/>
          <w:numId w:val="16"/>
        </w:numPr>
        <w:ind w:hanging="720"/>
      </w:pPr>
      <w:r w:rsidRPr="00720D9E">
        <w:t xml:space="preserve">Projects must take place at either: </w:t>
      </w:r>
    </w:p>
    <w:p w:rsidR="00BD6520" w:rsidRPr="00720D9E" w:rsidRDefault="00BD6520" w:rsidP="00BD6520">
      <w:pPr>
        <w:pStyle w:val="ListParagraph"/>
        <w:numPr>
          <w:ilvl w:val="1"/>
          <w:numId w:val="16"/>
        </w:numPr>
        <w:ind w:left="1440" w:hanging="720"/>
      </w:pPr>
      <w:r w:rsidRPr="00720D9E">
        <w:t>an active underground or surface mine permitted for coal or trona mining by an appropriate state or federal agency and classified by Mine Safety and Health Administration (MSHA) as an active or intermittent mine; or</w:t>
      </w:r>
    </w:p>
    <w:p w:rsidR="00BD6520" w:rsidRPr="00720D9E" w:rsidRDefault="00BD6520" w:rsidP="00BD6520">
      <w:pPr>
        <w:pStyle w:val="ListParagraph"/>
        <w:numPr>
          <w:ilvl w:val="1"/>
          <w:numId w:val="16"/>
        </w:numPr>
        <w:ind w:left="1440" w:hanging="720"/>
      </w:pPr>
      <w:r w:rsidRPr="00720D9E">
        <w:t>an abandoned underground coal mine classified as temporarily abandoned or permanently abandoned by MSHA.</w:t>
      </w:r>
    </w:p>
    <w:p w:rsidR="00BD6520" w:rsidRPr="00720D9E" w:rsidRDefault="00BD6520" w:rsidP="00DC7C4C">
      <w:pPr>
        <w:pStyle w:val="ListParagraph"/>
        <w:numPr>
          <w:ilvl w:val="0"/>
          <w:numId w:val="16"/>
        </w:numPr>
        <w:ind w:hanging="720"/>
      </w:pPr>
      <w:r w:rsidRPr="00720D9E">
        <w:t>Mines located on federal lands are eligible for implementation of MMC projects.</w:t>
      </w:r>
    </w:p>
    <w:p w:rsidR="00E447EE" w:rsidRPr="00720D9E" w:rsidRDefault="00E12AE1" w:rsidP="00037C40">
      <w:pPr>
        <w:pStyle w:val="Heading2"/>
      </w:pPr>
      <w:bookmarkStart w:id="12" w:name="_Toc364243186"/>
      <w:r w:rsidRPr="00720D9E">
        <w:t xml:space="preserve">§ </w:t>
      </w:r>
      <w:r w:rsidR="00926183" w:rsidRPr="00720D9E">
        <w:t>3.3</w:t>
      </w:r>
      <w:r w:rsidR="0067677C" w:rsidRPr="00720D9E">
        <w:t xml:space="preserve">. </w:t>
      </w:r>
      <w:r w:rsidR="00E447EE" w:rsidRPr="00720D9E">
        <w:t>Offset Project Operator or Authorized Project Designee</w:t>
      </w:r>
      <w:r w:rsidR="0067677C" w:rsidRPr="00720D9E">
        <w:t>.</w:t>
      </w:r>
      <w:bookmarkEnd w:id="12"/>
    </w:p>
    <w:p w:rsidR="006642F9" w:rsidRPr="00720D9E" w:rsidRDefault="006642F9" w:rsidP="00DC7C4C">
      <w:pPr>
        <w:pStyle w:val="ListParagraph"/>
        <w:numPr>
          <w:ilvl w:val="0"/>
          <w:numId w:val="17"/>
        </w:numPr>
        <w:ind w:hanging="720"/>
      </w:pPr>
      <w:r w:rsidRPr="00720D9E">
        <w:t xml:space="preserve">The </w:t>
      </w:r>
      <w:r w:rsidR="002E56D6" w:rsidRPr="00720D9E">
        <w:t xml:space="preserve">Offset Project Operator </w:t>
      </w:r>
      <w:r w:rsidRPr="00720D9E">
        <w:t xml:space="preserve">or </w:t>
      </w:r>
      <w:r w:rsidR="002E56D6" w:rsidRPr="00720D9E">
        <w:t>Authorized Project Designee</w:t>
      </w:r>
      <w:r w:rsidRPr="00720D9E">
        <w:t xml:space="preserve"> is responsible for project listing, monitoring, reporting</w:t>
      </w:r>
      <w:r w:rsidR="0082192F" w:rsidRPr="00720D9E">
        <w:t>,</w:t>
      </w:r>
      <w:r w:rsidRPr="00720D9E">
        <w:t xml:space="preserve"> and verification. </w:t>
      </w:r>
    </w:p>
    <w:p w:rsidR="006642F9" w:rsidRPr="00720D9E" w:rsidRDefault="006642F9" w:rsidP="00DC7C4C">
      <w:pPr>
        <w:pStyle w:val="ListParagraph"/>
        <w:numPr>
          <w:ilvl w:val="0"/>
          <w:numId w:val="17"/>
        </w:numPr>
        <w:ind w:hanging="720"/>
      </w:pPr>
      <w:r w:rsidRPr="00720D9E">
        <w:t xml:space="preserve">The </w:t>
      </w:r>
      <w:r w:rsidR="002E56D6" w:rsidRPr="00720D9E">
        <w:t>Offset Project Operator or Authorized Project Designee</w:t>
      </w:r>
      <w:r w:rsidRPr="00720D9E">
        <w:t xml:space="preserve"> must submit the information in the Regulation and in </w:t>
      </w:r>
      <w:r w:rsidR="00D25B46" w:rsidRPr="00720D9E">
        <w:t>Chapter</w:t>
      </w:r>
      <w:r w:rsidR="0082192F" w:rsidRPr="00720D9E">
        <w:t xml:space="preserve"> </w:t>
      </w:r>
      <w:r w:rsidR="006F24A1" w:rsidRPr="00720D9E">
        <w:t>7</w:t>
      </w:r>
      <w:r w:rsidRPr="00720D9E">
        <w:t xml:space="preserve">. </w:t>
      </w:r>
    </w:p>
    <w:p w:rsidR="00481158" w:rsidRPr="00720D9E" w:rsidRDefault="0082192F" w:rsidP="00DC7C4C">
      <w:pPr>
        <w:pStyle w:val="ListParagraph"/>
        <w:numPr>
          <w:ilvl w:val="0"/>
          <w:numId w:val="17"/>
        </w:numPr>
        <w:ind w:hanging="720"/>
      </w:pPr>
      <w:r w:rsidRPr="00720D9E">
        <w:lastRenderedPageBreak/>
        <w:t xml:space="preserve">The </w:t>
      </w:r>
      <w:r w:rsidR="002E56D6" w:rsidRPr="00720D9E">
        <w:t xml:space="preserve">Offset Project Operator </w:t>
      </w:r>
      <w:r w:rsidR="00E447EE" w:rsidRPr="00720D9E">
        <w:t xml:space="preserve">must have legal authority </w:t>
      </w:r>
      <w:r w:rsidR="00D055DA" w:rsidRPr="00720D9E">
        <w:t>to implement the offset project.</w:t>
      </w:r>
    </w:p>
    <w:p w:rsidR="00DC41CB" w:rsidRPr="00720D9E" w:rsidRDefault="00B82D0A" w:rsidP="00037C40">
      <w:pPr>
        <w:pStyle w:val="Heading2"/>
      </w:pPr>
      <w:bookmarkStart w:id="13" w:name="_Toc364243187"/>
      <w:r w:rsidRPr="00720D9E">
        <w:t xml:space="preserve">§ </w:t>
      </w:r>
      <w:r w:rsidR="00926183" w:rsidRPr="00720D9E">
        <w:t>3.4</w:t>
      </w:r>
      <w:r w:rsidR="0067677C" w:rsidRPr="00720D9E">
        <w:t xml:space="preserve">. </w:t>
      </w:r>
      <w:r w:rsidR="00DC41CB" w:rsidRPr="00720D9E">
        <w:t>Additionality</w:t>
      </w:r>
      <w:r w:rsidR="0067677C" w:rsidRPr="00720D9E">
        <w:t>.</w:t>
      </w:r>
      <w:bookmarkEnd w:id="13"/>
    </w:p>
    <w:p w:rsidR="00DC41CB" w:rsidRPr="00720D9E" w:rsidRDefault="00DC41CB" w:rsidP="00DC41CB">
      <w:r w:rsidRPr="00720D9E">
        <w:t>Offset projects must meet the additionality requirements set out in the Regulation</w:t>
      </w:r>
      <w:r w:rsidR="002E56D6" w:rsidRPr="00720D9E">
        <w:t>,</w:t>
      </w:r>
      <w:r w:rsidRPr="00720D9E">
        <w:t xml:space="preserve"> in addition to the requirements in this protocol.</w:t>
      </w:r>
      <w:r w:rsidR="002E56D6" w:rsidRPr="00720D9E">
        <w:t xml:space="preserve">  Eligible offsets must be generated by projects that yield surplus GHG reductions that exceed any GHG reductions otherwise required by law or regulation or any GHG reduction that would otherwise occur in a conservative business-as-usual scenario.  These requirements are assessed through the Legal Requirement Test in section 3.4.1 and the Performance </w:t>
      </w:r>
      <w:r w:rsidR="0076174F" w:rsidRPr="00720D9E">
        <w:t>Standard Evaluation</w:t>
      </w:r>
      <w:r w:rsidR="002E56D6" w:rsidRPr="00720D9E">
        <w:t xml:space="preserve"> in section 3.4.2.</w:t>
      </w:r>
    </w:p>
    <w:p w:rsidR="00DC41CB" w:rsidRPr="00720D9E" w:rsidRDefault="0067677C" w:rsidP="00D42339">
      <w:pPr>
        <w:pStyle w:val="Heading2"/>
      </w:pPr>
      <w:bookmarkStart w:id="14" w:name="_Toc364243188"/>
      <w:r w:rsidRPr="00720D9E">
        <w:t xml:space="preserve">§ </w:t>
      </w:r>
      <w:r w:rsidR="00926183" w:rsidRPr="00720D9E">
        <w:t>3.4</w:t>
      </w:r>
      <w:r w:rsidRPr="00720D9E">
        <w:t>.1</w:t>
      </w:r>
      <w:r w:rsidR="00645452" w:rsidRPr="00720D9E">
        <w:t>.</w:t>
      </w:r>
      <w:r w:rsidRPr="00720D9E">
        <w:t xml:space="preserve"> </w:t>
      </w:r>
      <w:r w:rsidR="00DC41CB" w:rsidRPr="00720D9E">
        <w:t xml:space="preserve">Legal Requirement </w:t>
      </w:r>
      <w:r w:rsidR="002E56D6" w:rsidRPr="00720D9E">
        <w:t>Test</w:t>
      </w:r>
      <w:r w:rsidRPr="00720D9E">
        <w:t>.</w:t>
      </w:r>
      <w:bookmarkEnd w:id="14"/>
    </w:p>
    <w:p w:rsidR="00B82D0A" w:rsidRPr="00720D9E" w:rsidRDefault="00DC41CB" w:rsidP="00DC7C4C">
      <w:pPr>
        <w:pStyle w:val="ListParagraph"/>
        <w:numPr>
          <w:ilvl w:val="0"/>
          <w:numId w:val="18"/>
        </w:numPr>
        <w:ind w:hanging="720"/>
      </w:pPr>
      <w:r w:rsidRPr="00720D9E">
        <w:t xml:space="preserve">Emission reductions achieved by an MMC project must exceed those required by any law, regulation, or legally binding mandate at the time of </w:t>
      </w:r>
      <w:r w:rsidR="00A51124" w:rsidRPr="00720D9E">
        <w:t>o</w:t>
      </w:r>
      <w:r w:rsidRPr="00720D9E">
        <w:t xml:space="preserve">ffset </w:t>
      </w:r>
      <w:r w:rsidR="00A51124" w:rsidRPr="00720D9E">
        <w:t>p</w:t>
      </w:r>
      <w:r w:rsidRPr="00720D9E">
        <w:t xml:space="preserve">roject </w:t>
      </w:r>
      <w:r w:rsidR="00A51124" w:rsidRPr="00720D9E">
        <w:t>c</w:t>
      </w:r>
      <w:r w:rsidRPr="00720D9E">
        <w:t xml:space="preserve">ommencement. </w:t>
      </w:r>
    </w:p>
    <w:p w:rsidR="0067677C" w:rsidRPr="00720D9E" w:rsidRDefault="00DC41CB" w:rsidP="00DC7C4C">
      <w:pPr>
        <w:pStyle w:val="ListParagraph"/>
        <w:numPr>
          <w:ilvl w:val="0"/>
          <w:numId w:val="18"/>
        </w:numPr>
        <w:ind w:hanging="720"/>
      </w:pPr>
      <w:r w:rsidRPr="00720D9E">
        <w:t xml:space="preserve">The following legal requirement </w:t>
      </w:r>
      <w:r w:rsidR="002E56D6" w:rsidRPr="00720D9E">
        <w:t xml:space="preserve">test </w:t>
      </w:r>
      <w:r w:rsidRPr="00720D9E">
        <w:t>appl</w:t>
      </w:r>
      <w:r w:rsidR="002E56D6" w:rsidRPr="00720D9E">
        <w:t>ies</w:t>
      </w:r>
      <w:r w:rsidRPr="00720D9E">
        <w:t xml:space="preserve"> to all MMC projects</w:t>
      </w:r>
      <w:r w:rsidR="00731F76" w:rsidRPr="00720D9E">
        <w:t>:</w:t>
      </w:r>
    </w:p>
    <w:p w:rsidR="0067677C" w:rsidRPr="00720D9E" w:rsidRDefault="0067677C" w:rsidP="00DC7C4C">
      <w:pPr>
        <w:pStyle w:val="ListParagraph"/>
        <w:numPr>
          <w:ilvl w:val="1"/>
          <w:numId w:val="18"/>
        </w:numPr>
      </w:pPr>
      <w:r w:rsidRPr="00720D9E">
        <w:t xml:space="preserve">If no law, regulation, or legally binding mandate </w:t>
      </w:r>
      <w:r w:rsidR="00E85E60" w:rsidRPr="00720D9E">
        <w:t xml:space="preserve">requiring the destruction of methane at </w:t>
      </w:r>
      <w:r w:rsidR="00BB308B" w:rsidRPr="00720D9E">
        <w:t xml:space="preserve">the mine at which the project is located </w:t>
      </w:r>
      <w:r w:rsidRPr="00720D9E">
        <w:t xml:space="preserve">exists at the time of offset project commencement, all emission reductions resulting from the capture and destruction of mine methane are considered to not be legally required, and therefore eligible for crediting under this protocol. </w:t>
      </w:r>
    </w:p>
    <w:p w:rsidR="00DC41CB" w:rsidRPr="00720D9E" w:rsidRDefault="0067677C" w:rsidP="00DC7C4C">
      <w:pPr>
        <w:pStyle w:val="ListParagraph"/>
        <w:numPr>
          <w:ilvl w:val="1"/>
          <w:numId w:val="18"/>
        </w:numPr>
      </w:pPr>
      <w:r w:rsidRPr="00720D9E">
        <w:t xml:space="preserve">If any law, regulation, or legally binding mandate </w:t>
      </w:r>
      <w:r w:rsidR="00E85E60" w:rsidRPr="00720D9E">
        <w:t xml:space="preserve">requiring the destruction of methane at </w:t>
      </w:r>
      <w:r w:rsidR="00BB308B" w:rsidRPr="00720D9E">
        <w:t>the mine at which the project is located</w:t>
      </w:r>
      <w:r w:rsidRPr="00720D9E">
        <w:t xml:space="preserve"> exists at the time of offset project commencement, only emission reductions resulting from the capture and destruction of mine methane that are in excess of what is required </w:t>
      </w:r>
      <w:r w:rsidR="00792166" w:rsidRPr="00720D9E">
        <w:t xml:space="preserve">to comply with those laws, regulations, and/or legally binding mandates </w:t>
      </w:r>
      <w:r w:rsidRPr="00720D9E">
        <w:t>are eligible for crediting under this protocol.</w:t>
      </w:r>
    </w:p>
    <w:p w:rsidR="00DC41CB" w:rsidRPr="00720D9E" w:rsidRDefault="00C95CEF" w:rsidP="002377C8">
      <w:pPr>
        <w:pStyle w:val="Heading2"/>
      </w:pPr>
      <w:bookmarkStart w:id="15" w:name="_Toc364243189"/>
      <w:r w:rsidRPr="00720D9E">
        <w:t xml:space="preserve">§ </w:t>
      </w:r>
      <w:r w:rsidR="00926183" w:rsidRPr="00720D9E">
        <w:t>3.4</w:t>
      </w:r>
      <w:r w:rsidRPr="00720D9E">
        <w:t>.2</w:t>
      </w:r>
      <w:r w:rsidR="00645452" w:rsidRPr="00720D9E">
        <w:t>.</w:t>
      </w:r>
      <w:r w:rsidRPr="00720D9E">
        <w:t xml:space="preserve"> </w:t>
      </w:r>
      <w:r w:rsidR="00792166" w:rsidRPr="00720D9E">
        <w:t xml:space="preserve">Performance </w:t>
      </w:r>
      <w:r w:rsidR="0076174F" w:rsidRPr="00720D9E">
        <w:t>Standard Evaluation</w:t>
      </w:r>
      <w:r w:rsidRPr="00720D9E">
        <w:t>.</w:t>
      </w:r>
      <w:bookmarkEnd w:id="15"/>
    </w:p>
    <w:p w:rsidR="00A0477E" w:rsidRPr="00720D9E" w:rsidRDefault="00DC41CB" w:rsidP="00DC7C4C">
      <w:pPr>
        <w:pStyle w:val="ListParagraph"/>
        <w:numPr>
          <w:ilvl w:val="0"/>
          <w:numId w:val="19"/>
        </w:numPr>
        <w:ind w:hanging="720"/>
      </w:pPr>
      <w:r w:rsidRPr="00720D9E">
        <w:t xml:space="preserve">Emission reductions achieved by an MMC project must exceed those likely to occur in a conservative business-as-usual scenario. </w:t>
      </w:r>
    </w:p>
    <w:p w:rsidR="00A0477E" w:rsidRPr="00720D9E" w:rsidRDefault="00792166" w:rsidP="00DC7C4C">
      <w:pPr>
        <w:pStyle w:val="ListParagraph"/>
        <w:numPr>
          <w:ilvl w:val="0"/>
          <w:numId w:val="19"/>
        </w:numPr>
        <w:ind w:hanging="720"/>
      </w:pPr>
      <w:r w:rsidRPr="00720D9E">
        <w:lastRenderedPageBreak/>
        <w:t xml:space="preserve">The performance </w:t>
      </w:r>
      <w:r w:rsidR="0076174F" w:rsidRPr="00720D9E">
        <w:t>standard evaluation</w:t>
      </w:r>
      <w:r w:rsidRPr="00720D9E">
        <w:t xml:space="preserve"> is satisfied if the following requirements are met, depending on the </w:t>
      </w:r>
      <w:r w:rsidR="00A0477E" w:rsidRPr="00720D9E">
        <w:t xml:space="preserve">basis of </w:t>
      </w:r>
      <w:r w:rsidR="00E85E60" w:rsidRPr="00720D9E">
        <w:t xml:space="preserve">activity </w:t>
      </w:r>
      <w:r w:rsidR="00A0477E" w:rsidRPr="00720D9E">
        <w:t>type:</w:t>
      </w:r>
    </w:p>
    <w:p w:rsidR="00480477" w:rsidRPr="00720D9E" w:rsidRDefault="00480477" w:rsidP="00DC7C4C">
      <w:pPr>
        <w:pStyle w:val="ListParagraph"/>
        <w:numPr>
          <w:ilvl w:val="1"/>
          <w:numId w:val="19"/>
        </w:numPr>
      </w:pPr>
      <w:r w:rsidRPr="00720D9E">
        <w:t xml:space="preserve">Active Underground Mine VAM </w:t>
      </w:r>
      <w:r w:rsidR="00E85E60" w:rsidRPr="00720D9E">
        <w:t>Activities</w:t>
      </w:r>
    </w:p>
    <w:p w:rsidR="00480477" w:rsidRPr="00720D9E" w:rsidRDefault="00480477" w:rsidP="00DC7C4C">
      <w:pPr>
        <w:pStyle w:val="ListParagraph"/>
        <w:numPr>
          <w:ilvl w:val="2"/>
          <w:numId w:val="19"/>
        </w:numPr>
      </w:pPr>
      <w:r w:rsidRPr="00720D9E">
        <w:t xml:space="preserve">Destruction of VAM via any end-use management option </w:t>
      </w:r>
      <w:r w:rsidR="00792166" w:rsidRPr="00720D9E">
        <w:t xml:space="preserve">automatically satisfies the performance </w:t>
      </w:r>
      <w:r w:rsidR="0076174F" w:rsidRPr="00720D9E">
        <w:t>standard evaluation</w:t>
      </w:r>
      <w:r w:rsidR="00792166" w:rsidRPr="00720D9E">
        <w:t xml:space="preserve"> because destruction of VAM </w:t>
      </w:r>
      <w:r w:rsidRPr="00720D9E">
        <w:t>is not common practice nor considered business-as-usual, and is therefore eligible for crediting under this protocol.</w:t>
      </w:r>
    </w:p>
    <w:p w:rsidR="0078624D" w:rsidRPr="00720D9E" w:rsidRDefault="00DC41CB" w:rsidP="00DC7C4C">
      <w:pPr>
        <w:pStyle w:val="ListParagraph"/>
        <w:numPr>
          <w:ilvl w:val="1"/>
          <w:numId w:val="19"/>
        </w:numPr>
      </w:pPr>
      <w:r w:rsidRPr="00720D9E">
        <w:t xml:space="preserve">Active Underground Mine Methane Drainage </w:t>
      </w:r>
      <w:r w:rsidR="00E85E60" w:rsidRPr="00720D9E">
        <w:t>Activities</w:t>
      </w:r>
    </w:p>
    <w:p w:rsidR="00792166" w:rsidRPr="00720D9E" w:rsidRDefault="0078624D" w:rsidP="00792166">
      <w:pPr>
        <w:pStyle w:val="ListParagraph"/>
        <w:numPr>
          <w:ilvl w:val="2"/>
          <w:numId w:val="19"/>
        </w:numPr>
      </w:pPr>
      <w:r w:rsidRPr="00720D9E">
        <w:t>Destruction of extracted mine methane via any end-use management option other than injection into a natural gas pipeline for off-site consumption</w:t>
      </w:r>
      <w:r w:rsidR="00792166" w:rsidRPr="00720D9E">
        <w:t xml:space="preserve"> automatically satisfies the performance </w:t>
      </w:r>
      <w:r w:rsidR="0076174F" w:rsidRPr="00720D9E">
        <w:t>standard evaluation</w:t>
      </w:r>
      <w:r w:rsidR="00792166" w:rsidRPr="00720D9E">
        <w:t xml:space="preserve"> because it</w:t>
      </w:r>
      <w:r w:rsidRPr="00720D9E">
        <w:t xml:space="preserve"> is not common practice nor considered business-as-usual, and is therefore eligible for crediting under this protocol.</w:t>
      </w:r>
      <w:r w:rsidR="00792166" w:rsidRPr="00720D9E">
        <w:t xml:space="preserve"> </w:t>
      </w:r>
    </w:p>
    <w:p w:rsidR="00792166" w:rsidRPr="00720D9E" w:rsidRDefault="00792166" w:rsidP="00792166">
      <w:pPr>
        <w:pStyle w:val="ListParagraph"/>
        <w:numPr>
          <w:ilvl w:val="2"/>
          <w:numId w:val="19"/>
        </w:numPr>
      </w:pPr>
      <w:r w:rsidRPr="00720D9E">
        <w:t xml:space="preserve">Pipeline injection of mine methane extracted from methane drainage systems at active underground mines is common practice and considered business-as-usual, and therefore ineligible for crediting under this protocol. </w:t>
      </w:r>
    </w:p>
    <w:p w:rsidR="00DC41CB" w:rsidRPr="00720D9E" w:rsidRDefault="00DC41CB" w:rsidP="00DC7C4C">
      <w:pPr>
        <w:pStyle w:val="ListParagraph"/>
        <w:numPr>
          <w:ilvl w:val="1"/>
          <w:numId w:val="19"/>
        </w:numPr>
      </w:pPr>
      <w:r w:rsidRPr="00720D9E">
        <w:t xml:space="preserve">Active Surface Mine Methane Drainage </w:t>
      </w:r>
      <w:r w:rsidR="00E85E60" w:rsidRPr="00720D9E">
        <w:t>Activities</w:t>
      </w:r>
    </w:p>
    <w:p w:rsidR="00DC41CB" w:rsidRPr="00720D9E" w:rsidRDefault="00DC41CB" w:rsidP="00DC7C4C">
      <w:pPr>
        <w:pStyle w:val="ListParagraph"/>
        <w:numPr>
          <w:ilvl w:val="2"/>
          <w:numId w:val="19"/>
        </w:numPr>
      </w:pPr>
      <w:r w:rsidRPr="00720D9E">
        <w:t xml:space="preserve">Destruction of extracted mine methane via any end-use management option </w:t>
      </w:r>
      <w:r w:rsidR="00792166" w:rsidRPr="00720D9E">
        <w:t xml:space="preserve">automatically meets the performance </w:t>
      </w:r>
      <w:r w:rsidR="0076174F" w:rsidRPr="00720D9E">
        <w:t>standard evaluation</w:t>
      </w:r>
      <w:r w:rsidR="00792166" w:rsidRPr="00720D9E">
        <w:t xml:space="preserve"> because it </w:t>
      </w:r>
      <w:r w:rsidRPr="00720D9E">
        <w:t>is not common practice nor considered business-as-usual, and is therefore eligible for crediting under this protocol.</w:t>
      </w:r>
    </w:p>
    <w:p w:rsidR="00DC41CB" w:rsidRPr="00720D9E" w:rsidRDefault="00DC41CB" w:rsidP="00DC7C4C">
      <w:pPr>
        <w:pStyle w:val="ListParagraph"/>
        <w:numPr>
          <w:ilvl w:val="1"/>
          <w:numId w:val="19"/>
        </w:numPr>
      </w:pPr>
      <w:r w:rsidRPr="00720D9E">
        <w:t xml:space="preserve">Abandoned Mine Methane </w:t>
      </w:r>
      <w:r w:rsidR="00972ACE" w:rsidRPr="00720D9E">
        <w:t>Recovery</w:t>
      </w:r>
      <w:r w:rsidRPr="00720D9E">
        <w:t xml:space="preserve"> </w:t>
      </w:r>
      <w:r w:rsidR="00E85E60" w:rsidRPr="00720D9E">
        <w:t>Activities</w:t>
      </w:r>
    </w:p>
    <w:p w:rsidR="00DC41CB" w:rsidRPr="00720D9E" w:rsidRDefault="00DC41CB" w:rsidP="00DC7C4C">
      <w:pPr>
        <w:pStyle w:val="ListParagraph"/>
        <w:numPr>
          <w:ilvl w:val="2"/>
          <w:numId w:val="19"/>
        </w:numPr>
      </w:pPr>
      <w:r w:rsidRPr="00720D9E">
        <w:t xml:space="preserve">Destruction of extracted mine methane via any end-use management option </w:t>
      </w:r>
      <w:r w:rsidR="00792166" w:rsidRPr="00720D9E">
        <w:t xml:space="preserve">automatically meets the performance </w:t>
      </w:r>
      <w:r w:rsidR="0076174F" w:rsidRPr="00720D9E">
        <w:t>standard evaluation</w:t>
      </w:r>
      <w:r w:rsidR="00792166" w:rsidRPr="00720D9E">
        <w:t xml:space="preserve"> because </w:t>
      </w:r>
      <w:r w:rsidRPr="00720D9E">
        <w:t>is not common practice nor considered business-as-usual, and is therefore eligible for crediting under this protocol.</w:t>
      </w:r>
    </w:p>
    <w:p w:rsidR="00E447EE" w:rsidRPr="00720D9E" w:rsidRDefault="00067C0D" w:rsidP="00037C40">
      <w:pPr>
        <w:pStyle w:val="Heading2"/>
      </w:pPr>
      <w:bookmarkStart w:id="16" w:name="_Toc364243190"/>
      <w:r w:rsidRPr="00720D9E">
        <w:lastRenderedPageBreak/>
        <w:t>§</w:t>
      </w:r>
      <w:r w:rsidR="00751045" w:rsidRPr="00720D9E">
        <w:t xml:space="preserve"> </w:t>
      </w:r>
      <w:r w:rsidR="00926183" w:rsidRPr="00720D9E">
        <w:t>3.5</w:t>
      </w:r>
      <w:r w:rsidRPr="00720D9E">
        <w:t xml:space="preserve">. </w:t>
      </w:r>
      <w:r w:rsidR="005372E5" w:rsidRPr="00720D9E">
        <w:t xml:space="preserve">Methane </w:t>
      </w:r>
      <w:r w:rsidR="00ED3DD0" w:rsidRPr="00720D9E">
        <w:t>Source</w:t>
      </w:r>
      <w:r w:rsidR="005372E5" w:rsidRPr="00720D9E">
        <w:t xml:space="preserve"> </w:t>
      </w:r>
      <w:r w:rsidR="009B6628" w:rsidRPr="00720D9E">
        <w:t>Boundaries</w:t>
      </w:r>
      <w:r w:rsidRPr="00720D9E">
        <w:t>.</w:t>
      </w:r>
      <w:bookmarkEnd w:id="16"/>
    </w:p>
    <w:p w:rsidR="003B2804" w:rsidRPr="00720D9E" w:rsidRDefault="00D22A20" w:rsidP="00DC7C4C">
      <w:pPr>
        <w:pStyle w:val="ListParagraph"/>
        <w:numPr>
          <w:ilvl w:val="0"/>
          <w:numId w:val="20"/>
        </w:numPr>
        <w:ind w:hanging="720"/>
      </w:pPr>
      <w:r w:rsidRPr="00720D9E">
        <w:t>The methane</w:t>
      </w:r>
      <w:r w:rsidR="00ED3DD0" w:rsidRPr="00720D9E">
        <w:t xml:space="preserve"> destroyed for the purpose of reducing mine methane emissions </w:t>
      </w:r>
      <w:r w:rsidR="003B2804" w:rsidRPr="00720D9E">
        <w:t xml:space="preserve">under this protocol </w:t>
      </w:r>
      <w:r w:rsidR="00ED3DD0" w:rsidRPr="00720D9E">
        <w:t xml:space="preserve">must be methane that would otherwise be emitted into the atmosphere during the normal course of mining activities. </w:t>
      </w:r>
    </w:p>
    <w:p w:rsidR="000F3434" w:rsidRPr="00720D9E" w:rsidRDefault="003B2804" w:rsidP="00DC7C4C">
      <w:pPr>
        <w:pStyle w:val="ListParagraph"/>
        <w:numPr>
          <w:ilvl w:val="0"/>
          <w:numId w:val="20"/>
        </w:numPr>
        <w:ind w:hanging="720"/>
      </w:pPr>
      <w:r w:rsidRPr="00720D9E">
        <w:t>To ensure that virgin coal bed methane is excluded from the destructed mine methane accounted for in this protocol</w:t>
      </w:r>
      <w:r w:rsidR="00320918" w:rsidRPr="00720D9E">
        <w:t xml:space="preserve">, physical boundaries </w:t>
      </w:r>
      <w:r w:rsidR="00523499" w:rsidRPr="00720D9E">
        <w:t>must</w:t>
      </w:r>
      <w:r w:rsidR="00320918" w:rsidRPr="00720D9E">
        <w:t xml:space="preserve"> be placed on the source of the methane</w:t>
      </w:r>
      <w:r w:rsidR="000F3434" w:rsidRPr="00720D9E">
        <w:t xml:space="preserve">. </w:t>
      </w:r>
      <w:r w:rsidR="00320918" w:rsidRPr="00720D9E">
        <w:t xml:space="preserve"> </w:t>
      </w:r>
    </w:p>
    <w:p w:rsidR="000F3434" w:rsidRPr="00720D9E" w:rsidRDefault="000F3434" w:rsidP="00DC7C4C">
      <w:pPr>
        <w:pStyle w:val="ListParagraph"/>
        <w:numPr>
          <w:ilvl w:val="0"/>
          <w:numId w:val="20"/>
        </w:numPr>
        <w:ind w:hanging="720"/>
      </w:pPr>
      <w:r w:rsidRPr="00720D9E">
        <w:t>All methane from a mine’s ventilation and drainage systems must be collected from within the mine extents according to an up-to-date mine plan.</w:t>
      </w:r>
    </w:p>
    <w:p w:rsidR="00320918" w:rsidRPr="00720D9E" w:rsidRDefault="000F3434" w:rsidP="00DC7C4C">
      <w:pPr>
        <w:pStyle w:val="ListParagraph"/>
        <w:numPr>
          <w:ilvl w:val="0"/>
          <w:numId w:val="20"/>
        </w:numPr>
        <w:ind w:hanging="720"/>
      </w:pPr>
      <w:r w:rsidRPr="00720D9E">
        <w:t xml:space="preserve">Additional physical boundaries </w:t>
      </w:r>
      <w:r w:rsidR="00320918" w:rsidRPr="00720D9E">
        <w:t xml:space="preserve">on the basis of </w:t>
      </w:r>
      <w:r w:rsidR="00BD1EA4" w:rsidRPr="00720D9E">
        <w:t xml:space="preserve">activity </w:t>
      </w:r>
      <w:r w:rsidR="00320918" w:rsidRPr="00720D9E">
        <w:t xml:space="preserve">type </w:t>
      </w:r>
      <w:r w:rsidRPr="00720D9E">
        <w:t xml:space="preserve">are </w:t>
      </w:r>
      <w:r w:rsidR="00320918" w:rsidRPr="00720D9E">
        <w:t>as follows:</w:t>
      </w:r>
    </w:p>
    <w:p w:rsidR="008D6DA1" w:rsidRPr="00720D9E" w:rsidRDefault="00480477" w:rsidP="00DC7C4C">
      <w:pPr>
        <w:pStyle w:val="ListParagraph"/>
        <w:numPr>
          <w:ilvl w:val="1"/>
          <w:numId w:val="20"/>
        </w:numPr>
      </w:pPr>
      <w:r w:rsidRPr="00720D9E">
        <w:t xml:space="preserve">Active underground mine ventilation air methane </w:t>
      </w:r>
      <w:r w:rsidR="00BD1EA4" w:rsidRPr="00720D9E">
        <w:t xml:space="preserve">activities </w:t>
      </w:r>
      <w:r w:rsidRPr="00720D9E">
        <w:t>may account for</w:t>
      </w:r>
      <w:r w:rsidR="008D6DA1" w:rsidRPr="00720D9E">
        <w:t>:</w:t>
      </w:r>
    </w:p>
    <w:p w:rsidR="00480477" w:rsidRPr="00720D9E" w:rsidRDefault="00480477" w:rsidP="002E0768">
      <w:pPr>
        <w:pStyle w:val="ListParagraph"/>
        <w:numPr>
          <w:ilvl w:val="2"/>
          <w:numId w:val="20"/>
        </w:numPr>
      </w:pPr>
      <w:r w:rsidRPr="00720D9E">
        <w:t>all destructed methane contained in VAM collected from a mine ventilation system</w:t>
      </w:r>
      <w:r w:rsidR="008D6DA1" w:rsidRPr="00720D9E">
        <w:t>; and</w:t>
      </w:r>
    </w:p>
    <w:p w:rsidR="008D6DA1" w:rsidRPr="00720D9E" w:rsidRDefault="008D6DA1" w:rsidP="002E0768">
      <w:pPr>
        <w:pStyle w:val="ListParagraph"/>
        <w:numPr>
          <w:ilvl w:val="2"/>
          <w:numId w:val="20"/>
        </w:numPr>
      </w:pPr>
      <w:r w:rsidRPr="00720D9E">
        <w:t>a</w:t>
      </w:r>
      <w:r w:rsidR="002E0768" w:rsidRPr="00720D9E">
        <w:t>ll destructed</w:t>
      </w:r>
      <w:r w:rsidRPr="00720D9E">
        <w:t xml:space="preserve"> mine methane contained in mine gas extracted from a methane drainage system used to supplement VAM</w:t>
      </w:r>
      <w:r w:rsidR="002E0768" w:rsidRPr="00720D9E">
        <w:t>.</w:t>
      </w:r>
    </w:p>
    <w:p w:rsidR="00B95493" w:rsidRPr="00720D9E" w:rsidRDefault="00320918" w:rsidP="00DC7C4C">
      <w:pPr>
        <w:pStyle w:val="ListParagraph"/>
        <w:numPr>
          <w:ilvl w:val="1"/>
          <w:numId w:val="20"/>
        </w:numPr>
      </w:pPr>
      <w:r w:rsidRPr="00720D9E">
        <w:t xml:space="preserve">Active underground mine methane drainage </w:t>
      </w:r>
      <w:r w:rsidR="00BD1EA4" w:rsidRPr="00720D9E">
        <w:t xml:space="preserve">activities </w:t>
      </w:r>
      <w:r w:rsidR="006C5352" w:rsidRPr="00720D9E">
        <w:t>may</w:t>
      </w:r>
      <w:r w:rsidR="00EA76E9" w:rsidRPr="00720D9E">
        <w:t xml:space="preserve"> account for</w:t>
      </w:r>
      <w:r w:rsidR="00B95493" w:rsidRPr="00720D9E">
        <w:t>:</w:t>
      </w:r>
    </w:p>
    <w:p w:rsidR="00B95493" w:rsidRPr="00720D9E" w:rsidRDefault="00B95493" w:rsidP="00DC7C4C">
      <w:pPr>
        <w:pStyle w:val="ListParagraph"/>
        <w:numPr>
          <w:ilvl w:val="2"/>
          <w:numId w:val="20"/>
        </w:numPr>
      </w:pPr>
      <w:r w:rsidRPr="00720D9E">
        <w:t xml:space="preserve">destructed </w:t>
      </w:r>
      <w:r w:rsidR="00EA76E9" w:rsidRPr="00720D9E">
        <w:t xml:space="preserve">mine </w:t>
      </w:r>
      <w:r w:rsidR="006C5352" w:rsidRPr="00720D9E">
        <w:t xml:space="preserve">methane </w:t>
      </w:r>
      <w:r w:rsidR="008D6DA1" w:rsidRPr="00720D9E">
        <w:t xml:space="preserve">contained in mine gas </w:t>
      </w:r>
      <w:r w:rsidR="006C5352" w:rsidRPr="00720D9E">
        <w:t xml:space="preserve">extracted </w:t>
      </w:r>
      <w:r w:rsidR="002E0768" w:rsidRPr="00720D9E">
        <w:t xml:space="preserve">from strata up to 150 meters above and 50 meters below a mined seam </w:t>
      </w:r>
      <w:r w:rsidR="006C5352" w:rsidRPr="00720D9E">
        <w:t xml:space="preserve">through </w:t>
      </w:r>
      <w:r w:rsidR="00814A52" w:rsidRPr="00720D9E">
        <w:t xml:space="preserve">pre-mining </w:t>
      </w:r>
      <w:r w:rsidR="00E62004" w:rsidRPr="00720D9E">
        <w:t>surface wells and</w:t>
      </w:r>
      <w:r w:rsidRPr="00720D9E">
        <w:t xml:space="preserve"> pre-mining</w:t>
      </w:r>
      <w:r w:rsidR="00E62004" w:rsidRPr="00720D9E">
        <w:t xml:space="preserve"> in-mine boreholes</w:t>
      </w:r>
      <w:r w:rsidR="00282991" w:rsidRPr="00720D9E">
        <w:t>; and</w:t>
      </w:r>
    </w:p>
    <w:p w:rsidR="00B95493" w:rsidRPr="00720D9E" w:rsidRDefault="00B95493" w:rsidP="00DC7C4C">
      <w:pPr>
        <w:pStyle w:val="ListParagraph"/>
        <w:numPr>
          <w:ilvl w:val="2"/>
          <w:numId w:val="20"/>
        </w:numPr>
      </w:pPr>
      <w:r w:rsidRPr="00720D9E">
        <w:t xml:space="preserve">all destructed </w:t>
      </w:r>
      <w:r w:rsidR="00EA76E9" w:rsidRPr="00720D9E">
        <w:t xml:space="preserve">mine </w:t>
      </w:r>
      <w:r w:rsidRPr="00720D9E">
        <w:t xml:space="preserve">methane </w:t>
      </w:r>
      <w:r w:rsidR="008D6DA1" w:rsidRPr="00720D9E">
        <w:t xml:space="preserve">contained in mine gas </w:t>
      </w:r>
      <w:r w:rsidRPr="00720D9E">
        <w:t>extracted through gob wells.</w:t>
      </w:r>
    </w:p>
    <w:p w:rsidR="007E40BA" w:rsidRPr="00720D9E" w:rsidRDefault="00EA76E9" w:rsidP="00DC7C4C">
      <w:pPr>
        <w:pStyle w:val="ListParagraph"/>
        <w:numPr>
          <w:ilvl w:val="1"/>
          <w:numId w:val="20"/>
        </w:numPr>
      </w:pPr>
      <w:r w:rsidRPr="00720D9E">
        <w:t xml:space="preserve">Active surface mine methane drainage </w:t>
      </w:r>
      <w:r w:rsidR="00293E44" w:rsidRPr="00720D9E">
        <w:t>activities</w:t>
      </w:r>
      <w:r w:rsidRPr="00720D9E">
        <w:t xml:space="preserve"> may account for destructed </w:t>
      </w:r>
      <w:r w:rsidR="002E0768" w:rsidRPr="00720D9E">
        <w:t xml:space="preserve">surface </w:t>
      </w:r>
      <w:r w:rsidRPr="00720D9E">
        <w:t xml:space="preserve">mine methane </w:t>
      </w:r>
      <w:r w:rsidR="002E0768" w:rsidRPr="00720D9E">
        <w:t xml:space="preserve">contained in mine gas </w:t>
      </w:r>
      <w:r w:rsidRPr="00720D9E">
        <w:t xml:space="preserve">extracted </w:t>
      </w:r>
      <w:r w:rsidR="002E0768" w:rsidRPr="00720D9E">
        <w:t xml:space="preserve">from all strata above and up to 50 meters below a mined seam </w:t>
      </w:r>
      <w:r w:rsidRPr="00720D9E">
        <w:t xml:space="preserve">through pre-mining </w:t>
      </w:r>
      <w:r w:rsidR="00E92511" w:rsidRPr="00720D9E">
        <w:t>surface wells, pre-mining in-mine boreholes, existing coal bed methane wells that would otherwise be shut-in and abandoned</w:t>
      </w:r>
      <w:r w:rsidR="00BD1EA4" w:rsidRPr="00720D9E">
        <w:t xml:space="preserve"> as a result of encroaching mining</w:t>
      </w:r>
      <w:r w:rsidR="00E92511" w:rsidRPr="00720D9E">
        <w:t>, abandoned wells that are re-activated, and convert</w:t>
      </w:r>
      <w:r w:rsidR="007E40BA" w:rsidRPr="00720D9E">
        <w:t>ed dewatering wells</w:t>
      </w:r>
      <w:r w:rsidR="002E0768" w:rsidRPr="00720D9E">
        <w:t>.</w:t>
      </w:r>
      <w:r w:rsidR="007E40BA" w:rsidRPr="00720D9E">
        <w:t xml:space="preserve"> </w:t>
      </w:r>
    </w:p>
    <w:p w:rsidR="00CC4491" w:rsidRPr="00720D9E" w:rsidRDefault="00CC4491" w:rsidP="00DC7C4C">
      <w:pPr>
        <w:pStyle w:val="ListParagraph"/>
        <w:numPr>
          <w:ilvl w:val="1"/>
          <w:numId w:val="20"/>
        </w:numPr>
      </w:pPr>
      <w:r w:rsidRPr="00720D9E">
        <w:lastRenderedPageBreak/>
        <w:t>Abandoned underground mine m</w:t>
      </w:r>
      <w:r w:rsidR="005372E5" w:rsidRPr="00720D9E">
        <w:t xml:space="preserve">ethane </w:t>
      </w:r>
      <w:r w:rsidRPr="00720D9E">
        <w:t>r</w:t>
      </w:r>
      <w:r w:rsidR="00ED3DD0" w:rsidRPr="00720D9E">
        <w:t>ecovery</w:t>
      </w:r>
      <w:r w:rsidRPr="00720D9E">
        <w:t xml:space="preserve"> </w:t>
      </w:r>
      <w:r w:rsidR="00293E44" w:rsidRPr="00720D9E">
        <w:t>activities</w:t>
      </w:r>
      <w:r w:rsidRPr="00720D9E">
        <w:t xml:space="preserve"> may account for:</w:t>
      </w:r>
    </w:p>
    <w:p w:rsidR="00CC4491" w:rsidRPr="00720D9E" w:rsidRDefault="00CC4491" w:rsidP="00DC7C4C">
      <w:pPr>
        <w:pStyle w:val="ListParagraph"/>
        <w:numPr>
          <w:ilvl w:val="2"/>
          <w:numId w:val="20"/>
        </w:numPr>
      </w:pPr>
      <w:r w:rsidRPr="00720D9E">
        <w:t xml:space="preserve">Destructed </w:t>
      </w:r>
      <w:r w:rsidR="002E0768" w:rsidRPr="00720D9E">
        <w:t xml:space="preserve">abandoned </w:t>
      </w:r>
      <w:r w:rsidRPr="00720D9E">
        <w:t xml:space="preserve">mine methane </w:t>
      </w:r>
      <w:r w:rsidR="002E0768" w:rsidRPr="00720D9E">
        <w:t xml:space="preserve">contained in mine gas </w:t>
      </w:r>
      <w:r w:rsidRPr="00720D9E">
        <w:t xml:space="preserve">extracted </w:t>
      </w:r>
      <w:r w:rsidR="002E0768" w:rsidRPr="00720D9E">
        <w:t xml:space="preserve">from strata up to 150 meters above and 50 meters below a mined seam </w:t>
      </w:r>
      <w:r w:rsidRPr="00720D9E">
        <w:t xml:space="preserve">through pre-mining surface wells and pre-mining in-mine boreholes drilled during active mining operations; </w:t>
      </w:r>
    </w:p>
    <w:p w:rsidR="008D1714" w:rsidRPr="00720D9E" w:rsidRDefault="00CC4491" w:rsidP="00DC7C4C">
      <w:pPr>
        <w:pStyle w:val="ListParagraph"/>
        <w:numPr>
          <w:ilvl w:val="2"/>
          <w:numId w:val="20"/>
        </w:numPr>
      </w:pPr>
      <w:r w:rsidRPr="00720D9E">
        <w:t xml:space="preserve">Destructed </w:t>
      </w:r>
      <w:r w:rsidR="002E0768" w:rsidRPr="00720D9E">
        <w:t xml:space="preserve">abandoned </w:t>
      </w:r>
      <w:r w:rsidRPr="00720D9E">
        <w:t xml:space="preserve">mine methane </w:t>
      </w:r>
      <w:r w:rsidR="002E0768" w:rsidRPr="00720D9E">
        <w:t xml:space="preserve">contained in mine gas </w:t>
      </w:r>
      <w:r w:rsidRPr="00720D9E">
        <w:t xml:space="preserve">extracted </w:t>
      </w:r>
      <w:r w:rsidR="002E0768" w:rsidRPr="00720D9E">
        <w:t xml:space="preserve">from strata up to 150 meters above and 50 meters below a mine seam </w:t>
      </w:r>
      <w:r w:rsidRPr="00720D9E">
        <w:t xml:space="preserve">through newly drilled </w:t>
      </w:r>
      <w:r w:rsidR="00BD1EA4" w:rsidRPr="00720D9E">
        <w:t>surface</w:t>
      </w:r>
      <w:r w:rsidRPr="00720D9E">
        <w:t xml:space="preserve"> wells</w:t>
      </w:r>
      <w:r w:rsidR="008D1714" w:rsidRPr="00720D9E">
        <w:t>; and</w:t>
      </w:r>
    </w:p>
    <w:p w:rsidR="00CC4491" w:rsidRPr="00720D9E" w:rsidRDefault="00D3755A" w:rsidP="00DC7C4C">
      <w:pPr>
        <w:pStyle w:val="ListParagraph"/>
        <w:numPr>
          <w:ilvl w:val="2"/>
          <w:numId w:val="20"/>
        </w:numPr>
      </w:pPr>
      <w:r w:rsidRPr="00720D9E">
        <w:t>D</w:t>
      </w:r>
      <w:r w:rsidR="008D1714" w:rsidRPr="00720D9E">
        <w:t xml:space="preserve">estructed </w:t>
      </w:r>
      <w:r w:rsidR="002E0768" w:rsidRPr="00720D9E">
        <w:t xml:space="preserve">abandoned </w:t>
      </w:r>
      <w:r w:rsidR="008D1714" w:rsidRPr="00720D9E">
        <w:t>mine methane</w:t>
      </w:r>
      <w:r w:rsidR="002E0768" w:rsidRPr="00720D9E">
        <w:t xml:space="preserve"> contained in mine gas</w:t>
      </w:r>
      <w:r w:rsidR="008D1714" w:rsidRPr="00720D9E">
        <w:t xml:space="preserve"> extracted </w:t>
      </w:r>
      <w:r w:rsidR="002E0768" w:rsidRPr="00720D9E">
        <w:t xml:space="preserve">from strata up to 150 meters above and 50 meters below a mined seam </w:t>
      </w:r>
      <w:r w:rsidR="008D1714" w:rsidRPr="00720D9E">
        <w:t xml:space="preserve">through existing </w:t>
      </w:r>
      <w:r w:rsidR="00355E76" w:rsidRPr="00720D9E">
        <w:t xml:space="preserve">post-mining </w:t>
      </w:r>
      <w:r w:rsidR="008D1714" w:rsidRPr="00720D9E">
        <w:t>gob wells.</w:t>
      </w:r>
    </w:p>
    <w:p w:rsidR="00DC41CB" w:rsidRPr="00720D9E" w:rsidRDefault="00641568" w:rsidP="00037C40">
      <w:pPr>
        <w:pStyle w:val="Heading2"/>
      </w:pPr>
      <w:bookmarkStart w:id="17" w:name="_Toc364243191"/>
      <w:r w:rsidRPr="00720D9E">
        <w:t>§</w:t>
      </w:r>
      <w:r w:rsidR="00926183" w:rsidRPr="00720D9E">
        <w:t xml:space="preserve"> 3.6</w:t>
      </w:r>
      <w:r w:rsidRPr="00720D9E">
        <w:t xml:space="preserve">. </w:t>
      </w:r>
      <w:r w:rsidR="00DC41CB" w:rsidRPr="00720D9E">
        <w:t>Offset Project Commencement</w:t>
      </w:r>
      <w:r w:rsidRPr="00720D9E">
        <w:t>.</w:t>
      </w:r>
      <w:bookmarkEnd w:id="17"/>
    </w:p>
    <w:p w:rsidR="00923B4F" w:rsidRPr="00720D9E" w:rsidRDefault="00DC41CB" w:rsidP="0082570F">
      <w:pPr>
        <w:pStyle w:val="ListParagraph"/>
        <w:numPr>
          <w:ilvl w:val="0"/>
          <w:numId w:val="38"/>
        </w:numPr>
        <w:ind w:hanging="720"/>
      </w:pPr>
      <w:r w:rsidRPr="00720D9E">
        <w:t xml:space="preserve">For this protocol, </w:t>
      </w:r>
      <w:r w:rsidR="003404DA" w:rsidRPr="00720D9E">
        <w:t xml:space="preserve">offset project commencement </w:t>
      </w:r>
      <w:r w:rsidRPr="00720D9E">
        <w:t xml:space="preserve">is defined as the date at which the offset project’s mine methane capture and destruction equipment becomes operational. Equipment is considered </w:t>
      </w:r>
      <w:r w:rsidRPr="00720D9E">
        <w:rPr>
          <w:i/>
          <w:iCs/>
        </w:rPr>
        <w:t xml:space="preserve">operational </w:t>
      </w:r>
      <w:r w:rsidRPr="00720D9E">
        <w:t xml:space="preserve">on the date at which the system begins capturing and destroying methane gas. </w:t>
      </w:r>
    </w:p>
    <w:p w:rsidR="00923B4F" w:rsidRPr="00720D9E" w:rsidRDefault="00923B4F" w:rsidP="0082570F">
      <w:pPr>
        <w:pStyle w:val="ListParagraph"/>
        <w:numPr>
          <w:ilvl w:val="0"/>
          <w:numId w:val="38"/>
        </w:numPr>
        <w:ind w:hanging="720"/>
      </w:pPr>
      <w:r w:rsidRPr="00720D9E">
        <w:t>Per the Regulation, compliance offset projects must have a</w:t>
      </w:r>
      <w:r w:rsidR="004447DE" w:rsidRPr="00720D9E">
        <w:t>n offset</w:t>
      </w:r>
      <w:r w:rsidRPr="00720D9E">
        <w:t xml:space="preserve"> project commencement date after December 31, 2006.</w:t>
      </w:r>
    </w:p>
    <w:p w:rsidR="00DC41CB" w:rsidRPr="00720D9E" w:rsidRDefault="00641568" w:rsidP="00037C40">
      <w:pPr>
        <w:pStyle w:val="Heading2"/>
      </w:pPr>
      <w:bookmarkStart w:id="18" w:name="_Toc364243192"/>
      <w:r w:rsidRPr="00720D9E">
        <w:t>§</w:t>
      </w:r>
      <w:r w:rsidR="00926183" w:rsidRPr="00720D9E">
        <w:t xml:space="preserve"> </w:t>
      </w:r>
      <w:r w:rsidRPr="00720D9E">
        <w:t>3</w:t>
      </w:r>
      <w:r w:rsidR="00926183" w:rsidRPr="00720D9E">
        <w:t>.7</w:t>
      </w:r>
      <w:r w:rsidRPr="00720D9E">
        <w:t xml:space="preserve">. </w:t>
      </w:r>
      <w:r w:rsidR="00DC41CB" w:rsidRPr="00720D9E">
        <w:t>Project Crediting Period</w:t>
      </w:r>
      <w:r w:rsidRPr="00720D9E">
        <w:t>.</w:t>
      </w:r>
      <w:bookmarkEnd w:id="18"/>
    </w:p>
    <w:p w:rsidR="004B47B2" w:rsidRPr="00720D9E" w:rsidRDefault="00DC41CB" w:rsidP="00BD7C42">
      <w:r w:rsidRPr="00720D9E">
        <w:t>The crediting period for this protocol is ten years.</w:t>
      </w:r>
    </w:p>
    <w:p w:rsidR="00641568" w:rsidRPr="00720D9E" w:rsidRDefault="00926183" w:rsidP="00037C40">
      <w:pPr>
        <w:pStyle w:val="Heading2"/>
      </w:pPr>
      <w:bookmarkStart w:id="19" w:name="_Toc364243193"/>
      <w:r w:rsidRPr="00720D9E">
        <w:t>§ 3.8</w:t>
      </w:r>
      <w:r w:rsidR="00641568" w:rsidRPr="00720D9E">
        <w:t xml:space="preserve">. </w:t>
      </w:r>
      <w:r w:rsidR="009B6628" w:rsidRPr="00720D9E">
        <w:t>Regulatory Compliance</w:t>
      </w:r>
      <w:r w:rsidR="00BF12F2" w:rsidRPr="00720D9E">
        <w:t>.</w:t>
      </w:r>
      <w:bookmarkEnd w:id="19"/>
    </w:p>
    <w:p w:rsidR="00870A79" w:rsidRPr="00720D9E" w:rsidRDefault="00870A79" w:rsidP="0082570F">
      <w:pPr>
        <w:pStyle w:val="ListParagraph"/>
        <w:numPr>
          <w:ilvl w:val="0"/>
          <w:numId w:val="37"/>
        </w:numPr>
        <w:ind w:hanging="720"/>
      </w:pPr>
      <w:r w:rsidRPr="00720D9E">
        <w:t xml:space="preserve">An </w:t>
      </w:r>
      <w:r w:rsidR="004E7024" w:rsidRPr="00720D9E">
        <w:t xml:space="preserve">Offset Project Operator </w:t>
      </w:r>
      <w:r w:rsidRPr="00720D9E">
        <w:t xml:space="preserve">or </w:t>
      </w:r>
      <w:r w:rsidR="004E7024" w:rsidRPr="00720D9E">
        <w:t>Authorized Project Designee</w:t>
      </w:r>
      <w:r w:rsidRPr="00720D9E">
        <w:t xml:space="preserve"> must fulfill all </w:t>
      </w:r>
      <w:r w:rsidR="00AF09DB" w:rsidRPr="00720D9E">
        <w:t xml:space="preserve">applicable </w:t>
      </w:r>
      <w:r w:rsidRPr="00720D9E">
        <w:t xml:space="preserve">local, regional, and national requirements on environmental impact assessments that apply based on the offset project location. </w:t>
      </w:r>
    </w:p>
    <w:p w:rsidR="00870A79" w:rsidRPr="00720D9E" w:rsidRDefault="00870A79" w:rsidP="0082570F">
      <w:pPr>
        <w:pStyle w:val="ListParagraph"/>
        <w:numPr>
          <w:ilvl w:val="0"/>
          <w:numId w:val="37"/>
        </w:numPr>
        <w:ind w:hanging="720"/>
      </w:pPr>
      <w:r w:rsidRPr="00720D9E">
        <w:t>Offset project activity and implementation of the offset project must be in accordance with all applicable local, regional, and national environmental and health and safety regulations that apply to the offset project location.</w:t>
      </w:r>
    </w:p>
    <w:p w:rsidR="00507402" w:rsidRPr="00720D9E" w:rsidRDefault="00D25B46" w:rsidP="00507402">
      <w:pPr>
        <w:pStyle w:val="Heading1"/>
      </w:pPr>
      <w:bookmarkStart w:id="20" w:name="_Toc364243194"/>
      <w:r w:rsidRPr="00720D9E">
        <w:lastRenderedPageBreak/>
        <w:t>Chapter</w:t>
      </w:r>
      <w:r w:rsidR="00507402" w:rsidRPr="00720D9E">
        <w:t xml:space="preserve"> </w:t>
      </w:r>
      <w:r w:rsidR="006F24A1" w:rsidRPr="00720D9E">
        <w:t>4</w:t>
      </w:r>
      <w:r w:rsidR="00507402" w:rsidRPr="00720D9E">
        <w:t xml:space="preserve">. </w:t>
      </w:r>
      <w:r w:rsidR="00526AA3" w:rsidRPr="00720D9E">
        <w:t>GHG</w:t>
      </w:r>
      <w:r w:rsidR="00507402" w:rsidRPr="00720D9E">
        <w:t xml:space="preserve"> Assessment Boundary</w:t>
      </w:r>
      <w:r w:rsidR="0056242F" w:rsidRPr="00720D9E">
        <w:t xml:space="preserve"> – Quantification Methodology</w:t>
      </w:r>
      <w:bookmarkEnd w:id="20"/>
      <w:r w:rsidR="0056242F" w:rsidRPr="00720D9E">
        <w:t xml:space="preserve"> </w:t>
      </w:r>
    </w:p>
    <w:p w:rsidR="00507402" w:rsidRPr="00720D9E" w:rsidRDefault="00507402" w:rsidP="00507402">
      <w:r w:rsidRPr="00720D9E">
        <w:t xml:space="preserve">The greenhouse gas assessment boundary, or offset project boundary, delineates the GHG emission sources, sinks, and reservoirs (SSRs) that </w:t>
      </w:r>
      <w:r w:rsidR="00523499" w:rsidRPr="00720D9E">
        <w:t>must</w:t>
      </w:r>
      <w:r w:rsidRPr="00720D9E">
        <w:t xml:space="preserve"> be included or excluded when quantifying the net change in emissions associated with the installation and operation of a device, or set of devices, associated with the capture and destruction of mine methane. The following GHG assessment boundaries apply to all MMC projects on the basis of </w:t>
      </w:r>
      <w:r w:rsidR="0027567D" w:rsidRPr="00720D9E">
        <w:t xml:space="preserve">activity </w:t>
      </w:r>
      <w:r w:rsidRPr="00720D9E">
        <w:t>type:</w:t>
      </w:r>
    </w:p>
    <w:p w:rsidR="00480477" w:rsidRPr="00720D9E" w:rsidRDefault="00480477" w:rsidP="00480477">
      <w:pPr>
        <w:pStyle w:val="Heading2"/>
      </w:pPr>
      <w:bookmarkStart w:id="21" w:name="_Toc364243195"/>
      <w:r w:rsidRPr="00720D9E">
        <w:t xml:space="preserve">§ </w:t>
      </w:r>
      <w:r w:rsidR="00926183" w:rsidRPr="00720D9E">
        <w:t>4.1</w:t>
      </w:r>
      <w:r w:rsidRPr="00720D9E">
        <w:t xml:space="preserve">. Active Underground Mine VAM </w:t>
      </w:r>
      <w:r w:rsidR="0027567D" w:rsidRPr="00720D9E">
        <w:t>Activities</w:t>
      </w:r>
      <w:r w:rsidRPr="00720D9E">
        <w:t>.</w:t>
      </w:r>
      <w:bookmarkEnd w:id="21"/>
    </w:p>
    <w:p w:rsidR="00480477" w:rsidRPr="00720D9E" w:rsidRDefault="00480477" w:rsidP="00DC7C4C">
      <w:pPr>
        <w:pStyle w:val="ListParagraph"/>
        <w:numPr>
          <w:ilvl w:val="0"/>
          <w:numId w:val="23"/>
        </w:numPr>
        <w:ind w:hanging="720"/>
      </w:pPr>
      <w:r w:rsidRPr="00720D9E">
        <w:t xml:space="preserve">Figure </w:t>
      </w:r>
      <w:r w:rsidR="00926183" w:rsidRPr="00720D9E">
        <w:t>4</w:t>
      </w:r>
      <w:r w:rsidRPr="00720D9E">
        <w:t xml:space="preserve">.1 illustrates the GHG assessment boundary for active underground mine VAM </w:t>
      </w:r>
      <w:r w:rsidR="00293E44" w:rsidRPr="00720D9E">
        <w:t>activities</w:t>
      </w:r>
      <w:r w:rsidRPr="00720D9E">
        <w:t xml:space="preserve">, indicating which SSRs are included or excluded from the offset project </w:t>
      </w:r>
      <w:r w:rsidR="0027567D" w:rsidRPr="00720D9E">
        <w:t>activities</w:t>
      </w:r>
      <w:r w:rsidRPr="00720D9E">
        <w:t xml:space="preserve">. </w:t>
      </w:r>
    </w:p>
    <w:p w:rsidR="00480477" w:rsidRPr="00720D9E" w:rsidRDefault="00480477" w:rsidP="00DC7C4C">
      <w:pPr>
        <w:pStyle w:val="ListParagraph"/>
        <w:numPr>
          <w:ilvl w:val="1"/>
          <w:numId w:val="23"/>
        </w:numPr>
      </w:pPr>
      <w:r w:rsidRPr="00720D9E">
        <w:t>All SSRs within the bold line are included and must be accounted for under this protocol.</w:t>
      </w:r>
    </w:p>
    <w:p w:rsidR="00480477" w:rsidRPr="00720D9E" w:rsidRDefault="00480477" w:rsidP="00DC7C4C">
      <w:pPr>
        <w:pStyle w:val="ListParagraph"/>
        <w:numPr>
          <w:ilvl w:val="1"/>
          <w:numId w:val="23"/>
        </w:numPr>
      </w:pPr>
      <w:r w:rsidRPr="00720D9E">
        <w:t>SSRs in unshaded boxes are relevant to the baseline and project emissions.</w:t>
      </w:r>
    </w:p>
    <w:p w:rsidR="00480477" w:rsidRPr="00720D9E" w:rsidRDefault="00480477" w:rsidP="00DC7C4C">
      <w:pPr>
        <w:pStyle w:val="ListParagraph"/>
        <w:numPr>
          <w:ilvl w:val="1"/>
          <w:numId w:val="23"/>
        </w:numPr>
        <w:rPr>
          <w:rStyle w:val="Heading6Char"/>
        </w:rPr>
      </w:pPr>
      <w:r w:rsidRPr="00720D9E">
        <w:t>SSRs in shaded boxes are relevant only to the project emissions.</w:t>
      </w:r>
    </w:p>
    <w:p w:rsidR="00480477" w:rsidRPr="00720D9E" w:rsidRDefault="00480477" w:rsidP="00480477">
      <w:pPr>
        <w:pStyle w:val="Heading3"/>
      </w:pPr>
      <w:bookmarkStart w:id="22" w:name="_Toc364243196"/>
      <w:r w:rsidRPr="00720D9E">
        <w:rPr>
          <w:rStyle w:val="Heading6Char"/>
          <w:b/>
          <w:sz w:val="24"/>
        </w:rPr>
        <w:lastRenderedPageBreak/>
        <w:t xml:space="preserve">Figure </w:t>
      </w:r>
      <w:r w:rsidR="00926183" w:rsidRPr="00720D9E">
        <w:rPr>
          <w:rStyle w:val="Heading6Char"/>
          <w:b/>
          <w:sz w:val="24"/>
        </w:rPr>
        <w:t>4</w:t>
      </w:r>
      <w:r w:rsidRPr="00720D9E">
        <w:rPr>
          <w:rStyle w:val="Heading6Char"/>
          <w:b/>
          <w:sz w:val="24"/>
        </w:rPr>
        <w:t>.1.</w:t>
      </w:r>
      <w:r w:rsidRPr="00720D9E">
        <w:t xml:space="preserve"> Illustration of the greenhouse gas assessment boundary for active underground mine VAM </w:t>
      </w:r>
      <w:r w:rsidR="0027567D" w:rsidRPr="00720D9E">
        <w:t>activities</w:t>
      </w:r>
      <w:r w:rsidRPr="00720D9E">
        <w:t>.</w:t>
      </w:r>
      <w:bookmarkEnd w:id="22"/>
      <w:r w:rsidR="000966D3" w:rsidRPr="00720D9E">
        <w:t xml:space="preserve"> </w:t>
      </w:r>
    </w:p>
    <w:p w:rsidR="003752C9" w:rsidRPr="00720D9E" w:rsidRDefault="003752C9" w:rsidP="003752C9">
      <w:r w:rsidRPr="00720D9E">
        <w:rPr>
          <w:noProof/>
        </w:rPr>
        <w:drawing>
          <wp:inline distT="0" distB="0" distL="0" distR="0" wp14:anchorId="127706FE" wp14:editId="7B5401C8">
            <wp:extent cx="3568700" cy="5295900"/>
            <wp:effectExtent l="0" t="0" r="0" b="0"/>
            <wp:docPr id="13" name="Picture 13" descr="C:\Users\jbede\Desktop\V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bede\Desktop\V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700" cy="5295900"/>
                    </a:xfrm>
                    <a:prstGeom prst="rect">
                      <a:avLst/>
                    </a:prstGeom>
                    <a:noFill/>
                    <a:ln>
                      <a:noFill/>
                    </a:ln>
                  </pic:spPr>
                </pic:pic>
              </a:graphicData>
            </a:graphic>
          </wp:inline>
        </w:drawing>
      </w:r>
    </w:p>
    <w:p w:rsidR="003752C9" w:rsidRPr="00720D9E" w:rsidRDefault="003752C9" w:rsidP="003752C9">
      <w:pPr>
        <w:pStyle w:val="ListParagraph"/>
      </w:pPr>
    </w:p>
    <w:p w:rsidR="00480477" w:rsidRPr="00720D9E" w:rsidRDefault="00480477" w:rsidP="00DC7C4C">
      <w:pPr>
        <w:pStyle w:val="ListParagraph"/>
        <w:numPr>
          <w:ilvl w:val="0"/>
          <w:numId w:val="23"/>
        </w:numPr>
        <w:ind w:hanging="720"/>
      </w:pPr>
      <w:r w:rsidRPr="00720D9E">
        <w:t>Table</w:t>
      </w:r>
      <w:r w:rsidR="00926183" w:rsidRPr="00720D9E">
        <w:t xml:space="preserve"> 4</w:t>
      </w:r>
      <w:r w:rsidRPr="00720D9E">
        <w:t xml:space="preserve">.1 lists the SSRs for active underground mine VAM </w:t>
      </w:r>
      <w:r w:rsidR="0027567D" w:rsidRPr="00720D9E">
        <w:t>activities</w:t>
      </w:r>
      <w:r w:rsidRPr="00720D9E">
        <w:t>, indicating which gases are included or excluded from the offset project boundary.</w:t>
      </w:r>
    </w:p>
    <w:p w:rsidR="00480477" w:rsidRPr="00720D9E" w:rsidRDefault="00480477" w:rsidP="00480477">
      <w:pPr>
        <w:pStyle w:val="Heading3"/>
      </w:pPr>
      <w:bookmarkStart w:id="23" w:name="_Toc364243197"/>
      <w:r w:rsidRPr="00720D9E">
        <w:rPr>
          <w:rStyle w:val="Heading6Char"/>
          <w:b/>
          <w:sz w:val="24"/>
        </w:rPr>
        <w:t xml:space="preserve">Table </w:t>
      </w:r>
      <w:r w:rsidR="00926183" w:rsidRPr="00720D9E">
        <w:rPr>
          <w:rStyle w:val="Heading6Char"/>
          <w:b/>
          <w:sz w:val="24"/>
        </w:rPr>
        <w:t>4</w:t>
      </w:r>
      <w:r w:rsidRPr="00720D9E">
        <w:rPr>
          <w:rStyle w:val="Heading6Char"/>
          <w:b/>
          <w:sz w:val="24"/>
        </w:rPr>
        <w:t>.1.</w:t>
      </w:r>
      <w:r w:rsidRPr="00720D9E">
        <w:t xml:space="preserve"> List of the greenhouse gas sinks, sources, and reservoirs for active underground mine VAM </w:t>
      </w:r>
      <w:r w:rsidR="0027567D" w:rsidRPr="00720D9E">
        <w:t>activities</w:t>
      </w:r>
      <w:r w:rsidRPr="00720D9E">
        <w:t>.</w:t>
      </w:r>
      <w:bookmarkEnd w:id="23"/>
    </w:p>
    <w:tbl>
      <w:tblPr>
        <w:tblStyle w:val="TableGrid"/>
        <w:tblpPr w:leftFromText="180" w:rightFromText="180" w:vertAnchor="text" w:tblpY="1"/>
        <w:tblOverlap w:val="never"/>
        <w:tblW w:w="9333" w:type="dxa"/>
        <w:tblInd w:w="108" w:type="dxa"/>
        <w:tblLayout w:type="fixed"/>
        <w:tblLook w:val="04A0" w:firstRow="1" w:lastRow="0" w:firstColumn="1" w:lastColumn="0" w:noHBand="0" w:noVBand="1"/>
      </w:tblPr>
      <w:tblGrid>
        <w:gridCol w:w="1034"/>
        <w:gridCol w:w="3149"/>
        <w:gridCol w:w="1102"/>
        <w:gridCol w:w="2024"/>
        <w:gridCol w:w="2024"/>
      </w:tblGrid>
      <w:tr w:rsidR="00AF09DB" w:rsidRPr="00720D9E" w:rsidTr="00AF09DB">
        <w:trPr>
          <w:cantSplit/>
          <w:trHeight w:val="697"/>
        </w:trPr>
        <w:tc>
          <w:tcPr>
            <w:tcW w:w="1034" w:type="dxa"/>
            <w:shd w:val="pct12" w:color="auto" w:fill="auto"/>
            <w:vAlign w:val="center"/>
          </w:tcPr>
          <w:p w:rsidR="00AF09DB" w:rsidRPr="00720D9E" w:rsidRDefault="00AF09DB" w:rsidP="00AE17D4">
            <w:pPr>
              <w:spacing w:line="240" w:lineRule="auto"/>
              <w:jc w:val="center"/>
              <w:rPr>
                <w:rFonts w:ascii="Arial" w:hAnsi="Arial" w:cs="Arial"/>
                <w:b/>
                <w:sz w:val="20"/>
                <w:szCs w:val="20"/>
              </w:rPr>
            </w:pPr>
            <w:r w:rsidRPr="00720D9E">
              <w:rPr>
                <w:rFonts w:ascii="Arial" w:hAnsi="Arial" w:cs="Arial"/>
                <w:b/>
                <w:sz w:val="20"/>
                <w:szCs w:val="20"/>
              </w:rPr>
              <w:t>SSR</w:t>
            </w:r>
          </w:p>
        </w:tc>
        <w:tc>
          <w:tcPr>
            <w:tcW w:w="3149" w:type="dxa"/>
            <w:shd w:val="pct12" w:color="auto" w:fill="auto"/>
            <w:vAlign w:val="center"/>
          </w:tcPr>
          <w:p w:rsidR="00AF09DB" w:rsidRPr="00720D9E" w:rsidRDefault="00AF09DB" w:rsidP="00AE17D4">
            <w:pPr>
              <w:spacing w:line="240" w:lineRule="auto"/>
              <w:jc w:val="center"/>
              <w:rPr>
                <w:rFonts w:ascii="Arial" w:hAnsi="Arial" w:cs="Arial"/>
                <w:b/>
                <w:sz w:val="20"/>
                <w:szCs w:val="20"/>
              </w:rPr>
            </w:pPr>
            <w:r w:rsidRPr="00720D9E">
              <w:rPr>
                <w:rFonts w:ascii="Arial" w:hAnsi="Arial" w:cs="Arial"/>
                <w:b/>
                <w:sz w:val="20"/>
                <w:szCs w:val="20"/>
              </w:rPr>
              <w:t>Description</w:t>
            </w:r>
          </w:p>
        </w:tc>
        <w:tc>
          <w:tcPr>
            <w:tcW w:w="1102" w:type="dxa"/>
            <w:shd w:val="pct12" w:color="auto" w:fill="auto"/>
            <w:vAlign w:val="center"/>
          </w:tcPr>
          <w:p w:rsidR="00AF09DB" w:rsidRPr="00720D9E" w:rsidRDefault="00AF09DB" w:rsidP="00AE17D4">
            <w:pPr>
              <w:spacing w:line="240" w:lineRule="auto"/>
              <w:jc w:val="center"/>
              <w:rPr>
                <w:rFonts w:ascii="Arial" w:hAnsi="Arial" w:cs="Arial"/>
                <w:b/>
                <w:sz w:val="20"/>
                <w:szCs w:val="20"/>
              </w:rPr>
            </w:pPr>
            <w:r w:rsidRPr="00720D9E">
              <w:rPr>
                <w:rFonts w:ascii="Arial" w:hAnsi="Arial" w:cs="Arial"/>
                <w:b/>
                <w:sz w:val="20"/>
                <w:szCs w:val="20"/>
              </w:rPr>
              <w:t>GHG</w:t>
            </w:r>
          </w:p>
        </w:tc>
        <w:tc>
          <w:tcPr>
            <w:tcW w:w="2024" w:type="dxa"/>
            <w:shd w:val="pct12" w:color="auto" w:fill="auto"/>
            <w:vAlign w:val="center"/>
          </w:tcPr>
          <w:p w:rsidR="00AF09DB" w:rsidRPr="00720D9E" w:rsidRDefault="00AF09DB" w:rsidP="00AE17D4">
            <w:pPr>
              <w:spacing w:line="240" w:lineRule="auto"/>
              <w:jc w:val="center"/>
              <w:rPr>
                <w:rFonts w:ascii="Arial" w:hAnsi="Arial" w:cs="Arial"/>
                <w:b/>
                <w:sz w:val="20"/>
                <w:szCs w:val="20"/>
              </w:rPr>
            </w:pPr>
            <w:r w:rsidRPr="00720D9E">
              <w:rPr>
                <w:rFonts w:ascii="Arial" w:hAnsi="Arial" w:cs="Arial"/>
                <w:b/>
                <w:sz w:val="20"/>
                <w:szCs w:val="20"/>
              </w:rPr>
              <w:t>Baseline (B) or Project (P)</w:t>
            </w:r>
          </w:p>
        </w:tc>
        <w:tc>
          <w:tcPr>
            <w:tcW w:w="2024" w:type="dxa"/>
            <w:shd w:val="pct12" w:color="auto" w:fill="auto"/>
            <w:vAlign w:val="center"/>
          </w:tcPr>
          <w:p w:rsidR="00AF09DB" w:rsidRPr="00720D9E" w:rsidRDefault="00AF09DB" w:rsidP="00AE17D4">
            <w:pPr>
              <w:spacing w:line="240" w:lineRule="auto"/>
              <w:jc w:val="center"/>
              <w:rPr>
                <w:rFonts w:ascii="Arial" w:hAnsi="Arial" w:cs="Arial"/>
                <w:b/>
                <w:sz w:val="20"/>
                <w:szCs w:val="20"/>
              </w:rPr>
            </w:pPr>
            <w:r w:rsidRPr="00720D9E">
              <w:rPr>
                <w:rFonts w:ascii="Arial" w:hAnsi="Arial" w:cs="Arial"/>
                <w:b/>
                <w:sz w:val="20"/>
                <w:szCs w:val="20"/>
              </w:rPr>
              <w:t>Included/ Excluded</w:t>
            </w:r>
          </w:p>
        </w:tc>
      </w:tr>
      <w:tr w:rsidR="00AF09DB" w:rsidRPr="00720D9E" w:rsidTr="00AF09DB">
        <w:trPr>
          <w:cantSplit/>
          <w:trHeight w:val="922"/>
        </w:trPr>
        <w:tc>
          <w:tcPr>
            <w:tcW w:w="1034" w:type="dxa"/>
            <w:vAlign w:val="center"/>
          </w:tcPr>
          <w:p w:rsidR="00AF09DB" w:rsidRPr="00720D9E" w:rsidRDefault="00AF09DB" w:rsidP="00AE17D4">
            <w:pPr>
              <w:spacing w:line="240" w:lineRule="auto"/>
              <w:jc w:val="center"/>
              <w:rPr>
                <w:rFonts w:ascii="Arial" w:hAnsi="Arial" w:cs="Arial"/>
                <w:sz w:val="20"/>
                <w:szCs w:val="20"/>
              </w:rPr>
            </w:pPr>
            <w:r w:rsidRPr="00720D9E">
              <w:rPr>
                <w:rFonts w:ascii="Arial" w:hAnsi="Arial" w:cs="Arial"/>
                <w:sz w:val="20"/>
                <w:szCs w:val="20"/>
              </w:rPr>
              <w:t>1</w:t>
            </w:r>
          </w:p>
        </w:tc>
        <w:tc>
          <w:tcPr>
            <w:tcW w:w="3149" w:type="dxa"/>
            <w:vAlign w:val="center"/>
          </w:tcPr>
          <w:p w:rsidR="00AF09DB" w:rsidRPr="00720D9E" w:rsidRDefault="00AF09DB" w:rsidP="00AE17D4">
            <w:pPr>
              <w:spacing w:line="240" w:lineRule="auto"/>
              <w:rPr>
                <w:rFonts w:ascii="Arial" w:hAnsi="Arial" w:cs="Arial"/>
                <w:sz w:val="20"/>
                <w:szCs w:val="20"/>
              </w:rPr>
            </w:pPr>
            <w:r w:rsidRPr="00720D9E">
              <w:rPr>
                <w:rFonts w:ascii="Arial" w:hAnsi="Arial" w:cs="Arial"/>
                <w:sz w:val="20"/>
                <w:szCs w:val="20"/>
              </w:rPr>
              <w:t>Emissions from the venting of VAM through mine ventilation system</w:t>
            </w:r>
          </w:p>
        </w:tc>
        <w:tc>
          <w:tcPr>
            <w:tcW w:w="1102" w:type="dxa"/>
            <w:vAlign w:val="center"/>
          </w:tcPr>
          <w:p w:rsidR="00AF09DB" w:rsidRPr="00720D9E" w:rsidRDefault="00AF09DB" w:rsidP="00AE17D4">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24" w:type="dxa"/>
            <w:vAlign w:val="center"/>
          </w:tcPr>
          <w:p w:rsidR="00AF09DB" w:rsidRPr="00720D9E" w:rsidRDefault="00AF09DB" w:rsidP="00AE17D4">
            <w:pPr>
              <w:spacing w:line="240" w:lineRule="auto"/>
              <w:jc w:val="center"/>
              <w:rPr>
                <w:rFonts w:ascii="Arial" w:hAnsi="Arial" w:cs="Arial"/>
                <w:sz w:val="20"/>
                <w:szCs w:val="20"/>
              </w:rPr>
            </w:pPr>
            <w:r w:rsidRPr="00720D9E">
              <w:rPr>
                <w:rFonts w:ascii="Arial" w:hAnsi="Arial" w:cs="Arial"/>
                <w:sz w:val="20"/>
                <w:szCs w:val="20"/>
              </w:rPr>
              <w:t>B, P</w:t>
            </w:r>
          </w:p>
        </w:tc>
        <w:tc>
          <w:tcPr>
            <w:tcW w:w="2024" w:type="dxa"/>
            <w:vAlign w:val="center"/>
          </w:tcPr>
          <w:p w:rsidR="00AF09DB" w:rsidRPr="00720D9E" w:rsidRDefault="00AF09DB" w:rsidP="00AE17D4">
            <w:pPr>
              <w:spacing w:line="240" w:lineRule="auto"/>
              <w:jc w:val="center"/>
              <w:rPr>
                <w:rFonts w:ascii="Arial" w:hAnsi="Arial" w:cs="Arial"/>
                <w:sz w:val="20"/>
                <w:szCs w:val="20"/>
              </w:rPr>
            </w:pPr>
            <w:r w:rsidRPr="00720D9E">
              <w:rPr>
                <w:rFonts w:ascii="Arial" w:hAnsi="Arial" w:cs="Arial"/>
                <w:sz w:val="20"/>
                <w:szCs w:val="20"/>
              </w:rPr>
              <w:t>Included</w:t>
            </w:r>
          </w:p>
        </w:tc>
      </w:tr>
      <w:tr w:rsidR="00AF09DB" w:rsidRPr="00720D9E" w:rsidTr="00AF09DB">
        <w:trPr>
          <w:cantSplit/>
          <w:trHeight w:val="424"/>
        </w:trPr>
        <w:tc>
          <w:tcPr>
            <w:tcW w:w="1034" w:type="dxa"/>
            <w:vMerge w:val="restart"/>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lastRenderedPageBreak/>
              <w:t>2</w:t>
            </w:r>
          </w:p>
        </w:tc>
        <w:tc>
          <w:tcPr>
            <w:tcW w:w="3149" w:type="dxa"/>
            <w:vMerge w:val="restart"/>
            <w:vAlign w:val="center"/>
          </w:tcPr>
          <w:p w:rsidR="00AF09DB" w:rsidRPr="00720D9E" w:rsidRDefault="00AF09DB" w:rsidP="00AE17D4">
            <w:pPr>
              <w:spacing w:line="240" w:lineRule="auto"/>
              <w:rPr>
                <w:rFonts w:ascii="Arial" w:hAnsi="Arial"/>
                <w:sz w:val="20"/>
                <w:szCs w:val="20"/>
              </w:rPr>
            </w:pPr>
            <w:r w:rsidRPr="00720D9E">
              <w:rPr>
                <w:rFonts w:ascii="Arial" w:hAnsi="Arial"/>
                <w:sz w:val="20"/>
                <w:szCs w:val="20"/>
              </w:rPr>
              <w:t>Emissions resulting from energy consumed to operate mine ventilation system</w:t>
            </w:r>
          </w:p>
        </w:tc>
        <w:tc>
          <w:tcPr>
            <w:tcW w:w="1102" w:type="dxa"/>
            <w:vAlign w:val="center"/>
          </w:tcPr>
          <w:p w:rsidR="00AF09DB" w:rsidRPr="00720D9E" w:rsidRDefault="00AF09DB" w:rsidP="00AE17D4">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n/a</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AF09DB">
        <w:trPr>
          <w:cantSplit/>
          <w:trHeight w:val="368"/>
        </w:trPr>
        <w:tc>
          <w:tcPr>
            <w:tcW w:w="1034" w:type="dxa"/>
            <w:vMerge/>
            <w:vAlign w:val="center"/>
          </w:tcPr>
          <w:p w:rsidR="00AF09DB" w:rsidRPr="00720D9E" w:rsidRDefault="00AF09DB" w:rsidP="00AE17D4">
            <w:pPr>
              <w:spacing w:line="240" w:lineRule="auto"/>
              <w:jc w:val="center"/>
              <w:rPr>
                <w:rFonts w:ascii="Arial" w:hAnsi="Arial"/>
                <w:sz w:val="20"/>
                <w:szCs w:val="20"/>
              </w:rPr>
            </w:pPr>
          </w:p>
        </w:tc>
        <w:tc>
          <w:tcPr>
            <w:tcW w:w="3149" w:type="dxa"/>
            <w:vMerge/>
            <w:vAlign w:val="center"/>
          </w:tcPr>
          <w:p w:rsidR="00AF09DB" w:rsidRPr="00720D9E" w:rsidRDefault="00AF09DB" w:rsidP="00AE17D4">
            <w:pPr>
              <w:spacing w:line="240" w:lineRule="auto"/>
              <w:rPr>
                <w:rFonts w:ascii="Arial" w:hAnsi="Arial"/>
                <w:sz w:val="20"/>
                <w:szCs w:val="20"/>
              </w:rPr>
            </w:pPr>
          </w:p>
        </w:tc>
        <w:tc>
          <w:tcPr>
            <w:tcW w:w="1102" w:type="dxa"/>
            <w:vAlign w:val="center"/>
          </w:tcPr>
          <w:p w:rsidR="00AF09DB" w:rsidRPr="00720D9E" w:rsidRDefault="00AF09DB" w:rsidP="00AE17D4">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n/a</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AF09DB">
        <w:trPr>
          <w:cantSplit/>
          <w:trHeight w:val="148"/>
        </w:trPr>
        <w:tc>
          <w:tcPr>
            <w:tcW w:w="1034" w:type="dxa"/>
            <w:vMerge/>
            <w:vAlign w:val="center"/>
          </w:tcPr>
          <w:p w:rsidR="00AF09DB" w:rsidRPr="00720D9E" w:rsidRDefault="00AF09DB" w:rsidP="00AE17D4">
            <w:pPr>
              <w:spacing w:line="240" w:lineRule="auto"/>
              <w:jc w:val="center"/>
              <w:rPr>
                <w:rFonts w:ascii="Arial" w:hAnsi="Arial"/>
                <w:sz w:val="20"/>
                <w:szCs w:val="20"/>
              </w:rPr>
            </w:pPr>
          </w:p>
        </w:tc>
        <w:tc>
          <w:tcPr>
            <w:tcW w:w="3149" w:type="dxa"/>
            <w:vMerge/>
            <w:vAlign w:val="center"/>
          </w:tcPr>
          <w:p w:rsidR="00AF09DB" w:rsidRPr="00720D9E" w:rsidRDefault="00AF09DB" w:rsidP="00AE17D4">
            <w:pPr>
              <w:spacing w:line="240" w:lineRule="auto"/>
              <w:rPr>
                <w:rFonts w:ascii="Arial" w:hAnsi="Arial"/>
                <w:sz w:val="20"/>
                <w:szCs w:val="20"/>
              </w:rPr>
            </w:pPr>
          </w:p>
        </w:tc>
        <w:tc>
          <w:tcPr>
            <w:tcW w:w="1102" w:type="dxa"/>
            <w:vAlign w:val="center"/>
          </w:tcPr>
          <w:p w:rsidR="00AF09DB" w:rsidRPr="00720D9E" w:rsidRDefault="00AF09DB" w:rsidP="00AE17D4">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n/a</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AF09DB">
        <w:trPr>
          <w:cantSplit/>
          <w:trHeight w:val="226"/>
        </w:trPr>
        <w:tc>
          <w:tcPr>
            <w:tcW w:w="1034" w:type="dxa"/>
            <w:vMerge w:val="restart"/>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3</w:t>
            </w:r>
          </w:p>
        </w:tc>
        <w:tc>
          <w:tcPr>
            <w:tcW w:w="3149" w:type="dxa"/>
            <w:vMerge w:val="restart"/>
            <w:vAlign w:val="center"/>
          </w:tcPr>
          <w:p w:rsidR="00AF09DB" w:rsidRPr="00720D9E" w:rsidRDefault="00AF09DB" w:rsidP="003B5CED">
            <w:pPr>
              <w:spacing w:line="240" w:lineRule="auto"/>
              <w:rPr>
                <w:rFonts w:ascii="Arial" w:hAnsi="Arial"/>
                <w:sz w:val="20"/>
                <w:szCs w:val="20"/>
              </w:rPr>
            </w:pPr>
            <w:r w:rsidRPr="00720D9E">
              <w:rPr>
                <w:rFonts w:ascii="Arial" w:hAnsi="Arial"/>
                <w:sz w:val="20"/>
                <w:szCs w:val="20"/>
              </w:rPr>
              <w:t>Emissions resulting from energy consumed to operate VAM collection system/ destruction device</w:t>
            </w:r>
          </w:p>
        </w:tc>
        <w:tc>
          <w:tcPr>
            <w:tcW w:w="1102" w:type="dxa"/>
            <w:vAlign w:val="center"/>
          </w:tcPr>
          <w:p w:rsidR="00AF09DB" w:rsidRPr="00720D9E" w:rsidRDefault="00AF09DB" w:rsidP="00AE17D4">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P</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AF09DB">
        <w:trPr>
          <w:cantSplit/>
          <w:trHeight w:val="386"/>
        </w:trPr>
        <w:tc>
          <w:tcPr>
            <w:tcW w:w="1034" w:type="dxa"/>
            <w:vMerge/>
            <w:vAlign w:val="center"/>
          </w:tcPr>
          <w:p w:rsidR="00AF09DB" w:rsidRPr="00720D9E" w:rsidRDefault="00AF09DB" w:rsidP="00AE17D4">
            <w:pPr>
              <w:spacing w:line="240" w:lineRule="auto"/>
              <w:jc w:val="center"/>
              <w:rPr>
                <w:rFonts w:ascii="Arial" w:hAnsi="Arial"/>
                <w:sz w:val="20"/>
                <w:szCs w:val="20"/>
              </w:rPr>
            </w:pPr>
          </w:p>
        </w:tc>
        <w:tc>
          <w:tcPr>
            <w:tcW w:w="3149" w:type="dxa"/>
            <w:vMerge/>
            <w:vAlign w:val="center"/>
          </w:tcPr>
          <w:p w:rsidR="00AF09DB" w:rsidRPr="00720D9E" w:rsidRDefault="00AF09DB" w:rsidP="00AE17D4">
            <w:pPr>
              <w:spacing w:line="240" w:lineRule="auto"/>
              <w:rPr>
                <w:rFonts w:ascii="Arial" w:hAnsi="Arial"/>
                <w:sz w:val="20"/>
                <w:szCs w:val="20"/>
              </w:rPr>
            </w:pPr>
          </w:p>
        </w:tc>
        <w:tc>
          <w:tcPr>
            <w:tcW w:w="1102" w:type="dxa"/>
            <w:vAlign w:val="center"/>
          </w:tcPr>
          <w:p w:rsidR="00AF09DB" w:rsidRPr="00720D9E" w:rsidRDefault="00AF09DB" w:rsidP="00AE17D4">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n/a</w:t>
            </w:r>
          </w:p>
        </w:tc>
        <w:tc>
          <w:tcPr>
            <w:tcW w:w="2024" w:type="dxa"/>
            <w:vAlign w:val="center"/>
          </w:tcPr>
          <w:p w:rsidR="00AF09DB" w:rsidRPr="00720D9E" w:rsidRDefault="00AF09DB" w:rsidP="0040728E">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AF09DB">
        <w:trPr>
          <w:cantSplit/>
          <w:trHeight w:val="148"/>
        </w:trPr>
        <w:tc>
          <w:tcPr>
            <w:tcW w:w="1034" w:type="dxa"/>
            <w:vMerge/>
            <w:vAlign w:val="center"/>
          </w:tcPr>
          <w:p w:rsidR="00AF09DB" w:rsidRPr="00720D9E" w:rsidRDefault="00AF09DB" w:rsidP="00AE17D4">
            <w:pPr>
              <w:spacing w:line="240" w:lineRule="auto"/>
              <w:jc w:val="center"/>
              <w:rPr>
                <w:rFonts w:ascii="Arial" w:hAnsi="Arial"/>
                <w:sz w:val="20"/>
                <w:szCs w:val="20"/>
              </w:rPr>
            </w:pPr>
          </w:p>
        </w:tc>
        <w:tc>
          <w:tcPr>
            <w:tcW w:w="3149" w:type="dxa"/>
            <w:vMerge/>
            <w:vAlign w:val="center"/>
          </w:tcPr>
          <w:p w:rsidR="00AF09DB" w:rsidRPr="00720D9E" w:rsidRDefault="00AF09DB" w:rsidP="00AE17D4">
            <w:pPr>
              <w:spacing w:line="240" w:lineRule="auto"/>
              <w:rPr>
                <w:rFonts w:ascii="Arial" w:hAnsi="Arial"/>
                <w:sz w:val="20"/>
                <w:szCs w:val="20"/>
              </w:rPr>
            </w:pPr>
          </w:p>
        </w:tc>
        <w:tc>
          <w:tcPr>
            <w:tcW w:w="1102" w:type="dxa"/>
            <w:vAlign w:val="center"/>
          </w:tcPr>
          <w:p w:rsidR="00AF09DB" w:rsidRPr="00720D9E" w:rsidRDefault="00AF09DB" w:rsidP="00AE17D4">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n/a</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AF09DB">
        <w:trPr>
          <w:cantSplit/>
          <w:trHeight w:val="226"/>
        </w:trPr>
        <w:tc>
          <w:tcPr>
            <w:tcW w:w="1034" w:type="dxa"/>
            <w:vMerge w:val="restart"/>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4</w:t>
            </w:r>
          </w:p>
        </w:tc>
        <w:tc>
          <w:tcPr>
            <w:tcW w:w="3149" w:type="dxa"/>
            <w:vMerge w:val="restart"/>
            <w:shd w:val="clear" w:color="auto" w:fill="auto"/>
            <w:vAlign w:val="center"/>
          </w:tcPr>
          <w:p w:rsidR="00AF09DB" w:rsidRPr="00720D9E" w:rsidRDefault="00AF09DB" w:rsidP="002C73F3">
            <w:pPr>
              <w:spacing w:line="240" w:lineRule="auto"/>
              <w:rPr>
                <w:rFonts w:ascii="Arial" w:hAnsi="Arial"/>
                <w:sz w:val="20"/>
                <w:szCs w:val="20"/>
              </w:rPr>
            </w:pPr>
            <w:r w:rsidRPr="00720D9E">
              <w:rPr>
                <w:rFonts w:ascii="Arial" w:hAnsi="Arial"/>
                <w:sz w:val="20"/>
                <w:szCs w:val="20"/>
              </w:rPr>
              <w:t>Emissions resulting from VAM destruction</w:t>
            </w:r>
          </w:p>
        </w:tc>
        <w:tc>
          <w:tcPr>
            <w:tcW w:w="1102" w:type="dxa"/>
            <w:vAlign w:val="center"/>
          </w:tcPr>
          <w:p w:rsidR="00AF09DB" w:rsidRPr="00720D9E" w:rsidRDefault="00AF09DB" w:rsidP="00AE17D4">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B, P</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AF09DB">
        <w:trPr>
          <w:cantSplit/>
          <w:trHeight w:val="148"/>
        </w:trPr>
        <w:tc>
          <w:tcPr>
            <w:tcW w:w="1034" w:type="dxa"/>
            <w:vMerge/>
            <w:vAlign w:val="center"/>
          </w:tcPr>
          <w:p w:rsidR="00AF09DB" w:rsidRPr="00720D9E" w:rsidRDefault="00AF09DB" w:rsidP="00AE17D4">
            <w:pPr>
              <w:spacing w:line="240" w:lineRule="auto"/>
              <w:jc w:val="center"/>
              <w:rPr>
                <w:rFonts w:ascii="Arial" w:hAnsi="Arial"/>
                <w:sz w:val="20"/>
                <w:szCs w:val="20"/>
              </w:rPr>
            </w:pPr>
          </w:p>
        </w:tc>
        <w:tc>
          <w:tcPr>
            <w:tcW w:w="3149" w:type="dxa"/>
            <w:vMerge/>
            <w:shd w:val="clear" w:color="auto" w:fill="auto"/>
            <w:vAlign w:val="center"/>
          </w:tcPr>
          <w:p w:rsidR="00AF09DB" w:rsidRPr="00720D9E" w:rsidRDefault="00AF09DB" w:rsidP="00AE17D4">
            <w:pPr>
              <w:spacing w:line="240" w:lineRule="auto"/>
              <w:rPr>
                <w:rFonts w:ascii="Arial" w:hAnsi="Arial"/>
                <w:sz w:val="20"/>
                <w:szCs w:val="20"/>
              </w:rPr>
            </w:pPr>
          </w:p>
        </w:tc>
        <w:tc>
          <w:tcPr>
            <w:tcW w:w="1102" w:type="dxa"/>
            <w:vAlign w:val="center"/>
          </w:tcPr>
          <w:p w:rsidR="00AF09DB" w:rsidRPr="00720D9E" w:rsidRDefault="00AF09DB" w:rsidP="00AE17D4">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n/a</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AF09DB">
        <w:trPr>
          <w:cantSplit/>
          <w:trHeight w:val="148"/>
        </w:trPr>
        <w:tc>
          <w:tcPr>
            <w:tcW w:w="1034" w:type="dxa"/>
            <w:vMerge/>
            <w:vAlign w:val="center"/>
          </w:tcPr>
          <w:p w:rsidR="00AF09DB" w:rsidRPr="00720D9E" w:rsidRDefault="00AF09DB" w:rsidP="00AE17D4">
            <w:pPr>
              <w:spacing w:line="240" w:lineRule="auto"/>
              <w:jc w:val="center"/>
              <w:rPr>
                <w:rFonts w:ascii="Arial" w:hAnsi="Arial"/>
                <w:sz w:val="20"/>
                <w:szCs w:val="20"/>
              </w:rPr>
            </w:pPr>
          </w:p>
        </w:tc>
        <w:tc>
          <w:tcPr>
            <w:tcW w:w="3149" w:type="dxa"/>
            <w:shd w:val="clear" w:color="auto" w:fill="auto"/>
            <w:vAlign w:val="center"/>
          </w:tcPr>
          <w:p w:rsidR="00AF09DB" w:rsidRPr="00720D9E" w:rsidRDefault="00AF09DB" w:rsidP="0027567D">
            <w:pPr>
              <w:spacing w:line="240" w:lineRule="auto"/>
              <w:rPr>
                <w:rFonts w:ascii="Arial" w:hAnsi="Arial"/>
                <w:sz w:val="20"/>
                <w:szCs w:val="20"/>
              </w:rPr>
            </w:pPr>
            <w:r w:rsidRPr="00720D9E">
              <w:rPr>
                <w:rFonts w:ascii="Arial" w:hAnsi="Arial"/>
                <w:sz w:val="20"/>
                <w:szCs w:val="20"/>
              </w:rPr>
              <w:t>Emissions of uncombusted methane</w:t>
            </w:r>
          </w:p>
        </w:tc>
        <w:tc>
          <w:tcPr>
            <w:tcW w:w="1102" w:type="dxa"/>
            <w:vAlign w:val="center"/>
          </w:tcPr>
          <w:p w:rsidR="00AF09DB" w:rsidRPr="00720D9E" w:rsidRDefault="00AF09DB" w:rsidP="00AE17D4">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P</w:t>
            </w:r>
          </w:p>
        </w:tc>
        <w:tc>
          <w:tcPr>
            <w:tcW w:w="2024" w:type="dxa"/>
            <w:vAlign w:val="center"/>
          </w:tcPr>
          <w:p w:rsidR="00AF09DB" w:rsidRPr="00720D9E" w:rsidRDefault="00AF09DB" w:rsidP="00AE17D4">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AF09DB">
        <w:trPr>
          <w:cantSplit/>
          <w:trHeight w:val="313"/>
        </w:trPr>
        <w:tc>
          <w:tcPr>
            <w:tcW w:w="1034" w:type="dxa"/>
            <w:vMerge w:val="restart"/>
            <w:shd w:val="clear" w:color="auto" w:fill="auto"/>
            <w:vAlign w:val="center"/>
          </w:tcPr>
          <w:p w:rsidR="00AF09DB" w:rsidRPr="00720D9E" w:rsidRDefault="00AF09DB" w:rsidP="007059B7">
            <w:pPr>
              <w:spacing w:line="240" w:lineRule="auto"/>
              <w:jc w:val="center"/>
              <w:rPr>
                <w:rFonts w:ascii="Arial" w:hAnsi="Arial"/>
                <w:sz w:val="20"/>
                <w:szCs w:val="20"/>
              </w:rPr>
            </w:pPr>
            <w:r w:rsidRPr="00720D9E">
              <w:rPr>
                <w:rFonts w:ascii="Arial" w:hAnsi="Arial"/>
                <w:sz w:val="20"/>
                <w:szCs w:val="20"/>
              </w:rPr>
              <w:t>5</w:t>
            </w:r>
          </w:p>
        </w:tc>
        <w:tc>
          <w:tcPr>
            <w:tcW w:w="3149" w:type="dxa"/>
            <w:vMerge w:val="restart"/>
            <w:vAlign w:val="center"/>
          </w:tcPr>
          <w:p w:rsidR="00AF09DB" w:rsidRPr="00720D9E" w:rsidRDefault="00AF09DB" w:rsidP="0040728E">
            <w:pPr>
              <w:spacing w:line="240" w:lineRule="auto"/>
              <w:rPr>
                <w:rFonts w:ascii="Arial" w:hAnsi="Arial"/>
                <w:sz w:val="20"/>
                <w:szCs w:val="20"/>
              </w:rPr>
            </w:pPr>
            <w:r w:rsidRPr="00720D9E">
              <w:rPr>
                <w:rFonts w:ascii="Arial" w:hAnsi="Arial"/>
                <w:sz w:val="20"/>
                <w:szCs w:val="20"/>
              </w:rPr>
              <w:t>Emissions from construction and/or installation of new equipment</w:t>
            </w:r>
          </w:p>
        </w:tc>
        <w:tc>
          <w:tcPr>
            <w:tcW w:w="1102" w:type="dxa"/>
            <w:vAlign w:val="center"/>
          </w:tcPr>
          <w:p w:rsidR="00AF09DB" w:rsidRPr="00720D9E" w:rsidRDefault="00AF09DB" w:rsidP="007059B7">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24" w:type="dxa"/>
            <w:shd w:val="clear" w:color="auto" w:fill="auto"/>
            <w:vAlign w:val="center"/>
          </w:tcPr>
          <w:p w:rsidR="00AF09DB" w:rsidRPr="00720D9E" w:rsidRDefault="00AF09DB" w:rsidP="007059B7">
            <w:pPr>
              <w:spacing w:line="240" w:lineRule="auto"/>
              <w:jc w:val="center"/>
              <w:rPr>
                <w:rFonts w:ascii="Arial" w:hAnsi="Arial"/>
                <w:sz w:val="20"/>
                <w:szCs w:val="20"/>
              </w:rPr>
            </w:pPr>
            <w:r w:rsidRPr="00720D9E">
              <w:rPr>
                <w:rFonts w:ascii="Arial" w:hAnsi="Arial" w:cs="Arial"/>
                <w:sz w:val="20"/>
                <w:szCs w:val="20"/>
              </w:rPr>
              <w:t>n/a</w:t>
            </w:r>
          </w:p>
        </w:tc>
        <w:tc>
          <w:tcPr>
            <w:tcW w:w="2024" w:type="dxa"/>
            <w:vAlign w:val="center"/>
          </w:tcPr>
          <w:p w:rsidR="00AF09DB" w:rsidRPr="00720D9E" w:rsidRDefault="00AF09DB" w:rsidP="007059B7">
            <w:pPr>
              <w:spacing w:line="240" w:lineRule="auto"/>
              <w:jc w:val="center"/>
              <w:rPr>
                <w:rFonts w:ascii="Arial" w:hAnsi="Arial"/>
                <w:sz w:val="20"/>
                <w:szCs w:val="20"/>
              </w:rPr>
            </w:pPr>
            <w:r w:rsidRPr="00720D9E">
              <w:rPr>
                <w:rFonts w:ascii="Arial" w:hAnsi="Arial" w:cs="Arial"/>
                <w:sz w:val="20"/>
                <w:szCs w:val="20"/>
              </w:rPr>
              <w:t>Excluded</w:t>
            </w:r>
          </w:p>
        </w:tc>
      </w:tr>
      <w:tr w:rsidR="00AF09DB" w:rsidRPr="00720D9E" w:rsidTr="00AF09DB">
        <w:trPr>
          <w:cantSplit/>
          <w:trHeight w:val="341"/>
        </w:trPr>
        <w:tc>
          <w:tcPr>
            <w:tcW w:w="1034" w:type="dxa"/>
            <w:vMerge/>
            <w:shd w:val="clear" w:color="auto" w:fill="auto"/>
            <w:vAlign w:val="center"/>
          </w:tcPr>
          <w:p w:rsidR="00AF09DB" w:rsidRPr="00720D9E" w:rsidRDefault="00AF09DB" w:rsidP="007059B7">
            <w:pPr>
              <w:spacing w:line="240" w:lineRule="auto"/>
              <w:jc w:val="center"/>
              <w:rPr>
                <w:rFonts w:ascii="Arial" w:hAnsi="Arial"/>
                <w:sz w:val="20"/>
                <w:szCs w:val="20"/>
              </w:rPr>
            </w:pPr>
          </w:p>
        </w:tc>
        <w:tc>
          <w:tcPr>
            <w:tcW w:w="3149" w:type="dxa"/>
            <w:vMerge/>
            <w:vAlign w:val="center"/>
          </w:tcPr>
          <w:p w:rsidR="00AF09DB" w:rsidRPr="00720D9E" w:rsidRDefault="00AF09DB" w:rsidP="007059B7">
            <w:pPr>
              <w:spacing w:line="240" w:lineRule="auto"/>
              <w:rPr>
                <w:rFonts w:ascii="Arial" w:hAnsi="Arial"/>
                <w:sz w:val="20"/>
                <w:szCs w:val="20"/>
              </w:rPr>
            </w:pPr>
          </w:p>
        </w:tc>
        <w:tc>
          <w:tcPr>
            <w:tcW w:w="1102" w:type="dxa"/>
            <w:vAlign w:val="center"/>
          </w:tcPr>
          <w:p w:rsidR="00AF09DB" w:rsidRPr="00720D9E" w:rsidRDefault="00AF09DB" w:rsidP="007059B7">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24" w:type="dxa"/>
            <w:shd w:val="clear" w:color="auto" w:fill="auto"/>
            <w:vAlign w:val="center"/>
          </w:tcPr>
          <w:p w:rsidR="00AF09DB" w:rsidRPr="00720D9E" w:rsidRDefault="00AF09DB" w:rsidP="007059B7">
            <w:pPr>
              <w:spacing w:line="240" w:lineRule="auto"/>
              <w:jc w:val="center"/>
              <w:rPr>
                <w:rFonts w:ascii="Arial" w:hAnsi="Arial" w:cs="Arial"/>
                <w:sz w:val="20"/>
                <w:szCs w:val="20"/>
              </w:rPr>
            </w:pPr>
            <w:r w:rsidRPr="00720D9E">
              <w:rPr>
                <w:rFonts w:ascii="Arial" w:hAnsi="Arial" w:cs="Arial"/>
                <w:sz w:val="20"/>
                <w:szCs w:val="20"/>
              </w:rPr>
              <w:t>n/a</w:t>
            </w:r>
          </w:p>
        </w:tc>
        <w:tc>
          <w:tcPr>
            <w:tcW w:w="2024" w:type="dxa"/>
            <w:vAlign w:val="center"/>
          </w:tcPr>
          <w:p w:rsidR="00AF09DB" w:rsidRPr="00720D9E" w:rsidRDefault="00AF09DB" w:rsidP="007059B7">
            <w:pPr>
              <w:spacing w:line="240" w:lineRule="auto"/>
              <w:jc w:val="center"/>
              <w:rPr>
                <w:rFonts w:ascii="Arial" w:hAnsi="Arial"/>
                <w:sz w:val="20"/>
                <w:szCs w:val="20"/>
              </w:rPr>
            </w:pPr>
            <w:r w:rsidRPr="00720D9E">
              <w:rPr>
                <w:rFonts w:ascii="Arial" w:hAnsi="Arial" w:cs="Arial"/>
                <w:sz w:val="20"/>
                <w:szCs w:val="20"/>
              </w:rPr>
              <w:t>Excluded</w:t>
            </w:r>
          </w:p>
        </w:tc>
      </w:tr>
      <w:tr w:rsidR="00AF09DB" w:rsidRPr="00720D9E" w:rsidTr="00AF09DB">
        <w:trPr>
          <w:cantSplit/>
          <w:trHeight w:val="148"/>
        </w:trPr>
        <w:tc>
          <w:tcPr>
            <w:tcW w:w="1034" w:type="dxa"/>
            <w:vMerge/>
            <w:shd w:val="clear" w:color="auto" w:fill="auto"/>
            <w:vAlign w:val="center"/>
          </w:tcPr>
          <w:p w:rsidR="00AF09DB" w:rsidRPr="00720D9E" w:rsidRDefault="00AF09DB" w:rsidP="007059B7">
            <w:pPr>
              <w:spacing w:line="240" w:lineRule="auto"/>
              <w:jc w:val="center"/>
              <w:rPr>
                <w:rFonts w:ascii="Arial" w:hAnsi="Arial"/>
                <w:sz w:val="20"/>
                <w:szCs w:val="20"/>
              </w:rPr>
            </w:pPr>
          </w:p>
        </w:tc>
        <w:tc>
          <w:tcPr>
            <w:tcW w:w="3149" w:type="dxa"/>
            <w:vMerge/>
            <w:vAlign w:val="center"/>
          </w:tcPr>
          <w:p w:rsidR="00AF09DB" w:rsidRPr="00720D9E" w:rsidRDefault="00AF09DB" w:rsidP="007059B7">
            <w:pPr>
              <w:spacing w:line="240" w:lineRule="auto"/>
              <w:rPr>
                <w:rFonts w:ascii="Arial" w:hAnsi="Arial"/>
                <w:sz w:val="20"/>
                <w:szCs w:val="20"/>
              </w:rPr>
            </w:pPr>
          </w:p>
        </w:tc>
        <w:tc>
          <w:tcPr>
            <w:tcW w:w="1102" w:type="dxa"/>
            <w:vAlign w:val="center"/>
          </w:tcPr>
          <w:p w:rsidR="00AF09DB" w:rsidRPr="00720D9E" w:rsidRDefault="00AF09DB" w:rsidP="007059B7">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24" w:type="dxa"/>
            <w:shd w:val="clear" w:color="auto" w:fill="auto"/>
            <w:vAlign w:val="center"/>
          </w:tcPr>
          <w:p w:rsidR="00AF09DB" w:rsidRPr="00720D9E" w:rsidRDefault="00AF09DB" w:rsidP="007059B7">
            <w:pPr>
              <w:spacing w:line="240" w:lineRule="auto"/>
              <w:jc w:val="center"/>
              <w:rPr>
                <w:rFonts w:ascii="Arial" w:hAnsi="Arial" w:cs="Arial"/>
                <w:sz w:val="20"/>
                <w:szCs w:val="20"/>
              </w:rPr>
            </w:pPr>
            <w:r w:rsidRPr="00720D9E">
              <w:rPr>
                <w:rFonts w:ascii="Arial" w:hAnsi="Arial" w:cs="Arial"/>
                <w:sz w:val="20"/>
                <w:szCs w:val="20"/>
              </w:rPr>
              <w:t>n/a</w:t>
            </w:r>
          </w:p>
        </w:tc>
        <w:tc>
          <w:tcPr>
            <w:tcW w:w="2024" w:type="dxa"/>
            <w:vAlign w:val="center"/>
          </w:tcPr>
          <w:p w:rsidR="00AF09DB" w:rsidRPr="00720D9E" w:rsidRDefault="00AF09DB" w:rsidP="007059B7">
            <w:pPr>
              <w:spacing w:line="240" w:lineRule="auto"/>
              <w:jc w:val="center"/>
              <w:rPr>
                <w:rFonts w:ascii="Arial" w:hAnsi="Arial" w:cs="Arial"/>
                <w:sz w:val="20"/>
                <w:szCs w:val="20"/>
              </w:rPr>
            </w:pPr>
            <w:r w:rsidRPr="00720D9E">
              <w:rPr>
                <w:rFonts w:ascii="Arial" w:hAnsi="Arial" w:cs="Arial"/>
                <w:sz w:val="20"/>
                <w:szCs w:val="20"/>
              </w:rPr>
              <w:t>Excluded</w:t>
            </w:r>
          </w:p>
        </w:tc>
      </w:tr>
      <w:tr w:rsidR="00AF09DB" w:rsidRPr="00720D9E" w:rsidTr="00AF09DB">
        <w:trPr>
          <w:cantSplit/>
          <w:trHeight w:val="148"/>
        </w:trPr>
        <w:tc>
          <w:tcPr>
            <w:tcW w:w="1034" w:type="dxa"/>
            <w:vMerge/>
            <w:shd w:val="clear" w:color="auto" w:fill="auto"/>
            <w:vAlign w:val="center"/>
          </w:tcPr>
          <w:p w:rsidR="00AF09DB" w:rsidRPr="00720D9E" w:rsidRDefault="00AF09DB" w:rsidP="007059B7">
            <w:pPr>
              <w:spacing w:line="240" w:lineRule="auto"/>
              <w:jc w:val="center"/>
              <w:rPr>
                <w:rFonts w:ascii="Arial" w:hAnsi="Arial"/>
                <w:sz w:val="20"/>
                <w:szCs w:val="20"/>
              </w:rPr>
            </w:pPr>
          </w:p>
        </w:tc>
        <w:tc>
          <w:tcPr>
            <w:tcW w:w="3149" w:type="dxa"/>
            <w:vAlign w:val="center"/>
          </w:tcPr>
          <w:p w:rsidR="00AF09DB" w:rsidRPr="00720D9E" w:rsidRDefault="00AF09DB" w:rsidP="007059B7">
            <w:pPr>
              <w:spacing w:line="240" w:lineRule="auto"/>
              <w:rPr>
                <w:rFonts w:ascii="Arial" w:hAnsi="Arial"/>
                <w:sz w:val="20"/>
                <w:szCs w:val="20"/>
              </w:rPr>
            </w:pPr>
            <w:r w:rsidRPr="00720D9E">
              <w:rPr>
                <w:rFonts w:ascii="Arial" w:hAnsi="Arial"/>
                <w:sz w:val="20"/>
                <w:szCs w:val="20"/>
              </w:rPr>
              <w:t>Fugitive emissions from construction</w:t>
            </w:r>
          </w:p>
        </w:tc>
        <w:tc>
          <w:tcPr>
            <w:tcW w:w="1102" w:type="dxa"/>
            <w:vAlign w:val="center"/>
          </w:tcPr>
          <w:p w:rsidR="00AF09DB" w:rsidRPr="00720D9E" w:rsidRDefault="00AF09DB" w:rsidP="007059B7">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24" w:type="dxa"/>
            <w:shd w:val="clear" w:color="auto" w:fill="auto"/>
            <w:vAlign w:val="center"/>
          </w:tcPr>
          <w:p w:rsidR="00AF09DB" w:rsidRPr="00720D9E" w:rsidRDefault="00AF09DB" w:rsidP="007059B7">
            <w:pPr>
              <w:spacing w:line="240" w:lineRule="auto"/>
              <w:jc w:val="center"/>
              <w:rPr>
                <w:rFonts w:ascii="Arial" w:hAnsi="Arial" w:cs="Arial"/>
                <w:sz w:val="20"/>
                <w:szCs w:val="20"/>
              </w:rPr>
            </w:pPr>
            <w:r w:rsidRPr="00720D9E">
              <w:rPr>
                <w:rFonts w:ascii="Arial" w:hAnsi="Arial" w:cs="Arial"/>
                <w:sz w:val="20"/>
                <w:szCs w:val="20"/>
              </w:rPr>
              <w:t>n/a</w:t>
            </w:r>
          </w:p>
        </w:tc>
        <w:tc>
          <w:tcPr>
            <w:tcW w:w="2024" w:type="dxa"/>
            <w:vAlign w:val="center"/>
          </w:tcPr>
          <w:p w:rsidR="00AF09DB" w:rsidRPr="00720D9E" w:rsidRDefault="00AF09DB" w:rsidP="007059B7">
            <w:pPr>
              <w:spacing w:line="240" w:lineRule="auto"/>
              <w:jc w:val="center"/>
              <w:rPr>
                <w:rFonts w:ascii="Arial" w:hAnsi="Arial" w:cs="Arial"/>
                <w:sz w:val="20"/>
                <w:szCs w:val="20"/>
              </w:rPr>
            </w:pPr>
            <w:r w:rsidRPr="00720D9E">
              <w:rPr>
                <w:rFonts w:ascii="Arial" w:hAnsi="Arial" w:cs="Arial"/>
                <w:sz w:val="20"/>
                <w:szCs w:val="20"/>
              </w:rPr>
              <w:t>Excluded</w:t>
            </w:r>
          </w:p>
        </w:tc>
      </w:tr>
    </w:tbl>
    <w:p w:rsidR="00507402" w:rsidRPr="00720D9E" w:rsidRDefault="00507402" w:rsidP="00507402">
      <w:pPr>
        <w:pStyle w:val="Heading2"/>
      </w:pPr>
      <w:bookmarkStart w:id="24" w:name="_Toc364243198"/>
      <w:r w:rsidRPr="00720D9E">
        <w:t xml:space="preserve">§ </w:t>
      </w:r>
      <w:r w:rsidR="00926183" w:rsidRPr="00720D9E">
        <w:t>4.2</w:t>
      </w:r>
      <w:r w:rsidRPr="00720D9E">
        <w:t xml:space="preserve">. Active Underground Mine Methane Drainage </w:t>
      </w:r>
      <w:r w:rsidR="0027567D" w:rsidRPr="00720D9E">
        <w:t>Activities.</w:t>
      </w:r>
      <w:bookmarkEnd w:id="24"/>
    </w:p>
    <w:p w:rsidR="00507402" w:rsidRPr="00720D9E" w:rsidRDefault="004B47B2" w:rsidP="00DC7C4C">
      <w:pPr>
        <w:pStyle w:val="ListParagraph"/>
        <w:numPr>
          <w:ilvl w:val="0"/>
          <w:numId w:val="22"/>
        </w:numPr>
        <w:ind w:hanging="720"/>
      </w:pPr>
      <w:r w:rsidRPr="00720D9E">
        <w:t xml:space="preserve">Figure </w:t>
      </w:r>
      <w:r w:rsidR="00926183" w:rsidRPr="00720D9E">
        <w:t>4</w:t>
      </w:r>
      <w:r w:rsidR="00507402" w:rsidRPr="00720D9E">
        <w:t>.</w:t>
      </w:r>
      <w:r w:rsidR="00480477" w:rsidRPr="00720D9E">
        <w:t>2</w:t>
      </w:r>
      <w:r w:rsidR="00507402" w:rsidRPr="00720D9E">
        <w:t xml:space="preserve"> illustrates the GHG assessment boundary for active underground mine methane drainage </w:t>
      </w:r>
      <w:r w:rsidR="0027567D" w:rsidRPr="00720D9E">
        <w:t>activities</w:t>
      </w:r>
      <w:r w:rsidR="00507402" w:rsidRPr="00720D9E">
        <w:t xml:space="preserve">, indicating which SSRs are included or excluded from the offset project boundary. </w:t>
      </w:r>
    </w:p>
    <w:p w:rsidR="00507402" w:rsidRPr="00720D9E" w:rsidRDefault="00507402" w:rsidP="00DC7C4C">
      <w:pPr>
        <w:pStyle w:val="ListParagraph"/>
        <w:numPr>
          <w:ilvl w:val="0"/>
          <w:numId w:val="21"/>
        </w:numPr>
      </w:pPr>
      <w:r w:rsidRPr="00720D9E">
        <w:t>All SSRs within the bold line are included and must be accounted for under this protocol.</w:t>
      </w:r>
    </w:p>
    <w:p w:rsidR="00FD663C" w:rsidRPr="00720D9E" w:rsidRDefault="00507402" w:rsidP="00FD663C">
      <w:pPr>
        <w:pStyle w:val="ListParagraph"/>
        <w:numPr>
          <w:ilvl w:val="0"/>
          <w:numId w:val="21"/>
        </w:numPr>
      </w:pPr>
      <w:r w:rsidRPr="00720D9E">
        <w:t>SSRs in unshaded boxes are relevant to the baseline and project emissions.</w:t>
      </w:r>
    </w:p>
    <w:p w:rsidR="00507402" w:rsidRPr="00720D9E" w:rsidRDefault="00507402" w:rsidP="00FD663C">
      <w:pPr>
        <w:pStyle w:val="ListParagraph"/>
        <w:numPr>
          <w:ilvl w:val="0"/>
          <w:numId w:val="21"/>
        </w:numPr>
        <w:rPr>
          <w:rStyle w:val="Heading6Char"/>
          <w:rFonts w:eastAsiaTheme="minorHAnsi" w:cs="Arial"/>
          <w:b w:val="0"/>
          <w:iCs w:val="0"/>
          <w:color w:val="000000"/>
          <w:sz w:val="24"/>
        </w:rPr>
      </w:pPr>
      <w:r w:rsidRPr="00720D9E">
        <w:t>SSRs in shaded boxes are relevant only to the project emissions.</w:t>
      </w:r>
    </w:p>
    <w:p w:rsidR="00D02ED4" w:rsidRPr="00720D9E" w:rsidRDefault="004B47B2" w:rsidP="00037C40">
      <w:pPr>
        <w:pStyle w:val="Heading3"/>
      </w:pPr>
      <w:bookmarkStart w:id="25" w:name="_Toc364243199"/>
      <w:r w:rsidRPr="00720D9E">
        <w:rPr>
          <w:rStyle w:val="Heading6Char"/>
          <w:b/>
          <w:sz w:val="24"/>
        </w:rPr>
        <w:lastRenderedPageBreak/>
        <w:t xml:space="preserve">Figure </w:t>
      </w:r>
      <w:r w:rsidR="00926183" w:rsidRPr="00720D9E">
        <w:rPr>
          <w:rStyle w:val="Heading6Char"/>
          <w:b/>
          <w:sz w:val="24"/>
        </w:rPr>
        <w:t>4</w:t>
      </w:r>
      <w:r w:rsidR="00D02ED4" w:rsidRPr="00720D9E">
        <w:rPr>
          <w:rStyle w:val="Heading6Char"/>
          <w:b/>
          <w:sz w:val="24"/>
        </w:rPr>
        <w:t>.</w:t>
      </w:r>
      <w:r w:rsidR="00480477" w:rsidRPr="00720D9E">
        <w:rPr>
          <w:rStyle w:val="Heading6Char"/>
          <w:b/>
          <w:sz w:val="24"/>
        </w:rPr>
        <w:t>2</w:t>
      </w:r>
      <w:r w:rsidR="002E2F28" w:rsidRPr="00720D9E">
        <w:rPr>
          <w:rStyle w:val="Heading6Char"/>
          <w:b/>
          <w:sz w:val="24"/>
        </w:rPr>
        <w:t>.</w:t>
      </w:r>
      <w:r w:rsidR="00D02ED4" w:rsidRPr="00720D9E">
        <w:t xml:space="preserve"> </w:t>
      </w:r>
      <w:r w:rsidR="002E2F28" w:rsidRPr="00720D9E">
        <w:t>Il</w:t>
      </w:r>
      <w:r w:rsidR="00D02ED4" w:rsidRPr="00720D9E">
        <w:t xml:space="preserve">lustration of the </w:t>
      </w:r>
      <w:r w:rsidRPr="00720D9E">
        <w:t>greenhouse gas</w:t>
      </w:r>
      <w:r w:rsidR="002E2F28" w:rsidRPr="00720D9E">
        <w:t xml:space="preserve"> assessment</w:t>
      </w:r>
      <w:r w:rsidR="00D02ED4" w:rsidRPr="00720D9E">
        <w:t xml:space="preserve"> boundary for active underground mine methane drainage </w:t>
      </w:r>
      <w:r w:rsidR="0027567D" w:rsidRPr="00720D9E">
        <w:t>activities</w:t>
      </w:r>
      <w:r w:rsidRPr="00720D9E">
        <w:t>.</w:t>
      </w:r>
      <w:bookmarkEnd w:id="25"/>
    </w:p>
    <w:p w:rsidR="002F7F96" w:rsidRPr="00720D9E" w:rsidRDefault="002F7F96" w:rsidP="002F7F96">
      <w:r w:rsidRPr="00720D9E">
        <w:rPr>
          <w:noProof/>
        </w:rPr>
        <w:drawing>
          <wp:inline distT="0" distB="0" distL="0" distR="0" wp14:anchorId="60D548BF" wp14:editId="7154A139">
            <wp:extent cx="5943600" cy="4575352"/>
            <wp:effectExtent l="0" t="0" r="0" b="0"/>
            <wp:docPr id="17" name="Picture 17" descr="C:\Users\jbede\Desktop\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jbede\Desktop\AU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75352"/>
                    </a:xfrm>
                    <a:prstGeom prst="rect">
                      <a:avLst/>
                    </a:prstGeom>
                    <a:noFill/>
                    <a:ln>
                      <a:noFill/>
                    </a:ln>
                  </pic:spPr>
                </pic:pic>
              </a:graphicData>
            </a:graphic>
          </wp:inline>
        </w:drawing>
      </w:r>
    </w:p>
    <w:p w:rsidR="002E2F28" w:rsidRPr="00720D9E" w:rsidRDefault="002E2F28" w:rsidP="000966D3">
      <w:pPr>
        <w:jc w:val="center"/>
        <w:rPr>
          <w:i/>
        </w:rPr>
      </w:pPr>
    </w:p>
    <w:p w:rsidR="00B0052E" w:rsidRPr="00720D9E" w:rsidRDefault="004B47B2" w:rsidP="00DC7C4C">
      <w:pPr>
        <w:pStyle w:val="ListParagraph"/>
        <w:numPr>
          <w:ilvl w:val="0"/>
          <w:numId w:val="22"/>
        </w:numPr>
        <w:ind w:hanging="720"/>
      </w:pPr>
      <w:r w:rsidRPr="00720D9E">
        <w:t xml:space="preserve">Table </w:t>
      </w:r>
      <w:r w:rsidR="00926183" w:rsidRPr="00720D9E">
        <w:t>4</w:t>
      </w:r>
      <w:r w:rsidR="00072D06" w:rsidRPr="00720D9E">
        <w:t>.</w:t>
      </w:r>
      <w:r w:rsidR="00480477" w:rsidRPr="00720D9E">
        <w:t>2</w:t>
      </w:r>
      <w:r w:rsidR="00072D06" w:rsidRPr="00720D9E">
        <w:t xml:space="preserve"> </w:t>
      </w:r>
      <w:r w:rsidR="002E2F28" w:rsidRPr="00720D9E">
        <w:t xml:space="preserve">lists the </w:t>
      </w:r>
      <w:r w:rsidR="00DC61C0" w:rsidRPr="00720D9E">
        <w:t xml:space="preserve">identified </w:t>
      </w:r>
      <w:r w:rsidR="002E2F28" w:rsidRPr="00720D9E">
        <w:t xml:space="preserve">SSRs for active underground </w:t>
      </w:r>
      <w:r w:rsidR="00037C40" w:rsidRPr="00720D9E">
        <w:t xml:space="preserve">mine </w:t>
      </w:r>
      <w:r w:rsidR="002E2F28" w:rsidRPr="00720D9E">
        <w:t xml:space="preserve">methane drainage </w:t>
      </w:r>
      <w:r w:rsidR="0027567D" w:rsidRPr="00720D9E">
        <w:t>activities</w:t>
      </w:r>
      <w:r w:rsidR="002E2F28" w:rsidRPr="00720D9E">
        <w:t>, indicating which gases are included or excluded from the offset project boundary.</w:t>
      </w:r>
    </w:p>
    <w:p w:rsidR="004B47B2" w:rsidRPr="00720D9E" w:rsidRDefault="004B47B2" w:rsidP="00B0052E">
      <w:pPr>
        <w:pStyle w:val="Heading3"/>
      </w:pPr>
      <w:bookmarkStart w:id="26" w:name="_Toc364243200"/>
      <w:r w:rsidRPr="00720D9E">
        <w:rPr>
          <w:rStyle w:val="Heading6Char"/>
          <w:b/>
          <w:sz w:val="24"/>
        </w:rPr>
        <w:t xml:space="preserve">Table </w:t>
      </w:r>
      <w:r w:rsidR="00926183" w:rsidRPr="00720D9E">
        <w:rPr>
          <w:rStyle w:val="Heading6Char"/>
          <w:b/>
          <w:sz w:val="24"/>
        </w:rPr>
        <w:t>4</w:t>
      </w:r>
      <w:r w:rsidRPr="00720D9E">
        <w:rPr>
          <w:rStyle w:val="Heading6Char"/>
          <w:b/>
          <w:sz w:val="24"/>
        </w:rPr>
        <w:t>.</w:t>
      </w:r>
      <w:r w:rsidR="00480477" w:rsidRPr="00720D9E">
        <w:rPr>
          <w:rStyle w:val="Heading6Char"/>
          <w:b/>
          <w:sz w:val="24"/>
        </w:rPr>
        <w:t>2</w:t>
      </w:r>
      <w:r w:rsidRPr="00720D9E">
        <w:rPr>
          <w:rStyle w:val="Heading6Char"/>
          <w:b/>
          <w:sz w:val="24"/>
        </w:rPr>
        <w:t>.</w:t>
      </w:r>
      <w:r w:rsidRPr="00720D9E">
        <w:t xml:space="preserve"> List of </w:t>
      </w:r>
      <w:r w:rsidR="00DC61C0" w:rsidRPr="00720D9E">
        <w:t>identified</w:t>
      </w:r>
      <w:r w:rsidRPr="00720D9E">
        <w:t xml:space="preserve"> greenhouse gas sinks, sources, and reservoirs for active underground mine methane drainage </w:t>
      </w:r>
      <w:r w:rsidR="0027567D" w:rsidRPr="00720D9E">
        <w:t>activities</w:t>
      </w:r>
      <w:r w:rsidRPr="00720D9E">
        <w:t>.</w:t>
      </w:r>
      <w:bookmarkEnd w:id="26"/>
    </w:p>
    <w:tbl>
      <w:tblPr>
        <w:tblStyle w:val="TableGrid"/>
        <w:tblpPr w:leftFromText="180" w:rightFromText="180" w:vertAnchor="text" w:tblpY="1"/>
        <w:tblOverlap w:val="never"/>
        <w:tblW w:w="9191" w:type="dxa"/>
        <w:tblInd w:w="108" w:type="dxa"/>
        <w:tblLayout w:type="fixed"/>
        <w:tblLook w:val="04A0" w:firstRow="1" w:lastRow="0" w:firstColumn="1" w:lastColumn="0" w:noHBand="0" w:noVBand="1"/>
      </w:tblPr>
      <w:tblGrid>
        <w:gridCol w:w="925"/>
        <w:gridCol w:w="3039"/>
        <w:gridCol w:w="1044"/>
        <w:gridCol w:w="2265"/>
        <w:gridCol w:w="1918"/>
      </w:tblGrid>
      <w:tr w:rsidR="00AF09DB" w:rsidRPr="00720D9E" w:rsidTr="002E0768">
        <w:trPr>
          <w:cantSplit/>
          <w:trHeight w:val="144"/>
        </w:trPr>
        <w:tc>
          <w:tcPr>
            <w:tcW w:w="925" w:type="dxa"/>
            <w:shd w:val="pct12" w:color="auto" w:fill="auto"/>
            <w:vAlign w:val="center"/>
          </w:tcPr>
          <w:p w:rsidR="00AF09DB" w:rsidRPr="00720D9E" w:rsidRDefault="00AF09DB" w:rsidP="000A4F31">
            <w:pPr>
              <w:spacing w:line="240" w:lineRule="auto"/>
              <w:jc w:val="center"/>
              <w:rPr>
                <w:rFonts w:ascii="Arial" w:hAnsi="Arial" w:cs="Arial"/>
                <w:b/>
                <w:sz w:val="20"/>
                <w:szCs w:val="20"/>
              </w:rPr>
            </w:pPr>
            <w:r w:rsidRPr="00720D9E">
              <w:rPr>
                <w:rFonts w:ascii="Arial" w:hAnsi="Arial" w:cs="Arial"/>
                <w:b/>
                <w:sz w:val="20"/>
                <w:szCs w:val="20"/>
              </w:rPr>
              <w:t>SSR</w:t>
            </w:r>
          </w:p>
        </w:tc>
        <w:tc>
          <w:tcPr>
            <w:tcW w:w="3039" w:type="dxa"/>
            <w:shd w:val="pct12" w:color="auto" w:fill="auto"/>
            <w:vAlign w:val="center"/>
          </w:tcPr>
          <w:p w:rsidR="00AF09DB" w:rsidRPr="00720D9E" w:rsidRDefault="00AF09DB" w:rsidP="000A4F31">
            <w:pPr>
              <w:spacing w:line="240" w:lineRule="auto"/>
              <w:jc w:val="center"/>
              <w:rPr>
                <w:rFonts w:ascii="Arial" w:hAnsi="Arial" w:cs="Arial"/>
                <w:b/>
                <w:sz w:val="20"/>
                <w:szCs w:val="20"/>
              </w:rPr>
            </w:pPr>
            <w:r w:rsidRPr="00720D9E">
              <w:rPr>
                <w:rFonts w:ascii="Arial" w:hAnsi="Arial" w:cs="Arial"/>
                <w:b/>
                <w:sz w:val="20"/>
                <w:szCs w:val="20"/>
              </w:rPr>
              <w:t>Description</w:t>
            </w:r>
          </w:p>
        </w:tc>
        <w:tc>
          <w:tcPr>
            <w:tcW w:w="1044" w:type="dxa"/>
            <w:shd w:val="pct12" w:color="auto" w:fill="auto"/>
            <w:vAlign w:val="center"/>
          </w:tcPr>
          <w:p w:rsidR="00AF09DB" w:rsidRPr="00720D9E" w:rsidRDefault="00AF09DB" w:rsidP="000A4F31">
            <w:pPr>
              <w:spacing w:line="240" w:lineRule="auto"/>
              <w:jc w:val="center"/>
              <w:rPr>
                <w:rFonts w:ascii="Arial" w:hAnsi="Arial" w:cs="Arial"/>
                <w:b/>
                <w:sz w:val="20"/>
                <w:szCs w:val="20"/>
              </w:rPr>
            </w:pPr>
            <w:r w:rsidRPr="00720D9E">
              <w:rPr>
                <w:rFonts w:ascii="Arial" w:hAnsi="Arial" w:cs="Arial"/>
                <w:b/>
                <w:sz w:val="20"/>
                <w:szCs w:val="20"/>
              </w:rPr>
              <w:t>GHG</w:t>
            </w:r>
          </w:p>
        </w:tc>
        <w:tc>
          <w:tcPr>
            <w:tcW w:w="2265" w:type="dxa"/>
            <w:shd w:val="pct12" w:color="auto" w:fill="auto"/>
            <w:vAlign w:val="center"/>
          </w:tcPr>
          <w:p w:rsidR="00AF09DB" w:rsidRPr="00720D9E" w:rsidRDefault="00AF09DB" w:rsidP="000A4F31">
            <w:pPr>
              <w:spacing w:line="240" w:lineRule="auto"/>
              <w:jc w:val="center"/>
              <w:rPr>
                <w:rFonts w:ascii="Arial" w:hAnsi="Arial" w:cs="Arial"/>
                <w:b/>
                <w:sz w:val="20"/>
                <w:szCs w:val="20"/>
              </w:rPr>
            </w:pPr>
            <w:r w:rsidRPr="00720D9E">
              <w:rPr>
                <w:rFonts w:ascii="Arial" w:hAnsi="Arial" w:cs="Arial"/>
                <w:b/>
                <w:sz w:val="20"/>
                <w:szCs w:val="20"/>
              </w:rPr>
              <w:t>Relevant to Baseline (B) or Project (P)</w:t>
            </w:r>
          </w:p>
        </w:tc>
        <w:tc>
          <w:tcPr>
            <w:tcW w:w="1918" w:type="dxa"/>
            <w:shd w:val="pct12" w:color="auto" w:fill="auto"/>
            <w:vAlign w:val="center"/>
          </w:tcPr>
          <w:p w:rsidR="00AF09DB" w:rsidRPr="00720D9E" w:rsidRDefault="00AF09DB" w:rsidP="000A4F31">
            <w:pPr>
              <w:spacing w:line="240" w:lineRule="auto"/>
              <w:jc w:val="center"/>
              <w:rPr>
                <w:rFonts w:ascii="Arial" w:hAnsi="Arial" w:cs="Arial"/>
                <w:b/>
                <w:sz w:val="20"/>
                <w:szCs w:val="20"/>
              </w:rPr>
            </w:pPr>
            <w:r w:rsidRPr="00720D9E">
              <w:rPr>
                <w:rFonts w:ascii="Arial" w:hAnsi="Arial" w:cs="Arial"/>
                <w:b/>
                <w:sz w:val="20"/>
                <w:szCs w:val="20"/>
              </w:rPr>
              <w:t>Included/ Excluded</w:t>
            </w:r>
          </w:p>
        </w:tc>
      </w:tr>
      <w:tr w:rsidR="00AF09DB" w:rsidRPr="00720D9E" w:rsidTr="002E0768">
        <w:trPr>
          <w:cantSplit/>
          <w:trHeight w:val="144"/>
        </w:trPr>
        <w:tc>
          <w:tcPr>
            <w:tcW w:w="925"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1</w:t>
            </w:r>
          </w:p>
        </w:tc>
        <w:tc>
          <w:tcPr>
            <w:tcW w:w="3039" w:type="dxa"/>
            <w:vAlign w:val="center"/>
          </w:tcPr>
          <w:p w:rsidR="00AF09DB" w:rsidRPr="00720D9E" w:rsidRDefault="00AF09DB" w:rsidP="00780A61">
            <w:pPr>
              <w:spacing w:line="240" w:lineRule="auto"/>
              <w:rPr>
                <w:rFonts w:ascii="Arial" w:hAnsi="Arial" w:cs="Arial"/>
                <w:sz w:val="20"/>
                <w:szCs w:val="20"/>
              </w:rPr>
            </w:pPr>
            <w:r w:rsidRPr="00720D9E">
              <w:rPr>
                <w:rFonts w:ascii="Arial" w:hAnsi="Arial" w:cs="Arial"/>
                <w:sz w:val="20"/>
                <w:szCs w:val="20"/>
              </w:rPr>
              <w:t>Emissions from the venting of mine methane extracted through methane drainage system</w:t>
            </w:r>
          </w:p>
        </w:tc>
        <w:tc>
          <w:tcPr>
            <w:tcW w:w="1044"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B, P</w:t>
            </w:r>
          </w:p>
        </w:tc>
        <w:tc>
          <w:tcPr>
            <w:tcW w:w="1918"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Included</w:t>
            </w:r>
          </w:p>
        </w:tc>
      </w:tr>
      <w:tr w:rsidR="00AF09DB" w:rsidRPr="00720D9E" w:rsidTr="002E0768">
        <w:trPr>
          <w:cantSplit/>
          <w:trHeight w:val="242"/>
        </w:trPr>
        <w:tc>
          <w:tcPr>
            <w:tcW w:w="925" w:type="dxa"/>
            <w:vMerge w:val="restart"/>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2</w:t>
            </w:r>
          </w:p>
        </w:tc>
        <w:tc>
          <w:tcPr>
            <w:tcW w:w="3039" w:type="dxa"/>
            <w:vMerge w:val="restart"/>
            <w:vAlign w:val="center"/>
          </w:tcPr>
          <w:p w:rsidR="00AF09DB" w:rsidRPr="00720D9E" w:rsidRDefault="00AF09DB" w:rsidP="00082CFA">
            <w:pPr>
              <w:spacing w:line="240" w:lineRule="auto"/>
              <w:rPr>
                <w:rFonts w:ascii="Arial" w:hAnsi="Arial" w:cs="Arial"/>
                <w:sz w:val="20"/>
                <w:szCs w:val="20"/>
              </w:rPr>
            </w:pPr>
            <w:r w:rsidRPr="00720D9E">
              <w:rPr>
                <w:rFonts w:ascii="Arial" w:hAnsi="Arial" w:cs="Arial"/>
                <w:sz w:val="20"/>
                <w:szCs w:val="20"/>
              </w:rPr>
              <w:t>Emissions resulting from energy consumed to operate equipment used to capture, process and/or enrich drained mine gas</w:t>
            </w:r>
          </w:p>
        </w:tc>
        <w:tc>
          <w:tcPr>
            <w:tcW w:w="1044"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265" w:type="dxa"/>
            <w:shd w:val="clear" w:color="auto" w:fill="auto"/>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P</w:t>
            </w:r>
          </w:p>
          <w:p w:rsidR="00AF09DB" w:rsidRPr="00720D9E" w:rsidRDefault="00AF09DB" w:rsidP="000C52C0">
            <w:pPr>
              <w:rPr>
                <w:rFonts w:ascii="Arial" w:hAnsi="Arial" w:cs="Arial"/>
                <w:sz w:val="20"/>
                <w:szCs w:val="20"/>
              </w:rPr>
            </w:pPr>
          </w:p>
        </w:tc>
        <w:tc>
          <w:tcPr>
            <w:tcW w:w="1918"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Included</w:t>
            </w:r>
          </w:p>
        </w:tc>
      </w:tr>
      <w:tr w:rsidR="00AF09DB" w:rsidRPr="00720D9E" w:rsidTr="002E0768">
        <w:trPr>
          <w:cantSplit/>
          <w:trHeight w:val="333"/>
        </w:trPr>
        <w:tc>
          <w:tcPr>
            <w:tcW w:w="925" w:type="dxa"/>
            <w:vMerge/>
            <w:vAlign w:val="center"/>
          </w:tcPr>
          <w:p w:rsidR="00AF09DB" w:rsidRPr="00720D9E" w:rsidRDefault="00AF09DB" w:rsidP="000C52C0">
            <w:pPr>
              <w:spacing w:line="240" w:lineRule="auto"/>
              <w:jc w:val="center"/>
              <w:rPr>
                <w:rFonts w:ascii="Arial" w:hAnsi="Arial" w:cs="Arial"/>
                <w:sz w:val="20"/>
                <w:szCs w:val="20"/>
              </w:rPr>
            </w:pPr>
          </w:p>
        </w:tc>
        <w:tc>
          <w:tcPr>
            <w:tcW w:w="3039" w:type="dxa"/>
            <w:vMerge/>
            <w:vAlign w:val="center"/>
          </w:tcPr>
          <w:p w:rsidR="00AF09DB" w:rsidRPr="00720D9E" w:rsidRDefault="00AF09DB" w:rsidP="000C52C0">
            <w:pPr>
              <w:spacing w:line="240" w:lineRule="auto"/>
              <w:rPr>
                <w:rFonts w:ascii="Arial" w:hAnsi="Arial" w:cs="Arial"/>
                <w:sz w:val="20"/>
                <w:szCs w:val="20"/>
              </w:rPr>
            </w:pPr>
          </w:p>
        </w:tc>
        <w:tc>
          <w:tcPr>
            <w:tcW w:w="1044"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shd w:val="clear" w:color="auto" w:fill="auto"/>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Excluded</w:t>
            </w:r>
          </w:p>
        </w:tc>
      </w:tr>
      <w:tr w:rsidR="00AF09DB" w:rsidRPr="00720D9E" w:rsidTr="002E0768">
        <w:trPr>
          <w:cantSplit/>
          <w:trHeight w:val="224"/>
        </w:trPr>
        <w:tc>
          <w:tcPr>
            <w:tcW w:w="925" w:type="dxa"/>
            <w:vMerge/>
            <w:vAlign w:val="center"/>
          </w:tcPr>
          <w:p w:rsidR="00AF09DB" w:rsidRPr="00720D9E" w:rsidRDefault="00AF09DB" w:rsidP="000C52C0">
            <w:pPr>
              <w:spacing w:line="240" w:lineRule="auto"/>
              <w:jc w:val="center"/>
              <w:rPr>
                <w:rFonts w:ascii="Arial" w:hAnsi="Arial" w:cs="Arial"/>
                <w:sz w:val="20"/>
                <w:szCs w:val="20"/>
              </w:rPr>
            </w:pPr>
          </w:p>
        </w:tc>
        <w:tc>
          <w:tcPr>
            <w:tcW w:w="3039" w:type="dxa"/>
            <w:vMerge/>
            <w:vAlign w:val="center"/>
          </w:tcPr>
          <w:p w:rsidR="00AF09DB" w:rsidRPr="00720D9E" w:rsidRDefault="00AF09DB" w:rsidP="000C52C0">
            <w:pPr>
              <w:spacing w:line="240" w:lineRule="auto"/>
              <w:rPr>
                <w:rFonts w:ascii="Arial" w:hAnsi="Arial" w:cs="Arial"/>
                <w:sz w:val="20"/>
                <w:szCs w:val="20"/>
              </w:rPr>
            </w:pPr>
          </w:p>
        </w:tc>
        <w:tc>
          <w:tcPr>
            <w:tcW w:w="1044"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265" w:type="dxa"/>
            <w:shd w:val="clear" w:color="auto" w:fill="auto"/>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Excluded</w:t>
            </w:r>
          </w:p>
        </w:tc>
      </w:tr>
      <w:tr w:rsidR="00AF09DB" w:rsidRPr="00720D9E" w:rsidTr="002E0768">
        <w:trPr>
          <w:cantSplit/>
          <w:trHeight w:val="144"/>
        </w:trPr>
        <w:tc>
          <w:tcPr>
            <w:tcW w:w="925" w:type="dxa"/>
            <w:vMerge/>
            <w:vAlign w:val="center"/>
          </w:tcPr>
          <w:p w:rsidR="00AF09DB" w:rsidRPr="00720D9E" w:rsidRDefault="00AF09DB" w:rsidP="000C52C0">
            <w:pPr>
              <w:spacing w:line="240" w:lineRule="auto"/>
              <w:jc w:val="center"/>
              <w:rPr>
                <w:rFonts w:ascii="Arial" w:hAnsi="Arial" w:cs="Arial"/>
                <w:sz w:val="20"/>
                <w:szCs w:val="20"/>
              </w:rPr>
            </w:pPr>
          </w:p>
        </w:tc>
        <w:tc>
          <w:tcPr>
            <w:tcW w:w="3039" w:type="dxa"/>
            <w:vAlign w:val="center"/>
          </w:tcPr>
          <w:p w:rsidR="00AF09DB" w:rsidRPr="00720D9E" w:rsidRDefault="00AF09DB" w:rsidP="00082CFA">
            <w:pPr>
              <w:spacing w:line="240" w:lineRule="auto"/>
              <w:rPr>
                <w:rFonts w:ascii="Arial" w:hAnsi="Arial" w:cs="Arial"/>
                <w:sz w:val="20"/>
                <w:szCs w:val="20"/>
              </w:rPr>
            </w:pPr>
            <w:r w:rsidRPr="00720D9E">
              <w:rPr>
                <w:rFonts w:ascii="Arial" w:hAnsi="Arial" w:cs="Arial"/>
                <w:sz w:val="20"/>
                <w:szCs w:val="20"/>
              </w:rPr>
              <w:t xml:space="preserve">Fugitive emissions from operation of equipment used to capture, process and/or enrich drained mine gas </w:t>
            </w:r>
          </w:p>
        </w:tc>
        <w:tc>
          <w:tcPr>
            <w:tcW w:w="1044"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Excluded</w:t>
            </w:r>
          </w:p>
        </w:tc>
      </w:tr>
      <w:tr w:rsidR="00AF09DB" w:rsidRPr="00720D9E" w:rsidTr="002E0768">
        <w:trPr>
          <w:cantSplit/>
          <w:trHeight w:val="144"/>
        </w:trPr>
        <w:tc>
          <w:tcPr>
            <w:tcW w:w="925" w:type="dxa"/>
            <w:vMerge w:val="restart"/>
            <w:vAlign w:val="center"/>
          </w:tcPr>
          <w:p w:rsidR="00AF09DB" w:rsidRPr="00720D9E" w:rsidRDefault="00AF09DB" w:rsidP="00743A23">
            <w:pPr>
              <w:spacing w:line="240" w:lineRule="auto"/>
              <w:jc w:val="center"/>
              <w:rPr>
                <w:rFonts w:ascii="Arial" w:hAnsi="Arial"/>
                <w:sz w:val="20"/>
                <w:szCs w:val="20"/>
              </w:rPr>
            </w:pPr>
            <w:r w:rsidRPr="00720D9E">
              <w:rPr>
                <w:rFonts w:ascii="Arial" w:hAnsi="Arial"/>
                <w:sz w:val="20"/>
                <w:szCs w:val="20"/>
              </w:rPr>
              <w:t>3</w:t>
            </w:r>
          </w:p>
        </w:tc>
        <w:tc>
          <w:tcPr>
            <w:tcW w:w="3039" w:type="dxa"/>
            <w:vMerge w:val="restart"/>
            <w:vAlign w:val="center"/>
          </w:tcPr>
          <w:p w:rsidR="00AF09DB" w:rsidRPr="00720D9E" w:rsidRDefault="00AF09DB" w:rsidP="006F46A7">
            <w:pPr>
              <w:spacing w:line="240" w:lineRule="auto"/>
              <w:rPr>
                <w:rFonts w:ascii="Arial" w:hAnsi="Arial"/>
                <w:sz w:val="20"/>
                <w:szCs w:val="20"/>
              </w:rPr>
            </w:pPr>
            <w:r w:rsidRPr="00720D9E">
              <w:rPr>
                <w:rFonts w:ascii="Arial" w:hAnsi="Arial"/>
                <w:sz w:val="20"/>
                <w:szCs w:val="20"/>
              </w:rPr>
              <w:t>Emissions resulting from energy consumed to transport mine gas to processing or destruction equipment</w:t>
            </w:r>
          </w:p>
        </w:tc>
        <w:tc>
          <w:tcPr>
            <w:tcW w:w="1044" w:type="dxa"/>
            <w:vAlign w:val="center"/>
          </w:tcPr>
          <w:p w:rsidR="00AF09DB" w:rsidRPr="00720D9E" w:rsidRDefault="00AF09DB" w:rsidP="00743A23">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265" w:type="dxa"/>
            <w:shd w:val="clear" w:color="auto" w:fill="auto"/>
            <w:vAlign w:val="center"/>
          </w:tcPr>
          <w:p w:rsidR="00AF09DB" w:rsidRPr="00720D9E" w:rsidRDefault="00AF09DB" w:rsidP="00743A23">
            <w:pPr>
              <w:spacing w:line="240" w:lineRule="auto"/>
              <w:jc w:val="center"/>
              <w:rPr>
                <w:rFonts w:ascii="Arial" w:hAnsi="Arial"/>
                <w:sz w:val="20"/>
                <w:szCs w:val="20"/>
              </w:rPr>
            </w:pPr>
            <w:r w:rsidRPr="00720D9E">
              <w:rPr>
                <w:rFonts w:ascii="Arial" w:hAnsi="Arial"/>
                <w:sz w:val="20"/>
                <w:szCs w:val="20"/>
              </w:rPr>
              <w:t>P</w:t>
            </w:r>
          </w:p>
        </w:tc>
        <w:tc>
          <w:tcPr>
            <w:tcW w:w="1918" w:type="dxa"/>
            <w:vAlign w:val="center"/>
          </w:tcPr>
          <w:p w:rsidR="00AF09DB" w:rsidRPr="00720D9E" w:rsidRDefault="00AF09DB" w:rsidP="00743A23">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2E0768">
        <w:trPr>
          <w:cantSplit/>
          <w:trHeight w:val="378"/>
        </w:trPr>
        <w:tc>
          <w:tcPr>
            <w:tcW w:w="925" w:type="dxa"/>
            <w:vMerge/>
            <w:vAlign w:val="center"/>
          </w:tcPr>
          <w:p w:rsidR="00AF09DB" w:rsidRPr="00720D9E" w:rsidRDefault="00AF09DB" w:rsidP="00743A23">
            <w:pPr>
              <w:spacing w:line="240" w:lineRule="auto"/>
              <w:jc w:val="center"/>
              <w:rPr>
                <w:sz w:val="20"/>
                <w:szCs w:val="20"/>
              </w:rPr>
            </w:pPr>
          </w:p>
        </w:tc>
        <w:tc>
          <w:tcPr>
            <w:tcW w:w="3039" w:type="dxa"/>
            <w:vMerge/>
            <w:vAlign w:val="center"/>
          </w:tcPr>
          <w:p w:rsidR="00AF09DB" w:rsidRPr="00720D9E" w:rsidRDefault="00AF09DB" w:rsidP="00743A23">
            <w:pPr>
              <w:spacing w:line="240" w:lineRule="auto"/>
              <w:rPr>
                <w:sz w:val="20"/>
                <w:szCs w:val="20"/>
              </w:rPr>
            </w:pPr>
          </w:p>
        </w:tc>
        <w:tc>
          <w:tcPr>
            <w:tcW w:w="1044" w:type="dxa"/>
            <w:vAlign w:val="center"/>
          </w:tcPr>
          <w:p w:rsidR="00AF09DB" w:rsidRPr="00720D9E" w:rsidRDefault="00AF09DB" w:rsidP="00743A23">
            <w:pPr>
              <w:spacing w:line="240" w:lineRule="auto"/>
              <w:jc w:val="center"/>
              <w:rPr>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shd w:val="clear" w:color="auto" w:fill="auto"/>
            <w:vAlign w:val="center"/>
          </w:tcPr>
          <w:p w:rsidR="00AF09DB" w:rsidRPr="00720D9E" w:rsidRDefault="00AF09DB" w:rsidP="00743A23">
            <w:pPr>
              <w:spacing w:line="240" w:lineRule="auto"/>
              <w:jc w:val="center"/>
              <w:rPr>
                <w:sz w:val="20"/>
                <w:szCs w:val="20"/>
              </w:rPr>
            </w:pPr>
            <w:r w:rsidRPr="00720D9E">
              <w:rPr>
                <w:rFonts w:ascii="Arial" w:hAnsi="Arial"/>
                <w:sz w:val="20"/>
                <w:szCs w:val="20"/>
              </w:rPr>
              <w:t>n/a</w:t>
            </w:r>
          </w:p>
        </w:tc>
        <w:tc>
          <w:tcPr>
            <w:tcW w:w="1918" w:type="dxa"/>
            <w:vAlign w:val="center"/>
          </w:tcPr>
          <w:p w:rsidR="00AF09DB" w:rsidRPr="00720D9E" w:rsidRDefault="00AF09DB" w:rsidP="00743A23">
            <w:pPr>
              <w:spacing w:line="240" w:lineRule="auto"/>
              <w:jc w:val="center"/>
              <w:rPr>
                <w:sz w:val="20"/>
                <w:szCs w:val="20"/>
              </w:rPr>
            </w:pPr>
            <w:r w:rsidRPr="00720D9E">
              <w:rPr>
                <w:rFonts w:ascii="Arial" w:hAnsi="Arial"/>
                <w:sz w:val="20"/>
                <w:szCs w:val="20"/>
              </w:rPr>
              <w:t>Excluded</w:t>
            </w:r>
          </w:p>
        </w:tc>
      </w:tr>
      <w:tr w:rsidR="00AF09DB" w:rsidRPr="00720D9E" w:rsidTr="002E0768">
        <w:trPr>
          <w:cantSplit/>
          <w:trHeight w:val="351"/>
        </w:trPr>
        <w:tc>
          <w:tcPr>
            <w:tcW w:w="925" w:type="dxa"/>
            <w:vMerge/>
            <w:vAlign w:val="center"/>
          </w:tcPr>
          <w:p w:rsidR="00AF09DB" w:rsidRPr="00720D9E" w:rsidRDefault="00AF09DB" w:rsidP="00743A23">
            <w:pPr>
              <w:spacing w:line="240" w:lineRule="auto"/>
              <w:jc w:val="center"/>
              <w:rPr>
                <w:sz w:val="20"/>
                <w:szCs w:val="20"/>
              </w:rPr>
            </w:pPr>
          </w:p>
        </w:tc>
        <w:tc>
          <w:tcPr>
            <w:tcW w:w="3039" w:type="dxa"/>
            <w:vMerge/>
            <w:vAlign w:val="center"/>
          </w:tcPr>
          <w:p w:rsidR="00AF09DB" w:rsidRPr="00720D9E" w:rsidRDefault="00AF09DB" w:rsidP="00743A23">
            <w:pPr>
              <w:spacing w:line="240" w:lineRule="auto"/>
              <w:rPr>
                <w:sz w:val="20"/>
                <w:szCs w:val="20"/>
              </w:rPr>
            </w:pPr>
          </w:p>
        </w:tc>
        <w:tc>
          <w:tcPr>
            <w:tcW w:w="1044" w:type="dxa"/>
            <w:vAlign w:val="center"/>
          </w:tcPr>
          <w:p w:rsidR="00AF09DB" w:rsidRPr="00720D9E" w:rsidRDefault="00AF09DB" w:rsidP="00743A23">
            <w:pPr>
              <w:spacing w:line="240" w:lineRule="auto"/>
              <w:jc w:val="center"/>
              <w:rPr>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265" w:type="dxa"/>
            <w:shd w:val="clear" w:color="auto" w:fill="auto"/>
            <w:vAlign w:val="center"/>
          </w:tcPr>
          <w:p w:rsidR="00AF09DB" w:rsidRPr="00720D9E" w:rsidRDefault="00AF09DB" w:rsidP="00743A23">
            <w:pPr>
              <w:spacing w:line="240" w:lineRule="auto"/>
              <w:jc w:val="center"/>
              <w:rPr>
                <w:sz w:val="20"/>
                <w:szCs w:val="20"/>
              </w:rPr>
            </w:pPr>
            <w:r w:rsidRPr="00720D9E">
              <w:rPr>
                <w:rFonts w:ascii="Arial" w:hAnsi="Arial"/>
                <w:sz w:val="20"/>
                <w:szCs w:val="20"/>
              </w:rPr>
              <w:t>n/a</w:t>
            </w:r>
          </w:p>
        </w:tc>
        <w:tc>
          <w:tcPr>
            <w:tcW w:w="1918" w:type="dxa"/>
            <w:vAlign w:val="center"/>
          </w:tcPr>
          <w:p w:rsidR="00AF09DB" w:rsidRPr="00720D9E" w:rsidRDefault="00AF09DB" w:rsidP="00743A23">
            <w:pPr>
              <w:spacing w:line="240" w:lineRule="auto"/>
              <w:jc w:val="center"/>
              <w:rPr>
                <w:sz w:val="20"/>
                <w:szCs w:val="20"/>
              </w:rPr>
            </w:pPr>
            <w:r w:rsidRPr="00720D9E">
              <w:rPr>
                <w:rFonts w:ascii="Arial" w:hAnsi="Arial"/>
                <w:sz w:val="20"/>
                <w:szCs w:val="20"/>
              </w:rPr>
              <w:t>Excluded</w:t>
            </w:r>
          </w:p>
        </w:tc>
      </w:tr>
      <w:tr w:rsidR="00AF09DB" w:rsidRPr="00720D9E" w:rsidTr="002E0768">
        <w:trPr>
          <w:cantSplit/>
          <w:trHeight w:val="144"/>
        </w:trPr>
        <w:tc>
          <w:tcPr>
            <w:tcW w:w="925" w:type="dxa"/>
            <w:vMerge/>
            <w:vAlign w:val="center"/>
          </w:tcPr>
          <w:p w:rsidR="00AF09DB" w:rsidRPr="00720D9E" w:rsidRDefault="00AF09DB" w:rsidP="00743A23">
            <w:pPr>
              <w:spacing w:line="240" w:lineRule="auto"/>
              <w:jc w:val="center"/>
              <w:rPr>
                <w:sz w:val="20"/>
                <w:szCs w:val="20"/>
              </w:rPr>
            </w:pPr>
          </w:p>
        </w:tc>
        <w:tc>
          <w:tcPr>
            <w:tcW w:w="3039" w:type="dxa"/>
            <w:vAlign w:val="center"/>
          </w:tcPr>
          <w:p w:rsidR="00AF09DB" w:rsidRPr="00720D9E" w:rsidRDefault="00AF09DB" w:rsidP="00743A23">
            <w:pPr>
              <w:spacing w:line="240" w:lineRule="auto"/>
              <w:rPr>
                <w:sz w:val="20"/>
                <w:szCs w:val="20"/>
              </w:rPr>
            </w:pPr>
            <w:r w:rsidRPr="00720D9E">
              <w:rPr>
                <w:rFonts w:ascii="Arial" w:hAnsi="Arial"/>
                <w:sz w:val="20"/>
                <w:szCs w:val="20"/>
              </w:rPr>
              <w:t>Fugitive emissions from the on-site transportation of mine gas</w:t>
            </w:r>
          </w:p>
        </w:tc>
        <w:tc>
          <w:tcPr>
            <w:tcW w:w="1044" w:type="dxa"/>
            <w:vAlign w:val="center"/>
          </w:tcPr>
          <w:p w:rsidR="00AF09DB" w:rsidRPr="00720D9E" w:rsidRDefault="00AF09DB" w:rsidP="00743A23">
            <w:pPr>
              <w:spacing w:line="240" w:lineRule="auto"/>
              <w:jc w:val="center"/>
              <w:rPr>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shd w:val="clear" w:color="auto" w:fill="auto"/>
            <w:vAlign w:val="center"/>
          </w:tcPr>
          <w:p w:rsidR="00AF09DB" w:rsidRPr="00720D9E" w:rsidRDefault="00AF09DB" w:rsidP="00743A23">
            <w:pPr>
              <w:spacing w:line="240" w:lineRule="auto"/>
              <w:jc w:val="center"/>
              <w:rPr>
                <w:sz w:val="20"/>
                <w:szCs w:val="20"/>
              </w:rPr>
            </w:pPr>
            <w:r w:rsidRPr="00720D9E">
              <w:rPr>
                <w:rFonts w:ascii="Arial" w:hAnsi="Arial"/>
                <w:sz w:val="20"/>
                <w:szCs w:val="20"/>
              </w:rPr>
              <w:t>n/a</w:t>
            </w:r>
          </w:p>
        </w:tc>
        <w:tc>
          <w:tcPr>
            <w:tcW w:w="1918" w:type="dxa"/>
            <w:vAlign w:val="center"/>
          </w:tcPr>
          <w:p w:rsidR="00AF09DB" w:rsidRPr="00720D9E" w:rsidRDefault="00AF09DB" w:rsidP="00743A23">
            <w:pPr>
              <w:spacing w:line="240" w:lineRule="auto"/>
              <w:jc w:val="center"/>
              <w:rPr>
                <w:sz w:val="20"/>
                <w:szCs w:val="20"/>
              </w:rPr>
            </w:pPr>
            <w:r w:rsidRPr="00720D9E">
              <w:rPr>
                <w:rFonts w:ascii="Arial" w:hAnsi="Arial"/>
                <w:sz w:val="20"/>
                <w:szCs w:val="20"/>
              </w:rPr>
              <w:t>Excluded</w:t>
            </w:r>
          </w:p>
        </w:tc>
      </w:tr>
      <w:tr w:rsidR="00AF09DB" w:rsidRPr="00720D9E" w:rsidTr="002E0768">
        <w:trPr>
          <w:cantSplit/>
          <w:trHeight w:val="144"/>
        </w:trPr>
        <w:tc>
          <w:tcPr>
            <w:tcW w:w="925" w:type="dxa"/>
            <w:vMerge w:val="restart"/>
            <w:vAlign w:val="center"/>
          </w:tcPr>
          <w:p w:rsidR="00AF09DB" w:rsidRPr="00720D9E" w:rsidRDefault="00AF09DB" w:rsidP="00E9191C">
            <w:pPr>
              <w:spacing w:line="240" w:lineRule="auto"/>
              <w:jc w:val="center"/>
              <w:rPr>
                <w:rFonts w:ascii="Arial" w:hAnsi="Arial"/>
                <w:sz w:val="20"/>
                <w:szCs w:val="20"/>
              </w:rPr>
            </w:pPr>
            <w:r w:rsidRPr="00720D9E">
              <w:rPr>
                <w:rFonts w:ascii="Arial" w:hAnsi="Arial"/>
                <w:sz w:val="20"/>
                <w:szCs w:val="20"/>
              </w:rPr>
              <w:t>4</w:t>
            </w:r>
          </w:p>
        </w:tc>
        <w:tc>
          <w:tcPr>
            <w:tcW w:w="3039" w:type="dxa"/>
            <w:vMerge w:val="restart"/>
            <w:vAlign w:val="center"/>
          </w:tcPr>
          <w:p w:rsidR="00AF09DB" w:rsidRPr="00720D9E" w:rsidRDefault="00AF09DB" w:rsidP="00307A11">
            <w:pPr>
              <w:spacing w:line="240" w:lineRule="auto"/>
              <w:rPr>
                <w:rFonts w:ascii="Arial" w:hAnsi="Arial"/>
                <w:sz w:val="20"/>
                <w:szCs w:val="20"/>
              </w:rPr>
            </w:pPr>
            <w:r w:rsidRPr="00720D9E">
              <w:rPr>
                <w:rFonts w:ascii="Arial" w:hAnsi="Arial"/>
                <w:sz w:val="20"/>
                <w:szCs w:val="20"/>
              </w:rPr>
              <w:t>Emissions resulting from energy consumed to operate equipment used to liquefy, compress, or store methane for vehicle use.</w:t>
            </w:r>
          </w:p>
        </w:tc>
        <w:tc>
          <w:tcPr>
            <w:tcW w:w="1044" w:type="dxa"/>
            <w:vAlign w:val="center"/>
          </w:tcPr>
          <w:p w:rsidR="00AF09DB" w:rsidRPr="00720D9E" w:rsidRDefault="00AF09DB" w:rsidP="00E9191C">
            <w:pPr>
              <w:spacing w:line="240" w:lineRule="auto"/>
              <w:jc w:val="center"/>
              <w:rPr>
                <w:rFonts w:ascii="Arial" w:hAnsi="Arial" w:cs="Arial"/>
                <w:sz w:val="20"/>
                <w:szCs w:val="20"/>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265" w:type="dxa"/>
            <w:shd w:val="clear" w:color="auto" w:fill="auto"/>
            <w:vAlign w:val="center"/>
          </w:tcPr>
          <w:p w:rsidR="00AF09DB" w:rsidRPr="00720D9E" w:rsidRDefault="00AF09DB" w:rsidP="00E9191C">
            <w:pPr>
              <w:spacing w:line="240" w:lineRule="auto"/>
              <w:jc w:val="center"/>
              <w:rPr>
                <w:rFonts w:ascii="Arial" w:hAnsi="Arial"/>
                <w:sz w:val="20"/>
                <w:szCs w:val="20"/>
              </w:rPr>
            </w:pPr>
            <w:r w:rsidRPr="00720D9E">
              <w:rPr>
                <w:rFonts w:ascii="Arial" w:hAnsi="Arial"/>
                <w:sz w:val="20"/>
                <w:szCs w:val="20"/>
              </w:rPr>
              <w:t>P</w:t>
            </w:r>
          </w:p>
        </w:tc>
        <w:tc>
          <w:tcPr>
            <w:tcW w:w="1918" w:type="dxa"/>
            <w:vAlign w:val="center"/>
          </w:tcPr>
          <w:p w:rsidR="00AF09DB" w:rsidRPr="00720D9E" w:rsidRDefault="00AF09DB" w:rsidP="00E9191C">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2E0768">
        <w:trPr>
          <w:cantSplit/>
          <w:trHeight w:val="324"/>
        </w:trPr>
        <w:tc>
          <w:tcPr>
            <w:tcW w:w="925" w:type="dxa"/>
            <w:vMerge/>
            <w:vAlign w:val="center"/>
          </w:tcPr>
          <w:p w:rsidR="00AF09DB" w:rsidRPr="00720D9E" w:rsidRDefault="00AF09DB" w:rsidP="00A4307D">
            <w:pPr>
              <w:spacing w:line="240" w:lineRule="auto"/>
              <w:jc w:val="center"/>
              <w:rPr>
                <w:rFonts w:ascii="Arial" w:hAnsi="Arial"/>
                <w:sz w:val="20"/>
                <w:szCs w:val="20"/>
              </w:rPr>
            </w:pPr>
          </w:p>
        </w:tc>
        <w:tc>
          <w:tcPr>
            <w:tcW w:w="3039" w:type="dxa"/>
            <w:vMerge/>
            <w:vAlign w:val="center"/>
          </w:tcPr>
          <w:p w:rsidR="00AF09DB" w:rsidRPr="00720D9E" w:rsidRDefault="00AF09DB" w:rsidP="00A4307D">
            <w:pPr>
              <w:spacing w:line="240" w:lineRule="auto"/>
              <w:rPr>
                <w:rFonts w:ascii="Arial" w:hAnsi="Arial"/>
                <w:sz w:val="20"/>
                <w:szCs w:val="20"/>
              </w:rPr>
            </w:pPr>
          </w:p>
        </w:tc>
        <w:tc>
          <w:tcPr>
            <w:tcW w:w="1044" w:type="dxa"/>
            <w:vAlign w:val="center"/>
          </w:tcPr>
          <w:p w:rsidR="00AF09DB" w:rsidRPr="00720D9E" w:rsidRDefault="00AF09DB" w:rsidP="00A4307D">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shd w:val="clear" w:color="auto" w:fill="auto"/>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n/a</w:t>
            </w:r>
          </w:p>
        </w:tc>
        <w:tc>
          <w:tcPr>
            <w:tcW w:w="1918" w:type="dxa"/>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2E0768">
        <w:trPr>
          <w:cantSplit/>
          <w:trHeight w:val="144"/>
        </w:trPr>
        <w:tc>
          <w:tcPr>
            <w:tcW w:w="925" w:type="dxa"/>
            <w:vMerge/>
            <w:vAlign w:val="center"/>
          </w:tcPr>
          <w:p w:rsidR="00AF09DB" w:rsidRPr="00720D9E" w:rsidRDefault="00AF09DB" w:rsidP="00A4307D">
            <w:pPr>
              <w:spacing w:line="240" w:lineRule="auto"/>
              <w:jc w:val="center"/>
              <w:rPr>
                <w:rFonts w:ascii="Arial" w:hAnsi="Arial"/>
                <w:sz w:val="20"/>
                <w:szCs w:val="20"/>
              </w:rPr>
            </w:pPr>
          </w:p>
        </w:tc>
        <w:tc>
          <w:tcPr>
            <w:tcW w:w="3039" w:type="dxa"/>
            <w:vMerge/>
            <w:vAlign w:val="center"/>
          </w:tcPr>
          <w:p w:rsidR="00AF09DB" w:rsidRPr="00720D9E" w:rsidRDefault="00AF09DB" w:rsidP="00A4307D">
            <w:pPr>
              <w:spacing w:line="240" w:lineRule="auto"/>
              <w:rPr>
                <w:rFonts w:ascii="Arial" w:hAnsi="Arial"/>
                <w:sz w:val="20"/>
                <w:szCs w:val="20"/>
              </w:rPr>
            </w:pPr>
          </w:p>
        </w:tc>
        <w:tc>
          <w:tcPr>
            <w:tcW w:w="1044" w:type="dxa"/>
            <w:vAlign w:val="center"/>
          </w:tcPr>
          <w:p w:rsidR="00AF09DB" w:rsidRPr="00720D9E" w:rsidRDefault="00AF09DB" w:rsidP="00A4307D">
            <w:pPr>
              <w:spacing w:line="240" w:lineRule="auto"/>
              <w:jc w:val="center"/>
              <w:rPr>
                <w:rFonts w:ascii="Arial" w:hAnsi="Arial" w:cs="Arial"/>
                <w:sz w:val="20"/>
                <w:szCs w:val="20"/>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265" w:type="dxa"/>
            <w:shd w:val="clear" w:color="auto" w:fill="auto"/>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n/a</w:t>
            </w:r>
          </w:p>
        </w:tc>
        <w:tc>
          <w:tcPr>
            <w:tcW w:w="1918" w:type="dxa"/>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2E0768">
        <w:trPr>
          <w:cantSplit/>
          <w:trHeight w:val="144"/>
        </w:trPr>
        <w:tc>
          <w:tcPr>
            <w:tcW w:w="925" w:type="dxa"/>
            <w:vMerge/>
            <w:vAlign w:val="center"/>
          </w:tcPr>
          <w:p w:rsidR="00AF09DB" w:rsidRPr="00720D9E" w:rsidRDefault="00AF09DB" w:rsidP="009D322C">
            <w:pPr>
              <w:spacing w:line="240" w:lineRule="auto"/>
              <w:jc w:val="center"/>
              <w:rPr>
                <w:sz w:val="20"/>
                <w:szCs w:val="20"/>
              </w:rPr>
            </w:pPr>
          </w:p>
        </w:tc>
        <w:tc>
          <w:tcPr>
            <w:tcW w:w="3039" w:type="dxa"/>
            <w:vAlign w:val="center"/>
          </w:tcPr>
          <w:p w:rsidR="00AF09DB" w:rsidRPr="00720D9E" w:rsidRDefault="00AF09DB" w:rsidP="009D322C">
            <w:pPr>
              <w:spacing w:line="240" w:lineRule="auto"/>
              <w:rPr>
                <w:rFonts w:ascii="Arial" w:hAnsi="Arial" w:cs="Arial"/>
                <w:sz w:val="20"/>
                <w:szCs w:val="20"/>
              </w:rPr>
            </w:pPr>
            <w:r w:rsidRPr="00720D9E">
              <w:rPr>
                <w:rFonts w:ascii="Arial" w:hAnsi="Arial" w:cs="Arial"/>
                <w:sz w:val="20"/>
                <w:szCs w:val="20"/>
              </w:rPr>
              <w:t>Fugitive emissions from operation of equipment used to liquefy, compress, or store methane for vehicle use</w:t>
            </w:r>
          </w:p>
        </w:tc>
        <w:tc>
          <w:tcPr>
            <w:tcW w:w="1044" w:type="dxa"/>
            <w:vAlign w:val="center"/>
          </w:tcPr>
          <w:p w:rsidR="00AF09DB" w:rsidRPr="00720D9E" w:rsidRDefault="00AF09DB" w:rsidP="009D322C">
            <w:pPr>
              <w:spacing w:line="240" w:lineRule="auto"/>
              <w:jc w:val="center"/>
              <w:rPr>
                <w:rFonts w:ascii="Arial" w:hAnsi="Arial" w:cs="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shd w:val="clear" w:color="auto" w:fill="auto"/>
            <w:vAlign w:val="center"/>
          </w:tcPr>
          <w:p w:rsidR="00AF09DB" w:rsidRPr="00720D9E" w:rsidRDefault="00AF09DB" w:rsidP="009D322C">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9D322C">
            <w:pPr>
              <w:spacing w:line="240" w:lineRule="auto"/>
              <w:jc w:val="center"/>
              <w:rPr>
                <w:rFonts w:ascii="Arial" w:hAnsi="Arial" w:cs="Arial"/>
                <w:sz w:val="20"/>
                <w:szCs w:val="20"/>
              </w:rPr>
            </w:pPr>
            <w:r w:rsidRPr="00720D9E">
              <w:rPr>
                <w:rFonts w:ascii="Arial" w:hAnsi="Arial" w:cs="Arial"/>
                <w:sz w:val="20"/>
                <w:szCs w:val="20"/>
              </w:rPr>
              <w:t>Excluded</w:t>
            </w:r>
          </w:p>
        </w:tc>
      </w:tr>
      <w:tr w:rsidR="00AF09DB" w:rsidRPr="00720D9E" w:rsidTr="002E0768">
        <w:trPr>
          <w:cantSplit/>
          <w:trHeight w:val="144"/>
        </w:trPr>
        <w:tc>
          <w:tcPr>
            <w:tcW w:w="925" w:type="dxa"/>
            <w:vMerge w:val="restart"/>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5</w:t>
            </w:r>
          </w:p>
        </w:tc>
        <w:tc>
          <w:tcPr>
            <w:tcW w:w="3039" w:type="dxa"/>
            <w:vMerge w:val="restart"/>
            <w:vAlign w:val="center"/>
          </w:tcPr>
          <w:p w:rsidR="00AF09DB" w:rsidRPr="00720D9E" w:rsidRDefault="00AF09DB" w:rsidP="005D3AAB">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vehicle operation</w:t>
            </w:r>
          </w:p>
        </w:tc>
        <w:tc>
          <w:tcPr>
            <w:tcW w:w="1044" w:type="dxa"/>
            <w:vAlign w:val="center"/>
          </w:tcPr>
          <w:p w:rsidR="00AF09DB" w:rsidRPr="00720D9E" w:rsidRDefault="00AF09DB" w:rsidP="00A4307D">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265" w:type="dxa"/>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B, P</w:t>
            </w:r>
          </w:p>
        </w:tc>
        <w:tc>
          <w:tcPr>
            <w:tcW w:w="1918" w:type="dxa"/>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2E0768">
        <w:trPr>
          <w:cantSplit/>
          <w:trHeight w:val="144"/>
        </w:trPr>
        <w:tc>
          <w:tcPr>
            <w:tcW w:w="925" w:type="dxa"/>
            <w:vMerge/>
            <w:vAlign w:val="center"/>
          </w:tcPr>
          <w:p w:rsidR="00AF09DB" w:rsidRPr="00720D9E" w:rsidRDefault="00AF09DB" w:rsidP="00A4307D">
            <w:pPr>
              <w:spacing w:line="240" w:lineRule="auto"/>
              <w:jc w:val="center"/>
              <w:rPr>
                <w:rFonts w:ascii="Arial" w:hAnsi="Arial"/>
                <w:sz w:val="20"/>
                <w:szCs w:val="20"/>
              </w:rPr>
            </w:pPr>
          </w:p>
        </w:tc>
        <w:tc>
          <w:tcPr>
            <w:tcW w:w="3039" w:type="dxa"/>
            <w:vMerge/>
            <w:vAlign w:val="center"/>
          </w:tcPr>
          <w:p w:rsidR="00AF09DB" w:rsidRPr="00720D9E" w:rsidRDefault="00AF09DB" w:rsidP="00A4307D">
            <w:pPr>
              <w:spacing w:line="240" w:lineRule="auto"/>
              <w:rPr>
                <w:rFonts w:ascii="Arial" w:hAnsi="Arial"/>
                <w:sz w:val="20"/>
                <w:szCs w:val="20"/>
              </w:rPr>
            </w:pPr>
          </w:p>
        </w:tc>
        <w:tc>
          <w:tcPr>
            <w:tcW w:w="1044" w:type="dxa"/>
            <w:vAlign w:val="center"/>
          </w:tcPr>
          <w:p w:rsidR="00AF09DB" w:rsidRPr="00720D9E" w:rsidRDefault="00AF09DB" w:rsidP="00A4307D">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265" w:type="dxa"/>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n/a</w:t>
            </w:r>
          </w:p>
        </w:tc>
        <w:tc>
          <w:tcPr>
            <w:tcW w:w="1918" w:type="dxa"/>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2E0768">
        <w:trPr>
          <w:cantSplit/>
          <w:trHeight w:val="144"/>
        </w:trPr>
        <w:tc>
          <w:tcPr>
            <w:tcW w:w="925" w:type="dxa"/>
            <w:vMerge/>
            <w:vAlign w:val="center"/>
          </w:tcPr>
          <w:p w:rsidR="00AF09DB" w:rsidRPr="00720D9E" w:rsidRDefault="00AF09DB" w:rsidP="00A4307D">
            <w:pPr>
              <w:spacing w:line="240" w:lineRule="auto"/>
              <w:jc w:val="center"/>
              <w:rPr>
                <w:rFonts w:ascii="Arial" w:hAnsi="Arial"/>
                <w:sz w:val="20"/>
                <w:szCs w:val="20"/>
              </w:rPr>
            </w:pPr>
          </w:p>
        </w:tc>
        <w:tc>
          <w:tcPr>
            <w:tcW w:w="3039" w:type="dxa"/>
            <w:vAlign w:val="center"/>
          </w:tcPr>
          <w:p w:rsidR="00AF09DB" w:rsidRPr="00720D9E" w:rsidRDefault="00AF09DB" w:rsidP="005D3AAB">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vehicle operation</w:t>
            </w:r>
          </w:p>
        </w:tc>
        <w:tc>
          <w:tcPr>
            <w:tcW w:w="1044" w:type="dxa"/>
            <w:vAlign w:val="center"/>
          </w:tcPr>
          <w:p w:rsidR="00AF09DB" w:rsidRPr="00720D9E" w:rsidRDefault="00AF09DB" w:rsidP="00A4307D">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P</w:t>
            </w:r>
          </w:p>
        </w:tc>
        <w:tc>
          <w:tcPr>
            <w:tcW w:w="1918" w:type="dxa"/>
            <w:vAlign w:val="center"/>
          </w:tcPr>
          <w:p w:rsidR="00AF09DB" w:rsidRPr="00720D9E" w:rsidRDefault="00AF09DB" w:rsidP="00A4307D">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2E0768">
        <w:trPr>
          <w:cantSplit/>
          <w:trHeight w:val="144"/>
        </w:trPr>
        <w:tc>
          <w:tcPr>
            <w:tcW w:w="925" w:type="dxa"/>
            <w:vMerge w:val="restart"/>
            <w:vAlign w:val="center"/>
          </w:tcPr>
          <w:p w:rsidR="00AF09DB" w:rsidRPr="00720D9E" w:rsidRDefault="00AF09DB" w:rsidP="000C52C0">
            <w:pPr>
              <w:spacing w:line="240" w:lineRule="auto"/>
              <w:jc w:val="center"/>
              <w:rPr>
                <w:rFonts w:ascii="Arial" w:hAnsi="Arial"/>
                <w:sz w:val="20"/>
                <w:szCs w:val="20"/>
              </w:rPr>
            </w:pPr>
            <w:r w:rsidRPr="00720D9E">
              <w:rPr>
                <w:rFonts w:ascii="Arial" w:hAnsi="Arial"/>
                <w:sz w:val="20"/>
                <w:szCs w:val="20"/>
              </w:rPr>
              <w:t>6</w:t>
            </w:r>
          </w:p>
        </w:tc>
        <w:tc>
          <w:tcPr>
            <w:tcW w:w="3039" w:type="dxa"/>
            <w:vMerge w:val="restart"/>
            <w:vAlign w:val="center"/>
          </w:tcPr>
          <w:p w:rsidR="00AF09DB" w:rsidRPr="00720D9E" w:rsidRDefault="00AF09DB" w:rsidP="007C4E93">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electricity generation</w:t>
            </w:r>
          </w:p>
        </w:tc>
        <w:tc>
          <w:tcPr>
            <w:tcW w:w="1044" w:type="dxa"/>
            <w:vAlign w:val="center"/>
          </w:tcPr>
          <w:p w:rsidR="00AF09DB" w:rsidRPr="00720D9E" w:rsidRDefault="00AF09DB" w:rsidP="000C52C0">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265" w:type="dxa"/>
            <w:vAlign w:val="center"/>
          </w:tcPr>
          <w:p w:rsidR="00AF09DB" w:rsidRPr="00720D9E" w:rsidRDefault="00AF09DB" w:rsidP="000C52C0">
            <w:pPr>
              <w:spacing w:line="240" w:lineRule="auto"/>
              <w:jc w:val="center"/>
              <w:rPr>
                <w:rFonts w:ascii="Arial" w:hAnsi="Arial"/>
                <w:sz w:val="20"/>
                <w:szCs w:val="20"/>
              </w:rPr>
            </w:pPr>
            <w:r w:rsidRPr="00720D9E">
              <w:rPr>
                <w:rFonts w:ascii="Arial" w:hAnsi="Arial"/>
                <w:sz w:val="20"/>
                <w:szCs w:val="20"/>
              </w:rPr>
              <w:t>B, P</w:t>
            </w:r>
          </w:p>
        </w:tc>
        <w:tc>
          <w:tcPr>
            <w:tcW w:w="1918" w:type="dxa"/>
            <w:vAlign w:val="center"/>
          </w:tcPr>
          <w:p w:rsidR="00AF09DB" w:rsidRPr="00720D9E" w:rsidRDefault="00AF09DB" w:rsidP="000C52C0">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2E0768">
        <w:trPr>
          <w:cantSplit/>
          <w:trHeight w:val="144"/>
        </w:trPr>
        <w:tc>
          <w:tcPr>
            <w:tcW w:w="925" w:type="dxa"/>
            <w:vMerge/>
            <w:vAlign w:val="center"/>
          </w:tcPr>
          <w:p w:rsidR="00AF09DB" w:rsidRPr="00720D9E" w:rsidRDefault="00AF09DB" w:rsidP="000C52C0">
            <w:pPr>
              <w:spacing w:line="240" w:lineRule="auto"/>
              <w:jc w:val="center"/>
              <w:rPr>
                <w:rFonts w:ascii="Arial" w:hAnsi="Arial"/>
                <w:sz w:val="20"/>
                <w:szCs w:val="20"/>
              </w:rPr>
            </w:pPr>
          </w:p>
        </w:tc>
        <w:tc>
          <w:tcPr>
            <w:tcW w:w="3039" w:type="dxa"/>
            <w:vMerge/>
            <w:vAlign w:val="center"/>
          </w:tcPr>
          <w:p w:rsidR="00AF09DB" w:rsidRPr="00720D9E" w:rsidRDefault="00AF09DB" w:rsidP="000C52C0">
            <w:pPr>
              <w:spacing w:line="240" w:lineRule="auto"/>
              <w:rPr>
                <w:rFonts w:ascii="Arial" w:hAnsi="Arial"/>
                <w:sz w:val="20"/>
                <w:szCs w:val="20"/>
              </w:rPr>
            </w:pPr>
          </w:p>
        </w:tc>
        <w:tc>
          <w:tcPr>
            <w:tcW w:w="1044" w:type="dxa"/>
            <w:vAlign w:val="center"/>
          </w:tcPr>
          <w:p w:rsidR="00AF09DB" w:rsidRPr="00720D9E" w:rsidRDefault="00AF09DB" w:rsidP="000C52C0">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265" w:type="dxa"/>
            <w:vAlign w:val="center"/>
          </w:tcPr>
          <w:p w:rsidR="00AF09DB" w:rsidRPr="00720D9E" w:rsidRDefault="00AF09DB" w:rsidP="000C52C0">
            <w:pPr>
              <w:spacing w:line="240" w:lineRule="auto"/>
              <w:jc w:val="center"/>
              <w:rPr>
                <w:rFonts w:ascii="Arial" w:hAnsi="Arial"/>
                <w:sz w:val="20"/>
                <w:szCs w:val="20"/>
              </w:rPr>
            </w:pPr>
            <w:r w:rsidRPr="00720D9E">
              <w:rPr>
                <w:rFonts w:ascii="Arial" w:hAnsi="Arial"/>
                <w:sz w:val="20"/>
                <w:szCs w:val="20"/>
              </w:rPr>
              <w:t>n/a</w:t>
            </w:r>
          </w:p>
        </w:tc>
        <w:tc>
          <w:tcPr>
            <w:tcW w:w="1918" w:type="dxa"/>
            <w:vAlign w:val="center"/>
          </w:tcPr>
          <w:p w:rsidR="00AF09DB" w:rsidRPr="00720D9E" w:rsidRDefault="00AF09DB" w:rsidP="000C52C0">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2E0768">
        <w:trPr>
          <w:cantSplit/>
          <w:trHeight w:val="144"/>
        </w:trPr>
        <w:tc>
          <w:tcPr>
            <w:tcW w:w="925" w:type="dxa"/>
            <w:vMerge/>
            <w:vAlign w:val="center"/>
          </w:tcPr>
          <w:p w:rsidR="00AF09DB" w:rsidRPr="00720D9E" w:rsidRDefault="00AF09DB" w:rsidP="000C52C0">
            <w:pPr>
              <w:spacing w:line="240" w:lineRule="auto"/>
              <w:jc w:val="center"/>
              <w:rPr>
                <w:rFonts w:ascii="Arial" w:hAnsi="Arial"/>
                <w:sz w:val="20"/>
                <w:szCs w:val="20"/>
              </w:rPr>
            </w:pPr>
          </w:p>
        </w:tc>
        <w:tc>
          <w:tcPr>
            <w:tcW w:w="3039" w:type="dxa"/>
            <w:vAlign w:val="center"/>
          </w:tcPr>
          <w:p w:rsidR="00AF09DB" w:rsidRPr="00720D9E" w:rsidRDefault="00AF09DB" w:rsidP="007C4E93">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electricity generation</w:t>
            </w:r>
          </w:p>
        </w:tc>
        <w:tc>
          <w:tcPr>
            <w:tcW w:w="1044" w:type="dxa"/>
            <w:vAlign w:val="center"/>
          </w:tcPr>
          <w:p w:rsidR="00AF09DB" w:rsidRPr="00720D9E" w:rsidRDefault="00AF09DB" w:rsidP="000C52C0">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vAlign w:val="center"/>
          </w:tcPr>
          <w:p w:rsidR="00AF09DB" w:rsidRPr="00720D9E" w:rsidRDefault="00AF09DB" w:rsidP="000C52C0">
            <w:pPr>
              <w:spacing w:line="240" w:lineRule="auto"/>
              <w:jc w:val="center"/>
              <w:rPr>
                <w:rFonts w:ascii="Arial" w:hAnsi="Arial"/>
                <w:sz w:val="20"/>
                <w:szCs w:val="20"/>
              </w:rPr>
            </w:pPr>
            <w:r w:rsidRPr="00720D9E">
              <w:rPr>
                <w:rFonts w:ascii="Arial" w:hAnsi="Arial"/>
                <w:sz w:val="20"/>
                <w:szCs w:val="20"/>
              </w:rPr>
              <w:t>P</w:t>
            </w:r>
          </w:p>
        </w:tc>
        <w:tc>
          <w:tcPr>
            <w:tcW w:w="1918" w:type="dxa"/>
            <w:vAlign w:val="center"/>
          </w:tcPr>
          <w:p w:rsidR="00AF09DB" w:rsidRPr="00720D9E" w:rsidRDefault="00AF09DB" w:rsidP="000C52C0">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2E0768">
        <w:trPr>
          <w:cantSplit/>
          <w:trHeight w:val="220"/>
        </w:trPr>
        <w:tc>
          <w:tcPr>
            <w:tcW w:w="925" w:type="dxa"/>
            <w:vMerge w:val="restart"/>
            <w:vAlign w:val="center"/>
          </w:tcPr>
          <w:p w:rsidR="00AF09DB" w:rsidRPr="00720D9E" w:rsidRDefault="00AF09DB" w:rsidP="000C4219">
            <w:pPr>
              <w:spacing w:line="240" w:lineRule="auto"/>
              <w:jc w:val="center"/>
              <w:rPr>
                <w:rFonts w:ascii="Arial" w:hAnsi="Arial"/>
                <w:sz w:val="20"/>
                <w:szCs w:val="20"/>
              </w:rPr>
            </w:pPr>
            <w:r w:rsidRPr="00720D9E">
              <w:rPr>
                <w:rFonts w:ascii="Arial" w:hAnsi="Arial"/>
                <w:sz w:val="20"/>
                <w:szCs w:val="20"/>
              </w:rPr>
              <w:t>7</w:t>
            </w:r>
          </w:p>
        </w:tc>
        <w:tc>
          <w:tcPr>
            <w:tcW w:w="3039" w:type="dxa"/>
            <w:vMerge w:val="restart"/>
            <w:vAlign w:val="center"/>
          </w:tcPr>
          <w:p w:rsidR="00AF09DB" w:rsidRPr="00720D9E" w:rsidRDefault="00AF09DB" w:rsidP="007C4E93">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thermal energy generation</w:t>
            </w:r>
          </w:p>
        </w:tc>
        <w:tc>
          <w:tcPr>
            <w:tcW w:w="1044" w:type="dxa"/>
            <w:vAlign w:val="center"/>
          </w:tcPr>
          <w:p w:rsidR="00AF09DB" w:rsidRPr="00720D9E" w:rsidRDefault="00AF09DB" w:rsidP="000C4219">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265" w:type="dxa"/>
            <w:vAlign w:val="center"/>
          </w:tcPr>
          <w:p w:rsidR="00AF09DB" w:rsidRPr="00720D9E" w:rsidRDefault="00AF09DB" w:rsidP="000C4219">
            <w:pPr>
              <w:spacing w:line="240" w:lineRule="auto"/>
              <w:jc w:val="center"/>
              <w:rPr>
                <w:rFonts w:ascii="Arial" w:hAnsi="Arial"/>
                <w:sz w:val="20"/>
                <w:szCs w:val="20"/>
              </w:rPr>
            </w:pPr>
            <w:r w:rsidRPr="00720D9E">
              <w:rPr>
                <w:rFonts w:ascii="Arial" w:hAnsi="Arial"/>
                <w:sz w:val="20"/>
                <w:szCs w:val="20"/>
              </w:rPr>
              <w:t>B, P</w:t>
            </w:r>
          </w:p>
        </w:tc>
        <w:tc>
          <w:tcPr>
            <w:tcW w:w="1918" w:type="dxa"/>
            <w:vAlign w:val="center"/>
          </w:tcPr>
          <w:p w:rsidR="00AF09DB" w:rsidRPr="00720D9E" w:rsidRDefault="00AF09DB" w:rsidP="000C4219">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2E0768">
        <w:trPr>
          <w:cantSplit/>
          <w:trHeight w:val="144"/>
        </w:trPr>
        <w:tc>
          <w:tcPr>
            <w:tcW w:w="925" w:type="dxa"/>
            <w:vMerge/>
            <w:vAlign w:val="center"/>
          </w:tcPr>
          <w:p w:rsidR="00AF09DB" w:rsidRPr="00720D9E" w:rsidRDefault="00AF09DB" w:rsidP="000C4219">
            <w:pPr>
              <w:spacing w:line="240" w:lineRule="auto"/>
              <w:jc w:val="center"/>
              <w:rPr>
                <w:rFonts w:ascii="Arial" w:hAnsi="Arial"/>
                <w:sz w:val="20"/>
                <w:szCs w:val="20"/>
              </w:rPr>
            </w:pPr>
          </w:p>
        </w:tc>
        <w:tc>
          <w:tcPr>
            <w:tcW w:w="3039" w:type="dxa"/>
            <w:vMerge/>
            <w:vAlign w:val="center"/>
          </w:tcPr>
          <w:p w:rsidR="00AF09DB" w:rsidRPr="00720D9E" w:rsidRDefault="00AF09DB" w:rsidP="000C4219">
            <w:pPr>
              <w:spacing w:line="240" w:lineRule="auto"/>
              <w:rPr>
                <w:rFonts w:ascii="Arial" w:hAnsi="Arial"/>
                <w:sz w:val="20"/>
                <w:szCs w:val="20"/>
              </w:rPr>
            </w:pPr>
          </w:p>
        </w:tc>
        <w:tc>
          <w:tcPr>
            <w:tcW w:w="1044" w:type="dxa"/>
            <w:vAlign w:val="center"/>
          </w:tcPr>
          <w:p w:rsidR="00AF09DB" w:rsidRPr="00720D9E" w:rsidRDefault="00AF09DB" w:rsidP="000C4219">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265" w:type="dxa"/>
            <w:vAlign w:val="center"/>
          </w:tcPr>
          <w:p w:rsidR="00AF09DB" w:rsidRPr="00720D9E" w:rsidRDefault="00AF09DB" w:rsidP="000C4219">
            <w:pPr>
              <w:spacing w:line="240" w:lineRule="auto"/>
              <w:jc w:val="center"/>
              <w:rPr>
                <w:rFonts w:ascii="Arial" w:hAnsi="Arial"/>
                <w:sz w:val="20"/>
                <w:szCs w:val="20"/>
              </w:rPr>
            </w:pPr>
            <w:r w:rsidRPr="00720D9E">
              <w:rPr>
                <w:rFonts w:ascii="Arial" w:hAnsi="Arial"/>
                <w:sz w:val="20"/>
                <w:szCs w:val="20"/>
              </w:rPr>
              <w:t>n/a</w:t>
            </w:r>
          </w:p>
        </w:tc>
        <w:tc>
          <w:tcPr>
            <w:tcW w:w="1918" w:type="dxa"/>
            <w:vAlign w:val="center"/>
          </w:tcPr>
          <w:p w:rsidR="00AF09DB" w:rsidRPr="00720D9E" w:rsidRDefault="00AF09DB" w:rsidP="000C4219">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2E0768">
        <w:trPr>
          <w:cantSplit/>
          <w:trHeight w:val="144"/>
        </w:trPr>
        <w:tc>
          <w:tcPr>
            <w:tcW w:w="925" w:type="dxa"/>
            <w:vMerge/>
            <w:vAlign w:val="center"/>
          </w:tcPr>
          <w:p w:rsidR="00AF09DB" w:rsidRPr="00720D9E" w:rsidRDefault="00AF09DB" w:rsidP="000C4219">
            <w:pPr>
              <w:spacing w:line="240" w:lineRule="auto"/>
              <w:jc w:val="center"/>
              <w:rPr>
                <w:rFonts w:ascii="Arial" w:hAnsi="Arial"/>
                <w:sz w:val="20"/>
                <w:szCs w:val="20"/>
              </w:rPr>
            </w:pPr>
          </w:p>
        </w:tc>
        <w:tc>
          <w:tcPr>
            <w:tcW w:w="3039" w:type="dxa"/>
            <w:vAlign w:val="center"/>
          </w:tcPr>
          <w:p w:rsidR="00AF09DB" w:rsidRPr="00720D9E" w:rsidRDefault="00AF09DB" w:rsidP="007C4E93">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thermal energy generation</w:t>
            </w:r>
          </w:p>
        </w:tc>
        <w:tc>
          <w:tcPr>
            <w:tcW w:w="1044" w:type="dxa"/>
            <w:vAlign w:val="center"/>
          </w:tcPr>
          <w:p w:rsidR="00AF09DB" w:rsidRPr="00720D9E" w:rsidRDefault="00AF09DB" w:rsidP="000C4219">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vAlign w:val="center"/>
          </w:tcPr>
          <w:p w:rsidR="00AF09DB" w:rsidRPr="00720D9E" w:rsidRDefault="00AF09DB" w:rsidP="000C4219">
            <w:pPr>
              <w:spacing w:line="240" w:lineRule="auto"/>
              <w:jc w:val="center"/>
              <w:rPr>
                <w:rFonts w:ascii="Arial" w:hAnsi="Arial"/>
                <w:sz w:val="20"/>
                <w:szCs w:val="20"/>
              </w:rPr>
            </w:pPr>
            <w:r w:rsidRPr="00720D9E">
              <w:rPr>
                <w:rFonts w:ascii="Arial" w:hAnsi="Arial"/>
                <w:sz w:val="20"/>
                <w:szCs w:val="20"/>
              </w:rPr>
              <w:t>P</w:t>
            </w:r>
          </w:p>
        </w:tc>
        <w:tc>
          <w:tcPr>
            <w:tcW w:w="1918" w:type="dxa"/>
            <w:vAlign w:val="center"/>
          </w:tcPr>
          <w:p w:rsidR="00AF09DB" w:rsidRPr="00720D9E" w:rsidRDefault="00AF09DB" w:rsidP="000C4219">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2E0768">
        <w:trPr>
          <w:cantSplit/>
          <w:trHeight w:val="200"/>
        </w:trPr>
        <w:tc>
          <w:tcPr>
            <w:tcW w:w="925" w:type="dxa"/>
            <w:vMerge w:val="restart"/>
            <w:vAlign w:val="center"/>
          </w:tcPr>
          <w:p w:rsidR="00AF09DB" w:rsidRPr="00720D9E" w:rsidRDefault="00AF09DB" w:rsidP="00827FC4">
            <w:pPr>
              <w:spacing w:line="240" w:lineRule="auto"/>
              <w:jc w:val="center"/>
              <w:rPr>
                <w:rFonts w:ascii="Arial" w:hAnsi="Arial"/>
                <w:sz w:val="20"/>
                <w:szCs w:val="20"/>
              </w:rPr>
            </w:pPr>
            <w:r w:rsidRPr="00720D9E">
              <w:rPr>
                <w:rFonts w:ascii="Arial" w:hAnsi="Arial"/>
                <w:sz w:val="20"/>
                <w:szCs w:val="20"/>
              </w:rPr>
              <w:t>8</w:t>
            </w:r>
          </w:p>
        </w:tc>
        <w:tc>
          <w:tcPr>
            <w:tcW w:w="3039" w:type="dxa"/>
            <w:vMerge w:val="restart"/>
            <w:vAlign w:val="center"/>
          </w:tcPr>
          <w:p w:rsidR="00AF09DB" w:rsidRPr="00720D9E" w:rsidRDefault="00AF09DB" w:rsidP="007C4E93">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flaring</w:t>
            </w:r>
          </w:p>
        </w:tc>
        <w:tc>
          <w:tcPr>
            <w:tcW w:w="1044" w:type="dxa"/>
            <w:vAlign w:val="center"/>
          </w:tcPr>
          <w:p w:rsidR="00AF09DB" w:rsidRPr="00720D9E" w:rsidRDefault="00AF09DB" w:rsidP="00DF50B0">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265" w:type="dxa"/>
            <w:vAlign w:val="center"/>
          </w:tcPr>
          <w:p w:rsidR="00AF09DB" w:rsidRPr="00720D9E" w:rsidRDefault="00AF09DB" w:rsidP="00DF50B0">
            <w:pPr>
              <w:spacing w:line="240" w:lineRule="auto"/>
              <w:jc w:val="center"/>
              <w:rPr>
                <w:rFonts w:ascii="Arial" w:hAnsi="Arial"/>
                <w:sz w:val="20"/>
                <w:szCs w:val="20"/>
              </w:rPr>
            </w:pPr>
            <w:r w:rsidRPr="00720D9E">
              <w:rPr>
                <w:rFonts w:ascii="Arial" w:hAnsi="Arial"/>
                <w:sz w:val="20"/>
                <w:szCs w:val="20"/>
              </w:rPr>
              <w:t>B, P</w:t>
            </w:r>
          </w:p>
        </w:tc>
        <w:tc>
          <w:tcPr>
            <w:tcW w:w="1918" w:type="dxa"/>
            <w:vAlign w:val="center"/>
          </w:tcPr>
          <w:p w:rsidR="00AF09DB" w:rsidRPr="00720D9E" w:rsidRDefault="00AF09DB" w:rsidP="00DF50B0">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2E0768">
        <w:trPr>
          <w:cantSplit/>
          <w:trHeight w:val="144"/>
        </w:trPr>
        <w:tc>
          <w:tcPr>
            <w:tcW w:w="925" w:type="dxa"/>
            <w:vMerge/>
            <w:vAlign w:val="center"/>
          </w:tcPr>
          <w:p w:rsidR="00AF09DB" w:rsidRPr="00720D9E" w:rsidRDefault="00AF09DB" w:rsidP="00DF50B0">
            <w:pPr>
              <w:spacing w:line="240" w:lineRule="auto"/>
              <w:jc w:val="center"/>
              <w:rPr>
                <w:rFonts w:ascii="Arial" w:hAnsi="Arial"/>
                <w:sz w:val="20"/>
                <w:szCs w:val="20"/>
              </w:rPr>
            </w:pPr>
          </w:p>
        </w:tc>
        <w:tc>
          <w:tcPr>
            <w:tcW w:w="3039" w:type="dxa"/>
            <w:vMerge/>
            <w:vAlign w:val="center"/>
          </w:tcPr>
          <w:p w:rsidR="00AF09DB" w:rsidRPr="00720D9E" w:rsidRDefault="00AF09DB" w:rsidP="00DF50B0">
            <w:pPr>
              <w:spacing w:line="240" w:lineRule="auto"/>
              <w:rPr>
                <w:rFonts w:ascii="Arial" w:hAnsi="Arial"/>
                <w:sz w:val="20"/>
                <w:szCs w:val="20"/>
              </w:rPr>
            </w:pPr>
          </w:p>
        </w:tc>
        <w:tc>
          <w:tcPr>
            <w:tcW w:w="1044" w:type="dxa"/>
            <w:vAlign w:val="center"/>
          </w:tcPr>
          <w:p w:rsidR="00AF09DB" w:rsidRPr="00720D9E" w:rsidRDefault="00AF09DB" w:rsidP="00DF50B0">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265" w:type="dxa"/>
            <w:vAlign w:val="center"/>
          </w:tcPr>
          <w:p w:rsidR="00AF09DB" w:rsidRPr="00720D9E" w:rsidRDefault="00AF09DB" w:rsidP="00DF50B0">
            <w:pPr>
              <w:spacing w:line="240" w:lineRule="auto"/>
              <w:jc w:val="center"/>
              <w:rPr>
                <w:rFonts w:ascii="Arial" w:hAnsi="Arial"/>
                <w:sz w:val="20"/>
                <w:szCs w:val="20"/>
              </w:rPr>
            </w:pPr>
            <w:r w:rsidRPr="00720D9E">
              <w:rPr>
                <w:rFonts w:ascii="Arial" w:hAnsi="Arial"/>
                <w:sz w:val="20"/>
                <w:szCs w:val="20"/>
              </w:rPr>
              <w:t>n/a</w:t>
            </w:r>
          </w:p>
        </w:tc>
        <w:tc>
          <w:tcPr>
            <w:tcW w:w="1918" w:type="dxa"/>
            <w:vAlign w:val="center"/>
          </w:tcPr>
          <w:p w:rsidR="00AF09DB" w:rsidRPr="00720D9E" w:rsidRDefault="00AF09DB" w:rsidP="00DF50B0">
            <w:pPr>
              <w:spacing w:line="240" w:lineRule="auto"/>
              <w:jc w:val="center"/>
              <w:rPr>
                <w:rFonts w:ascii="Arial" w:hAnsi="Arial"/>
                <w:sz w:val="20"/>
                <w:szCs w:val="20"/>
              </w:rPr>
            </w:pPr>
            <w:r w:rsidRPr="00720D9E">
              <w:rPr>
                <w:rFonts w:ascii="Arial" w:hAnsi="Arial"/>
                <w:sz w:val="20"/>
                <w:szCs w:val="20"/>
              </w:rPr>
              <w:t>Excluded</w:t>
            </w:r>
          </w:p>
        </w:tc>
      </w:tr>
      <w:tr w:rsidR="00AF09DB" w:rsidRPr="00720D9E" w:rsidTr="002E0768">
        <w:trPr>
          <w:cantSplit/>
          <w:trHeight w:val="144"/>
        </w:trPr>
        <w:tc>
          <w:tcPr>
            <w:tcW w:w="925" w:type="dxa"/>
            <w:vMerge/>
            <w:vAlign w:val="center"/>
          </w:tcPr>
          <w:p w:rsidR="00AF09DB" w:rsidRPr="00720D9E" w:rsidRDefault="00AF09DB" w:rsidP="00DF50B0">
            <w:pPr>
              <w:spacing w:line="240" w:lineRule="auto"/>
              <w:jc w:val="center"/>
              <w:rPr>
                <w:rFonts w:ascii="Arial" w:hAnsi="Arial"/>
                <w:sz w:val="20"/>
                <w:szCs w:val="20"/>
              </w:rPr>
            </w:pPr>
          </w:p>
        </w:tc>
        <w:tc>
          <w:tcPr>
            <w:tcW w:w="3039" w:type="dxa"/>
            <w:vAlign w:val="center"/>
          </w:tcPr>
          <w:p w:rsidR="00AF09DB" w:rsidRPr="00720D9E" w:rsidRDefault="00AF09DB" w:rsidP="007C4E93">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flaring</w:t>
            </w:r>
          </w:p>
        </w:tc>
        <w:tc>
          <w:tcPr>
            <w:tcW w:w="1044" w:type="dxa"/>
            <w:vAlign w:val="center"/>
          </w:tcPr>
          <w:p w:rsidR="00AF09DB" w:rsidRPr="00720D9E" w:rsidRDefault="00AF09DB" w:rsidP="00DF50B0">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vAlign w:val="center"/>
          </w:tcPr>
          <w:p w:rsidR="00AF09DB" w:rsidRPr="00720D9E" w:rsidRDefault="00AF09DB" w:rsidP="00DF50B0">
            <w:pPr>
              <w:spacing w:line="240" w:lineRule="auto"/>
              <w:jc w:val="center"/>
              <w:rPr>
                <w:rFonts w:ascii="Arial" w:hAnsi="Arial"/>
                <w:sz w:val="20"/>
                <w:szCs w:val="20"/>
              </w:rPr>
            </w:pPr>
            <w:r w:rsidRPr="00720D9E">
              <w:rPr>
                <w:rFonts w:ascii="Arial" w:hAnsi="Arial"/>
                <w:sz w:val="20"/>
                <w:szCs w:val="20"/>
              </w:rPr>
              <w:t>P</w:t>
            </w:r>
          </w:p>
        </w:tc>
        <w:tc>
          <w:tcPr>
            <w:tcW w:w="1918" w:type="dxa"/>
            <w:vAlign w:val="center"/>
          </w:tcPr>
          <w:p w:rsidR="00AF09DB" w:rsidRPr="00720D9E" w:rsidRDefault="00AF09DB" w:rsidP="00DF50B0">
            <w:pPr>
              <w:spacing w:line="240" w:lineRule="auto"/>
              <w:jc w:val="center"/>
              <w:rPr>
                <w:rFonts w:ascii="Arial" w:hAnsi="Arial"/>
                <w:sz w:val="20"/>
                <w:szCs w:val="20"/>
              </w:rPr>
            </w:pPr>
            <w:r w:rsidRPr="00720D9E">
              <w:rPr>
                <w:rFonts w:ascii="Arial" w:hAnsi="Arial"/>
                <w:sz w:val="20"/>
                <w:szCs w:val="20"/>
              </w:rPr>
              <w:t>Included</w:t>
            </w:r>
          </w:p>
        </w:tc>
      </w:tr>
      <w:tr w:rsidR="00AF09DB" w:rsidRPr="00720D9E" w:rsidTr="002E0768">
        <w:trPr>
          <w:cantSplit/>
          <w:trHeight w:val="576"/>
        </w:trPr>
        <w:tc>
          <w:tcPr>
            <w:tcW w:w="925" w:type="dxa"/>
            <w:vMerge w:val="restart"/>
            <w:shd w:val="clear" w:color="auto" w:fill="auto"/>
            <w:vAlign w:val="center"/>
          </w:tcPr>
          <w:p w:rsidR="00AF09DB" w:rsidRPr="00720D9E" w:rsidRDefault="00AF09DB" w:rsidP="004D74E6">
            <w:pPr>
              <w:jc w:val="center"/>
              <w:rPr>
                <w:rFonts w:ascii="Arial" w:hAnsi="Arial" w:cs="Arial"/>
                <w:sz w:val="20"/>
                <w:szCs w:val="20"/>
              </w:rPr>
            </w:pPr>
            <w:r w:rsidRPr="00720D9E">
              <w:rPr>
                <w:rFonts w:ascii="Arial" w:hAnsi="Arial" w:cs="Arial"/>
                <w:sz w:val="20"/>
                <w:szCs w:val="20"/>
              </w:rPr>
              <w:t>9</w:t>
            </w:r>
          </w:p>
        </w:tc>
        <w:tc>
          <w:tcPr>
            <w:tcW w:w="3039" w:type="dxa"/>
            <w:vMerge w:val="restart"/>
            <w:vAlign w:val="center"/>
          </w:tcPr>
          <w:p w:rsidR="00AF09DB" w:rsidRPr="00720D9E" w:rsidRDefault="00AF09DB" w:rsidP="00DE4A30">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resulting from pipeline injection</w:t>
            </w:r>
          </w:p>
        </w:tc>
        <w:tc>
          <w:tcPr>
            <w:tcW w:w="1044" w:type="dxa"/>
            <w:vAlign w:val="center"/>
          </w:tcPr>
          <w:p w:rsidR="00AF09DB" w:rsidRPr="00720D9E" w:rsidRDefault="00AF09DB" w:rsidP="000C52C0">
            <w:pPr>
              <w:spacing w:line="240" w:lineRule="auto"/>
              <w:jc w:val="center"/>
              <w:rPr>
                <w:rFonts w:ascii="Arial" w:hAnsi="Arial" w:cs="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265"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0C52C0">
            <w:pPr>
              <w:spacing w:line="240" w:lineRule="auto"/>
              <w:jc w:val="center"/>
              <w:rPr>
                <w:rFonts w:ascii="Arial" w:hAnsi="Arial" w:cs="Arial"/>
                <w:sz w:val="20"/>
                <w:szCs w:val="20"/>
              </w:rPr>
            </w:pPr>
            <w:r w:rsidRPr="00720D9E">
              <w:rPr>
                <w:rFonts w:ascii="Arial" w:hAnsi="Arial" w:cs="Arial"/>
                <w:sz w:val="20"/>
                <w:szCs w:val="20"/>
              </w:rPr>
              <w:t>Excluded</w:t>
            </w:r>
          </w:p>
        </w:tc>
      </w:tr>
      <w:tr w:rsidR="00AF09DB" w:rsidRPr="00720D9E" w:rsidTr="002E0768">
        <w:trPr>
          <w:cantSplit/>
          <w:trHeight w:val="144"/>
        </w:trPr>
        <w:tc>
          <w:tcPr>
            <w:tcW w:w="925" w:type="dxa"/>
            <w:vMerge/>
            <w:shd w:val="clear" w:color="auto" w:fill="auto"/>
            <w:vAlign w:val="center"/>
          </w:tcPr>
          <w:p w:rsidR="00AF09DB" w:rsidRPr="00720D9E" w:rsidRDefault="00AF09DB" w:rsidP="000C52C0">
            <w:pPr>
              <w:spacing w:line="240" w:lineRule="auto"/>
              <w:jc w:val="center"/>
              <w:rPr>
                <w:rFonts w:ascii="Arial" w:hAnsi="Arial"/>
                <w:sz w:val="20"/>
                <w:szCs w:val="20"/>
              </w:rPr>
            </w:pPr>
          </w:p>
        </w:tc>
        <w:tc>
          <w:tcPr>
            <w:tcW w:w="3039" w:type="dxa"/>
            <w:vMerge/>
            <w:shd w:val="clear" w:color="auto" w:fill="auto"/>
            <w:vAlign w:val="center"/>
          </w:tcPr>
          <w:p w:rsidR="00AF09DB" w:rsidRPr="00720D9E" w:rsidRDefault="00AF09DB" w:rsidP="000C52C0">
            <w:pPr>
              <w:spacing w:line="240" w:lineRule="auto"/>
              <w:rPr>
                <w:rFonts w:ascii="Arial" w:hAnsi="Arial"/>
                <w:sz w:val="20"/>
                <w:szCs w:val="20"/>
              </w:rPr>
            </w:pPr>
          </w:p>
        </w:tc>
        <w:tc>
          <w:tcPr>
            <w:tcW w:w="1044" w:type="dxa"/>
            <w:vAlign w:val="center"/>
          </w:tcPr>
          <w:p w:rsidR="00AF09DB" w:rsidRPr="00720D9E" w:rsidRDefault="00AF09DB" w:rsidP="000C52C0">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265" w:type="dxa"/>
            <w:vAlign w:val="center"/>
          </w:tcPr>
          <w:p w:rsidR="00AF09DB" w:rsidRPr="00720D9E" w:rsidRDefault="00AF09DB" w:rsidP="000C52C0">
            <w:pPr>
              <w:spacing w:line="240" w:lineRule="auto"/>
              <w:jc w:val="center"/>
              <w:rPr>
                <w:rFonts w:ascii="Arial" w:hAnsi="Arial"/>
                <w:sz w:val="20"/>
                <w:szCs w:val="20"/>
              </w:rPr>
            </w:pPr>
            <w:r w:rsidRPr="00720D9E">
              <w:rPr>
                <w:rFonts w:ascii="Arial" w:hAnsi="Arial"/>
                <w:sz w:val="20"/>
                <w:szCs w:val="20"/>
              </w:rPr>
              <w:t>n/a</w:t>
            </w:r>
          </w:p>
        </w:tc>
        <w:tc>
          <w:tcPr>
            <w:tcW w:w="1918" w:type="dxa"/>
            <w:vAlign w:val="center"/>
          </w:tcPr>
          <w:p w:rsidR="00AF09DB" w:rsidRPr="00720D9E" w:rsidRDefault="00AF09DB" w:rsidP="000C52C0">
            <w:pPr>
              <w:spacing w:line="240" w:lineRule="auto"/>
              <w:jc w:val="center"/>
              <w:rPr>
                <w:rFonts w:ascii="Arial" w:hAnsi="Arial"/>
                <w:sz w:val="20"/>
                <w:szCs w:val="20"/>
              </w:rPr>
            </w:pPr>
            <w:r w:rsidRPr="00720D9E">
              <w:rPr>
                <w:rFonts w:ascii="Arial" w:hAnsi="Arial" w:cs="Arial"/>
                <w:sz w:val="20"/>
                <w:szCs w:val="20"/>
              </w:rPr>
              <w:t>Excluded</w:t>
            </w:r>
          </w:p>
        </w:tc>
      </w:tr>
      <w:tr w:rsidR="00AF09DB" w:rsidRPr="00720D9E" w:rsidTr="002E0768">
        <w:trPr>
          <w:cantSplit/>
          <w:trHeight w:val="144"/>
        </w:trPr>
        <w:tc>
          <w:tcPr>
            <w:tcW w:w="925" w:type="dxa"/>
            <w:vMerge/>
            <w:shd w:val="clear" w:color="auto" w:fill="auto"/>
            <w:vAlign w:val="center"/>
          </w:tcPr>
          <w:p w:rsidR="00AF09DB" w:rsidRPr="00720D9E" w:rsidRDefault="00AF09DB" w:rsidP="000C52C0">
            <w:pPr>
              <w:spacing w:line="240" w:lineRule="auto"/>
              <w:jc w:val="center"/>
              <w:rPr>
                <w:rFonts w:ascii="Arial" w:hAnsi="Arial"/>
                <w:sz w:val="20"/>
                <w:szCs w:val="20"/>
              </w:rPr>
            </w:pPr>
          </w:p>
        </w:tc>
        <w:tc>
          <w:tcPr>
            <w:tcW w:w="3039" w:type="dxa"/>
            <w:shd w:val="clear" w:color="auto" w:fill="auto"/>
            <w:vAlign w:val="center"/>
          </w:tcPr>
          <w:p w:rsidR="00AF09DB" w:rsidRPr="00720D9E" w:rsidRDefault="00AF09DB" w:rsidP="00DE4A30">
            <w:pPr>
              <w:spacing w:line="240" w:lineRule="auto"/>
              <w:rPr>
                <w:rFonts w:ascii="Arial" w:hAnsi="Arial"/>
                <w:sz w:val="20"/>
                <w:szCs w:val="20"/>
              </w:rPr>
            </w:pPr>
            <w:r w:rsidRPr="00720D9E">
              <w:rPr>
                <w:rFonts w:ascii="Arial" w:hAnsi="Arial" w:cs="Arial"/>
                <w:sz w:val="20"/>
                <w:szCs w:val="20"/>
              </w:rPr>
              <w:t>Emissions resulting from the incomplete methane</w:t>
            </w:r>
            <w:r w:rsidRPr="00720D9E">
              <w:rPr>
                <w:rFonts w:ascii="Arial" w:hAnsi="Arial" w:cs="Arial"/>
                <w:sz w:val="20"/>
                <w:szCs w:val="20"/>
                <w:vertAlign w:val="subscript"/>
                <w:lang w:val="en-GB"/>
              </w:rPr>
              <w:t xml:space="preserve"> </w:t>
            </w:r>
            <w:r w:rsidRPr="00720D9E">
              <w:rPr>
                <w:rFonts w:ascii="Arial" w:hAnsi="Arial" w:cs="Arial"/>
                <w:sz w:val="20"/>
                <w:szCs w:val="20"/>
              </w:rPr>
              <w:t>combustion resulting from pipeline injection</w:t>
            </w:r>
          </w:p>
        </w:tc>
        <w:tc>
          <w:tcPr>
            <w:tcW w:w="1044" w:type="dxa"/>
            <w:vAlign w:val="center"/>
          </w:tcPr>
          <w:p w:rsidR="00AF09DB" w:rsidRPr="00720D9E" w:rsidRDefault="00AF09DB" w:rsidP="000C52C0">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vAlign w:val="center"/>
          </w:tcPr>
          <w:p w:rsidR="00AF09DB" w:rsidRPr="00720D9E" w:rsidRDefault="00AF09DB" w:rsidP="000C52C0">
            <w:pPr>
              <w:spacing w:line="240" w:lineRule="auto"/>
              <w:jc w:val="center"/>
              <w:rPr>
                <w:rFonts w:ascii="Arial" w:hAnsi="Arial"/>
                <w:sz w:val="20"/>
                <w:szCs w:val="20"/>
              </w:rPr>
            </w:pPr>
            <w:r w:rsidRPr="00720D9E">
              <w:rPr>
                <w:rFonts w:ascii="Arial" w:hAnsi="Arial" w:cs="Arial"/>
                <w:sz w:val="20"/>
                <w:szCs w:val="20"/>
              </w:rPr>
              <w:t>n/a</w:t>
            </w:r>
          </w:p>
        </w:tc>
        <w:tc>
          <w:tcPr>
            <w:tcW w:w="1918" w:type="dxa"/>
            <w:vAlign w:val="center"/>
          </w:tcPr>
          <w:p w:rsidR="00AF09DB" w:rsidRPr="00720D9E" w:rsidRDefault="00AF09DB" w:rsidP="000C52C0">
            <w:pPr>
              <w:spacing w:line="240" w:lineRule="auto"/>
              <w:jc w:val="center"/>
              <w:rPr>
                <w:rFonts w:ascii="Arial" w:hAnsi="Arial"/>
                <w:sz w:val="20"/>
                <w:szCs w:val="20"/>
              </w:rPr>
            </w:pPr>
            <w:r w:rsidRPr="00720D9E">
              <w:rPr>
                <w:rFonts w:ascii="Arial" w:hAnsi="Arial" w:cs="Arial"/>
                <w:sz w:val="20"/>
                <w:szCs w:val="20"/>
              </w:rPr>
              <w:t>Excluded</w:t>
            </w:r>
          </w:p>
        </w:tc>
      </w:tr>
      <w:tr w:rsidR="00AF09DB" w:rsidRPr="00720D9E" w:rsidTr="002E0768">
        <w:trPr>
          <w:cantSplit/>
          <w:trHeight w:val="333"/>
        </w:trPr>
        <w:tc>
          <w:tcPr>
            <w:tcW w:w="925" w:type="dxa"/>
            <w:vMerge w:val="restart"/>
            <w:shd w:val="clear" w:color="auto" w:fill="auto"/>
            <w:vAlign w:val="center"/>
          </w:tcPr>
          <w:p w:rsidR="00AF09DB" w:rsidRPr="00720D9E" w:rsidRDefault="00AF09DB" w:rsidP="004E26DC">
            <w:pPr>
              <w:spacing w:line="240" w:lineRule="auto"/>
              <w:jc w:val="center"/>
              <w:rPr>
                <w:rFonts w:ascii="Arial" w:hAnsi="Arial" w:cs="Arial"/>
                <w:sz w:val="20"/>
                <w:szCs w:val="20"/>
              </w:rPr>
            </w:pPr>
            <w:r w:rsidRPr="00720D9E">
              <w:rPr>
                <w:rFonts w:ascii="Arial" w:hAnsi="Arial" w:cs="Arial"/>
                <w:sz w:val="20"/>
                <w:szCs w:val="20"/>
              </w:rPr>
              <w:t>10</w:t>
            </w:r>
          </w:p>
        </w:tc>
        <w:tc>
          <w:tcPr>
            <w:tcW w:w="3039" w:type="dxa"/>
            <w:vMerge w:val="restart"/>
            <w:vAlign w:val="center"/>
          </w:tcPr>
          <w:p w:rsidR="00AF09DB" w:rsidRPr="00720D9E" w:rsidRDefault="00AF09DB" w:rsidP="00B734FE">
            <w:pPr>
              <w:spacing w:line="240" w:lineRule="auto"/>
              <w:rPr>
                <w:rFonts w:ascii="Arial" w:hAnsi="Arial" w:cs="Arial"/>
                <w:sz w:val="20"/>
                <w:szCs w:val="20"/>
              </w:rPr>
            </w:pPr>
            <w:r w:rsidRPr="00720D9E">
              <w:rPr>
                <w:rFonts w:ascii="Arial" w:hAnsi="Arial" w:cs="Arial"/>
                <w:sz w:val="20"/>
                <w:szCs w:val="20"/>
              </w:rPr>
              <w:t xml:space="preserve">Emissions from well drilling and </w:t>
            </w:r>
            <w:r w:rsidRPr="00720D9E">
              <w:rPr>
                <w:rFonts w:ascii="Arial" w:hAnsi="Arial" w:cs="Arial"/>
                <w:sz w:val="20"/>
                <w:szCs w:val="20"/>
              </w:rPr>
              <w:lastRenderedPageBreak/>
              <w:t>gas well completion</w:t>
            </w:r>
          </w:p>
        </w:tc>
        <w:tc>
          <w:tcPr>
            <w:tcW w:w="1044" w:type="dxa"/>
            <w:vAlign w:val="center"/>
          </w:tcPr>
          <w:p w:rsidR="00AF09DB" w:rsidRPr="00720D9E" w:rsidRDefault="00AF09DB" w:rsidP="004E26DC">
            <w:pPr>
              <w:spacing w:line="240" w:lineRule="auto"/>
              <w:jc w:val="center"/>
              <w:rPr>
                <w:rFonts w:ascii="Arial" w:hAnsi="Arial"/>
                <w:sz w:val="20"/>
                <w:szCs w:val="20"/>
                <w:lang w:val="en-GB"/>
              </w:rPr>
            </w:pPr>
            <w:r w:rsidRPr="00720D9E">
              <w:rPr>
                <w:rFonts w:ascii="Arial" w:hAnsi="Arial" w:cs="Arial"/>
                <w:sz w:val="20"/>
                <w:szCs w:val="20"/>
                <w:lang w:val="en-GB"/>
              </w:rPr>
              <w:lastRenderedPageBreak/>
              <w:t>CO</w:t>
            </w:r>
            <w:r w:rsidRPr="00720D9E">
              <w:rPr>
                <w:rFonts w:ascii="Arial" w:hAnsi="Arial" w:cs="Arial"/>
                <w:sz w:val="20"/>
                <w:szCs w:val="20"/>
                <w:vertAlign w:val="subscript"/>
                <w:lang w:val="en-GB"/>
              </w:rPr>
              <w:t>2</w:t>
            </w:r>
          </w:p>
        </w:tc>
        <w:tc>
          <w:tcPr>
            <w:tcW w:w="2265" w:type="dxa"/>
            <w:vAlign w:val="center"/>
          </w:tcPr>
          <w:p w:rsidR="00AF09DB" w:rsidRPr="00720D9E" w:rsidRDefault="00AF09DB" w:rsidP="004E26DC">
            <w:pPr>
              <w:spacing w:line="240" w:lineRule="auto"/>
              <w:jc w:val="center"/>
              <w:rPr>
                <w:rFonts w:ascii="Arial" w:hAnsi="Arial"/>
                <w:sz w:val="20"/>
                <w:szCs w:val="20"/>
              </w:rPr>
            </w:pPr>
            <w:r w:rsidRPr="00720D9E">
              <w:rPr>
                <w:rFonts w:ascii="Arial" w:hAnsi="Arial" w:cs="Arial"/>
                <w:sz w:val="20"/>
                <w:szCs w:val="20"/>
              </w:rPr>
              <w:t>n/a</w:t>
            </w:r>
          </w:p>
        </w:tc>
        <w:tc>
          <w:tcPr>
            <w:tcW w:w="1918" w:type="dxa"/>
            <w:vAlign w:val="center"/>
          </w:tcPr>
          <w:p w:rsidR="00AF09DB" w:rsidRPr="00720D9E" w:rsidRDefault="00AF09DB" w:rsidP="004E26DC">
            <w:pPr>
              <w:spacing w:line="240" w:lineRule="auto"/>
              <w:jc w:val="center"/>
              <w:rPr>
                <w:rFonts w:ascii="Arial" w:hAnsi="Arial"/>
                <w:sz w:val="20"/>
                <w:szCs w:val="20"/>
              </w:rPr>
            </w:pPr>
            <w:r w:rsidRPr="00720D9E">
              <w:rPr>
                <w:rFonts w:ascii="Arial" w:hAnsi="Arial" w:cs="Arial"/>
                <w:sz w:val="20"/>
                <w:szCs w:val="20"/>
              </w:rPr>
              <w:t>Excluded</w:t>
            </w:r>
          </w:p>
        </w:tc>
      </w:tr>
      <w:tr w:rsidR="00AF09DB" w:rsidRPr="00720D9E" w:rsidTr="002E0768">
        <w:trPr>
          <w:cantSplit/>
          <w:trHeight w:val="351"/>
        </w:trPr>
        <w:tc>
          <w:tcPr>
            <w:tcW w:w="925" w:type="dxa"/>
            <w:vMerge/>
            <w:shd w:val="clear" w:color="auto" w:fill="auto"/>
            <w:vAlign w:val="center"/>
          </w:tcPr>
          <w:p w:rsidR="00AF09DB" w:rsidRPr="00720D9E" w:rsidRDefault="00AF09DB" w:rsidP="004E26DC">
            <w:pPr>
              <w:spacing w:line="240" w:lineRule="auto"/>
              <w:jc w:val="center"/>
              <w:rPr>
                <w:sz w:val="20"/>
                <w:szCs w:val="20"/>
              </w:rPr>
            </w:pPr>
          </w:p>
        </w:tc>
        <w:tc>
          <w:tcPr>
            <w:tcW w:w="3039" w:type="dxa"/>
            <w:vMerge/>
            <w:vAlign w:val="center"/>
          </w:tcPr>
          <w:p w:rsidR="00AF09DB" w:rsidRPr="00720D9E" w:rsidRDefault="00AF09DB" w:rsidP="004E26DC">
            <w:pPr>
              <w:spacing w:line="240" w:lineRule="auto"/>
              <w:rPr>
                <w:rFonts w:ascii="Arial" w:hAnsi="Arial" w:cs="Arial"/>
                <w:sz w:val="20"/>
                <w:szCs w:val="20"/>
              </w:rPr>
            </w:pPr>
          </w:p>
        </w:tc>
        <w:tc>
          <w:tcPr>
            <w:tcW w:w="1044" w:type="dxa"/>
            <w:vAlign w:val="center"/>
          </w:tcPr>
          <w:p w:rsidR="00AF09DB" w:rsidRPr="00720D9E" w:rsidRDefault="00AF09DB" w:rsidP="004E26DC">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vAlign w:val="center"/>
          </w:tcPr>
          <w:p w:rsidR="00AF09DB" w:rsidRPr="00720D9E" w:rsidRDefault="00AF09DB" w:rsidP="004E26DC">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4E26DC">
            <w:pPr>
              <w:spacing w:line="240" w:lineRule="auto"/>
              <w:jc w:val="center"/>
              <w:rPr>
                <w:rFonts w:ascii="Arial" w:hAnsi="Arial"/>
                <w:sz w:val="20"/>
                <w:szCs w:val="20"/>
              </w:rPr>
            </w:pPr>
            <w:r w:rsidRPr="00720D9E">
              <w:rPr>
                <w:rFonts w:ascii="Arial" w:hAnsi="Arial" w:cs="Arial"/>
                <w:sz w:val="20"/>
                <w:szCs w:val="20"/>
              </w:rPr>
              <w:t>Excluded</w:t>
            </w:r>
          </w:p>
        </w:tc>
      </w:tr>
      <w:tr w:rsidR="00AF09DB" w:rsidRPr="00720D9E" w:rsidTr="002E0768">
        <w:trPr>
          <w:cantSplit/>
          <w:trHeight w:val="351"/>
        </w:trPr>
        <w:tc>
          <w:tcPr>
            <w:tcW w:w="925" w:type="dxa"/>
            <w:vMerge/>
            <w:shd w:val="clear" w:color="auto" w:fill="auto"/>
            <w:vAlign w:val="center"/>
          </w:tcPr>
          <w:p w:rsidR="00AF09DB" w:rsidRPr="00720D9E" w:rsidRDefault="00AF09DB" w:rsidP="004E26DC">
            <w:pPr>
              <w:spacing w:line="240" w:lineRule="auto"/>
              <w:jc w:val="center"/>
              <w:rPr>
                <w:sz w:val="20"/>
                <w:szCs w:val="20"/>
              </w:rPr>
            </w:pPr>
          </w:p>
        </w:tc>
        <w:tc>
          <w:tcPr>
            <w:tcW w:w="3039" w:type="dxa"/>
            <w:vMerge/>
            <w:vAlign w:val="center"/>
          </w:tcPr>
          <w:p w:rsidR="00AF09DB" w:rsidRPr="00720D9E" w:rsidRDefault="00AF09DB" w:rsidP="004E26DC">
            <w:pPr>
              <w:spacing w:line="240" w:lineRule="auto"/>
              <w:rPr>
                <w:rFonts w:ascii="Arial" w:hAnsi="Arial" w:cs="Arial"/>
                <w:sz w:val="20"/>
                <w:szCs w:val="20"/>
              </w:rPr>
            </w:pPr>
          </w:p>
        </w:tc>
        <w:tc>
          <w:tcPr>
            <w:tcW w:w="1044" w:type="dxa"/>
            <w:vAlign w:val="center"/>
          </w:tcPr>
          <w:p w:rsidR="00AF09DB" w:rsidRPr="00720D9E" w:rsidRDefault="00AF09DB" w:rsidP="004E26DC">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265" w:type="dxa"/>
            <w:vAlign w:val="center"/>
          </w:tcPr>
          <w:p w:rsidR="00AF09DB" w:rsidRPr="00720D9E" w:rsidRDefault="00AF09DB" w:rsidP="004E26DC">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4E26DC">
            <w:pPr>
              <w:spacing w:line="240" w:lineRule="auto"/>
              <w:jc w:val="center"/>
              <w:rPr>
                <w:rFonts w:ascii="Arial" w:hAnsi="Arial" w:cs="Arial"/>
                <w:sz w:val="20"/>
                <w:szCs w:val="20"/>
              </w:rPr>
            </w:pPr>
            <w:r w:rsidRPr="00720D9E">
              <w:rPr>
                <w:rFonts w:ascii="Arial" w:hAnsi="Arial" w:cs="Arial"/>
                <w:sz w:val="20"/>
                <w:szCs w:val="20"/>
              </w:rPr>
              <w:t>Excluded</w:t>
            </w:r>
          </w:p>
        </w:tc>
      </w:tr>
      <w:tr w:rsidR="00AF09DB" w:rsidRPr="00720D9E" w:rsidTr="002E0768">
        <w:trPr>
          <w:cantSplit/>
          <w:trHeight w:val="144"/>
        </w:trPr>
        <w:tc>
          <w:tcPr>
            <w:tcW w:w="925" w:type="dxa"/>
            <w:vMerge/>
            <w:shd w:val="clear" w:color="auto" w:fill="auto"/>
            <w:vAlign w:val="center"/>
          </w:tcPr>
          <w:p w:rsidR="00AF09DB" w:rsidRPr="00720D9E" w:rsidRDefault="00AF09DB" w:rsidP="004E26DC">
            <w:pPr>
              <w:spacing w:line="240" w:lineRule="auto"/>
              <w:jc w:val="center"/>
              <w:rPr>
                <w:sz w:val="20"/>
                <w:szCs w:val="20"/>
              </w:rPr>
            </w:pPr>
          </w:p>
        </w:tc>
        <w:tc>
          <w:tcPr>
            <w:tcW w:w="3039" w:type="dxa"/>
            <w:vAlign w:val="center"/>
          </w:tcPr>
          <w:p w:rsidR="00AF09DB" w:rsidRPr="00720D9E" w:rsidRDefault="00AF09DB" w:rsidP="004E26DC">
            <w:pPr>
              <w:spacing w:line="240" w:lineRule="auto"/>
              <w:rPr>
                <w:rFonts w:ascii="Arial" w:hAnsi="Arial" w:cs="Arial"/>
                <w:sz w:val="20"/>
                <w:szCs w:val="20"/>
              </w:rPr>
            </w:pPr>
            <w:r w:rsidRPr="00720D9E">
              <w:rPr>
                <w:rFonts w:ascii="Arial" w:hAnsi="Arial" w:cs="Arial"/>
                <w:sz w:val="20"/>
                <w:szCs w:val="20"/>
              </w:rPr>
              <w:t>Fugitive emissions  from well drilling and gas well completion</w:t>
            </w:r>
          </w:p>
        </w:tc>
        <w:tc>
          <w:tcPr>
            <w:tcW w:w="1044" w:type="dxa"/>
            <w:vAlign w:val="center"/>
          </w:tcPr>
          <w:p w:rsidR="00AF09DB" w:rsidRPr="00720D9E" w:rsidRDefault="00AF09DB" w:rsidP="004E26DC">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vAlign w:val="center"/>
          </w:tcPr>
          <w:p w:rsidR="00AF09DB" w:rsidRPr="00720D9E" w:rsidRDefault="00AF09DB" w:rsidP="004E26DC">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4E26DC">
            <w:pPr>
              <w:spacing w:line="240" w:lineRule="auto"/>
              <w:jc w:val="center"/>
              <w:rPr>
                <w:rFonts w:ascii="Arial" w:hAnsi="Arial" w:cs="Arial"/>
                <w:sz w:val="20"/>
                <w:szCs w:val="20"/>
              </w:rPr>
            </w:pPr>
            <w:r w:rsidRPr="00720D9E">
              <w:rPr>
                <w:rFonts w:ascii="Arial" w:hAnsi="Arial" w:cs="Arial"/>
                <w:sz w:val="20"/>
                <w:szCs w:val="20"/>
              </w:rPr>
              <w:t>Excluded</w:t>
            </w:r>
          </w:p>
        </w:tc>
      </w:tr>
      <w:tr w:rsidR="00AF09DB" w:rsidRPr="00720D9E" w:rsidTr="002E0768">
        <w:trPr>
          <w:cantSplit/>
          <w:trHeight w:val="378"/>
        </w:trPr>
        <w:tc>
          <w:tcPr>
            <w:tcW w:w="925" w:type="dxa"/>
            <w:vMerge w:val="restart"/>
            <w:shd w:val="clear" w:color="auto" w:fill="auto"/>
            <w:vAlign w:val="center"/>
          </w:tcPr>
          <w:p w:rsidR="00AF09DB" w:rsidRPr="00720D9E" w:rsidRDefault="00AF09DB" w:rsidP="004D74E6">
            <w:pPr>
              <w:spacing w:line="240" w:lineRule="auto"/>
              <w:jc w:val="center"/>
              <w:rPr>
                <w:rFonts w:ascii="Arial" w:hAnsi="Arial" w:cs="Arial"/>
                <w:sz w:val="20"/>
                <w:szCs w:val="20"/>
              </w:rPr>
            </w:pPr>
            <w:r w:rsidRPr="00720D9E">
              <w:rPr>
                <w:rFonts w:ascii="Arial" w:hAnsi="Arial" w:cs="Arial"/>
                <w:sz w:val="20"/>
                <w:szCs w:val="20"/>
              </w:rPr>
              <w:t>11</w:t>
            </w:r>
          </w:p>
        </w:tc>
        <w:tc>
          <w:tcPr>
            <w:tcW w:w="3039" w:type="dxa"/>
            <w:vMerge w:val="restart"/>
            <w:vAlign w:val="center"/>
          </w:tcPr>
          <w:p w:rsidR="00AF09DB" w:rsidRPr="00720D9E" w:rsidRDefault="00AF09DB" w:rsidP="000460C3">
            <w:pPr>
              <w:spacing w:line="240" w:lineRule="auto"/>
              <w:rPr>
                <w:rFonts w:ascii="Arial" w:hAnsi="Arial" w:cs="Arial"/>
                <w:sz w:val="20"/>
                <w:szCs w:val="20"/>
              </w:rPr>
            </w:pPr>
            <w:r w:rsidRPr="00720D9E">
              <w:rPr>
                <w:rFonts w:ascii="Arial" w:hAnsi="Arial" w:cs="Arial"/>
                <w:sz w:val="20"/>
                <w:szCs w:val="20"/>
              </w:rPr>
              <w:t>Emission reductions resulting from the displacement of fossil fuels or electricity</w:t>
            </w:r>
          </w:p>
        </w:tc>
        <w:tc>
          <w:tcPr>
            <w:tcW w:w="1044" w:type="dxa"/>
            <w:vAlign w:val="center"/>
          </w:tcPr>
          <w:p w:rsidR="00AF09DB" w:rsidRPr="00720D9E" w:rsidRDefault="00AF09DB" w:rsidP="0012224F">
            <w:pPr>
              <w:spacing w:line="240" w:lineRule="auto"/>
              <w:jc w:val="center"/>
              <w:rPr>
                <w:rFonts w:ascii="Arial" w:hAnsi="Arial" w:cs="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265" w:type="dxa"/>
            <w:vAlign w:val="center"/>
          </w:tcPr>
          <w:p w:rsidR="00AF09DB" w:rsidRPr="00720D9E" w:rsidRDefault="00AF09DB" w:rsidP="0012224F">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12224F">
            <w:pPr>
              <w:spacing w:line="240" w:lineRule="auto"/>
              <w:jc w:val="center"/>
              <w:rPr>
                <w:rFonts w:ascii="Arial" w:hAnsi="Arial"/>
                <w:sz w:val="20"/>
                <w:szCs w:val="20"/>
              </w:rPr>
            </w:pPr>
            <w:r w:rsidRPr="00720D9E">
              <w:rPr>
                <w:rFonts w:ascii="Arial" w:hAnsi="Arial" w:cs="Arial"/>
                <w:sz w:val="20"/>
                <w:szCs w:val="20"/>
              </w:rPr>
              <w:t>Excluded</w:t>
            </w:r>
          </w:p>
        </w:tc>
      </w:tr>
      <w:tr w:rsidR="00AF09DB" w:rsidRPr="00720D9E" w:rsidTr="002E0768">
        <w:trPr>
          <w:cantSplit/>
          <w:trHeight w:val="351"/>
        </w:trPr>
        <w:tc>
          <w:tcPr>
            <w:tcW w:w="925" w:type="dxa"/>
            <w:vMerge/>
            <w:shd w:val="clear" w:color="auto" w:fill="auto"/>
            <w:vAlign w:val="center"/>
          </w:tcPr>
          <w:p w:rsidR="00AF09DB" w:rsidRPr="00720D9E" w:rsidRDefault="00AF09DB" w:rsidP="000460C3">
            <w:pPr>
              <w:spacing w:line="240" w:lineRule="auto"/>
              <w:jc w:val="center"/>
              <w:rPr>
                <w:rFonts w:ascii="Arial" w:hAnsi="Arial" w:cs="Arial"/>
                <w:sz w:val="20"/>
                <w:szCs w:val="20"/>
              </w:rPr>
            </w:pPr>
          </w:p>
        </w:tc>
        <w:tc>
          <w:tcPr>
            <w:tcW w:w="3039" w:type="dxa"/>
            <w:vMerge/>
            <w:vAlign w:val="center"/>
          </w:tcPr>
          <w:p w:rsidR="00AF09DB" w:rsidRPr="00720D9E" w:rsidRDefault="00AF09DB" w:rsidP="000460C3">
            <w:pPr>
              <w:spacing w:line="240" w:lineRule="auto"/>
              <w:rPr>
                <w:rFonts w:ascii="Arial" w:hAnsi="Arial" w:cs="Arial"/>
                <w:sz w:val="20"/>
                <w:szCs w:val="20"/>
              </w:rPr>
            </w:pPr>
          </w:p>
        </w:tc>
        <w:tc>
          <w:tcPr>
            <w:tcW w:w="1044" w:type="dxa"/>
            <w:vAlign w:val="center"/>
          </w:tcPr>
          <w:p w:rsidR="00AF09DB" w:rsidRPr="00720D9E" w:rsidRDefault="00AF09DB" w:rsidP="000460C3">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265" w:type="dxa"/>
            <w:shd w:val="clear" w:color="auto" w:fill="auto"/>
            <w:vAlign w:val="center"/>
          </w:tcPr>
          <w:p w:rsidR="00AF09DB" w:rsidRPr="00720D9E" w:rsidRDefault="00AF09DB" w:rsidP="000460C3">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0460C3">
            <w:pPr>
              <w:spacing w:line="240" w:lineRule="auto"/>
              <w:jc w:val="center"/>
              <w:rPr>
                <w:rFonts w:ascii="Arial" w:hAnsi="Arial" w:cs="Arial"/>
                <w:sz w:val="20"/>
                <w:szCs w:val="20"/>
              </w:rPr>
            </w:pPr>
            <w:r w:rsidRPr="00720D9E">
              <w:rPr>
                <w:rFonts w:ascii="Arial" w:hAnsi="Arial" w:cs="Arial"/>
                <w:sz w:val="20"/>
                <w:szCs w:val="20"/>
              </w:rPr>
              <w:t>Excluded</w:t>
            </w:r>
          </w:p>
        </w:tc>
      </w:tr>
      <w:tr w:rsidR="00AF09DB" w:rsidRPr="00720D9E" w:rsidTr="002E0768">
        <w:trPr>
          <w:cantSplit/>
          <w:trHeight w:val="351"/>
        </w:trPr>
        <w:tc>
          <w:tcPr>
            <w:tcW w:w="925" w:type="dxa"/>
            <w:vMerge/>
            <w:shd w:val="clear" w:color="auto" w:fill="auto"/>
            <w:vAlign w:val="center"/>
          </w:tcPr>
          <w:p w:rsidR="00AF09DB" w:rsidRPr="00720D9E" w:rsidRDefault="00AF09DB" w:rsidP="000460C3">
            <w:pPr>
              <w:spacing w:line="240" w:lineRule="auto"/>
              <w:jc w:val="center"/>
              <w:rPr>
                <w:rFonts w:ascii="Arial" w:hAnsi="Arial" w:cs="Arial"/>
                <w:sz w:val="20"/>
                <w:szCs w:val="20"/>
              </w:rPr>
            </w:pPr>
          </w:p>
        </w:tc>
        <w:tc>
          <w:tcPr>
            <w:tcW w:w="3039" w:type="dxa"/>
            <w:vMerge/>
            <w:vAlign w:val="center"/>
          </w:tcPr>
          <w:p w:rsidR="00AF09DB" w:rsidRPr="00720D9E" w:rsidRDefault="00AF09DB" w:rsidP="000460C3">
            <w:pPr>
              <w:spacing w:line="240" w:lineRule="auto"/>
              <w:rPr>
                <w:rFonts w:ascii="Arial" w:hAnsi="Arial" w:cs="Arial"/>
                <w:sz w:val="20"/>
                <w:szCs w:val="20"/>
              </w:rPr>
            </w:pPr>
          </w:p>
        </w:tc>
        <w:tc>
          <w:tcPr>
            <w:tcW w:w="1044" w:type="dxa"/>
            <w:vAlign w:val="center"/>
          </w:tcPr>
          <w:p w:rsidR="00AF09DB" w:rsidRPr="00720D9E" w:rsidRDefault="00AF09DB" w:rsidP="000460C3">
            <w:pPr>
              <w:spacing w:line="240" w:lineRule="auto"/>
              <w:jc w:val="center"/>
              <w:rPr>
                <w:rFonts w:ascii="Arial" w:hAnsi="Arial" w:cs="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265" w:type="dxa"/>
            <w:shd w:val="clear" w:color="auto" w:fill="auto"/>
            <w:vAlign w:val="center"/>
          </w:tcPr>
          <w:p w:rsidR="00AF09DB" w:rsidRPr="00720D9E" w:rsidRDefault="00AF09DB" w:rsidP="000460C3">
            <w:pPr>
              <w:spacing w:line="240" w:lineRule="auto"/>
              <w:jc w:val="center"/>
              <w:rPr>
                <w:rFonts w:ascii="Arial" w:hAnsi="Arial" w:cs="Arial"/>
                <w:sz w:val="20"/>
                <w:szCs w:val="20"/>
              </w:rPr>
            </w:pPr>
            <w:r w:rsidRPr="00720D9E">
              <w:rPr>
                <w:rFonts w:ascii="Arial" w:hAnsi="Arial" w:cs="Arial"/>
                <w:sz w:val="20"/>
                <w:szCs w:val="20"/>
              </w:rPr>
              <w:t>n/a</w:t>
            </w:r>
          </w:p>
        </w:tc>
        <w:tc>
          <w:tcPr>
            <w:tcW w:w="1918" w:type="dxa"/>
            <w:vAlign w:val="center"/>
          </w:tcPr>
          <w:p w:rsidR="00AF09DB" w:rsidRPr="00720D9E" w:rsidRDefault="00AF09DB" w:rsidP="000460C3">
            <w:pPr>
              <w:spacing w:line="240" w:lineRule="auto"/>
              <w:jc w:val="center"/>
              <w:rPr>
                <w:rFonts w:ascii="Arial" w:hAnsi="Arial" w:cs="Arial"/>
                <w:sz w:val="20"/>
                <w:szCs w:val="20"/>
              </w:rPr>
            </w:pPr>
            <w:r w:rsidRPr="00720D9E">
              <w:rPr>
                <w:rFonts w:ascii="Arial" w:hAnsi="Arial" w:cs="Arial"/>
                <w:sz w:val="20"/>
                <w:szCs w:val="20"/>
              </w:rPr>
              <w:t>Excluded</w:t>
            </w:r>
          </w:p>
        </w:tc>
      </w:tr>
    </w:tbl>
    <w:p w:rsidR="00037C40" w:rsidRPr="00720D9E" w:rsidRDefault="00037C40" w:rsidP="00037C40">
      <w:pPr>
        <w:pStyle w:val="Heading2"/>
      </w:pPr>
      <w:bookmarkStart w:id="27" w:name="_Toc364243201"/>
      <w:r w:rsidRPr="00720D9E">
        <w:t xml:space="preserve">§ </w:t>
      </w:r>
      <w:r w:rsidR="00926183" w:rsidRPr="00720D9E">
        <w:t>4.3</w:t>
      </w:r>
      <w:r w:rsidRPr="00720D9E">
        <w:t xml:space="preserve">. </w:t>
      </w:r>
      <w:r w:rsidR="00D02ED4" w:rsidRPr="00720D9E">
        <w:t xml:space="preserve">Active Surface Mine Methane Drainage </w:t>
      </w:r>
      <w:r w:rsidR="00DC1B0A" w:rsidRPr="00720D9E">
        <w:t>Activities</w:t>
      </w:r>
      <w:r w:rsidRPr="00720D9E">
        <w:t>.</w:t>
      </w:r>
      <w:bookmarkEnd w:id="27"/>
    </w:p>
    <w:p w:rsidR="00037C40" w:rsidRPr="00720D9E" w:rsidRDefault="00926183" w:rsidP="00DC7C4C">
      <w:pPr>
        <w:pStyle w:val="ListParagraph"/>
        <w:numPr>
          <w:ilvl w:val="0"/>
          <w:numId w:val="24"/>
        </w:numPr>
        <w:ind w:hanging="720"/>
      </w:pPr>
      <w:r w:rsidRPr="00720D9E">
        <w:t>Figure 4</w:t>
      </w:r>
      <w:r w:rsidR="00037C40" w:rsidRPr="00720D9E">
        <w:t xml:space="preserve">.3 illustrates the GHG assessment boundary for active surface mine methane drainage </w:t>
      </w:r>
      <w:r w:rsidR="00DC1B0A" w:rsidRPr="00720D9E">
        <w:t>activities</w:t>
      </w:r>
      <w:r w:rsidR="00037C40" w:rsidRPr="00720D9E">
        <w:t xml:space="preserve">, indicating which SSRs are included or excluded from the offset project boundary. </w:t>
      </w:r>
    </w:p>
    <w:p w:rsidR="00037C40" w:rsidRPr="00720D9E" w:rsidRDefault="00037C40" w:rsidP="00DC7C4C">
      <w:pPr>
        <w:pStyle w:val="ListParagraph"/>
        <w:numPr>
          <w:ilvl w:val="1"/>
          <w:numId w:val="24"/>
        </w:numPr>
      </w:pPr>
      <w:r w:rsidRPr="00720D9E">
        <w:t>All SSRs within the bold line are included and must be accounted for under this protocol.</w:t>
      </w:r>
    </w:p>
    <w:p w:rsidR="00037C40" w:rsidRPr="00720D9E" w:rsidRDefault="00037C40" w:rsidP="00DC7C4C">
      <w:pPr>
        <w:pStyle w:val="ListParagraph"/>
        <w:numPr>
          <w:ilvl w:val="1"/>
          <w:numId w:val="24"/>
        </w:numPr>
      </w:pPr>
      <w:r w:rsidRPr="00720D9E">
        <w:t>SSRs in unshaded boxes are relevant to the baseline and project emissions.</w:t>
      </w:r>
    </w:p>
    <w:p w:rsidR="00037C40" w:rsidRPr="00720D9E" w:rsidRDefault="00037C40" w:rsidP="00DC7C4C">
      <w:pPr>
        <w:pStyle w:val="ListParagraph"/>
        <w:numPr>
          <w:ilvl w:val="1"/>
          <w:numId w:val="24"/>
        </w:numPr>
        <w:rPr>
          <w:rStyle w:val="Heading6Char"/>
        </w:rPr>
      </w:pPr>
      <w:r w:rsidRPr="00720D9E">
        <w:t>SSRs in shaded boxes are relevant only to the project emissions.</w:t>
      </w:r>
    </w:p>
    <w:p w:rsidR="00037C40" w:rsidRPr="00720D9E" w:rsidRDefault="00926183" w:rsidP="00037C40">
      <w:pPr>
        <w:pStyle w:val="Heading3"/>
      </w:pPr>
      <w:bookmarkStart w:id="28" w:name="_Toc364243202"/>
      <w:r w:rsidRPr="00720D9E">
        <w:rPr>
          <w:rStyle w:val="Heading6Char"/>
          <w:b/>
          <w:sz w:val="24"/>
        </w:rPr>
        <w:t>Figure 4</w:t>
      </w:r>
      <w:r w:rsidR="00037C40" w:rsidRPr="00720D9E">
        <w:rPr>
          <w:rStyle w:val="Heading6Char"/>
          <w:b/>
          <w:sz w:val="24"/>
        </w:rPr>
        <w:t>.3.</w:t>
      </w:r>
      <w:r w:rsidR="00037C40" w:rsidRPr="00720D9E">
        <w:t xml:space="preserve"> Illustration of the greenhouse gas assessment boundary for active surface mine methane drainage </w:t>
      </w:r>
      <w:r w:rsidR="00DC1B0A" w:rsidRPr="00720D9E">
        <w:t>activities</w:t>
      </w:r>
      <w:r w:rsidR="00037C40" w:rsidRPr="00720D9E">
        <w:t>.</w:t>
      </w:r>
      <w:bookmarkEnd w:id="28"/>
    </w:p>
    <w:p w:rsidR="00037C40" w:rsidRPr="00720D9E" w:rsidRDefault="002F7F96" w:rsidP="00037C40">
      <w:pPr>
        <w:rPr>
          <w:i/>
        </w:rPr>
      </w:pPr>
      <w:r w:rsidRPr="00720D9E">
        <w:rPr>
          <w:i/>
          <w:noProof/>
        </w:rPr>
        <w:drawing>
          <wp:inline distT="0" distB="0" distL="0" distR="0" wp14:anchorId="56B9FFBE" wp14:editId="3894F590">
            <wp:extent cx="5943600" cy="3662218"/>
            <wp:effectExtent l="0" t="0" r="0" b="0"/>
            <wp:docPr id="18" name="Picture 18" descr="C:\Users\jbede\Desktop\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jbede\Desktop\AS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62218"/>
                    </a:xfrm>
                    <a:prstGeom prst="rect">
                      <a:avLst/>
                    </a:prstGeom>
                    <a:noFill/>
                    <a:ln>
                      <a:noFill/>
                    </a:ln>
                  </pic:spPr>
                </pic:pic>
              </a:graphicData>
            </a:graphic>
          </wp:inline>
        </w:drawing>
      </w:r>
    </w:p>
    <w:p w:rsidR="002F7F96" w:rsidRPr="00720D9E" w:rsidRDefault="002F7F96" w:rsidP="00037C40">
      <w:pPr>
        <w:rPr>
          <w:i/>
        </w:rPr>
      </w:pPr>
    </w:p>
    <w:p w:rsidR="00037C40" w:rsidRPr="00720D9E" w:rsidRDefault="00037C40" w:rsidP="00DC7C4C">
      <w:pPr>
        <w:pStyle w:val="ListParagraph"/>
        <w:numPr>
          <w:ilvl w:val="0"/>
          <w:numId w:val="24"/>
        </w:numPr>
        <w:ind w:hanging="720"/>
      </w:pPr>
      <w:r w:rsidRPr="00720D9E">
        <w:t xml:space="preserve">Table </w:t>
      </w:r>
      <w:r w:rsidR="00926183" w:rsidRPr="00720D9E">
        <w:t>4</w:t>
      </w:r>
      <w:r w:rsidRPr="00720D9E">
        <w:t xml:space="preserve">.3 lists the SSRs for active surface mine methane drainage </w:t>
      </w:r>
      <w:r w:rsidR="00DC1B0A" w:rsidRPr="00720D9E">
        <w:t>activities</w:t>
      </w:r>
      <w:r w:rsidRPr="00720D9E">
        <w:t>, indicating which gases are included or excluded from the offset project boundary.</w:t>
      </w:r>
    </w:p>
    <w:p w:rsidR="00037C40" w:rsidRPr="00720D9E" w:rsidRDefault="00037C40" w:rsidP="00037C40">
      <w:pPr>
        <w:pStyle w:val="Heading3"/>
      </w:pPr>
      <w:bookmarkStart w:id="29" w:name="_Toc364243203"/>
      <w:r w:rsidRPr="00720D9E">
        <w:rPr>
          <w:rStyle w:val="Heading6Char"/>
          <w:b/>
          <w:sz w:val="24"/>
        </w:rPr>
        <w:t xml:space="preserve">Table </w:t>
      </w:r>
      <w:r w:rsidR="00926183" w:rsidRPr="00720D9E">
        <w:rPr>
          <w:rStyle w:val="Heading6Char"/>
          <w:b/>
          <w:sz w:val="24"/>
        </w:rPr>
        <w:t>4</w:t>
      </w:r>
      <w:r w:rsidRPr="00720D9E">
        <w:rPr>
          <w:rStyle w:val="Heading6Char"/>
          <w:b/>
          <w:sz w:val="24"/>
        </w:rPr>
        <w:t>.3.</w:t>
      </w:r>
      <w:r w:rsidRPr="00720D9E">
        <w:t xml:space="preserve"> List of the greenhouse gas sinks, sources, and reservoirs for active surface mine methane drainage </w:t>
      </w:r>
      <w:r w:rsidR="00DC1B0A" w:rsidRPr="00720D9E">
        <w:t>activities</w:t>
      </w:r>
      <w:r w:rsidRPr="00720D9E">
        <w:t>.</w:t>
      </w:r>
      <w:bookmarkEnd w:id="29"/>
    </w:p>
    <w:tbl>
      <w:tblPr>
        <w:tblStyle w:val="TableGrid"/>
        <w:tblpPr w:leftFromText="180" w:rightFromText="180" w:vertAnchor="text" w:tblpY="1"/>
        <w:tblOverlap w:val="never"/>
        <w:tblW w:w="9371" w:type="dxa"/>
        <w:tblInd w:w="108" w:type="dxa"/>
        <w:tblLayout w:type="fixed"/>
        <w:tblLook w:val="04A0" w:firstRow="1" w:lastRow="0" w:firstColumn="1" w:lastColumn="0" w:noHBand="0" w:noVBand="1"/>
      </w:tblPr>
      <w:tblGrid>
        <w:gridCol w:w="1052"/>
        <w:gridCol w:w="3206"/>
        <w:gridCol w:w="1122"/>
        <w:gridCol w:w="2060"/>
        <w:gridCol w:w="1931"/>
      </w:tblGrid>
      <w:tr w:rsidR="00A05BDD" w:rsidRPr="00720D9E" w:rsidTr="00A05BDD">
        <w:trPr>
          <w:cantSplit/>
          <w:trHeight w:val="144"/>
        </w:trPr>
        <w:tc>
          <w:tcPr>
            <w:tcW w:w="1052" w:type="dxa"/>
            <w:shd w:val="pct12" w:color="auto" w:fill="auto"/>
            <w:vAlign w:val="center"/>
          </w:tcPr>
          <w:p w:rsidR="00A05BDD" w:rsidRPr="00720D9E" w:rsidRDefault="00A05BDD" w:rsidP="000A4F31">
            <w:pPr>
              <w:spacing w:line="240" w:lineRule="auto"/>
              <w:jc w:val="center"/>
              <w:rPr>
                <w:rFonts w:ascii="Arial" w:hAnsi="Arial" w:cs="Arial"/>
                <w:b/>
                <w:sz w:val="20"/>
                <w:szCs w:val="20"/>
              </w:rPr>
            </w:pPr>
            <w:r w:rsidRPr="00720D9E">
              <w:rPr>
                <w:rFonts w:ascii="Arial" w:hAnsi="Arial" w:cs="Arial"/>
                <w:b/>
                <w:sz w:val="20"/>
                <w:szCs w:val="20"/>
              </w:rPr>
              <w:t>SSR</w:t>
            </w:r>
          </w:p>
        </w:tc>
        <w:tc>
          <w:tcPr>
            <w:tcW w:w="3206" w:type="dxa"/>
            <w:shd w:val="pct12" w:color="auto" w:fill="auto"/>
            <w:vAlign w:val="center"/>
          </w:tcPr>
          <w:p w:rsidR="00A05BDD" w:rsidRPr="00720D9E" w:rsidRDefault="00A05BDD" w:rsidP="000A4F31">
            <w:pPr>
              <w:spacing w:line="240" w:lineRule="auto"/>
              <w:jc w:val="center"/>
              <w:rPr>
                <w:rFonts w:ascii="Arial" w:hAnsi="Arial" w:cs="Arial"/>
                <w:b/>
                <w:sz w:val="20"/>
                <w:szCs w:val="20"/>
              </w:rPr>
            </w:pPr>
            <w:r w:rsidRPr="00720D9E">
              <w:rPr>
                <w:rFonts w:ascii="Arial" w:hAnsi="Arial" w:cs="Arial"/>
                <w:b/>
                <w:sz w:val="20"/>
                <w:szCs w:val="20"/>
              </w:rPr>
              <w:t>Description</w:t>
            </w:r>
          </w:p>
        </w:tc>
        <w:tc>
          <w:tcPr>
            <w:tcW w:w="1122" w:type="dxa"/>
            <w:shd w:val="pct12" w:color="auto" w:fill="auto"/>
            <w:vAlign w:val="center"/>
          </w:tcPr>
          <w:p w:rsidR="00A05BDD" w:rsidRPr="00720D9E" w:rsidRDefault="00A05BDD" w:rsidP="000A4F31">
            <w:pPr>
              <w:spacing w:line="240" w:lineRule="auto"/>
              <w:jc w:val="center"/>
              <w:rPr>
                <w:rFonts w:ascii="Arial" w:hAnsi="Arial" w:cs="Arial"/>
                <w:b/>
                <w:sz w:val="20"/>
                <w:szCs w:val="20"/>
              </w:rPr>
            </w:pPr>
            <w:r w:rsidRPr="00720D9E">
              <w:rPr>
                <w:rFonts w:ascii="Arial" w:hAnsi="Arial" w:cs="Arial"/>
                <w:b/>
                <w:sz w:val="20"/>
                <w:szCs w:val="20"/>
              </w:rPr>
              <w:t>GHG</w:t>
            </w:r>
          </w:p>
        </w:tc>
        <w:tc>
          <w:tcPr>
            <w:tcW w:w="2060" w:type="dxa"/>
            <w:shd w:val="pct12" w:color="auto" w:fill="auto"/>
            <w:vAlign w:val="center"/>
          </w:tcPr>
          <w:p w:rsidR="00A05BDD" w:rsidRPr="00720D9E" w:rsidRDefault="00A05BDD" w:rsidP="000A4F31">
            <w:pPr>
              <w:spacing w:line="240" w:lineRule="auto"/>
              <w:jc w:val="center"/>
              <w:rPr>
                <w:rFonts w:ascii="Arial" w:hAnsi="Arial" w:cs="Arial"/>
                <w:b/>
                <w:sz w:val="20"/>
                <w:szCs w:val="20"/>
              </w:rPr>
            </w:pPr>
            <w:r w:rsidRPr="00720D9E">
              <w:rPr>
                <w:rFonts w:ascii="Arial" w:hAnsi="Arial" w:cs="Arial"/>
                <w:b/>
                <w:sz w:val="20"/>
                <w:szCs w:val="20"/>
              </w:rPr>
              <w:t>Relevant to Baseline (B) or Project (P)</w:t>
            </w:r>
          </w:p>
        </w:tc>
        <w:tc>
          <w:tcPr>
            <w:tcW w:w="1931" w:type="dxa"/>
            <w:shd w:val="pct12" w:color="auto" w:fill="auto"/>
            <w:vAlign w:val="center"/>
          </w:tcPr>
          <w:p w:rsidR="00A05BDD" w:rsidRPr="00720D9E" w:rsidRDefault="00A05BDD" w:rsidP="000A4F31">
            <w:pPr>
              <w:spacing w:line="240" w:lineRule="auto"/>
              <w:jc w:val="center"/>
              <w:rPr>
                <w:rFonts w:ascii="Arial" w:hAnsi="Arial" w:cs="Arial"/>
                <w:b/>
                <w:sz w:val="20"/>
                <w:szCs w:val="20"/>
              </w:rPr>
            </w:pPr>
            <w:r w:rsidRPr="00720D9E">
              <w:rPr>
                <w:rFonts w:ascii="Arial" w:hAnsi="Arial" w:cs="Arial"/>
                <w:b/>
                <w:sz w:val="20"/>
                <w:szCs w:val="20"/>
              </w:rPr>
              <w:t>Included/ Excluded</w:t>
            </w:r>
          </w:p>
        </w:tc>
      </w:tr>
      <w:tr w:rsidR="00A05BDD" w:rsidRPr="00720D9E" w:rsidTr="00A05BDD">
        <w:trPr>
          <w:cantSplit/>
          <w:trHeight w:val="144"/>
        </w:trPr>
        <w:tc>
          <w:tcPr>
            <w:tcW w:w="1052"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1</w:t>
            </w:r>
          </w:p>
        </w:tc>
        <w:tc>
          <w:tcPr>
            <w:tcW w:w="3206" w:type="dxa"/>
            <w:vAlign w:val="center"/>
          </w:tcPr>
          <w:p w:rsidR="00A05BDD" w:rsidRPr="00720D9E" w:rsidRDefault="00A05BDD" w:rsidP="006623BF">
            <w:pPr>
              <w:spacing w:line="240" w:lineRule="auto"/>
              <w:rPr>
                <w:rFonts w:ascii="Arial" w:hAnsi="Arial" w:cs="Arial"/>
                <w:sz w:val="20"/>
                <w:szCs w:val="20"/>
              </w:rPr>
            </w:pPr>
            <w:r w:rsidRPr="00720D9E">
              <w:rPr>
                <w:rFonts w:ascii="Arial" w:hAnsi="Arial" w:cs="Arial"/>
                <w:sz w:val="20"/>
                <w:szCs w:val="20"/>
              </w:rPr>
              <w:t>Emissions from the venting of mine methane during the mining process</w:t>
            </w:r>
          </w:p>
        </w:tc>
        <w:tc>
          <w:tcPr>
            <w:tcW w:w="1122"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B, P</w:t>
            </w:r>
          </w:p>
        </w:tc>
        <w:tc>
          <w:tcPr>
            <w:tcW w:w="1931"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Included</w:t>
            </w:r>
          </w:p>
        </w:tc>
      </w:tr>
      <w:tr w:rsidR="00A05BDD" w:rsidRPr="00720D9E" w:rsidTr="00A05BDD">
        <w:trPr>
          <w:cantSplit/>
          <w:trHeight w:val="243"/>
        </w:trPr>
        <w:tc>
          <w:tcPr>
            <w:tcW w:w="1052" w:type="dxa"/>
            <w:vMerge w:val="restart"/>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2</w:t>
            </w:r>
          </w:p>
        </w:tc>
        <w:tc>
          <w:tcPr>
            <w:tcW w:w="3206" w:type="dxa"/>
            <w:vMerge w:val="restart"/>
            <w:vAlign w:val="center"/>
          </w:tcPr>
          <w:p w:rsidR="00A05BDD" w:rsidRPr="00720D9E" w:rsidRDefault="00A05BDD" w:rsidP="00082CFA">
            <w:pPr>
              <w:spacing w:line="240" w:lineRule="auto"/>
              <w:rPr>
                <w:rFonts w:ascii="Arial" w:hAnsi="Arial" w:cs="Arial"/>
                <w:sz w:val="20"/>
                <w:szCs w:val="20"/>
              </w:rPr>
            </w:pPr>
            <w:r w:rsidRPr="00720D9E">
              <w:rPr>
                <w:rFonts w:ascii="Arial" w:hAnsi="Arial" w:cs="Arial"/>
                <w:sz w:val="20"/>
                <w:szCs w:val="20"/>
              </w:rPr>
              <w:t>Emissions resulting from energy consumed to operate equipment used to capture, process and/or enrich drained mine gas</w:t>
            </w:r>
          </w:p>
        </w:tc>
        <w:tc>
          <w:tcPr>
            <w:tcW w:w="1122"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60" w:type="dxa"/>
            <w:shd w:val="clear" w:color="auto" w:fill="auto"/>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P</w:t>
            </w:r>
          </w:p>
          <w:p w:rsidR="00A05BDD" w:rsidRPr="00720D9E" w:rsidRDefault="00A05BDD" w:rsidP="000C52C0">
            <w:pPr>
              <w:rPr>
                <w:rFonts w:ascii="Arial" w:hAnsi="Arial" w:cs="Arial"/>
                <w:sz w:val="20"/>
                <w:szCs w:val="20"/>
              </w:rPr>
            </w:pPr>
          </w:p>
        </w:tc>
        <w:tc>
          <w:tcPr>
            <w:tcW w:w="1931"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Included</w:t>
            </w:r>
          </w:p>
        </w:tc>
      </w:tr>
      <w:tr w:rsidR="00A05BDD" w:rsidRPr="00720D9E" w:rsidTr="00A05BDD">
        <w:trPr>
          <w:cantSplit/>
          <w:trHeight w:val="378"/>
        </w:trPr>
        <w:tc>
          <w:tcPr>
            <w:tcW w:w="1052" w:type="dxa"/>
            <w:vMerge/>
            <w:vAlign w:val="center"/>
          </w:tcPr>
          <w:p w:rsidR="00A05BDD" w:rsidRPr="00720D9E" w:rsidRDefault="00A05BDD" w:rsidP="000C52C0">
            <w:pPr>
              <w:spacing w:line="240" w:lineRule="auto"/>
              <w:jc w:val="center"/>
              <w:rPr>
                <w:rFonts w:ascii="Arial" w:hAnsi="Arial" w:cs="Arial"/>
                <w:sz w:val="20"/>
                <w:szCs w:val="20"/>
              </w:rPr>
            </w:pPr>
          </w:p>
        </w:tc>
        <w:tc>
          <w:tcPr>
            <w:tcW w:w="3206" w:type="dxa"/>
            <w:vMerge/>
            <w:vAlign w:val="center"/>
          </w:tcPr>
          <w:p w:rsidR="00A05BDD" w:rsidRPr="00720D9E" w:rsidRDefault="00A05BDD" w:rsidP="000C52C0">
            <w:pPr>
              <w:spacing w:line="240" w:lineRule="auto"/>
              <w:rPr>
                <w:rFonts w:ascii="Arial" w:hAnsi="Arial" w:cs="Arial"/>
                <w:sz w:val="20"/>
                <w:szCs w:val="20"/>
              </w:rPr>
            </w:pPr>
          </w:p>
        </w:tc>
        <w:tc>
          <w:tcPr>
            <w:tcW w:w="1122"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shd w:val="clear" w:color="auto" w:fill="auto"/>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n/a</w:t>
            </w:r>
          </w:p>
        </w:tc>
        <w:tc>
          <w:tcPr>
            <w:tcW w:w="1931"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cantSplit/>
          <w:trHeight w:val="225"/>
        </w:trPr>
        <w:tc>
          <w:tcPr>
            <w:tcW w:w="1052" w:type="dxa"/>
            <w:vMerge/>
            <w:vAlign w:val="center"/>
          </w:tcPr>
          <w:p w:rsidR="00A05BDD" w:rsidRPr="00720D9E" w:rsidRDefault="00A05BDD" w:rsidP="000C52C0">
            <w:pPr>
              <w:spacing w:line="240" w:lineRule="auto"/>
              <w:jc w:val="center"/>
              <w:rPr>
                <w:rFonts w:ascii="Arial" w:hAnsi="Arial" w:cs="Arial"/>
                <w:sz w:val="20"/>
                <w:szCs w:val="20"/>
              </w:rPr>
            </w:pPr>
          </w:p>
        </w:tc>
        <w:tc>
          <w:tcPr>
            <w:tcW w:w="3206" w:type="dxa"/>
            <w:vMerge/>
            <w:vAlign w:val="center"/>
          </w:tcPr>
          <w:p w:rsidR="00A05BDD" w:rsidRPr="00720D9E" w:rsidRDefault="00A05BDD" w:rsidP="000C52C0">
            <w:pPr>
              <w:spacing w:line="240" w:lineRule="auto"/>
              <w:rPr>
                <w:rFonts w:ascii="Arial" w:hAnsi="Arial" w:cs="Arial"/>
                <w:sz w:val="20"/>
                <w:szCs w:val="20"/>
              </w:rPr>
            </w:pPr>
          </w:p>
        </w:tc>
        <w:tc>
          <w:tcPr>
            <w:tcW w:w="1122"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60" w:type="dxa"/>
            <w:shd w:val="clear" w:color="auto" w:fill="auto"/>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n/a</w:t>
            </w:r>
          </w:p>
        </w:tc>
        <w:tc>
          <w:tcPr>
            <w:tcW w:w="1931"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cantSplit/>
          <w:trHeight w:val="144"/>
        </w:trPr>
        <w:tc>
          <w:tcPr>
            <w:tcW w:w="1052" w:type="dxa"/>
            <w:vMerge/>
            <w:vAlign w:val="center"/>
          </w:tcPr>
          <w:p w:rsidR="00A05BDD" w:rsidRPr="00720D9E" w:rsidRDefault="00A05BDD" w:rsidP="000C52C0">
            <w:pPr>
              <w:spacing w:line="240" w:lineRule="auto"/>
              <w:jc w:val="center"/>
              <w:rPr>
                <w:rFonts w:ascii="Arial" w:hAnsi="Arial" w:cs="Arial"/>
                <w:sz w:val="20"/>
                <w:szCs w:val="20"/>
              </w:rPr>
            </w:pPr>
          </w:p>
        </w:tc>
        <w:tc>
          <w:tcPr>
            <w:tcW w:w="3206" w:type="dxa"/>
            <w:vAlign w:val="center"/>
          </w:tcPr>
          <w:p w:rsidR="00A05BDD" w:rsidRPr="00720D9E" w:rsidRDefault="00A05BDD" w:rsidP="006134C0">
            <w:pPr>
              <w:spacing w:line="240" w:lineRule="auto"/>
              <w:rPr>
                <w:rFonts w:ascii="Arial" w:hAnsi="Arial" w:cs="Arial"/>
                <w:sz w:val="20"/>
                <w:szCs w:val="20"/>
              </w:rPr>
            </w:pPr>
            <w:r w:rsidRPr="00720D9E">
              <w:rPr>
                <w:rFonts w:ascii="Arial" w:hAnsi="Arial" w:cs="Arial"/>
                <w:sz w:val="20"/>
                <w:szCs w:val="20"/>
              </w:rPr>
              <w:t xml:space="preserve">Fugitive emissions from  operation of equipment used to capture, process and/or enrich drained mine gas </w:t>
            </w:r>
          </w:p>
        </w:tc>
        <w:tc>
          <w:tcPr>
            <w:tcW w:w="1122"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vAlign w:val="center"/>
          </w:tcPr>
          <w:p w:rsidR="00A05BDD" w:rsidRPr="00720D9E" w:rsidRDefault="00A05BDD" w:rsidP="00856BB5">
            <w:pPr>
              <w:spacing w:line="240" w:lineRule="auto"/>
              <w:jc w:val="center"/>
              <w:rPr>
                <w:rFonts w:ascii="Arial" w:hAnsi="Arial" w:cs="Arial"/>
                <w:sz w:val="20"/>
                <w:szCs w:val="20"/>
              </w:rPr>
            </w:pPr>
            <w:r w:rsidRPr="00720D9E">
              <w:rPr>
                <w:rFonts w:ascii="Arial" w:hAnsi="Arial" w:cs="Arial"/>
                <w:sz w:val="20"/>
                <w:szCs w:val="20"/>
              </w:rPr>
              <w:t>n/a</w:t>
            </w:r>
          </w:p>
        </w:tc>
        <w:tc>
          <w:tcPr>
            <w:tcW w:w="1931" w:type="dxa"/>
            <w:vAlign w:val="center"/>
          </w:tcPr>
          <w:p w:rsidR="00A05BDD" w:rsidRPr="00720D9E" w:rsidRDefault="00A05BDD" w:rsidP="00856BB5">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cantSplit/>
          <w:trHeight w:val="144"/>
        </w:trPr>
        <w:tc>
          <w:tcPr>
            <w:tcW w:w="1052" w:type="dxa"/>
            <w:vMerge w:val="restart"/>
            <w:vAlign w:val="center"/>
          </w:tcPr>
          <w:p w:rsidR="00A05BDD" w:rsidRPr="00720D9E" w:rsidRDefault="00A05BDD" w:rsidP="0009372D">
            <w:pPr>
              <w:spacing w:line="240" w:lineRule="auto"/>
              <w:jc w:val="center"/>
              <w:rPr>
                <w:rFonts w:ascii="Arial" w:hAnsi="Arial"/>
                <w:sz w:val="20"/>
                <w:szCs w:val="20"/>
              </w:rPr>
            </w:pPr>
            <w:r w:rsidRPr="00720D9E">
              <w:rPr>
                <w:rFonts w:ascii="Arial" w:hAnsi="Arial"/>
                <w:sz w:val="20"/>
                <w:szCs w:val="20"/>
              </w:rPr>
              <w:t>3</w:t>
            </w:r>
          </w:p>
        </w:tc>
        <w:tc>
          <w:tcPr>
            <w:tcW w:w="3206" w:type="dxa"/>
            <w:vMerge w:val="restart"/>
            <w:vAlign w:val="center"/>
          </w:tcPr>
          <w:p w:rsidR="00A05BDD" w:rsidRPr="00720D9E" w:rsidRDefault="00A05BDD" w:rsidP="0009372D">
            <w:pPr>
              <w:spacing w:line="240" w:lineRule="auto"/>
              <w:rPr>
                <w:rFonts w:ascii="Arial" w:hAnsi="Arial"/>
                <w:sz w:val="20"/>
                <w:szCs w:val="20"/>
              </w:rPr>
            </w:pPr>
            <w:r w:rsidRPr="00720D9E">
              <w:rPr>
                <w:rFonts w:ascii="Arial" w:hAnsi="Arial"/>
                <w:sz w:val="20"/>
                <w:szCs w:val="20"/>
              </w:rPr>
              <w:t>Emissions resulting from energy consumed to transport mine gas to processing or destruction equipment</w:t>
            </w:r>
          </w:p>
        </w:tc>
        <w:tc>
          <w:tcPr>
            <w:tcW w:w="1122" w:type="dxa"/>
            <w:vAlign w:val="center"/>
          </w:tcPr>
          <w:p w:rsidR="00A05BDD" w:rsidRPr="00720D9E" w:rsidRDefault="00A05BDD" w:rsidP="0009372D">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60" w:type="dxa"/>
            <w:shd w:val="clear" w:color="auto" w:fill="auto"/>
            <w:vAlign w:val="center"/>
          </w:tcPr>
          <w:p w:rsidR="00A05BDD" w:rsidRPr="00720D9E" w:rsidRDefault="00A05BDD" w:rsidP="0009372D">
            <w:pPr>
              <w:spacing w:line="240" w:lineRule="auto"/>
              <w:jc w:val="center"/>
              <w:rPr>
                <w:rFonts w:ascii="Arial" w:hAnsi="Arial"/>
                <w:sz w:val="20"/>
                <w:szCs w:val="20"/>
              </w:rPr>
            </w:pPr>
            <w:r w:rsidRPr="00720D9E">
              <w:rPr>
                <w:rFonts w:ascii="Arial" w:hAnsi="Arial"/>
                <w:sz w:val="20"/>
                <w:szCs w:val="20"/>
              </w:rPr>
              <w:t>P</w:t>
            </w:r>
          </w:p>
        </w:tc>
        <w:tc>
          <w:tcPr>
            <w:tcW w:w="1931" w:type="dxa"/>
            <w:vAlign w:val="center"/>
          </w:tcPr>
          <w:p w:rsidR="00A05BDD" w:rsidRPr="00720D9E" w:rsidRDefault="00A05BDD" w:rsidP="0009372D">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cantSplit/>
          <w:trHeight w:val="324"/>
        </w:trPr>
        <w:tc>
          <w:tcPr>
            <w:tcW w:w="1052" w:type="dxa"/>
            <w:vMerge/>
            <w:vAlign w:val="center"/>
          </w:tcPr>
          <w:p w:rsidR="00A05BDD" w:rsidRPr="00720D9E" w:rsidRDefault="00A05BDD" w:rsidP="0009372D">
            <w:pPr>
              <w:spacing w:line="240" w:lineRule="auto"/>
              <w:jc w:val="center"/>
              <w:rPr>
                <w:sz w:val="20"/>
                <w:szCs w:val="20"/>
              </w:rPr>
            </w:pPr>
          </w:p>
        </w:tc>
        <w:tc>
          <w:tcPr>
            <w:tcW w:w="3206" w:type="dxa"/>
            <w:vMerge/>
            <w:vAlign w:val="center"/>
          </w:tcPr>
          <w:p w:rsidR="00A05BDD" w:rsidRPr="00720D9E" w:rsidRDefault="00A05BDD" w:rsidP="0009372D">
            <w:pPr>
              <w:spacing w:line="240" w:lineRule="auto"/>
              <w:rPr>
                <w:sz w:val="20"/>
                <w:szCs w:val="20"/>
              </w:rPr>
            </w:pPr>
          </w:p>
        </w:tc>
        <w:tc>
          <w:tcPr>
            <w:tcW w:w="1122" w:type="dxa"/>
            <w:vAlign w:val="center"/>
          </w:tcPr>
          <w:p w:rsidR="00A05BDD" w:rsidRPr="00720D9E" w:rsidRDefault="00A05BDD" w:rsidP="0009372D">
            <w:pPr>
              <w:spacing w:line="240" w:lineRule="auto"/>
              <w:jc w:val="center"/>
              <w:rPr>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shd w:val="clear" w:color="auto" w:fill="auto"/>
            <w:vAlign w:val="center"/>
          </w:tcPr>
          <w:p w:rsidR="00A05BDD" w:rsidRPr="00720D9E" w:rsidRDefault="00A05BDD" w:rsidP="0009372D">
            <w:pPr>
              <w:spacing w:line="240" w:lineRule="auto"/>
              <w:jc w:val="center"/>
              <w:rPr>
                <w:sz w:val="20"/>
                <w:szCs w:val="20"/>
              </w:rPr>
            </w:pPr>
            <w:r w:rsidRPr="00720D9E">
              <w:rPr>
                <w:rFonts w:ascii="Arial" w:hAnsi="Arial"/>
                <w:sz w:val="20"/>
                <w:szCs w:val="20"/>
              </w:rPr>
              <w:t>n/a</w:t>
            </w:r>
          </w:p>
        </w:tc>
        <w:tc>
          <w:tcPr>
            <w:tcW w:w="1931" w:type="dxa"/>
            <w:vAlign w:val="center"/>
          </w:tcPr>
          <w:p w:rsidR="00A05BDD" w:rsidRPr="00720D9E" w:rsidRDefault="00A05BDD" w:rsidP="0009372D">
            <w:pPr>
              <w:spacing w:line="240" w:lineRule="auto"/>
              <w:jc w:val="center"/>
              <w:rPr>
                <w:sz w:val="20"/>
                <w:szCs w:val="20"/>
              </w:rPr>
            </w:pPr>
            <w:r w:rsidRPr="00720D9E">
              <w:rPr>
                <w:rFonts w:ascii="Arial" w:hAnsi="Arial"/>
                <w:sz w:val="20"/>
                <w:szCs w:val="20"/>
              </w:rPr>
              <w:t>Excluded</w:t>
            </w:r>
          </w:p>
        </w:tc>
      </w:tr>
      <w:tr w:rsidR="00A05BDD" w:rsidRPr="00720D9E" w:rsidTr="00A05BDD">
        <w:trPr>
          <w:cantSplit/>
          <w:trHeight w:val="144"/>
        </w:trPr>
        <w:tc>
          <w:tcPr>
            <w:tcW w:w="1052" w:type="dxa"/>
            <w:vMerge/>
            <w:vAlign w:val="center"/>
          </w:tcPr>
          <w:p w:rsidR="00A05BDD" w:rsidRPr="00720D9E" w:rsidRDefault="00A05BDD" w:rsidP="0009372D">
            <w:pPr>
              <w:spacing w:line="240" w:lineRule="auto"/>
              <w:jc w:val="center"/>
              <w:rPr>
                <w:sz w:val="20"/>
                <w:szCs w:val="20"/>
              </w:rPr>
            </w:pPr>
          </w:p>
        </w:tc>
        <w:tc>
          <w:tcPr>
            <w:tcW w:w="3206" w:type="dxa"/>
            <w:vMerge/>
            <w:vAlign w:val="center"/>
          </w:tcPr>
          <w:p w:rsidR="00A05BDD" w:rsidRPr="00720D9E" w:rsidRDefault="00A05BDD" w:rsidP="0009372D">
            <w:pPr>
              <w:spacing w:line="240" w:lineRule="auto"/>
              <w:rPr>
                <w:sz w:val="20"/>
                <w:szCs w:val="20"/>
              </w:rPr>
            </w:pPr>
          </w:p>
        </w:tc>
        <w:tc>
          <w:tcPr>
            <w:tcW w:w="1122" w:type="dxa"/>
            <w:vAlign w:val="center"/>
          </w:tcPr>
          <w:p w:rsidR="00A05BDD" w:rsidRPr="00720D9E" w:rsidRDefault="00A05BDD" w:rsidP="0009372D">
            <w:pPr>
              <w:spacing w:line="240" w:lineRule="auto"/>
              <w:jc w:val="center"/>
              <w:rPr>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60" w:type="dxa"/>
            <w:shd w:val="clear" w:color="auto" w:fill="auto"/>
            <w:vAlign w:val="center"/>
          </w:tcPr>
          <w:p w:rsidR="00A05BDD" w:rsidRPr="00720D9E" w:rsidRDefault="00A05BDD" w:rsidP="0009372D">
            <w:pPr>
              <w:spacing w:line="240" w:lineRule="auto"/>
              <w:jc w:val="center"/>
              <w:rPr>
                <w:sz w:val="20"/>
                <w:szCs w:val="20"/>
              </w:rPr>
            </w:pPr>
            <w:r w:rsidRPr="00720D9E">
              <w:rPr>
                <w:rFonts w:ascii="Arial" w:hAnsi="Arial"/>
                <w:sz w:val="20"/>
                <w:szCs w:val="20"/>
              </w:rPr>
              <w:t>n/a</w:t>
            </w:r>
          </w:p>
        </w:tc>
        <w:tc>
          <w:tcPr>
            <w:tcW w:w="1931" w:type="dxa"/>
            <w:vAlign w:val="center"/>
          </w:tcPr>
          <w:p w:rsidR="00A05BDD" w:rsidRPr="00720D9E" w:rsidRDefault="00A05BDD" w:rsidP="0009372D">
            <w:pPr>
              <w:spacing w:line="240" w:lineRule="auto"/>
              <w:jc w:val="center"/>
              <w:rPr>
                <w:sz w:val="20"/>
                <w:szCs w:val="20"/>
              </w:rPr>
            </w:pPr>
            <w:r w:rsidRPr="00720D9E">
              <w:rPr>
                <w:rFonts w:ascii="Arial" w:hAnsi="Arial"/>
                <w:sz w:val="20"/>
                <w:szCs w:val="20"/>
              </w:rPr>
              <w:t>Excluded</w:t>
            </w:r>
          </w:p>
        </w:tc>
      </w:tr>
      <w:tr w:rsidR="00A05BDD" w:rsidRPr="00720D9E" w:rsidTr="00A05BDD">
        <w:trPr>
          <w:cantSplit/>
          <w:trHeight w:val="144"/>
        </w:trPr>
        <w:tc>
          <w:tcPr>
            <w:tcW w:w="1052" w:type="dxa"/>
            <w:vMerge/>
            <w:vAlign w:val="center"/>
          </w:tcPr>
          <w:p w:rsidR="00A05BDD" w:rsidRPr="00720D9E" w:rsidRDefault="00A05BDD" w:rsidP="0009372D">
            <w:pPr>
              <w:spacing w:line="240" w:lineRule="auto"/>
              <w:jc w:val="center"/>
              <w:rPr>
                <w:sz w:val="20"/>
                <w:szCs w:val="20"/>
              </w:rPr>
            </w:pPr>
          </w:p>
        </w:tc>
        <w:tc>
          <w:tcPr>
            <w:tcW w:w="3206" w:type="dxa"/>
            <w:vAlign w:val="center"/>
          </w:tcPr>
          <w:p w:rsidR="00A05BDD" w:rsidRPr="00720D9E" w:rsidRDefault="00A05BDD" w:rsidP="0009372D">
            <w:pPr>
              <w:spacing w:line="240" w:lineRule="auto"/>
              <w:rPr>
                <w:sz w:val="20"/>
                <w:szCs w:val="20"/>
              </w:rPr>
            </w:pPr>
            <w:r w:rsidRPr="00720D9E">
              <w:rPr>
                <w:rFonts w:ascii="Arial" w:hAnsi="Arial"/>
                <w:sz w:val="20"/>
                <w:szCs w:val="20"/>
              </w:rPr>
              <w:t>Fugitive emissions from the on-site transportation of mine gas</w:t>
            </w:r>
          </w:p>
        </w:tc>
        <w:tc>
          <w:tcPr>
            <w:tcW w:w="1122" w:type="dxa"/>
            <w:vAlign w:val="center"/>
          </w:tcPr>
          <w:p w:rsidR="00A05BDD" w:rsidRPr="00720D9E" w:rsidRDefault="00A05BDD" w:rsidP="0009372D">
            <w:pPr>
              <w:spacing w:line="240" w:lineRule="auto"/>
              <w:jc w:val="center"/>
              <w:rPr>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shd w:val="clear" w:color="auto" w:fill="auto"/>
            <w:vAlign w:val="center"/>
          </w:tcPr>
          <w:p w:rsidR="00A05BDD" w:rsidRPr="00720D9E" w:rsidRDefault="00A05BDD" w:rsidP="0009372D">
            <w:pPr>
              <w:spacing w:line="240" w:lineRule="auto"/>
              <w:jc w:val="center"/>
              <w:rPr>
                <w:sz w:val="20"/>
                <w:szCs w:val="20"/>
              </w:rPr>
            </w:pPr>
            <w:r w:rsidRPr="00720D9E">
              <w:rPr>
                <w:rFonts w:ascii="Arial" w:hAnsi="Arial"/>
                <w:sz w:val="20"/>
                <w:szCs w:val="20"/>
              </w:rPr>
              <w:t>n/a</w:t>
            </w:r>
          </w:p>
        </w:tc>
        <w:tc>
          <w:tcPr>
            <w:tcW w:w="1931" w:type="dxa"/>
            <w:vAlign w:val="center"/>
          </w:tcPr>
          <w:p w:rsidR="00A05BDD" w:rsidRPr="00720D9E" w:rsidRDefault="00A05BDD" w:rsidP="0009372D">
            <w:pPr>
              <w:spacing w:line="240" w:lineRule="auto"/>
              <w:jc w:val="center"/>
              <w:rPr>
                <w:sz w:val="20"/>
                <w:szCs w:val="20"/>
              </w:rPr>
            </w:pPr>
            <w:r w:rsidRPr="00720D9E">
              <w:rPr>
                <w:rFonts w:ascii="Arial" w:hAnsi="Arial"/>
                <w:sz w:val="20"/>
                <w:szCs w:val="20"/>
              </w:rPr>
              <w:t>Excluded</w:t>
            </w:r>
          </w:p>
        </w:tc>
      </w:tr>
      <w:tr w:rsidR="00A05BDD" w:rsidRPr="00720D9E" w:rsidTr="00A05BDD">
        <w:trPr>
          <w:cantSplit/>
          <w:trHeight w:val="144"/>
        </w:trPr>
        <w:tc>
          <w:tcPr>
            <w:tcW w:w="1052" w:type="dxa"/>
            <w:vMerge w:val="restart"/>
            <w:vAlign w:val="center"/>
          </w:tcPr>
          <w:p w:rsidR="00A05BDD" w:rsidRPr="00720D9E" w:rsidRDefault="00A05BDD" w:rsidP="00E9191C">
            <w:pPr>
              <w:spacing w:line="240" w:lineRule="auto"/>
              <w:jc w:val="center"/>
              <w:rPr>
                <w:rFonts w:ascii="Arial" w:hAnsi="Arial"/>
                <w:sz w:val="20"/>
                <w:szCs w:val="20"/>
              </w:rPr>
            </w:pPr>
            <w:r w:rsidRPr="00720D9E">
              <w:rPr>
                <w:rFonts w:ascii="Arial" w:hAnsi="Arial"/>
                <w:sz w:val="20"/>
                <w:szCs w:val="20"/>
              </w:rPr>
              <w:t>4</w:t>
            </w:r>
          </w:p>
        </w:tc>
        <w:tc>
          <w:tcPr>
            <w:tcW w:w="3206" w:type="dxa"/>
            <w:vMerge w:val="restart"/>
            <w:vAlign w:val="center"/>
          </w:tcPr>
          <w:p w:rsidR="00A05BDD" w:rsidRPr="00720D9E" w:rsidRDefault="00A05BDD" w:rsidP="00307A11">
            <w:pPr>
              <w:spacing w:line="240" w:lineRule="auto"/>
              <w:rPr>
                <w:rFonts w:ascii="Arial" w:hAnsi="Arial"/>
                <w:sz w:val="20"/>
                <w:szCs w:val="20"/>
              </w:rPr>
            </w:pPr>
            <w:r w:rsidRPr="00720D9E">
              <w:rPr>
                <w:rFonts w:ascii="Arial" w:hAnsi="Arial"/>
                <w:sz w:val="20"/>
                <w:szCs w:val="20"/>
              </w:rPr>
              <w:t>Emissions resulting from energy consumed to operate equipment used to liquefy, compress, or store methane for vehicle use.</w:t>
            </w:r>
          </w:p>
        </w:tc>
        <w:tc>
          <w:tcPr>
            <w:tcW w:w="1122" w:type="dxa"/>
            <w:vAlign w:val="center"/>
          </w:tcPr>
          <w:p w:rsidR="00A05BDD" w:rsidRPr="00720D9E" w:rsidRDefault="00A05BDD" w:rsidP="00E9191C">
            <w:pPr>
              <w:spacing w:line="240" w:lineRule="auto"/>
              <w:jc w:val="center"/>
              <w:rPr>
                <w:rFonts w:ascii="Arial" w:hAnsi="Arial" w:cs="Arial"/>
                <w:sz w:val="20"/>
                <w:szCs w:val="20"/>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60" w:type="dxa"/>
            <w:shd w:val="clear" w:color="auto" w:fill="auto"/>
            <w:vAlign w:val="center"/>
          </w:tcPr>
          <w:p w:rsidR="00A05BDD" w:rsidRPr="00720D9E" w:rsidRDefault="00A05BDD" w:rsidP="00E9191C">
            <w:pPr>
              <w:spacing w:line="240" w:lineRule="auto"/>
              <w:jc w:val="center"/>
              <w:rPr>
                <w:rFonts w:ascii="Arial" w:hAnsi="Arial"/>
                <w:sz w:val="20"/>
                <w:szCs w:val="20"/>
              </w:rPr>
            </w:pPr>
            <w:r w:rsidRPr="00720D9E">
              <w:rPr>
                <w:rFonts w:ascii="Arial" w:hAnsi="Arial"/>
                <w:sz w:val="20"/>
                <w:szCs w:val="20"/>
              </w:rPr>
              <w:t>P</w:t>
            </w:r>
          </w:p>
        </w:tc>
        <w:tc>
          <w:tcPr>
            <w:tcW w:w="1931" w:type="dxa"/>
            <w:vAlign w:val="center"/>
          </w:tcPr>
          <w:p w:rsidR="00A05BDD" w:rsidRPr="00720D9E" w:rsidRDefault="00A05BDD" w:rsidP="00E9191C">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cantSplit/>
          <w:trHeight w:val="369"/>
        </w:trPr>
        <w:tc>
          <w:tcPr>
            <w:tcW w:w="1052" w:type="dxa"/>
            <w:vMerge/>
            <w:vAlign w:val="center"/>
          </w:tcPr>
          <w:p w:rsidR="00A05BDD" w:rsidRPr="00720D9E" w:rsidRDefault="00A05BDD" w:rsidP="00A4307D">
            <w:pPr>
              <w:spacing w:line="240" w:lineRule="auto"/>
              <w:jc w:val="center"/>
              <w:rPr>
                <w:rFonts w:ascii="Arial" w:hAnsi="Arial"/>
                <w:sz w:val="20"/>
                <w:szCs w:val="20"/>
              </w:rPr>
            </w:pPr>
          </w:p>
        </w:tc>
        <w:tc>
          <w:tcPr>
            <w:tcW w:w="3206" w:type="dxa"/>
            <w:vMerge/>
            <w:vAlign w:val="center"/>
          </w:tcPr>
          <w:p w:rsidR="00A05BDD" w:rsidRPr="00720D9E" w:rsidRDefault="00A05BDD" w:rsidP="00A4307D">
            <w:pPr>
              <w:spacing w:line="240" w:lineRule="auto"/>
              <w:rPr>
                <w:rFonts w:ascii="Arial" w:hAnsi="Arial"/>
                <w:sz w:val="20"/>
                <w:szCs w:val="20"/>
              </w:rPr>
            </w:pPr>
          </w:p>
        </w:tc>
        <w:tc>
          <w:tcPr>
            <w:tcW w:w="1122" w:type="dxa"/>
            <w:vAlign w:val="center"/>
          </w:tcPr>
          <w:p w:rsidR="00A05BDD" w:rsidRPr="00720D9E" w:rsidRDefault="00A05BDD" w:rsidP="00A4307D">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shd w:val="clear" w:color="auto" w:fill="auto"/>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n/a</w:t>
            </w:r>
          </w:p>
        </w:tc>
        <w:tc>
          <w:tcPr>
            <w:tcW w:w="1931" w:type="dxa"/>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cantSplit/>
          <w:trHeight w:val="144"/>
        </w:trPr>
        <w:tc>
          <w:tcPr>
            <w:tcW w:w="1052" w:type="dxa"/>
            <w:vMerge/>
            <w:vAlign w:val="center"/>
          </w:tcPr>
          <w:p w:rsidR="00A05BDD" w:rsidRPr="00720D9E" w:rsidRDefault="00A05BDD" w:rsidP="00A4307D">
            <w:pPr>
              <w:spacing w:line="240" w:lineRule="auto"/>
              <w:jc w:val="center"/>
              <w:rPr>
                <w:rFonts w:ascii="Arial" w:hAnsi="Arial"/>
                <w:sz w:val="20"/>
                <w:szCs w:val="20"/>
              </w:rPr>
            </w:pPr>
          </w:p>
        </w:tc>
        <w:tc>
          <w:tcPr>
            <w:tcW w:w="3206" w:type="dxa"/>
            <w:vMerge/>
            <w:vAlign w:val="center"/>
          </w:tcPr>
          <w:p w:rsidR="00A05BDD" w:rsidRPr="00720D9E" w:rsidRDefault="00A05BDD" w:rsidP="00A4307D">
            <w:pPr>
              <w:spacing w:line="240" w:lineRule="auto"/>
              <w:rPr>
                <w:rFonts w:ascii="Arial" w:hAnsi="Arial"/>
                <w:sz w:val="20"/>
                <w:szCs w:val="20"/>
              </w:rPr>
            </w:pPr>
          </w:p>
        </w:tc>
        <w:tc>
          <w:tcPr>
            <w:tcW w:w="1122" w:type="dxa"/>
            <w:vAlign w:val="center"/>
          </w:tcPr>
          <w:p w:rsidR="00A05BDD" w:rsidRPr="00720D9E" w:rsidRDefault="00A05BDD" w:rsidP="00A4307D">
            <w:pPr>
              <w:spacing w:line="240" w:lineRule="auto"/>
              <w:jc w:val="center"/>
              <w:rPr>
                <w:rFonts w:ascii="Arial" w:hAnsi="Arial" w:cs="Arial"/>
                <w:sz w:val="20"/>
                <w:szCs w:val="20"/>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60" w:type="dxa"/>
            <w:shd w:val="clear" w:color="auto" w:fill="auto"/>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n/a</w:t>
            </w:r>
          </w:p>
        </w:tc>
        <w:tc>
          <w:tcPr>
            <w:tcW w:w="1931" w:type="dxa"/>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cantSplit/>
          <w:trHeight w:val="144"/>
        </w:trPr>
        <w:tc>
          <w:tcPr>
            <w:tcW w:w="1052" w:type="dxa"/>
            <w:vMerge/>
            <w:vAlign w:val="center"/>
          </w:tcPr>
          <w:p w:rsidR="00A05BDD" w:rsidRPr="00720D9E" w:rsidRDefault="00A05BDD" w:rsidP="00DC1B0A">
            <w:pPr>
              <w:spacing w:line="240" w:lineRule="auto"/>
              <w:jc w:val="center"/>
              <w:rPr>
                <w:sz w:val="20"/>
                <w:szCs w:val="20"/>
              </w:rPr>
            </w:pPr>
          </w:p>
        </w:tc>
        <w:tc>
          <w:tcPr>
            <w:tcW w:w="3206" w:type="dxa"/>
            <w:vAlign w:val="center"/>
          </w:tcPr>
          <w:p w:rsidR="00A05BDD" w:rsidRPr="00720D9E" w:rsidRDefault="00A05BDD" w:rsidP="00DC1B0A">
            <w:pPr>
              <w:spacing w:line="240" w:lineRule="auto"/>
              <w:rPr>
                <w:sz w:val="20"/>
                <w:szCs w:val="20"/>
              </w:rPr>
            </w:pPr>
            <w:r w:rsidRPr="00720D9E">
              <w:rPr>
                <w:rFonts w:ascii="Arial" w:hAnsi="Arial" w:cs="Arial"/>
                <w:sz w:val="20"/>
                <w:szCs w:val="20"/>
              </w:rPr>
              <w:t>Fugitive emissions from operation of equipment used to liquefy, compress, or store methane for vehicle use</w:t>
            </w:r>
          </w:p>
        </w:tc>
        <w:tc>
          <w:tcPr>
            <w:tcW w:w="1122" w:type="dxa"/>
            <w:vAlign w:val="center"/>
          </w:tcPr>
          <w:p w:rsidR="00A05BDD" w:rsidRPr="00720D9E" w:rsidRDefault="00A05BDD" w:rsidP="00DC1B0A">
            <w:pPr>
              <w:spacing w:line="240" w:lineRule="auto"/>
              <w:jc w:val="center"/>
              <w:rPr>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shd w:val="clear" w:color="auto" w:fill="auto"/>
            <w:vAlign w:val="center"/>
          </w:tcPr>
          <w:p w:rsidR="00A05BDD" w:rsidRPr="00720D9E" w:rsidRDefault="00A05BDD" w:rsidP="00DC1B0A">
            <w:pPr>
              <w:spacing w:line="240" w:lineRule="auto"/>
              <w:jc w:val="center"/>
              <w:rPr>
                <w:sz w:val="20"/>
                <w:szCs w:val="20"/>
              </w:rPr>
            </w:pPr>
            <w:r w:rsidRPr="00720D9E">
              <w:rPr>
                <w:rFonts w:ascii="Arial" w:hAnsi="Arial" w:cs="Arial"/>
                <w:sz w:val="20"/>
                <w:szCs w:val="20"/>
              </w:rPr>
              <w:t>n/a</w:t>
            </w:r>
          </w:p>
        </w:tc>
        <w:tc>
          <w:tcPr>
            <w:tcW w:w="1931" w:type="dxa"/>
            <w:vAlign w:val="center"/>
          </w:tcPr>
          <w:p w:rsidR="00A05BDD" w:rsidRPr="00720D9E" w:rsidRDefault="00A05BDD" w:rsidP="00DC1B0A">
            <w:pPr>
              <w:spacing w:line="240" w:lineRule="auto"/>
              <w:jc w:val="center"/>
              <w:rPr>
                <w:sz w:val="20"/>
                <w:szCs w:val="20"/>
              </w:rPr>
            </w:pPr>
            <w:r w:rsidRPr="00720D9E">
              <w:rPr>
                <w:rFonts w:ascii="Arial" w:hAnsi="Arial" w:cs="Arial"/>
                <w:sz w:val="20"/>
                <w:szCs w:val="20"/>
              </w:rPr>
              <w:t>Excluded</w:t>
            </w:r>
          </w:p>
        </w:tc>
      </w:tr>
      <w:tr w:rsidR="00A05BDD" w:rsidRPr="00720D9E" w:rsidTr="00A05BDD">
        <w:trPr>
          <w:cantSplit/>
          <w:trHeight w:val="221"/>
        </w:trPr>
        <w:tc>
          <w:tcPr>
            <w:tcW w:w="1052" w:type="dxa"/>
            <w:vMerge w:val="restart"/>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5</w:t>
            </w:r>
          </w:p>
        </w:tc>
        <w:tc>
          <w:tcPr>
            <w:tcW w:w="3206" w:type="dxa"/>
            <w:vMerge w:val="restart"/>
            <w:vAlign w:val="center"/>
          </w:tcPr>
          <w:p w:rsidR="00A05BDD" w:rsidRPr="00720D9E" w:rsidRDefault="00A05BDD" w:rsidP="00DC1B0A">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vehicle operation</w:t>
            </w:r>
          </w:p>
        </w:tc>
        <w:tc>
          <w:tcPr>
            <w:tcW w:w="1122" w:type="dxa"/>
            <w:vAlign w:val="center"/>
          </w:tcPr>
          <w:p w:rsidR="00A05BDD" w:rsidRPr="00720D9E" w:rsidRDefault="00A05BDD" w:rsidP="00A4307D">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60" w:type="dxa"/>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B, P</w:t>
            </w:r>
          </w:p>
        </w:tc>
        <w:tc>
          <w:tcPr>
            <w:tcW w:w="1931" w:type="dxa"/>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cantSplit/>
          <w:trHeight w:val="144"/>
        </w:trPr>
        <w:tc>
          <w:tcPr>
            <w:tcW w:w="1052" w:type="dxa"/>
            <w:vMerge/>
            <w:vAlign w:val="center"/>
          </w:tcPr>
          <w:p w:rsidR="00A05BDD" w:rsidRPr="00720D9E" w:rsidRDefault="00A05BDD" w:rsidP="00A4307D">
            <w:pPr>
              <w:spacing w:line="240" w:lineRule="auto"/>
              <w:jc w:val="center"/>
              <w:rPr>
                <w:rFonts w:ascii="Arial" w:hAnsi="Arial"/>
                <w:sz w:val="20"/>
                <w:szCs w:val="20"/>
              </w:rPr>
            </w:pPr>
          </w:p>
        </w:tc>
        <w:tc>
          <w:tcPr>
            <w:tcW w:w="3206" w:type="dxa"/>
            <w:vMerge/>
            <w:vAlign w:val="center"/>
          </w:tcPr>
          <w:p w:rsidR="00A05BDD" w:rsidRPr="00720D9E" w:rsidRDefault="00A05BDD" w:rsidP="00A4307D">
            <w:pPr>
              <w:spacing w:line="240" w:lineRule="auto"/>
              <w:rPr>
                <w:rFonts w:ascii="Arial" w:hAnsi="Arial"/>
                <w:sz w:val="20"/>
                <w:szCs w:val="20"/>
              </w:rPr>
            </w:pPr>
          </w:p>
        </w:tc>
        <w:tc>
          <w:tcPr>
            <w:tcW w:w="1122" w:type="dxa"/>
            <w:vAlign w:val="center"/>
          </w:tcPr>
          <w:p w:rsidR="00A05BDD" w:rsidRPr="00720D9E" w:rsidRDefault="00A05BDD" w:rsidP="00A4307D">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60" w:type="dxa"/>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n/a</w:t>
            </w:r>
          </w:p>
        </w:tc>
        <w:tc>
          <w:tcPr>
            <w:tcW w:w="1931" w:type="dxa"/>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cantSplit/>
          <w:trHeight w:val="144"/>
        </w:trPr>
        <w:tc>
          <w:tcPr>
            <w:tcW w:w="1052" w:type="dxa"/>
            <w:vMerge/>
            <w:vAlign w:val="center"/>
          </w:tcPr>
          <w:p w:rsidR="00A05BDD" w:rsidRPr="00720D9E" w:rsidRDefault="00A05BDD" w:rsidP="00A4307D">
            <w:pPr>
              <w:spacing w:line="240" w:lineRule="auto"/>
              <w:jc w:val="center"/>
              <w:rPr>
                <w:rFonts w:ascii="Arial" w:hAnsi="Arial"/>
                <w:sz w:val="20"/>
                <w:szCs w:val="20"/>
              </w:rPr>
            </w:pPr>
          </w:p>
        </w:tc>
        <w:tc>
          <w:tcPr>
            <w:tcW w:w="3206" w:type="dxa"/>
            <w:vAlign w:val="center"/>
          </w:tcPr>
          <w:p w:rsidR="00A05BDD" w:rsidRPr="00720D9E" w:rsidRDefault="00A05BDD" w:rsidP="00DC1B0A">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vehicle operation</w:t>
            </w:r>
          </w:p>
        </w:tc>
        <w:tc>
          <w:tcPr>
            <w:tcW w:w="1122" w:type="dxa"/>
            <w:vAlign w:val="center"/>
          </w:tcPr>
          <w:p w:rsidR="00A05BDD" w:rsidRPr="00720D9E" w:rsidRDefault="00A05BDD" w:rsidP="00A4307D">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P</w:t>
            </w:r>
          </w:p>
        </w:tc>
        <w:tc>
          <w:tcPr>
            <w:tcW w:w="1931" w:type="dxa"/>
            <w:vAlign w:val="center"/>
          </w:tcPr>
          <w:p w:rsidR="00A05BDD" w:rsidRPr="00720D9E" w:rsidRDefault="00A05BDD" w:rsidP="00A4307D">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cantSplit/>
          <w:trHeight w:val="221"/>
        </w:trPr>
        <w:tc>
          <w:tcPr>
            <w:tcW w:w="1052" w:type="dxa"/>
            <w:vMerge w:val="restart"/>
            <w:vAlign w:val="center"/>
          </w:tcPr>
          <w:p w:rsidR="00A05BDD" w:rsidRPr="00720D9E" w:rsidRDefault="00A05BDD" w:rsidP="000C52C0">
            <w:pPr>
              <w:spacing w:line="240" w:lineRule="auto"/>
              <w:jc w:val="center"/>
              <w:rPr>
                <w:rFonts w:ascii="Arial" w:hAnsi="Arial"/>
                <w:sz w:val="20"/>
                <w:szCs w:val="20"/>
              </w:rPr>
            </w:pPr>
            <w:r w:rsidRPr="00720D9E">
              <w:rPr>
                <w:rFonts w:ascii="Arial" w:hAnsi="Arial"/>
                <w:sz w:val="20"/>
                <w:szCs w:val="20"/>
              </w:rPr>
              <w:t>6</w:t>
            </w:r>
          </w:p>
        </w:tc>
        <w:tc>
          <w:tcPr>
            <w:tcW w:w="3206" w:type="dxa"/>
            <w:vMerge w:val="restart"/>
            <w:vAlign w:val="center"/>
          </w:tcPr>
          <w:p w:rsidR="00A05BDD" w:rsidRPr="00720D9E" w:rsidRDefault="00A05BDD" w:rsidP="00DC1B0A">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electricity generation</w:t>
            </w:r>
          </w:p>
        </w:tc>
        <w:tc>
          <w:tcPr>
            <w:tcW w:w="1122" w:type="dxa"/>
            <w:vAlign w:val="center"/>
          </w:tcPr>
          <w:p w:rsidR="00A05BDD" w:rsidRPr="00720D9E" w:rsidRDefault="00A05BDD" w:rsidP="000C52C0">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60" w:type="dxa"/>
            <w:vAlign w:val="center"/>
          </w:tcPr>
          <w:p w:rsidR="00A05BDD" w:rsidRPr="00720D9E" w:rsidRDefault="00A05BDD" w:rsidP="000C52C0">
            <w:pPr>
              <w:spacing w:line="240" w:lineRule="auto"/>
              <w:jc w:val="center"/>
              <w:rPr>
                <w:rFonts w:ascii="Arial" w:hAnsi="Arial"/>
                <w:sz w:val="20"/>
                <w:szCs w:val="20"/>
              </w:rPr>
            </w:pPr>
            <w:r w:rsidRPr="00720D9E">
              <w:rPr>
                <w:rFonts w:ascii="Arial" w:hAnsi="Arial"/>
                <w:sz w:val="20"/>
                <w:szCs w:val="20"/>
              </w:rPr>
              <w:t>B, P</w:t>
            </w:r>
          </w:p>
        </w:tc>
        <w:tc>
          <w:tcPr>
            <w:tcW w:w="1931" w:type="dxa"/>
            <w:vAlign w:val="center"/>
          </w:tcPr>
          <w:p w:rsidR="00A05BDD" w:rsidRPr="00720D9E" w:rsidRDefault="00A05BDD" w:rsidP="000C52C0">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cantSplit/>
          <w:trHeight w:val="144"/>
        </w:trPr>
        <w:tc>
          <w:tcPr>
            <w:tcW w:w="1052" w:type="dxa"/>
            <w:vMerge/>
            <w:vAlign w:val="center"/>
          </w:tcPr>
          <w:p w:rsidR="00A05BDD" w:rsidRPr="00720D9E" w:rsidRDefault="00A05BDD" w:rsidP="000C52C0">
            <w:pPr>
              <w:spacing w:line="240" w:lineRule="auto"/>
              <w:jc w:val="center"/>
              <w:rPr>
                <w:rFonts w:ascii="Arial" w:hAnsi="Arial"/>
                <w:sz w:val="20"/>
                <w:szCs w:val="20"/>
              </w:rPr>
            </w:pPr>
          </w:p>
        </w:tc>
        <w:tc>
          <w:tcPr>
            <w:tcW w:w="3206" w:type="dxa"/>
            <w:vMerge/>
            <w:vAlign w:val="center"/>
          </w:tcPr>
          <w:p w:rsidR="00A05BDD" w:rsidRPr="00720D9E" w:rsidRDefault="00A05BDD" w:rsidP="000C52C0">
            <w:pPr>
              <w:spacing w:line="240" w:lineRule="auto"/>
              <w:rPr>
                <w:rFonts w:ascii="Arial" w:hAnsi="Arial"/>
                <w:sz w:val="20"/>
                <w:szCs w:val="20"/>
              </w:rPr>
            </w:pPr>
          </w:p>
        </w:tc>
        <w:tc>
          <w:tcPr>
            <w:tcW w:w="1122" w:type="dxa"/>
            <w:vAlign w:val="center"/>
          </w:tcPr>
          <w:p w:rsidR="00A05BDD" w:rsidRPr="00720D9E" w:rsidRDefault="00A05BDD" w:rsidP="000C52C0">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60" w:type="dxa"/>
            <w:vAlign w:val="center"/>
          </w:tcPr>
          <w:p w:rsidR="00A05BDD" w:rsidRPr="00720D9E" w:rsidRDefault="00A05BDD" w:rsidP="000C52C0">
            <w:pPr>
              <w:spacing w:line="240" w:lineRule="auto"/>
              <w:jc w:val="center"/>
              <w:rPr>
                <w:rFonts w:ascii="Arial" w:hAnsi="Arial"/>
                <w:sz w:val="20"/>
                <w:szCs w:val="20"/>
              </w:rPr>
            </w:pPr>
            <w:r w:rsidRPr="00720D9E">
              <w:rPr>
                <w:rFonts w:ascii="Arial" w:hAnsi="Arial"/>
                <w:sz w:val="20"/>
                <w:szCs w:val="20"/>
              </w:rPr>
              <w:t>n/a</w:t>
            </w:r>
          </w:p>
        </w:tc>
        <w:tc>
          <w:tcPr>
            <w:tcW w:w="1931" w:type="dxa"/>
            <w:vAlign w:val="center"/>
          </w:tcPr>
          <w:p w:rsidR="00A05BDD" w:rsidRPr="00720D9E" w:rsidRDefault="00A05BDD" w:rsidP="000C52C0">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cantSplit/>
          <w:trHeight w:val="144"/>
        </w:trPr>
        <w:tc>
          <w:tcPr>
            <w:tcW w:w="1052" w:type="dxa"/>
            <w:vMerge/>
            <w:vAlign w:val="center"/>
          </w:tcPr>
          <w:p w:rsidR="00A05BDD" w:rsidRPr="00720D9E" w:rsidRDefault="00A05BDD" w:rsidP="000C52C0">
            <w:pPr>
              <w:spacing w:line="240" w:lineRule="auto"/>
              <w:jc w:val="center"/>
              <w:rPr>
                <w:rFonts w:ascii="Arial" w:hAnsi="Arial"/>
                <w:sz w:val="20"/>
                <w:szCs w:val="20"/>
              </w:rPr>
            </w:pPr>
          </w:p>
        </w:tc>
        <w:tc>
          <w:tcPr>
            <w:tcW w:w="3206" w:type="dxa"/>
            <w:vAlign w:val="center"/>
          </w:tcPr>
          <w:p w:rsidR="00A05BDD" w:rsidRPr="00720D9E" w:rsidRDefault="00A05BDD" w:rsidP="00DC1B0A">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electricity generation</w:t>
            </w:r>
          </w:p>
        </w:tc>
        <w:tc>
          <w:tcPr>
            <w:tcW w:w="1122" w:type="dxa"/>
            <w:vAlign w:val="center"/>
          </w:tcPr>
          <w:p w:rsidR="00A05BDD" w:rsidRPr="00720D9E" w:rsidRDefault="00A05BDD" w:rsidP="000C52C0">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vAlign w:val="center"/>
          </w:tcPr>
          <w:p w:rsidR="00A05BDD" w:rsidRPr="00720D9E" w:rsidRDefault="00A05BDD" w:rsidP="000C52C0">
            <w:pPr>
              <w:spacing w:line="240" w:lineRule="auto"/>
              <w:jc w:val="center"/>
              <w:rPr>
                <w:rFonts w:ascii="Arial" w:hAnsi="Arial"/>
                <w:sz w:val="20"/>
                <w:szCs w:val="20"/>
              </w:rPr>
            </w:pPr>
            <w:r w:rsidRPr="00720D9E">
              <w:rPr>
                <w:rFonts w:ascii="Arial" w:hAnsi="Arial"/>
                <w:sz w:val="20"/>
                <w:szCs w:val="20"/>
              </w:rPr>
              <w:t>P</w:t>
            </w:r>
          </w:p>
        </w:tc>
        <w:tc>
          <w:tcPr>
            <w:tcW w:w="1931" w:type="dxa"/>
            <w:vAlign w:val="center"/>
          </w:tcPr>
          <w:p w:rsidR="00A05BDD" w:rsidRPr="00720D9E" w:rsidRDefault="00A05BDD" w:rsidP="000C52C0">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cantSplit/>
          <w:trHeight w:val="201"/>
        </w:trPr>
        <w:tc>
          <w:tcPr>
            <w:tcW w:w="1052" w:type="dxa"/>
            <w:vMerge w:val="restart"/>
            <w:vAlign w:val="center"/>
          </w:tcPr>
          <w:p w:rsidR="00A05BDD" w:rsidRPr="00720D9E" w:rsidRDefault="00A05BDD" w:rsidP="000C4219">
            <w:pPr>
              <w:spacing w:line="240" w:lineRule="auto"/>
              <w:jc w:val="center"/>
              <w:rPr>
                <w:rFonts w:ascii="Arial" w:hAnsi="Arial"/>
                <w:sz w:val="20"/>
                <w:szCs w:val="20"/>
              </w:rPr>
            </w:pPr>
            <w:r w:rsidRPr="00720D9E">
              <w:rPr>
                <w:rFonts w:ascii="Arial" w:hAnsi="Arial"/>
                <w:sz w:val="20"/>
                <w:szCs w:val="20"/>
              </w:rPr>
              <w:t>7</w:t>
            </w:r>
          </w:p>
        </w:tc>
        <w:tc>
          <w:tcPr>
            <w:tcW w:w="3206" w:type="dxa"/>
            <w:vMerge w:val="restart"/>
            <w:vAlign w:val="center"/>
          </w:tcPr>
          <w:p w:rsidR="00A05BDD" w:rsidRPr="00720D9E" w:rsidRDefault="00A05BDD" w:rsidP="00DC1B0A">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thermal energy generation</w:t>
            </w:r>
          </w:p>
        </w:tc>
        <w:tc>
          <w:tcPr>
            <w:tcW w:w="1122" w:type="dxa"/>
            <w:vAlign w:val="center"/>
          </w:tcPr>
          <w:p w:rsidR="00A05BDD" w:rsidRPr="00720D9E" w:rsidRDefault="00A05BDD" w:rsidP="000C4219">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60" w:type="dxa"/>
            <w:vAlign w:val="center"/>
          </w:tcPr>
          <w:p w:rsidR="00A05BDD" w:rsidRPr="00720D9E" w:rsidRDefault="00A05BDD" w:rsidP="000C4219">
            <w:pPr>
              <w:spacing w:line="240" w:lineRule="auto"/>
              <w:jc w:val="center"/>
              <w:rPr>
                <w:rFonts w:ascii="Arial" w:hAnsi="Arial"/>
                <w:sz w:val="20"/>
                <w:szCs w:val="20"/>
              </w:rPr>
            </w:pPr>
            <w:r w:rsidRPr="00720D9E">
              <w:rPr>
                <w:rFonts w:ascii="Arial" w:hAnsi="Arial"/>
                <w:sz w:val="20"/>
                <w:szCs w:val="20"/>
              </w:rPr>
              <w:t>B, P</w:t>
            </w:r>
          </w:p>
        </w:tc>
        <w:tc>
          <w:tcPr>
            <w:tcW w:w="1931" w:type="dxa"/>
            <w:vAlign w:val="center"/>
          </w:tcPr>
          <w:p w:rsidR="00A05BDD" w:rsidRPr="00720D9E" w:rsidRDefault="00A05BDD" w:rsidP="000C4219">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cantSplit/>
          <w:trHeight w:val="144"/>
        </w:trPr>
        <w:tc>
          <w:tcPr>
            <w:tcW w:w="1052" w:type="dxa"/>
            <w:vMerge/>
            <w:vAlign w:val="center"/>
          </w:tcPr>
          <w:p w:rsidR="00A05BDD" w:rsidRPr="00720D9E" w:rsidRDefault="00A05BDD" w:rsidP="000C4219">
            <w:pPr>
              <w:spacing w:line="240" w:lineRule="auto"/>
              <w:jc w:val="center"/>
              <w:rPr>
                <w:rFonts w:ascii="Arial" w:hAnsi="Arial"/>
                <w:sz w:val="20"/>
                <w:szCs w:val="20"/>
              </w:rPr>
            </w:pPr>
          </w:p>
        </w:tc>
        <w:tc>
          <w:tcPr>
            <w:tcW w:w="3206" w:type="dxa"/>
            <w:vMerge/>
            <w:vAlign w:val="center"/>
          </w:tcPr>
          <w:p w:rsidR="00A05BDD" w:rsidRPr="00720D9E" w:rsidRDefault="00A05BDD" w:rsidP="000C4219">
            <w:pPr>
              <w:spacing w:line="240" w:lineRule="auto"/>
              <w:rPr>
                <w:rFonts w:ascii="Arial" w:hAnsi="Arial"/>
                <w:sz w:val="20"/>
                <w:szCs w:val="20"/>
              </w:rPr>
            </w:pPr>
          </w:p>
        </w:tc>
        <w:tc>
          <w:tcPr>
            <w:tcW w:w="1122" w:type="dxa"/>
            <w:vAlign w:val="center"/>
          </w:tcPr>
          <w:p w:rsidR="00A05BDD" w:rsidRPr="00720D9E" w:rsidRDefault="00A05BDD" w:rsidP="000C4219">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60" w:type="dxa"/>
            <w:vAlign w:val="center"/>
          </w:tcPr>
          <w:p w:rsidR="00A05BDD" w:rsidRPr="00720D9E" w:rsidRDefault="00A05BDD" w:rsidP="000C4219">
            <w:pPr>
              <w:spacing w:line="240" w:lineRule="auto"/>
              <w:jc w:val="center"/>
              <w:rPr>
                <w:rFonts w:ascii="Arial" w:hAnsi="Arial"/>
                <w:sz w:val="20"/>
                <w:szCs w:val="20"/>
              </w:rPr>
            </w:pPr>
            <w:r w:rsidRPr="00720D9E">
              <w:rPr>
                <w:rFonts w:ascii="Arial" w:hAnsi="Arial"/>
                <w:sz w:val="20"/>
                <w:szCs w:val="20"/>
              </w:rPr>
              <w:t>n/a</w:t>
            </w:r>
          </w:p>
        </w:tc>
        <w:tc>
          <w:tcPr>
            <w:tcW w:w="1931" w:type="dxa"/>
            <w:vAlign w:val="center"/>
          </w:tcPr>
          <w:p w:rsidR="00A05BDD" w:rsidRPr="00720D9E" w:rsidRDefault="00A05BDD" w:rsidP="000C4219">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cantSplit/>
          <w:trHeight w:val="144"/>
        </w:trPr>
        <w:tc>
          <w:tcPr>
            <w:tcW w:w="1052" w:type="dxa"/>
            <w:vMerge/>
            <w:vAlign w:val="center"/>
          </w:tcPr>
          <w:p w:rsidR="00A05BDD" w:rsidRPr="00720D9E" w:rsidRDefault="00A05BDD" w:rsidP="000C4219">
            <w:pPr>
              <w:spacing w:line="240" w:lineRule="auto"/>
              <w:jc w:val="center"/>
              <w:rPr>
                <w:rFonts w:ascii="Arial" w:hAnsi="Arial"/>
                <w:sz w:val="20"/>
                <w:szCs w:val="20"/>
              </w:rPr>
            </w:pPr>
          </w:p>
        </w:tc>
        <w:tc>
          <w:tcPr>
            <w:tcW w:w="3206" w:type="dxa"/>
            <w:vAlign w:val="center"/>
          </w:tcPr>
          <w:p w:rsidR="00A05BDD" w:rsidRPr="00720D9E" w:rsidRDefault="00A05BDD" w:rsidP="00DC1B0A">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thermal energy generation</w:t>
            </w:r>
          </w:p>
        </w:tc>
        <w:tc>
          <w:tcPr>
            <w:tcW w:w="1122" w:type="dxa"/>
            <w:vAlign w:val="center"/>
          </w:tcPr>
          <w:p w:rsidR="00A05BDD" w:rsidRPr="00720D9E" w:rsidRDefault="00A05BDD" w:rsidP="000C4219">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vAlign w:val="center"/>
          </w:tcPr>
          <w:p w:rsidR="00A05BDD" w:rsidRPr="00720D9E" w:rsidRDefault="00A05BDD" w:rsidP="000C4219">
            <w:pPr>
              <w:spacing w:line="240" w:lineRule="auto"/>
              <w:jc w:val="center"/>
              <w:rPr>
                <w:rFonts w:ascii="Arial" w:hAnsi="Arial"/>
                <w:sz w:val="20"/>
                <w:szCs w:val="20"/>
              </w:rPr>
            </w:pPr>
            <w:r w:rsidRPr="00720D9E">
              <w:rPr>
                <w:rFonts w:ascii="Arial" w:hAnsi="Arial"/>
                <w:sz w:val="20"/>
                <w:szCs w:val="20"/>
              </w:rPr>
              <w:t>P</w:t>
            </w:r>
          </w:p>
        </w:tc>
        <w:tc>
          <w:tcPr>
            <w:tcW w:w="1931" w:type="dxa"/>
            <w:vAlign w:val="center"/>
          </w:tcPr>
          <w:p w:rsidR="00A05BDD" w:rsidRPr="00720D9E" w:rsidRDefault="00A05BDD" w:rsidP="000C4219">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cantSplit/>
          <w:trHeight w:val="201"/>
        </w:trPr>
        <w:tc>
          <w:tcPr>
            <w:tcW w:w="1052" w:type="dxa"/>
            <w:vMerge w:val="restart"/>
            <w:vAlign w:val="center"/>
          </w:tcPr>
          <w:p w:rsidR="00A05BDD" w:rsidRPr="00720D9E" w:rsidRDefault="00A05BDD" w:rsidP="00DF50B0">
            <w:pPr>
              <w:spacing w:line="240" w:lineRule="auto"/>
              <w:jc w:val="center"/>
              <w:rPr>
                <w:rFonts w:ascii="Arial" w:hAnsi="Arial"/>
                <w:sz w:val="20"/>
                <w:szCs w:val="20"/>
              </w:rPr>
            </w:pPr>
            <w:r w:rsidRPr="00720D9E">
              <w:rPr>
                <w:rFonts w:ascii="Arial" w:hAnsi="Arial"/>
                <w:sz w:val="20"/>
                <w:szCs w:val="20"/>
              </w:rPr>
              <w:t>8</w:t>
            </w:r>
          </w:p>
        </w:tc>
        <w:tc>
          <w:tcPr>
            <w:tcW w:w="3206" w:type="dxa"/>
            <w:vMerge w:val="restart"/>
            <w:vAlign w:val="center"/>
          </w:tcPr>
          <w:p w:rsidR="00A05BDD" w:rsidRPr="00720D9E" w:rsidRDefault="00A05BDD" w:rsidP="00DC1B0A">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flaring</w:t>
            </w:r>
          </w:p>
        </w:tc>
        <w:tc>
          <w:tcPr>
            <w:tcW w:w="1122" w:type="dxa"/>
            <w:vAlign w:val="center"/>
          </w:tcPr>
          <w:p w:rsidR="00A05BDD" w:rsidRPr="00720D9E" w:rsidRDefault="00A05BDD" w:rsidP="00DF50B0">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60" w:type="dxa"/>
            <w:vAlign w:val="center"/>
          </w:tcPr>
          <w:p w:rsidR="00A05BDD" w:rsidRPr="00720D9E" w:rsidRDefault="00A05BDD" w:rsidP="00DF50B0">
            <w:pPr>
              <w:spacing w:line="240" w:lineRule="auto"/>
              <w:jc w:val="center"/>
              <w:rPr>
                <w:rFonts w:ascii="Arial" w:hAnsi="Arial"/>
                <w:sz w:val="20"/>
                <w:szCs w:val="20"/>
              </w:rPr>
            </w:pPr>
            <w:r w:rsidRPr="00720D9E">
              <w:rPr>
                <w:rFonts w:ascii="Arial" w:hAnsi="Arial"/>
                <w:sz w:val="20"/>
                <w:szCs w:val="20"/>
              </w:rPr>
              <w:t>B, P</w:t>
            </w:r>
          </w:p>
        </w:tc>
        <w:tc>
          <w:tcPr>
            <w:tcW w:w="1931" w:type="dxa"/>
            <w:vAlign w:val="center"/>
          </w:tcPr>
          <w:p w:rsidR="00A05BDD" w:rsidRPr="00720D9E" w:rsidRDefault="00A05BDD" w:rsidP="00DF50B0">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cantSplit/>
          <w:trHeight w:val="144"/>
        </w:trPr>
        <w:tc>
          <w:tcPr>
            <w:tcW w:w="1052" w:type="dxa"/>
            <w:vMerge/>
            <w:vAlign w:val="center"/>
          </w:tcPr>
          <w:p w:rsidR="00A05BDD" w:rsidRPr="00720D9E" w:rsidRDefault="00A05BDD" w:rsidP="00DF50B0">
            <w:pPr>
              <w:spacing w:line="240" w:lineRule="auto"/>
              <w:jc w:val="center"/>
              <w:rPr>
                <w:rFonts w:ascii="Arial" w:hAnsi="Arial"/>
                <w:sz w:val="20"/>
                <w:szCs w:val="20"/>
              </w:rPr>
            </w:pPr>
          </w:p>
        </w:tc>
        <w:tc>
          <w:tcPr>
            <w:tcW w:w="3206" w:type="dxa"/>
            <w:vMerge/>
            <w:vAlign w:val="center"/>
          </w:tcPr>
          <w:p w:rsidR="00A05BDD" w:rsidRPr="00720D9E" w:rsidRDefault="00A05BDD" w:rsidP="00DF50B0">
            <w:pPr>
              <w:spacing w:line="240" w:lineRule="auto"/>
              <w:rPr>
                <w:rFonts w:ascii="Arial" w:hAnsi="Arial"/>
                <w:sz w:val="20"/>
                <w:szCs w:val="20"/>
              </w:rPr>
            </w:pPr>
          </w:p>
        </w:tc>
        <w:tc>
          <w:tcPr>
            <w:tcW w:w="1122" w:type="dxa"/>
            <w:vAlign w:val="center"/>
          </w:tcPr>
          <w:p w:rsidR="00A05BDD" w:rsidRPr="00720D9E" w:rsidRDefault="00A05BDD" w:rsidP="00DF50B0">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60" w:type="dxa"/>
            <w:vAlign w:val="center"/>
          </w:tcPr>
          <w:p w:rsidR="00A05BDD" w:rsidRPr="00720D9E" w:rsidRDefault="00A05BDD" w:rsidP="00DF50B0">
            <w:pPr>
              <w:spacing w:line="240" w:lineRule="auto"/>
              <w:jc w:val="center"/>
              <w:rPr>
                <w:rFonts w:ascii="Arial" w:hAnsi="Arial"/>
                <w:sz w:val="20"/>
                <w:szCs w:val="20"/>
              </w:rPr>
            </w:pPr>
            <w:r w:rsidRPr="00720D9E">
              <w:rPr>
                <w:rFonts w:ascii="Arial" w:hAnsi="Arial"/>
                <w:sz w:val="20"/>
                <w:szCs w:val="20"/>
              </w:rPr>
              <w:t>n/a</w:t>
            </w:r>
          </w:p>
        </w:tc>
        <w:tc>
          <w:tcPr>
            <w:tcW w:w="1931" w:type="dxa"/>
            <w:vAlign w:val="center"/>
          </w:tcPr>
          <w:p w:rsidR="00A05BDD" w:rsidRPr="00720D9E" w:rsidRDefault="00A05BDD" w:rsidP="00DF50B0">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cantSplit/>
          <w:trHeight w:val="144"/>
        </w:trPr>
        <w:tc>
          <w:tcPr>
            <w:tcW w:w="1052" w:type="dxa"/>
            <w:vMerge/>
            <w:vAlign w:val="center"/>
          </w:tcPr>
          <w:p w:rsidR="00A05BDD" w:rsidRPr="00720D9E" w:rsidRDefault="00A05BDD" w:rsidP="00DF50B0">
            <w:pPr>
              <w:spacing w:line="240" w:lineRule="auto"/>
              <w:jc w:val="center"/>
              <w:rPr>
                <w:rFonts w:ascii="Arial" w:hAnsi="Arial"/>
                <w:sz w:val="20"/>
                <w:szCs w:val="20"/>
              </w:rPr>
            </w:pPr>
          </w:p>
        </w:tc>
        <w:tc>
          <w:tcPr>
            <w:tcW w:w="3206" w:type="dxa"/>
            <w:vAlign w:val="center"/>
          </w:tcPr>
          <w:p w:rsidR="00A05BDD" w:rsidRPr="00720D9E" w:rsidRDefault="00A05BDD" w:rsidP="00DE4A30">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flaring</w:t>
            </w:r>
          </w:p>
        </w:tc>
        <w:tc>
          <w:tcPr>
            <w:tcW w:w="1122" w:type="dxa"/>
            <w:vAlign w:val="center"/>
          </w:tcPr>
          <w:p w:rsidR="00A05BDD" w:rsidRPr="00720D9E" w:rsidRDefault="00A05BDD" w:rsidP="00DF50B0">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vAlign w:val="center"/>
          </w:tcPr>
          <w:p w:rsidR="00A05BDD" w:rsidRPr="00720D9E" w:rsidRDefault="00A05BDD" w:rsidP="00DF50B0">
            <w:pPr>
              <w:spacing w:line="240" w:lineRule="auto"/>
              <w:jc w:val="center"/>
              <w:rPr>
                <w:rFonts w:ascii="Arial" w:hAnsi="Arial"/>
                <w:sz w:val="20"/>
                <w:szCs w:val="20"/>
              </w:rPr>
            </w:pPr>
            <w:r w:rsidRPr="00720D9E">
              <w:rPr>
                <w:rFonts w:ascii="Arial" w:hAnsi="Arial"/>
                <w:sz w:val="20"/>
                <w:szCs w:val="20"/>
              </w:rPr>
              <w:t>P</w:t>
            </w:r>
          </w:p>
        </w:tc>
        <w:tc>
          <w:tcPr>
            <w:tcW w:w="1931" w:type="dxa"/>
            <w:vAlign w:val="center"/>
          </w:tcPr>
          <w:p w:rsidR="00A05BDD" w:rsidRPr="00720D9E" w:rsidRDefault="00A05BDD" w:rsidP="00DF50B0">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cantSplit/>
          <w:trHeight w:val="221"/>
        </w:trPr>
        <w:tc>
          <w:tcPr>
            <w:tcW w:w="1052" w:type="dxa"/>
            <w:vMerge w:val="restart"/>
            <w:shd w:val="clear" w:color="auto" w:fill="auto"/>
            <w:vAlign w:val="center"/>
          </w:tcPr>
          <w:p w:rsidR="00A05BDD" w:rsidRPr="00720D9E" w:rsidRDefault="00A05BDD" w:rsidP="004D74E6">
            <w:pPr>
              <w:jc w:val="center"/>
              <w:rPr>
                <w:rFonts w:ascii="Arial" w:hAnsi="Arial" w:cs="Arial"/>
                <w:sz w:val="20"/>
                <w:szCs w:val="20"/>
              </w:rPr>
            </w:pPr>
            <w:r w:rsidRPr="00720D9E">
              <w:rPr>
                <w:rFonts w:ascii="Arial" w:hAnsi="Arial" w:cs="Arial"/>
                <w:sz w:val="20"/>
                <w:szCs w:val="20"/>
              </w:rPr>
              <w:t>9</w:t>
            </w:r>
          </w:p>
        </w:tc>
        <w:tc>
          <w:tcPr>
            <w:tcW w:w="3206" w:type="dxa"/>
            <w:vMerge w:val="restart"/>
            <w:vAlign w:val="center"/>
          </w:tcPr>
          <w:p w:rsidR="00A05BDD" w:rsidRPr="00720D9E" w:rsidRDefault="00A05BDD" w:rsidP="00DE4A30">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resulting from pipeline injection</w:t>
            </w:r>
          </w:p>
        </w:tc>
        <w:tc>
          <w:tcPr>
            <w:tcW w:w="1122" w:type="dxa"/>
            <w:vAlign w:val="center"/>
          </w:tcPr>
          <w:p w:rsidR="00A05BDD" w:rsidRPr="00720D9E" w:rsidRDefault="00A05BDD" w:rsidP="000C52C0">
            <w:pPr>
              <w:spacing w:line="240" w:lineRule="auto"/>
              <w:jc w:val="center"/>
              <w:rPr>
                <w:rFonts w:ascii="Arial" w:hAnsi="Arial" w:cs="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60"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B, P</w:t>
            </w:r>
          </w:p>
        </w:tc>
        <w:tc>
          <w:tcPr>
            <w:tcW w:w="1931" w:type="dxa"/>
            <w:vAlign w:val="center"/>
          </w:tcPr>
          <w:p w:rsidR="00A05BDD" w:rsidRPr="00720D9E" w:rsidRDefault="00A05BDD" w:rsidP="000C52C0">
            <w:pPr>
              <w:spacing w:line="240" w:lineRule="auto"/>
              <w:jc w:val="center"/>
              <w:rPr>
                <w:rFonts w:ascii="Arial" w:hAnsi="Arial" w:cs="Arial"/>
                <w:sz w:val="20"/>
                <w:szCs w:val="20"/>
              </w:rPr>
            </w:pPr>
            <w:r w:rsidRPr="00720D9E">
              <w:rPr>
                <w:rFonts w:ascii="Arial" w:hAnsi="Arial" w:cs="Arial"/>
                <w:sz w:val="20"/>
                <w:szCs w:val="20"/>
              </w:rPr>
              <w:t>Included</w:t>
            </w:r>
          </w:p>
        </w:tc>
      </w:tr>
      <w:tr w:rsidR="00A05BDD" w:rsidRPr="00720D9E" w:rsidTr="00A05BDD">
        <w:trPr>
          <w:cantSplit/>
          <w:trHeight w:val="144"/>
        </w:trPr>
        <w:tc>
          <w:tcPr>
            <w:tcW w:w="1052" w:type="dxa"/>
            <w:vMerge/>
            <w:shd w:val="clear" w:color="auto" w:fill="auto"/>
            <w:vAlign w:val="center"/>
          </w:tcPr>
          <w:p w:rsidR="00A05BDD" w:rsidRPr="00720D9E" w:rsidRDefault="00A05BDD" w:rsidP="000C52C0">
            <w:pPr>
              <w:spacing w:line="240" w:lineRule="auto"/>
              <w:jc w:val="center"/>
              <w:rPr>
                <w:rFonts w:ascii="Arial" w:hAnsi="Arial"/>
                <w:sz w:val="20"/>
                <w:szCs w:val="20"/>
              </w:rPr>
            </w:pPr>
          </w:p>
        </w:tc>
        <w:tc>
          <w:tcPr>
            <w:tcW w:w="3206" w:type="dxa"/>
            <w:vMerge/>
            <w:shd w:val="clear" w:color="auto" w:fill="auto"/>
            <w:vAlign w:val="center"/>
          </w:tcPr>
          <w:p w:rsidR="00A05BDD" w:rsidRPr="00720D9E" w:rsidRDefault="00A05BDD" w:rsidP="000C52C0">
            <w:pPr>
              <w:spacing w:line="240" w:lineRule="auto"/>
              <w:rPr>
                <w:rFonts w:ascii="Arial" w:hAnsi="Arial"/>
                <w:sz w:val="20"/>
                <w:szCs w:val="20"/>
              </w:rPr>
            </w:pPr>
          </w:p>
        </w:tc>
        <w:tc>
          <w:tcPr>
            <w:tcW w:w="1122" w:type="dxa"/>
            <w:vAlign w:val="center"/>
          </w:tcPr>
          <w:p w:rsidR="00A05BDD" w:rsidRPr="00720D9E" w:rsidRDefault="00A05BDD" w:rsidP="000C52C0">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60" w:type="dxa"/>
            <w:vAlign w:val="center"/>
          </w:tcPr>
          <w:p w:rsidR="00A05BDD" w:rsidRPr="00720D9E" w:rsidRDefault="00A05BDD" w:rsidP="000C52C0">
            <w:pPr>
              <w:spacing w:line="240" w:lineRule="auto"/>
              <w:jc w:val="center"/>
              <w:rPr>
                <w:rFonts w:ascii="Arial" w:hAnsi="Arial"/>
                <w:sz w:val="20"/>
                <w:szCs w:val="20"/>
              </w:rPr>
            </w:pPr>
            <w:r w:rsidRPr="00720D9E">
              <w:rPr>
                <w:rFonts w:ascii="Arial" w:hAnsi="Arial"/>
                <w:sz w:val="20"/>
                <w:szCs w:val="20"/>
              </w:rPr>
              <w:t>n/a</w:t>
            </w:r>
          </w:p>
        </w:tc>
        <w:tc>
          <w:tcPr>
            <w:tcW w:w="1931" w:type="dxa"/>
            <w:vAlign w:val="center"/>
          </w:tcPr>
          <w:p w:rsidR="00A05BDD" w:rsidRPr="00720D9E" w:rsidRDefault="00A05BDD" w:rsidP="000C52C0">
            <w:pPr>
              <w:spacing w:line="240" w:lineRule="auto"/>
              <w:jc w:val="center"/>
              <w:rPr>
                <w:rFonts w:ascii="Arial" w:hAnsi="Arial"/>
                <w:sz w:val="20"/>
                <w:szCs w:val="20"/>
              </w:rPr>
            </w:pPr>
            <w:r w:rsidRPr="00720D9E">
              <w:rPr>
                <w:rFonts w:ascii="Arial" w:hAnsi="Arial" w:cs="Arial"/>
                <w:sz w:val="20"/>
                <w:szCs w:val="20"/>
              </w:rPr>
              <w:t>Excluded</w:t>
            </w:r>
          </w:p>
        </w:tc>
      </w:tr>
      <w:tr w:rsidR="00A05BDD" w:rsidRPr="00720D9E" w:rsidTr="00A05BDD">
        <w:trPr>
          <w:cantSplit/>
          <w:trHeight w:val="144"/>
        </w:trPr>
        <w:tc>
          <w:tcPr>
            <w:tcW w:w="1052" w:type="dxa"/>
            <w:vMerge/>
            <w:shd w:val="clear" w:color="auto" w:fill="auto"/>
            <w:vAlign w:val="center"/>
          </w:tcPr>
          <w:p w:rsidR="00A05BDD" w:rsidRPr="00720D9E" w:rsidRDefault="00A05BDD" w:rsidP="000C52C0">
            <w:pPr>
              <w:spacing w:line="240" w:lineRule="auto"/>
              <w:jc w:val="center"/>
              <w:rPr>
                <w:rFonts w:ascii="Arial" w:hAnsi="Arial"/>
                <w:sz w:val="20"/>
                <w:szCs w:val="20"/>
              </w:rPr>
            </w:pPr>
          </w:p>
        </w:tc>
        <w:tc>
          <w:tcPr>
            <w:tcW w:w="3206" w:type="dxa"/>
            <w:shd w:val="clear" w:color="auto" w:fill="auto"/>
            <w:vAlign w:val="center"/>
          </w:tcPr>
          <w:p w:rsidR="00A05BDD" w:rsidRPr="00720D9E" w:rsidRDefault="00A05BDD" w:rsidP="00DE4A30">
            <w:pPr>
              <w:spacing w:line="240" w:lineRule="auto"/>
              <w:rPr>
                <w:rFonts w:ascii="Arial" w:hAnsi="Arial"/>
                <w:sz w:val="20"/>
                <w:szCs w:val="20"/>
              </w:rPr>
            </w:pPr>
            <w:r w:rsidRPr="00720D9E">
              <w:rPr>
                <w:rFonts w:ascii="Arial" w:hAnsi="Arial" w:cs="Arial"/>
                <w:sz w:val="20"/>
                <w:szCs w:val="20"/>
              </w:rPr>
              <w:t>Emissions resulting from the incomplete methane</w:t>
            </w:r>
            <w:r w:rsidRPr="00720D9E">
              <w:rPr>
                <w:rFonts w:ascii="Arial" w:hAnsi="Arial" w:cs="Arial"/>
                <w:sz w:val="20"/>
                <w:szCs w:val="20"/>
                <w:vertAlign w:val="subscript"/>
                <w:lang w:val="en-GB"/>
              </w:rPr>
              <w:t xml:space="preserve"> </w:t>
            </w:r>
            <w:r w:rsidRPr="00720D9E">
              <w:rPr>
                <w:rFonts w:ascii="Arial" w:hAnsi="Arial" w:cs="Arial"/>
                <w:sz w:val="20"/>
                <w:szCs w:val="20"/>
              </w:rPr>
              <w:t>combustion resulting from pipeline injection</w:t>
            </w:r>
          </w:p>
        </w:tc>
        <w:tc>
          <w:tcPr>
            <w:tcW w:w="1122" w:type="dxa"/>
            <w:vAlign w:val="center"/>
          </w:tcPr>
          <w:p w:rsidR="00A05BDD" w:rsidRPr="00720D9E" w:rsidRDefault="00A05BDD" w:rsidP="000C52C0">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vAlign w:val="center"/>
          </w:tcPr>
          <w:p w:rsidR="00A05BDD" w:rsidRPr="00720D9E" w:rsidRDefault="00A05BDD" w:rsidP="000C52C0">
            <w:pPr>
              <w:spacing w:line="240" w:lineRule="auto"/>
              <w:jc w:val="center"/>
              <w:rPr>
                <w:rFonts w:ascii="Arial" w:hAnsi="Arial"/>
                <w:sz w:val="20"/>
                <w:szCs w:val="20"/>
              </w:rPr>
            </w:pPr>
            <w:r w:rsidRPr="00720D9E">
              <w:rPr>
                <w:rFonts w:ascii="Arial" w:hAnsi="Arial" w:cs="Arial"/>
                <w:sz w:val="20"/>
                <w:szCs w:val="20"/>
              </w:rPr>
              <w:t>P</w:t>
            </w:r>
          </w:p>
        </w:tc>
        <w:tc>
          <w:tcPr>
            <w:tcW w:w="1931" w:type="dxa"/>
            <w:vAlign w:val="center"/>
          </w:tcPr>
          <w:p w:rsidR="00A05BDD" w:rsidRPr="00720D9E" w:rsidRDefault="00A05BDD" w:rsidP="000C52C0">
            <w:pPr>
              <w:spacing w:line="240" w:lineRule="auto"/>
              <w:jc w:val="center"/>
              <w:rPr>
                <w:rFonts w:ascii="Arial" w:hAnsi="Arial"/>
                <w:sz w:val="20"/>
                <w:szCs w:val="20"/>
              </w:rPr>
            </w:pPr>
            <w:r w:rsidRPr="00720D9E">
              <w:rPr>
                <w:rFonts w:ascii="Arial" w:hAnsi="Arial" w:cs="Arial"/>
                <w:sz w:val="20"/>
                <w:szCs w:val="20"/>
              </w:rPr>
              <w:t>Included</w:t>
            </w:r>
          </w:p>
        </w:tc>
      </w:tr>
      <w:tr w:rsidR="00A05BDD" w:rsidRPr="00720D9E" w:rsidTr="00A05BDD">
        <w:trPr>
          <w:cantSplit/>
          <w:trHeight w:val="306"/>
        </w:trPr>
        <w:tc>
          <w:tcPr>
            <w:tcW w:w="1052" w:type="dxa"/>
            <w:vMerge w:val="restart"/>
            <w:shd w:val="clear" w:color="auto" w:fill="auto"/>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rPr>
              <w:t>10</w:t>
            </w:r>
          </w:p>
        </w:tc>
        <w:tc>
          <w:tcPr>
            <w:tcW w:w="3206" w:type="dxa"/>
            <w:vMerge w:val="restart"/>
            <w:vAlign w:val="center"/>
          </w:tcPr>
          <w:p w:rsidR="00A05BDD" w:rsidRPr="00720D9E" w:rsidRDefault="00A05BDD" w:rsidP="004E26DC">
            <w:pPr>
              <w:spacing w:line="240" w:lineRule="auto"/>
              <w:rPr>
                <w:rFonts w:ascii="Arial" w:hAnsi="Arial" w:cs="Arial"/>
                <w:sz w:val="20"/>
                <w:szCs w:val="20"/>
              </w:rPr>
            </w:pPr>
            <w:r w:rsidRPr="00720D9E">
              <w:rPr>
                <w:rFonts w:ascii="Arial" w:hAnsi="Arial" w:cs="Arial"/>
                <w:sz w:val="20"/>
                <w:szCs w:val="20"/>
              </w:rPr>
              <w:t>Emissions from well drilling and well gas completion</w:t>
            </w:r>
          </w:p>
        </w:tc>
        <w:tc>
          <w:tcPr>
            <w:tcW w:w="1122" w:type="dxa"/>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60" w:type="dxa"/>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rPr>
              <w:t>P</w:t>
            </w:r>
          </w:p>
        </w:tc>
        <w:tc>
          <w:tcPr>
            <w:tcW w:w="1931" w:type="dxa"/>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rPr>
              <w:t>Included</w:t>
            </w:r>
          </w:p>
        </w:tc>
      </w:tr>
      <w:tr w:rsidR="00A05BDD" w:rsidRPr="00720D9E" w:rsidTr="00A05BDD">
        <w:trPr>
          <w:cantSplit/>
          <w:trHeight w:val="333"/>
        </w:trPr>
        <w:tc>
          <w:tcPr>
            <w:tcW w:w="1052" w:type="dxa"/>
            <w:vMerge/>
            <w:shd w:val="clear" w:color="auto" w:fill="auto"/>
            <w:vAlign w:val="center"/>
          </w:tcPr>
          <w:p w:rsidR="00A05BDD" w:rsidRPr="00720D9E" w:rsidRDefault="00A05BDD" w:rsidP="004E26DC">
            <w:pPr>
              <w:spacing w:line="240" w:lineRule="auto"/>
              <w:jc w:val="center"/>
              <w:rPr>
                <w:sz w:val="20"/>
                <w:szCs w:val="20"/>
              </w:rPr>
            </w:pPr>
          </w:p>
        </w:tc>
        <w:tc>
          <w:tcPr>
            <w:tcW w:w="3206" w:type="dxa"/>
            <w:vMerge/>
            <w:vAlign w:val="center"/>
          </w:tcPr>
          <w:p w:rsidR="00A05BDD" w:rsidRPr="00720D9E" w:rsidRDefault="00A05BDD" w:rsidP="004E26DC">
            <w:pPr>
              <w:spacing w:line="240" w:lineRule="auto"/>
              <w:rPr>
                <w:sz w:val="20"/>
                <w:szCs w:val="20"/>
              </w:rPr>
            </w:pPr>
          </w:p>
        </w:tc>
        <w:tc>
          <w:tcPr>
            <w:tcW w:w="1122" w:type="dxa"/>
            <w:vAlign w:val="center"/>
          </w:tcPr>
          <w:p w:rsidR="00A05BDD" w:rsidRPr="00720D9E" w:rsidRDefault="00A05BDD" w:rsidP="004E26DC">
            <w:pPr>
              <w:spacing w:line="240" w:lineRule="auto"/>
              <w:jc w:val="center"/>
              <w:rPr>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vAlign w:val="center"/>
          </w:tcPr>
          <w:p w:rsidR="00A05BDD" w:rsidRPr="00720D9E" w:rsidRDefault="00A05BDD" w:rsidP="004E26DC">
            <w:pPr>
              <w:spacing w:line="240" w:lineRule="auto"/>
              <w:jc w:val="center"/>
              <w:rPr>
                <w:sz w:val="20"/>
                <w:szCs w:val="20"/>
              </w:rPr>
            </w:pPr>
            <w:r w:rsidRPr="00720D9E">
              <w:rPr>
                <w:rFonts w:ascii="Arial" w:hAnsi="Arial" w:cs="Arial"/>
                <w:sz w:val="20"/>
                <w:szCs w:val="20"/>
              </w:rPr>
              <w:t>n/a</w:t>
            </w:r>
          </w:p>
        </w:tc>
        <w:tc>
          <w:tcPr>
            <w:tcW w:w="1931" w:type="dxa"/>
            <w:vAlign w:val="center"/>
          </w:tcPr>
          <w:p w:rsidR="00A05BDD" w:rsidRPr="00720D9E" w:rsidRDefault="00A05BDD" w:rsidP="004E26DC">
            <w:pPr>
              <w:spacing w:line="240" w:lineRule="auto"/>
              <w:jc w:val="center"/>
              <w:rPr>
                <w:sz w:val="20"/>
                <w:szCs w:val="20"/>
              </w:rPr>
            </w:pPr>
            <w:r w:rsidRPr="00720D9E">
              <w:rPr>
                <w:rFonts w:ascii="Arial" w:hAnsi="Arial" w:cs="Arial"/>
                <w:sz w:val="20"/>
                <w:szCs w:val="20"/>
              </w:rPr>
              <w:t>Excluded</w:t>
            </w:r>
          </w:p>
        </w:tc>
      </w:tr>
      <w:tr w:rsidR="00A05BDD" w:rsidRPr="00720D9E" w:rsidTr="00A05BDD">
        <w:trPr>
          <w:cantSplit/>
          <w:trHeight w:val="144"/>
        </w:trPr>
        <w:tc>
          <w:tcPr>
            <w:tcW w:w="1052" w:type="dxa"/>
            <w:vMerge/>
            <w:shd w:val="clear" w:color="auto" w:fill="auto"/>
            <w:vAlign w:val="center"/>
          </w:tcPr>
          <w:p w:rsidR="00A05BDD" w:rsidRPr="00720D9E" w:rsidRDefault="00A05BDD" w:rsidP="004E26DC">
            <w:pPr>
              <w:spacing w:line="240" w:lineRule="auto"/>
              <w:jc w:val="center"/>
              <w:rPr>
                <w:sz w:val="20"/>
                <w:szCs w:val="20"/>
              </w:rPr>
            </w:pPr>
          </w:p>
        </w:tc>
        <w:tc>
          <w:tcPr>
            <w:tcW w:w="3206" w:type="dxa"/>
            <w:vMerge/>
            <w:vAlign w:val="center"/>
          </w:tcPr>
          <w:p w:rsidR="00A05BDD" w:rsidRPr="00720D9E" w:rsidRDefault="00A05BDD" w:rsidP="004E26DC">
            <w:pPr>
              <w:spacing w:line="240" w:lineRule="auto"/>
              <w:rPr>
                <w:sz w:val="20"/>
                <w:szCs w:val="20"/>
              </w:rPr>
            </w:pPr>
          </w:p>
        </w:tc>
        <w:tc>
          <w:tcPr>
            <w:tcW w:w="1122" w:type="dxa"/>
            <w:vAlign w:val="center"/>
          </w:tcPr>
          <w:p w:rsidR="00A05BDD" w:rsidRPr="00720D9E" w:rsidRDefault="00A05BDD" w:rsidP="004E26DC">
            <w:pPr>
              <w:spacing w:line="240" w:lineRule="auto"/>
              <w:jc w:val="center"/>
              <w:rPr>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60" w:type="dxa"/>
            <w:vAlign w:val="center"/>
          </w:tcPr>
          <w:p w:rsidR="00A05BDD" w:rsidRPr="00720D9E" w:rsidRDefault="00A05BDD" w:rsidP="004E26DC">
            <w:pPr>
              <w:spacing w:line="240" w:lineRule="auto"/>
              <w:jc w:val="center"/>
              <w:rPr>
                <w:sz w:val="20"/>
                <w:szCs w:val="20"/>
              </w:rPr>
            </w:pPr>
            <w:r w:rsidRPr="00720D9E">
              <w:rPr>
                <w:rFonts w:ascii="Arial" w:hAnsi="Arial" w:cs="Arial"/>
                <w:sz w:val="20"/>
                <w:szCs w:val="20"/>
              </w:rPr>
              <w:t>n/a</w:t>
            </w:r>
          </w:p>
        </w:tc>
        <w:tc>
          <w:tcPr>
            <w:tcW w:w="1931" w:type="dxa"/>
            <w:vAlign w:val="center"/>
          </w:tcPr>
          <w:p w:rsidR="00A05BDD" w:rsidRPr="00720D9E" w:rsidRDefault="00A05BDD" w:rsidP="004E26DC">
            <w:pPr>
              <w:spacing w:line="240" w:lineRule="auto"/>
              <w:jc w:val="center"/>
              <w:rPr>
                <w:sz w:val="20"/>
                <w:szCs w:val="20"/>
              </w:rPr>
            </w:pPr>
            <w:r w:rsidRPr="00720D9E">
              <w:rPr>
                <w:rFonts w:ascii="Arial" w:hAnsi="Arial" w:cs="Arial"/>
                <w:sz w:val="20"/>
                <w:szCs w:val="20"/>
              </w:rPr>
              <w:t>Excluded</w:t>
            </w:r>
          </w:p>
        </w:tc>
      </w:tr>
      <w:tr w:rsidR="00A05BDD" w:rsidRPr="00720D9E" w:rsidTr="00A05BDD">
        <w:trPr>
          <w:cantSplit/>
          <w:trHeight w:val="144"/>
        </w:trPr>
        <w:tc>
          <w:tcPr>
            <w:tcW w:w="1052" w:type="dxa"/>
            <w:vMerge/>
            <w:shd w:val="clear" w:color="auto" w:fill="auto"/>
            <w:vAlign w:val="center"/>
          </w:tcPr>
          <w:p w:rsidR="00A05BDD" w:rsidRPr="00720D9E" w:rsidRDefault="00A05BDD" w:rsidP="004E26DC">
            <w:pPr>
              <w:spacing w:line="240" w:lineRule="auto"/>
              <w:jc w:val="center"/>
              <w:rPr>
                <w:rFonts w:ascii="Arial" w:hAnsi="Arial" w:cs="Arial"/>
                <w:sz w:val="20"/>
                <w:szCs w:val="20"/>
              </w:rPr>
            </w:pPr>
          </w:p>
        </w:tc>
        <w:tc>
          <w:tcPr>
            <w:tcW w:w="3206" w:type="dxa"/>
            <w:vAlign w:val="center"/>
          </w:tcPr>
          <w:p w:rsidR="00A05BDD" w:rsidRPr="00720D9E" w:rsidRDefault="00A05BDD" w:rsidP="004E26DC">
            <w:pPr>
              <w:spacing w:line="240" w:lineRule="auto"/>
              <w:rPr>
                <w:rFonts w:ascii="Arial" w:hAnsi="Arial" w:cs="Arial"/>
                <w:sz w:val="20"/>
                <w:szCs w:val="20"/>
              </w:rPr>
            </w:pPr>
            <w:r w:rsidRPr="00720D9E">
              <w:rPr>
                <w:rFonts w:ascii="Arial" w:hAnsi="Arial" w:cs="Arial"/>
                <w:sz w:val="20"/>
                <w:szCs w:val="20"/>
              </w:rPr>
              <w:t>Fugitive emissions  from well drilling and gas well completion</w:t>
            </w:r>
          </w:p>
        </w:tc>
        <w:tc>
          <w:tcPr>
            <w:tcW w:w="1122" w:type="dxa"/>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rPr>
              <w:t>n/a</w:t>
            </w:r>
          </w:p>
        </w:tc>
        <w:tc>
          <w:tcPr>
            <w:tcW w:w="1931" w:type="dxa"/>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cantSplit/>
          <w:trHeight w:val="288"/>
        </w:trPr>
        <w:tc>
          <w:tcPr>
            <w:tcW w:w="1052" w:type="dxa"/>
            <w:vMerge w:val="restart"/>
            <w:shd w:val="clear" w:color="auto" w:fill="auto"/>
            <w:vAlign w:val="center"/>
          </w:tcPr>
          <w:p w:rsidR="00A05BDD" w:rsidRPr="00720D9E" w:rsidRDefault="00A05BDD" w:rsidP="00437C2C">
            <w:pPr>
              <w:spacing w:line="240" w:lineRule="auto"/>
              <w:jc w:val="center"/>
              <w:rPr>
                <w:rFonts w:ascii="Arial" w:hAnsi="Arial" w:cs="Arial"/>
                <w:sz w:val="20"/>
                <w:szCs w:val="20"/>
              </w:rPr>
            </w:pPr>
            <w:r w:rsidRPr="00720D9E">
              <w:rPr>
                <w:rFonts w:ascii="Arial" w:hAnsi="Arial" w:cs="Arial"/>
                <w:sz w:val="20"/>
                <w:szCs w:val="20"/>
              </w:rPr>
              <w:t>11</w:t>
            </w:r>
          </w:p>
        </w:tc>
        <w:tc>
          <w:tcPr>
            <w:tcW w:w="3206" w:type="dxa"/>
            <w:vMerge w:val="restart"/>
            <w:vAlign w:val="center"/>
          </w:tcPr>
          <w:p w:rsidR="00A05BDD" w:rsidRPr="00720D9E" w:rsidRDefault="00A05BDD" w:rsidP="004B1D59">
            <w:pPr>
              <w:spacing w:line="240" w:lineRule="auto"/>
              <w:rPr>
                <w:rFonts w:ascii="Arial" w:hAnsi="Arial" w:cs="Arial"/>
                <w:sz w:val="20"/>
                <w:szCs w:val="20"/>
              </w:rPr>
            </w:pPr>
            <w:r w:rsidRPr="00720D9E">
              <w:rPr>
                <w:rFonts w:ascii="Arial" w:hAnsi="Arial" w:cs="Arial"/>
                <w:sz w:val="20"/>
                <w:szCs w:val="20"/>
              </w:rPr>
              <w:t>Emission reductions resulting from the displacement of fossil fuels or electricity</w:t>
            </w:r>
          </w:p>
        </w:tc>
        <w:tc>
          <w:tcPr>
            <w:tcW w:w="1122" w:type="dxa"/>
            <w:vAlign w:val="center"/>
          </w:tcPr>
          <w:p w:rsidR="00A05BDD" w:rsidRPr="00720D9E" w:rsidRDefault="00A05BDD" w:rsidP="0012224F">
            <w:pPr>
              <w:spacing w:line="240" w:lineRule="auto"/>
              <w:jc w:val="center"/>
              <w:rPr>
                <w:rFonts w:ascii="Arial" w:hAnsi="Arial" w:cs="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60" w:type="dxa"/>
            <w:vAlign w:val="center"/>
          </w:tcPr>
          <w:p w:rsidR="00A05BDD" w:rsidRPr="00720D9E" w:rsidRDefault="00A05BDD" w:rsidP="0012224F">
            <w:pPr>
              <w:spacing w:line="240" w:lineRule="auto"/>
              <w:jc w:val="center"/>
              <w:rPr>
                <w:rFonts w:ascii="Arial" w:hAnsi="Arial" w:cs="Arial"/>
                <w:sz w:val="20"/>
                <w:szCs w:val="20"/>
              </w:rPr>
            </w:pPr>
            <w:r w:rsidRPr="00720D9E">
              <w:rPr>
                <w:rFonts w:ascii="Arial" w:hAnsi="Arial" w:cs="Arial"/>
                <w:sz w:val="20"/>
                <w:szCs w:val="20"/>
              </w:rPr>
              <w:t>n/a</w:t>
            </w:r>
          </w:p>
        </w:tc>
        <w:tc>
          <w:tcPr>
            <w:tcW w:w="1931" w:type="dxa"/>
            <w:vAlign w:val="center"/>
          </w:tcPr>
          <w:p w:rsidR="00A05BDD" w:rsidRPr="00720D9E" w:rsidRDefault="00A05BDD" w:rsidP="0012224F">
            <w:pPr>
              <w:spacing w:line="240" w:lineRule="auto"/>
              <w:jc w:val="center"/>
              <w:rPr>
                <w:rFonts w:ascii="Arial" w:hAnsi="Arial"/>
                <w:sz w:val="20"/>
                <w:szCs w:val="20"/>
              </w:rPr>
            </w:pPr>
            <w:r w:rsidRPr="00720D9E">
              <w:rPr>
                <w:rFonts w:ascii="Arial" w:hAnsi="Arial" w:cs="Arial"/>
                <w:sz w:val="20"/>
                <w:szCs w:val="20"/>
              </w:rPr>
              <w:t>Excluded</w:t>
            </w:r>
          </w:p>
        </w:tc>
      </w:tr>
      <w:tr w:rsidR="00A05BDD" w:rsidRPr="00720D9E" w:rsidTr="00A05BDD">
        <w:trPr>
          <w:trHeight w:val="324"/>
        </w:trPr>
        <w:tc>
          <w:tcPr>
            <w:tcW w:w="1052" w:type="dxa"/>
            <w:vMerge/>
            <w:shd w:val="clear" w:color="auto" w:fill="auto"/>
            <w:vAlign w:val="center"/>
          </w:tcPr>
          <w:p w:rsidR="00A05BDD" w:rsidRPr="00720D9E" w:rsidRDefault="00A05BDD" w:rsidP="000460C3">
            <w:pPr>
              <w:spacing w:line="240" w:lineRule="auto"/>
              <w:jc w:val="center"/>
              <w:rPr>
                <w:rFonts w:ascii="Arial" w:hAnsi="Arial" w:cs="Arial"/>
                <w:sz w:val="20"/>
                <w:szCs w:val="20"/>
              </w:rPr>
            </w:pPr>
          </w:p>
        </w:tc>
        <w:tc>
          <w:tcPr>
            <w:tcW w:w="3206" w:type="dxa"/>
            <w:vMerge/>
            <w:vAlign w:val="center"/>
          </w:tcPr>
          <w:p w:rsidR="00A05BDD" w:rsidRPr="00720D9E" w:rsidRDefault="00A05BDD" w:rsidP="000460C3">
            <w:pPr>
              <w:spacing w:line="240" w:lineRule="auto"/>
              <w:rPr>
                <w:rFonts w:ascii="Arial" w:hAnsi="Arial" w:cs="Arial"/>
                <w:sz w:val="20"/>
                <w:szCs w:val="20"/>
              </w:rPr>
            </w:pPr>
          </w:p>
        </w:tc>
        <w:tc>
          <w:tcPr>
            <w:tcW w:w="1122" w:type="dxa"/>
            <w:vAlign w:val="center"/>
          </w:tcPr>
          <w:p w:rsidR="00A05BDD" w:rsidRPr="00720D9E" w:rsidRDefault="00A05BDD" w:rsidP="000460C3">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60" w:type="dxa"/>
            <w:shd w:val="clear" w:color="auto" w:fill="auto"/>
            <w:vAlign w:val="center"/>
          </w:tcPr>
          <w:p w:rsidR="00A05BDD" w:rsidRPr="00720D9E" w:rsidRDefault="00A05BDD" w:rsidP="000460C3">
            <w:pPr>
              <w:spacing w:line="240" w:lineRule="auto"/>
              <w:jc w:val="center"/>
              <w:rPr>
                <w:rFonts w:ascii="Arial" w:hAnsi="Arial" w:cs="Arial"/>
                <w:sz w:val="20"/>
                <w:szCs w:val="20"/>
              </w:rPr>
            </w:pPr>
            <w:r w:rsidRPr="00720D9E">
              <w:rPr>
                <w:rFonts w:ascii="Arial" w:hAnsi="Arial" w:cs="Arial"/>
                <w:sz w:val="20"/>
                <w:szCs w:val="20"/>
              </w:rPr>
              <w:t>n/a</w:t>
            </w:r>
          </w:p>
        </w:tc>
        <w:tc>
          <w:tcPr>
            <w:tcW w:w="1931" w:type="dxa"/>
            <w:vAlign w:val="center"/>
          </w:tcPr>
          <w:p w:rsidR="00A05BDD" w:rsidRPr="00720D9E" w:rsidRDefault="00A05BDD" w:rsidP="000460C3">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trHeight w:val="144"/>
        </w:trPr>
        <w:tc>
          <w:tcPr>
            <w:tcW w:w="1052" w:type="dxa"/>
            <w:vMerge/>
            <w:shd w:val="clear" w:color="auto" w:fill="auto"/>
            <w:vAlign w:val="center"/>
          </w:tcPr>
          <w:p w:rsidR="00A05BDD" w:rsidRPr="00720D9E" w:rsidRDefault="00A05BDD" w:rsidP="000460C3">
            <w:pPr>
              <w:spacing w:line="240" w:lineRule="auto"/>
              <w:jc w:val="center"/>
              <w:rPr>
                <w:rFonts w:ascii="Arial" w:hAnsi="Arial" w:cs="Arial"/>
                <w:sz w:val="20"/>
                <w:szCs w:val="20"/>
              </w:rPr>
            </w:pPr>
          </w:p>
        </w:tc>
        <w:tc>
          <w:tcPr>
            <w:tcW w:w="3206" w:type="dxa"/>
            <w:vMerge/>
            <w:vAlign w:val="center"/>
          </w:tcPr>
          <w:p w:rsidR="00A05BDD" w:rsidRPr="00720D9E" w:rsidRDefault="00A05BDD" w:rsidP="000460C3">
            <w:pPr>
              <w:spacing w:line="240" w:lineRule="auto"/>
              <w:rPr>
                <w:rFonts w:ascii="Arial" w:hAnsi="Arial" w:cs="Arial"/>
                <w:sz w:val="20"/>
                <w:szCs w:val="20"/>
              </w:rPr>
            </w:pPr>
          </w:p>
        </w:tc>
        <w:tc>
          <w:tcPr>
            <w:tcW w:w="1122" w:type="dxa"/>
            <w:vAlign w:val="center"/>
          </w:tcPr>
          <w:p w:rsidR="00A05BDD" w:rsidRPr="00720D9E" w:rsidRDefault="00A05BDD" w:rsidP="000460C3">
            <w:pPr>
              <w:spacing w:line="240" w:lineRule="auto"/>
              <w:jc w:val="center"/>
              <w:rPr>
                <w:rFonts w:ascii="Arial" w:hAnsi="Arial" w:cs="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60" w:type="dxa"/>
            <w:shd w:val="clear" w:color="auto" w:fill="auto"/>
            <w:vAlign w:val="center"/>
          </w:tcPr>
          <w:p w:rsidR="00A05BDD" w:rsidRPr="00720D9E" w:rsidRDefault="00A05BDD" w:rsidP="000460C3">
            <w:pPr>
              <w:spacing w:line="240" w:lineRule="auto"/>
              <w:jc w:val="center"/>
              <w:rPr>
                <w:rFonts w:ascii="Arial" w:hAnsi="Arial" w:cs="Arial"/>
                <w:sz w:val="20"/>
                <w:szCs w:val="20"/>
              </w:rPr>
            </w:pPr>
            <w:r w:rsidRPr="00720D9E">
              <w:rPr>
                <w:rFonts w:ascii="Arial" w:hAnsi="Arial" w:cs="Arial"/>
                <w:sz w:val="20"/>
                <w:szCs w:val="20"/>
              </w:rPr>
              <w:t>n/a</w:t>
            </w:r>
          </w:p>
        </w:tc>
        <w:tc>
          <w:tcPr>
            <w:tcW w:w="1931" w:type="dxa"/>
            <w:vAlign w:val="center"/>
          </w:tcPr>
          <w:p w:rsidR="00A05BDD" w:rsidRPr="00720D9E" w:rsidRDefault="00A05BDD" w:rsidP="000460C3">
            <w:pPr>
              <w:spacing w:line="240" w:lineRule="auto"/>
              <w:jc w:val="center"/>
              <w:rPr>
                <w:rFonts w:ascii="Arial" w:hAnsi="Arial" w:cs="Arial"/>
                <w:sz w:val="20"/>
                <w:szCs w:val="20"/>
              </w:rPr>
            </w:pPr>
            <w:r w:rsidRPr="00720D9E">
              <w:rPr>
                <w:rFonts w:ascii="Arial" w:hAnsi="Arial" w:cs="Arial"/>
                <w:sz w:val="20"/>
                <w:szCs w:val="20"/>
              </w:rPr>
              <w:t>Excluded</w:t>
            </w:r>
          </w:p>
        </w:tc>
      </w:tr>
    </w:tbl>
    <w:p w:rsidR="00D02ED4" w:rsidRPr="00720D9E" w:rsidRDefault="00037C40" w:rsidP="00526AA3">
      <w:pPr>
        <w:pStyle w:val="Heading2"/>
      </w:pPr>
      <w:bookmarkStart w:id="30" w:name="_Toc364243204"/>
      <w:r w:rsidRPr="00720D9E">
        <w:t>§</w:t>
      </w:r>
      <w:r w:rsidR="00526AA3" w:rsidRPr="00720D9E">
        <w:t xml:space="preserve"> </w:t>
      </w:r>
      <w:r w:rsidR="00926183" w:rsidRPr="00720D9E">
        <w:t>4.4</w:t>
      </w:r>
      <w:r w:rsidRPr="00720D9E">
        <w:t>.</w:t>
      </w:r>
      <w:r w:rsidR="00526AA3" w:rsidRPr="00720D9E">
        <w:t xml:space="preserve"> </w:t>
      </w:r>
      <w:r w:rsidR="00D02ED4" w:rsidRPr="00720D9E">
        <w:t xml:space="preserve">Abandoned Underground Mine Methane Recovery </w:t>
      </w:r>
      <w:r w:rsidR="00DE4A30" w:rsidRPr="00720D9E">
        <w:t>Activities.</w:t>
      </w:r>
      <w:bookmarkEnd w:id="30"/>
    </w:p>
    <w:p w:rsidR="00526AA3" w:rsidRPr="00720D9E" w:rsidRDefault="00526AA3" w:rsidP="00DC7C4C">
      <w:pPr>
        <w:pStyle w:val="ListParagraph"/>
        <w:numPr>
          <w:ilvl w:val="0"/>
          <w:numId w:val="25"/>
        </w:numPr>
        <w:ind w:hanging="720"/>
      </w:pPr>
      <w:r w:rsidRPr="00720D9E">
        <w:t xml:space="preserve">Figure </w:t>
      </w:r>
      <w:r w:rsidR="00926183" w:rsidRPr="00720D9E">
        <w:t>4</w:t>
      </w:r>
      <w:r w:rsidRPr="00720D9E">
        <w:t xml:space="preserve">.4 illustrates the GHG assessment boundary for abandoned underground mine methane recovery </w:t>
      </w:r>
      <w:r w:rsidR="00DE4A30" w:rsidRPr="00720D9E">
        <w:t>activities</w:t>
      </w:r>
      <w:r w:rsidRPr="00720D9E">
        <w:t xml:space="preserve">, indicating which SSRs are included or excluded from the offset project boundary. </w:t>
      </w:r>
    </w:p>
    <w:p w:rsidR="00526AA3" w:rsidRPr="00720D9E" w:rsidRDefault="00526AA3" w:rsidP="00DC7C4C">
      <w:pPr>
        <w:pStyle w:val="ListParagraph"/>
        <w:numPr>
          <w:ilvl w:val="0"/>
          <w:numId w:val="21"/>
        </w:numPr>
      </w:pPr>
      <w:r w:rsidRPr="00720D9E">
        <w:t>All SSRs within the bold line are included and must be accounted for under this protocol.</w:t>
      </w:r>
    </w:p>
    <w:p w:rsidR="00526AA3" w:rsidRPr="00720D9E" w:rsidRDefault="00526AA3" w:rsidP="00DC7C4C">
      <w:pPr>
        <w:pStyle w:val="ListParagraph"/>
        <w:numPr>
          <w:ilvl w:val="0"/>
          <w:numId w:val="21"/>
        </w:numPr>
      </w:pPr>
      <w:r w:rsidRPr="00720D9E">
        <w:t>SSRs in unshaded boxes are relevant to the baseline and project emissions.</w:t>
      </w:r>
    </w:p>
    <w:p w:rsidR="00526AA3" w:rsidRPr="00720D9E" w:rsidRDefault="00526AA3" w:rsidP="00DC7C4C">
      <w:pPr>
        <w:pStyle w:val="ListParagraph"/>
        <w:numPr>
          <w:ilvl w:val="0"/>
          <w:numId w:val="21"/>
        </w:numPr>
        <w:rPr>
          <w:rStyle w:val="Heading6Char"/>
        </w:rPr>
      </w:pPr>
      <w:r w:rsidRPr="00720D9E">
        <w:t>SSRs in shaded boxes are relevant only to the project emissions.</w:t>
      </w:r>
    </w:p>
    <w:p w:rsidR="00526AA3" w:rsidRPr="00720D9E" w:rsidRDefault="00526AA3" w:rsidP="00526AA3">
      <w:pPr>
        <w:pStyle w:val="Heading3"/>
      </w:pPr>
      <w:bookmarkStart w:id="31" w:name="_Toc364243205"/>
      <w:r w:rsidRPr="00720D9E">
        <w:rPr>
          <w:rStyle w:val="Heading6Char"/>
          <w:b/>
          <w:sz w:val="24"/>
        </w:rPr>
        <w:lastRenderedPageBreak/>
        <w:t xml:space="preserve">Figure </w:t>
      </w:r>
      <w:r w:rsidR="00926183" w:rsidRPr="00720D9E">
        <w:rPr>
          <w:rStyle w:val="Heading6Char"/>
          <w:b/>
          <w:sz w:val="24"/>
        </w:rPr>
        <w:t>4</w:t>
      </w:r>
      <w:r w:rsidRPr="00720D9E">
        <w:rPr>
          <w:rStyle w:val="Heading6Char"/>
          <w:b/>
          <w:sz w:val="24"/>
        </w:rPr>
        <w:t>.4.</w:t>
      </w:r>
      <w:r w:rsidRPr="00720D9E">
        <w:t xml:space="preserve"> Illustration of the greenhouse gas assessment boundary for abandoned underground mine methane recovery </w:t>
      </w:r>
      <w:r w:rsidR="00DE4A30" w:rsidRPr="00720D9E">
        <w:t>activities</w:t>
      </w:r>
      <w:r w:rsidRPr="00720D9E">
        <w:t>.</w:t>
      </w:r>
      <w:bookmarkEnd w:id="31"/>
    </w:p>
    <w:p w:rsidR="002F7F96" w:rsidRPr="00720D9E" w:rsidRDefault="002F7F96" w:rsidP="002F7F96">
      <w:r w:rsidRPr="00720D9E">
        <w:rPr>
          <w:noProof/>
        </w:rPr>
        <w:drawing>
          <wp:inline distT="0" distB="0" distL="0" distR="0" wp14:anchorId="459D7179" wp14:editId="441718D5">
            <wp:extent cx="5943600" cy="3662218"/>
            <wp:effectExtent l="0" t="0" r="0" b="0"/>
            <wp:docPr id="20" name="Picture 20" descr="C:\Users\jbede\Desktop\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jbede\Desktop\AA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662218"/>
                    </a:xfrm>
                    <a:prstGeom prst="rect">
                      <a:avLst/>
                    </a:prstGeom>
                    <a:noFill/>
                    <a:ln>
                      <a:noFill/>
                    </a:ln>
                  </pic:spPr>
                </pic:pic>
              </a:graphicData>
            </a:graphic>
          </wp:inline>
        </w:drawing>
      </w:r>
    </w:p>
    <w:p w:rsidR="00526AA3" w:rsidRPr="00720D9E" w:rsidRDefault="00526AA3" w:rsidP="00526AA3">
      <w:pPr>
        <w:rPr>
          <w:i/>
        </w:rPr>
      </w:pPr>
    </w:p>
    <w:p w:rsidR="00526AA3" w:rsidRPr="00720D9E" w:rsidRDefault="00526AA3" w:rsidP="00DC7C4C">
      <w:pPr>
        <w:pStyle w:val="ListParagraph"/>
        <w:numPr>
          <w:ilvl w:val="0"/>
          <w:numId w:val="22"/>
        </w:numPr>
        <w:ind w:hanging="720"/>
      </w:pPr>
      <w:r w:rsidRPr="00720D9E">
        <w:t xml:space="preserve">Table </w:t>
      </w:r>
      <w:r w:rsidR="00926183" w:rsidRPr="00720D9E">
        <w:t>4</w:t>
      </w:r>
      <w:r w:rsidRPr="00720D9E">
        <w:t xml:space="preserve">.4 lists the SSRs for abandoned underground mine methane recovery </w:t>
      </w:r>
      <w:r w:rsidR="00DE4A30" w:rsidRPr="00720D9E">
        <w:t>activities</w:t>
      </w:r>
      <w:r w:rsidRPr="00720D9E">
        <w:t>, indicating which gases are included or excluded from the offset project boundary.</w:t>
      </w:r>
    </w:p>
    <w:p w:rsidR="00526AA3" w:rsidRPr="00720D9E" w:rsidRDefault="00526AA3" w:rsidP="00526AA3">
      <w:pPr>
        <w:pStyle w:val="Heading3"/>
      </w:pPr>
      <w:bookmarkStart w:id="32" w:name="_Toc364243206"/>
      <w:r w:rsidRPr="00720D9E">
        <w:rPr>
          <w:rStyle w:val="Heading6Char"/>
          <w:b/>
          <w:sz w:val="24"/>
        </w:rPr>
        <w:t xml:space="preserve">Table </w:t>
      </w:r>
      <w:r w:rsidR="00926183" w:rsidRPr="00720D9E">
        <w:rPr>
          <w:rStyle w:val="Heading6Char"/>
          <w:b/>
          <w:sz w:val="24"/>
        </w:rPr>
        <w:t>4</w:t>
      </w:r>
      <w:r w:rsidRPr="00720D9E">
        <w:rPr>
          <w:rStyle w:val="Heading6Char"/>
          <w:b/>
          <w:sz w:val="24"/>
        </w:rPr>
        <w:t>.4.</w:t>
      </w:r>
      <w:r w:rsidRPr="00720D9E">
        <w:t xml:space="preserve"> List of the greenhouse gas sinks, sources, and reservoirs for abandoned underground mine methane recovery </w:t>
      </w:r>
      <w:r w:rsidR="00DE4A30" w:rsidRPr="00720D9E">
        <w:t>activities</w:t>
      </w:r>
      <w:r w:rsidRPr="00720D9E">
        <w:t>.</w:t>
      </w:r>
      <w:bookmarkEnd w:id="32"/>
    </w:p>
    <w:tbl>
      <w:tblPr>
        <w:tblStyle w:val="TableGrid"/>
        <w:tblpPr w:leftFromText="180" w:rightFromText="180" w:vertAnchor="text" w:tblpY="1"/>
        <w:tblOverlap w:val="never"/>
        <w:tblW w:w="9434" w:type="dxa"/>
        <w:tblInd w:w="108" w:type="dxa"/>
        <w:tblLayout w:type="fixed"/>
        <w:tblLook w:val="04A0" w:firstRow="1" w:lastRow="0" w:firstColumn="1" w:lastColumn="0" w:noHBand="0" w:noVBand="1"/>
      </w:tblPr>
      <w:tblGrid>
        <w:gridCol w:w="1045"/>
        <w:gridCol w:w="3183"/>
        <w:gridCol w:w="1114"/>
        <w:gridCol w:w="2046"/>
        <w:gridCol w:w="2046"/>
      </w:tblGrid>
      <w:tr w:rsidR="00A05BDD" w:rsidRPr="00720D9E" w:rsidTr="00A05BDD">
        <w:trPr>
          <w:cantSplit/>
          <w:trHeight w:val="144"/>
        </w:trPr>
        <w:tc>
          <w:tcPr>
            <w:tcW w:w="1045" w:type="dxa"/>
            <w:shd w:val="clear" w:color="auto" w:fill="BFBFBF" w:themeFill="background1" w:themeFillShade="BF"/>
            <w:vAlign w:val="center"/>
          </w:tcPr>
          <w:p w:rsidR="00A05BDD" w:rsidRPr="00720D9E" w:rsidRDefault="00A05BDD" w:rsidP="002B20FD">
            <w:pPr>
              <w:spacing w:line="240" w:lineRule="auto"/>
              <w:jc w:val="center"/>
              <w:rPr>
                <w:rFonts w:ascii="Arial" w:hAnsi="Arial" w:cs="Arial"/>
                <w:b/>
                <w:sz w:val="20"/>
                <w:szCs w:val="20"/>
              </w:rPr>
            </w:pPr>
            <w:r w:rsidRPr="00720D9E">
              <w:rPr>
                <w:rFonts w:ascii="Arial" w:hAnsi="Arial" w:cs="Arial"/>
                <w:b/>
                <w:sz w:val="20"/>
                <w:szCs w:val="20"/>
              </w:rPr>
              <w:t>SSR</w:t>
            </w:r>
          </w:p>
        </w:tc>
        <w:tc>
          <w:tcPr>
            <w:tcW w:w="3183" w:type="dxa"/>
            <w:shd w:val="clear" w:color="auto" w:fill="BFBFBF" w:themeFill="background1" w:themeFillShade="BF"/>
            <w:vAlign w:val="center"/>
          </w:tcPr>
          <w:p w:rsidR="00A05BDD" w:rsidRPr="00720D9E" w:rsidRDefault="00A05BDD" w:rsidP="002B20FD">
            <w:pPr>
              <w:spacing w:line="240" w:lineRule="auto"/>
              <w:jc w:val="center"/>
              <w:rPr>
                <w:rFonts w:ascii="Arial" w:hAnsi="Arial" w:cs="Arial"/>
                <w:b/>
                <w:sz w:val="20"/>
                <w:szCs w:val="20"/>
              </w:rPr>
            </w:pPr>
            <w:r w:rsidRPr="00720D9E">
              <w:rPr>
                <w:rFonts w:ascii="Arial" w:hAnsi="Arial" w:cs="Arial"/>
                <w:b/>
                <w:sz w:val="20"/>
                <w:szCs w:val="20"/>
              </w:rPr>
              <w:t>Description</w:t>
            </w:r>
          </w:p>
        </w:tc>
        <w:tc>
          <w:tcPr>
            <w:tcW w:w="1114" w:type="dxa"/>
            <w:shd w:val="clear" w:color="auto" w:fill="BFBFBF" w:themeFill="background1" w:themeFillShade="BF"/>
            <w:vAlign w:val="center"/>
          </w:tcPr>
          <w:p w:rsidR="00A05BDD" w:rsidRPr="00720D9E" w:rsidRDefault="00A05BDD" w:rsidP="002B20FD">
            <w:pPr>
              <w:spacing w:line="240" w:lineRule="auto"/>
              <w:jc w:val="center"/>
              <w:rPr>
                <w:rFonts w:ascii="Arial" w:hAnsi="Arial" w:cs="Arial"/>
                <w:b/>
                <w:sz w:val="20"/>
                <w:szCs w:val="20"/>
              </w:rPr>
            </w:pPr>
            <w:r w:rsidRPr="00720D9E">
              <w:rPr>
                <w:rFonts w:ascii="Arial" w:hAnsi="Arial" w:cs="Arial"/>
                <w:b/>
                <w:sz w:val="20"/>
                <w:szCs w:val="20"/>
              </w:rPr>
              <w:t>GHG</w:t>
            </w:r>
          </w:p>
        </w:tc>
        <w:tc>
          <w:tcPr>
            <w:tcW w:w="2046" w:type="dxa"/>
            <w:shd w:val="clear" w:color="auto" w:fill="BFBFBF" w:themeFill="background1" w:themeFillShade="BF"/>
            <w:vAlign w:val="center"/>
          </w:tcPr>
          <w:p w:rsidR="00A05BDD" w:rsidRPr="00720D9E" w:rsidRDefault="00A05BDD" w:rsidP="002B20FD">
            <w:pPr>
              <w:spacing w:line="240" w:lineRule="auto"/>
              <w:jc w:val="center"/>
              <w:rPr>
                <w:rFonts w:ascii="Arial" w:hAnsi="Arial" w:cs="Arial"/>
                <w:b/>
                <w:sz w:val="20"/>
                <w:szCs w:val="20"/>
              </w:rPr>
            </w:pPr>
            <w:r w:rsidRPr="00720D9E">
              <w:rPr>
                <w:rFonts w:ascii="Arial" w:hAnsi="Arial" w:cs="Arial"/>
                <w:b/>
                <w:sz w:val="20"/>
                <w:szCs w:val="20"/>
              </w:rPr>
              <w:t>Relevant to Baseline (B) or Project (P)</w:t>
            </w:r>
          </w:p>
        </w:tc>
        <w:tc>
          <w:tcPr>
            <w:tcW w:w="2046" w:type="dxa"/>
            <w:shd w:val="clear" w:color="auto" w:fill="BFBFBF" w:themeFill="background1" w:themeFillShade="BF"/>
            <w:vAlign w:val="center"/>
          </w:tcPr>
          <w:p w:rsidR="00A05BDD" w:rsidRPr="00720D9E" w:rsidRDefault="00A05BDD" w:rsidP="002B20FD">
            <w:pPr>
              <w:spacing w:line="240" w:lineRule="auto"/>
              <w:jc w:val="center"/>
              <w:rPr>
                <w:rFonts w:ascii="Arial" w:hAnsi="Arial" w:cs="Arial"/>
                <w:b/>
                <w:sz w:val="20"/>
                <w:szCs w:val="20"/>
              </w:rPr>
            </w:pPr>
            <w:r w:rsidRPr="00720D9E">
              <w:rPr>
                <w:rFonts w:ascii="Arial" w:hAnsi="Arial" w:cs="Arial"/>
                <w:b/>
                <w:sz w:val="20"/>
                <w:szCs w:val="20"/>
              </w:rPr>
              <w:t>Included/ Excluded</w:t>
            </w:r>
          </w:p>
        </w:tc>
      </w:tr>
      <w:tr w:rsidR="00A05BDD" w:rsidRPr="00720D9E" w:rsidTr="00A05BDD">
        <w:trPr>
          <w:cantSplit/>
          <w:trHeight w:val="144"/>
        </w:trPr>
        <w:tc>
          <w:tcPr>
            <w:tcW w:w="1045"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1</w:t>
            </w:r>
          </w:p>
        </w:tc>
        <w:tc>
          <w:tcPr>
            <w:tcW w:w="3183" w:type="dxa"/>
            <w:vAlign w:val="center"/>
          </w:tcPr>
          <w:p w:rsidR="00A05BDD" w:rsidRPr="00720D9E" w:rsidRDefault="00A05BDD" w:rsidP="002B20FD">
            <w:pPr>
              <w:spacing w:line="240" w:lineRule="auto"/>
              <w:rPr>
                <w:rFonts w:ascii="Arial" w:hAnsi="Arial" w:cs="Arial"/>
                <w:sz w:val="20"/>
                <w:szCs w:val="20"/>
              </w:rPr>
            </w:pPr>
            <w:r w:rsidRPr="00720D9E">
              <w:rPr>
                <w:rFonts w:ascii="Arial" w:hAnsi="Arial" w:cs="Arial"/>
                <w:sz w:val="20"/>
                <w:szCs w:val="20"/>
              </w:rPr>
              <w:t>Emissions of mine methane liberated after the conclusion of mining operations</w:t>
            </w:r>
          </w:p>
        </w:tc>
        <w:tc>
          <w:tcPr>
            <w:tcW w:w="1114"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B, P</w:t>
            </w:r>
          </w:p>
        </w:tc>
        <w:tc>
          <w:tcPr>
            <w:tcW w:w="2046"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Included</w:t>
            </w:r>
          </w:p>
        </w:tc>
      </w:tr>
      <w:tr w:rsidR="00A05BDD" w:rsidRPr="00720D9E" w:rsidTr="00A05BDD">
        <w:trPr>
          <w:trHeight w:val="242"/>
        </w:trPr>
        <w:tc>
          <w:tcPr>
            <w:tcW w:w="1045" w:type="dxa"/>
            <w:vMerge w:val="restart"/>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2</w:t>
            </w:r>
          </w:p>
        </w:tc>
        <w:tc>
          <w:tcPr>
            <w:tcW w:w="3183" w:type="dxa"/>
            <w:vMerge w:val="restart"/>
            <w:vAlign w:val="center"/>
          </w:tcPr>
          <w:p w:rsidR="00A05BDD" w:rsidRPr="00720D9E" w:rsidRDefault="00A05BDD" w:rsidP="00B512F2">
            <w:pPr>
              <w:spacing w:line="240" w:lineRule="auto"/>
              <w:rPr>
                <w:rFonts w:ascii="Arial" w:hAnsi="Arial" w:cs="Arial"/>
                <w:sz w:val="20"/>
                <w:szCs w:val="20"/>
              </w:rPr>
            </w:pPr>
            <w:r w:rsidRPr="00720D9E">
              <w:rPr>
                <w:rFonts w:ascii="Arial" w:hAnsi="Arial" w:cs="Arial"/>
                <w:sz w:val="20"/>
                <w:szCs w:val="20"/>
              </w:rPr>
              <w:t>Emissions resulting from energy consumed to operate equipment used to collect, process and/or enrich drained mine gas</w:t>
            </w:r>
          </w:p>
        </w:tc>
        <w:tc>
          <w:tcPr>
            <w:tcW w:w="1114"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46" w:type="dxa"/>
            <w:shd w:val="clear" w:color="auto" w:fill="auto"/>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P</w:t>
            </w:r>
          </w:p>
          <w:p w:rsidR="00A05BDD" w:rsidRPr="00720D9E" w:rsidRDefault="00A05BDD" w:rsidP="002B20FD">
            <w:pPr>
              <w:rPr>
                <w:rFonts w:ascii="Arial" w:hAnsi="Arial" w:cs="Arial"/>
                <w:sz w:val="20"/>
                <w:szCs w:val="20"/>
              </w:rPr>
            </w:pPr>
          </w:p>
        </w:tc>
        <w:tc>
          <w:tcPr>
            <w:tcW w:w="2046"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Included</w:t>
            </w:r>
          </w:p>
        </w:tc>
      </w:tr>
      <w:tr w:rsidR="00A05BDD" w:rsidRPr="00720D9E" w:rsidTr="00A05BDD">
        <w:trPr>
          <w:trHeight w:val="354"/>
        </w:trPr>
        <w:tc>
          <w:tcPr>
            <w:tcW w:w="1045" w:type="dxa"/>
            <w:vMerge/>
            <w:vAlign w:val="center"/>
          </w:tcPr>
          <w:p w:rsidR="00A05BDD" w:rsidRPr="00720D9E" w:rsidRDefault="00A05BDD" w:rsidP="002B20FD">
            <w:pPr>
              <w:spacing w:line="240" w:lineRule="auto"/>
              <w:jc w:val="center"/>
              <w:rPr>
                <w:rFonts w:ascii="Arial" w:hAnsi="Arial" w:cs="Arial"/>
                <w:sz w:val="20"/>
                <w:szCs w:val="20"/>
              </w:rPr>
            </w:pPr>
          </w:p>
        </w:tc>
        <w:tc>
          <w:tcPr>
            <w:tcW w:w="3183" w:type="dxa"/>
            <w:vMerge/>
            <w:vAlign w:val="center"/>
          </w:tcPr>
          <w:p w:rsidR="00A05BDD" w:rsidRPr="00720D9E" w:rsidRDefault="00A05BDD" w:rsidP="002B20FD">
            <w:pPr>
              <w:spacing w:line="240" w:lineRule="auto"/>
              <w:rPr>
                <w:rFonts w:ascii="Arial" w:hAnsi="Arial" w:cs="Arial"/>
                <w:sz w:val="20"/>
                <w:szCs w:val="20"/>
              </w:rPr>
            </w:pPr>
          </w:p>
        </w:tc>
        <w:tc>
          <w:tcPr>
            <w:tcW w:w="1114"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shd w:val="clear" w:color="auto" w:fill="auto"/>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n/a</w:t>
            </w:r>
          </w:p>
        </w:tc>
        <w:tc>
          <w:tcPr>
            <w:tcW w:w="2046"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trHeight w:val="224"/>
        </w:trPr>
        <w:tc>
          <w:tcPr>
            <w:tcW w:w="1045" w:type="dxa"/>
            <w:vMerge/>
            <w:vAlign w:val="center"/>
          </w:tcPr>
          <w:p w:rsidR="00A05BDD" w:rsidRPr="00720D9E" w:rsidRDefault="00A05BDD" w:rsidP="002B20FD">
            <w:pPr>
              <w:spacing w:line="240" w:lineRule="auto"/>
              <w:jc w:val="center"/>
              <w:rPr>
                <w:rFonts w:ascii="Arial" w:hAnsi="Arial" w:cs="Arial"/>
                <w:sz w:val="20"/>
                <w:szCs w:val="20"/>
              </w:rPr>
            </w:pPr>
          </w:p>
        </w:tc>
        <w:tc>
          <w:tcPr>
            <w:tcW w:w="3183" w:type="dxa"/>
            <w:vMerge/>
            <w:vAlign w:val="center"/>
          </w:tcPr>
          <w:p w:rsidR="00A05BDD" w:rsidRPr="00720D9E" w:rsidRDefault="00A05BDD" w:rsidP="002B20FD">
            <w:pPr>
              <w:spacing w:line="240" w:lineRule="auto"/>
              <w:rPr>
                <w:rFonts w:ascii="Arial" w:hAnsi="Arial" w:cs="Arial"/>
                <w:sz w:val="20"/>
                <w:szCs w:val="20"/>
              </w:rPr>
            </w:pPr>
          </w:p>
        </w:tc>
        <w:tc>
          <w:tcPr>
            <w:tcW w:w="1114"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46" w:type="dxa"/>
            <w:shd w:val="clear" w:color="auto" w:fill="auto"/>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n/a</w:t>
            </w:r>
          </w:p>
        </w:tc>
        <w:tc>
          <w:tcPr>
            <w:tcW w:w="2046"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trHeight w:val="144"/>
        </w:trPr>
        <w:tc>
          <w:tcPr>
            <w:tcW w:w="1045" w:type="dxa"/>
            <w:vMerge/>
            <w:vAlign w:val="center"/>
          </w:tcPr>
          <w:p w:rsidR="00A05BDD" w:rsidRPr="00720D9E" w:rsidRDefault="00A05BDD" w:rsidP="00B512F2">
            <w:pPr>
              <w:spacing w:line="240" w:lineRule="auto"/>
              <w:jc w:val="center"/>
              <w:rPr>
                <w:rFonts w:ascii="Arial" w:hAnsi="Arial" w:cs="Arial"/>
                <w:sz w:val="20"/>
                <w:szCs w:val="20"/>
              </w:rPr>
            </w:pPr>
          </w:p>
        </w:tc>
        <w:tc>
          <w:tcPr>
            <w:tcW w:w="3183" w:type="dxa"/>
            <w:vAlign w:val="center"/>
          </w:tcPr>
          <w:p w:rsidR="00A05BDD" w:rsidRPr="00720D9E" w:rsidRDefault="00A05BDD" w:rsidP="00B512F2">
            <w:pPr>
              <w:spacing w:line="240" w:lineRule="auto"/>
              <w:rPr>
                <w:rFonts w:ascii="Arial" w:hAnsi="Arial" w:cs="Arial"/>
                <w:sz w:val="20"/>
                <w:szCs w:val="20"/>
              </w:rPr>
            </w:pPr>
            <w:r w:rsidRPr="00720D9E">
              <w:rPr>
                <w:rFonts w:ascii="Arial" w:hAnsi="Arial" w:cs="Arial"/>
                <w:sz w:val="20"/>
                <w:szCs w:val="20"/>
              </w:rPr>
              <w:t>Fugitive emissions from operation of equipment used to collect, process and/or enrich drained mine gas</w:t>
            </w:r>
          </w:p>
        </w:tc>
        <w:tc>
          <w:tcPr>
            <w:tcW w:w="1114" w:type="dxa"/>
            <w:vAlign w:val="center"/>
          </w:tcPr>
          <w:p w:rsidR="00A05BDD" w:rsidRPr="00720D9E" w:rsidRDefault="00A05BDD" w:rsidP="00B512F2">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vAlign w:val="center"/>
          </w:tcPr>
          <w:p w:rsidR="00A05BDD" w:rsidRPr="00720D9E" w:rsidRDefault="00A05BDD" w:rsidP="00B512F2">
            <w:pPr>
              <w:spacing w:line="240" w:lineRule="auto"/>
              <w:jc w:val="center"/>
              <w:rPr>
                <w:rFonts w:ascii="Arial" w:hAnsi="Arial" w:cs="Arial"/>
                <w:sz w:val="20"/>
                <w:szCs w:val="20"/>
              </w:rPr>
            </w:pPr>
            <w:r w:rsidRPr="00720D9E">
              <w:rPr>
                <w:rFonts w:ascii="Arial" w:hAnsi="Arial" w:cs="Arial"/>
                <w:sz w:val="20"/>
                <w:szCs w:val="20"/>
              </w:rPr>
              <w:t>n/a</w:t>
            </w:r>
          </w:p>
        </w:tc>
        <w:tc>
          <w:tcPr>
            <w:tcW w:w="2046" w:type="dxa"/>
            <w:vAlign w:val="center"/>
          </w:tcPr>
          <w:p w:rsidR="00A05BDD" w:rsidRPr="00720D9E" w:rsidRDefault="00A05BDD" w:rsidP="00B512F2">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trHeight w:val="144"/>
        </w:trPr>
        <w:tc>
          <w:tcPr>
            <w:tcW w:w="1045" w:type="dxa"/>
            <w:vMerge w:val="restart"/>
            <w:vAlign w:val="center"/>
          </w:tcPr>
          <w:p w:rsidR="00A05BDD" w:rsidRPr="00720D9E" w:rsidRDefault="00A05BDD" w:rsidP="0044685C">
            <w:pPr>
              <w:spacing w:line="240" w:lineRule="auto"/>
              <w:jc w:val="center"/>
              <w:rPr>
                <w:rFonts w:ascii="Arial" w:hAnsi="Arial"/>
                <w:sz w:val="20"/>
                <w:szCs w:val="20"/>
              </w:rPr>
            </w:pPr>
            <w:r w:rsidRPr="00720D9E">
              <w:rPr>
                <w:rFonts w:ascii="Arial" w:hAnsi="Arial"/>
                <w:sz w:val="20"/>
                <w:szCs w:val="20"/>
              </w:rPr>
              <w:t>3</w:t>
            </w:r>
          </w:p>
        </w:tc>
        <w:tc>
          <w:tcPr>
            <w:tcW w:w="3183" w:type="dxa"/>
            <w:vMerge w:val="restart"/>
            <w:vAlign w:val="center"/>
          </w:tcPr>
          <w:p w:rsidR="00A05BDD" w:rsidRPr="00720D9E" w:rsidRDefault="00A05BDD" w:rsidP="0044685C">
            <w:pPr>
              <w:spacing w:line="240" w:lineRule="auto"/>
              <w:rPr>
                <w:rFonts w:ascii="Arial" w:hAnsi="Arial"/>
                <w:sz w:val="20"/>
                <w:szCs w:val="20"/>
              </w:rPr>
            </w:pPr>
            <w:r w:rsidRPr="00720D9E">
              <w:rPr>
                <w:rFonts w:ascii="Arial" w:hAnsi="Arial"/>
                <w:sz w:val="20"/>
                <w:szCs w:val="20"/>
              </w:rPr>
              <w:t xml:space="preserve">Emissions resulting from energy consumed to transport mine gas </w:t>
            </w:r>
            <w:r w:rsidRPr="00720D9E">
              <w:rPr>
                <w:rFonts w:ascii="Arial" w:hAnsi="Arial"/>
                <w:sz w:val="20"/>
                <w:szCs w:val="20"/>
              </w:rPr>
              <w:lastRenderedPageBreak/>
              <w:t>to processing or destruction equipment</w:t>
            </w:r>
          </w:p>
        </w:tc>
        <w:tc>
          <w:tcPr>
            <w:tcW w:w="1114" w:type="dxa"/>
            <w:vAlign w:val="center"/>
          </w:tcPr>
          <w:p w:rsidR="00A05BDD" w:rsidRPr="00720D9E" w:rsidRDefault="00A05BDD" w:rsidP="0044685C">
            <w:pPr>
              <w:spacing w:line="240" w:lineRule="auto"/>
              <w:jc w:val="center"/>
              <w:rPr>
                <w:rFonts w:ascii="Arial" w:hAnsi="Arial"/>
                <w:sz w:val="20"/>
                <w:szCs w:val="20"/>
                <w:lang w:val="en-GB"/>
              </w:rPr>
            </w:pPr>
            <w:r w:rsidRPr="00720D9E">
              <w:rPr>
                <w:rFonts w:ascii="Arial" w:hAnsi="Arial" w:cs="Arial"/>
                <w:sz w:val="20"/>
                <w:szCs w:val="20"/>
                <w:lang w:val="en-GB"/>
              </w:rPr>
              <w:lastRenderedPageBreak/>
              <w:t>CO</w:t>
            </w:r>
            <w:r w:rsidRPr="00720D9E">
              <w:rPr>
                <w:rFonts w:ascii="Arial" w:hAnsi="Arial" w:cs="Arial"/>
                <w:sz w:val="20"/>
                <w:szCs w:val="20"/>
                <w:vertAlign w:val="subscript"/>
                <w:lang w:val="en-GB"/>
              </w:rPr>
              <w:t>2</w:t>
            </w:r>
          </w:p>
        </w:tc>
        <w:tc>
          <w:tcPr>
            <w:tcW w:w="2046" w:type="dxa"/>
            <w:shd w:val="clear" w:color="auto" w:fill="auto"/>
            <w:vAlign w:val="center"/>
          </w:tcPr>
          <w:p w:rsidR="00A05BDD" w:rsidRPr="00720D9E" w:rsidRDefault="00A05BDD" w:rsidP="0044685C">
            <w:pPr>
              <w:spacing w:line="240" w:lineRule="auto"/>
              <w:jc w:val="center"/>
              <w:rPr>
                <w:rFonts w:ascii="Arial" w:hAnsi="Arial"/>
                <w:sz w:val="20"/>
                <w:szCs w:val="20"/>
              </w:rPr>
            </w:pPr>
            <w:r w:rsidRPr="00720D9E">
              <w:rPr>
                <w:rFonts w:ascii="Arial" w:hAnsi="Arial"/>
                <w:sz w:val="20"/>
                <w:szCs w:val="20"/>
              </w:rPr>
              <w:t>P</w:t>
            </w:r>
          </w:p>
        </w:tc>
        <w:tc>
          <w:tcPr>
            <w:tcW w:w="2046" w:type="dxa"/>
            <w:vAlign w:val="center"/>
          </w:tcPr>
          <w:p w:rsidR="00A05BDD" w:rsidRPr="00720D9E" w:rsidRDefault="00A05BDD" w:rsidP="0044685C">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trHeight w:val="144"/>
        </w:trPr>
        <w:tc>
          <w:tcPr>
            <w:tcW w:w="1045" w:type="dxa"/>
            <w:vMerge/>
            <w:vAlign w:val="center"/>
          </w:tcPr>
          <w:p w:rsidR="00A05BDD" w:rsidRPr="00720D9E" w:rsidRDefault="00A05BDD" w:rsidP="0044685C">
            <w:pPr>
              <w:spacing w:line="240" w:lineRule="auto"/>
              <w:jc w:val="center"/>
              <w:rPr>
                <w:sz w:val="20"/>
                <w:szCs w:val="20"/>
              </w:rPr>
            </w:pPr>
          </w:p>
        </w:tc>
        <w:tc>
          <w:tcPr>
            <w:tcW w:w="3183" w:type="dxa"/>
            <w:vMerge/>
            <w:vAlign w:val="center"/>
          </w:tcPr>
          <w:p w:rsidR="00A05BDD" w:rsidRPr="00720D9E" w:rsidRDefault="00A05BDD" w:rsidP="0044685C">
            <w:pPr>
              <w:spacing w:line="240" w:lineRule="auto"/>
              <w:rPr>
                <w:sz w:val="20"/>
                <w:szCs w:val="20"/>
              </w:rPr>
            </w:pPr>
          </w:p>
        </w:tc>
        <w:tc>
          <w:tcPr>
            <w:tcW w:w="1114" w:type="dxa"/>
            <w:vAlign w:val="center"/>
          </w:tcPr>
          <w:p w:rsidR="00A05BDD" w:rsidRPr="00720D9E" w:rsidRDefault="00A05BDD" w:rsidP="0044685C">
            <w:pPr>
              <w:spacing w:line="240" w:lineRule="auto"/>
              <w:jc w:val="center"/>
              <w:rPr>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shd w:val="clear" w:color="auto" w:fill="auto"/>
            <w:vAlign w:val="center"/>
          </w:tcPr>
          <w:p w:rsidR="00A05BDD" w:rsidRPr="00720D9E" w:rsidRDefault="00A05BDD" w:rsidP="0044685C">
            <w:pPr>
              <w:spacing w:line="240" w:lineRule="auto"/>
              <w:jc w:val="center"/>
              <w:rPr>
                <w:sz w:val="20"/>
                <w:szCs w:val="20"/>
              </w:rPr>
            </w:pPr>
            <w:r w:rsidRPr="00720D9E">
              <w:rPr>
                <w:rFonts w:ascii="Arial" w:hAnsi="Arial"/>
                <w:sz w:val="20"/>
                <w:szCs w:val="20"/>
              </w:rPr>
              <w:t>n/a</w:t>
            </w:r>
          </w:p>
        </w:tc>
        <w:tc>
          <w:tcPr>
            <w:tcW w:w="2046" w:type="dxa"/>
            <w:vAlign w:val="center"/>
          </w:tcPr>
          <w:p w:rsidR="00A05BDD" w:rsidRPr="00720D9E" w:rsidRDefault="00A05BDD" w:rsidP="0044685C">
            <w:pPr>
              <w:spacing w:line="240" w:lineRule="auto"/>
              <w:jc w:val="center"/>
              <w:rPr>
                <w:sz w:val="20"/>
                <w:szCs w:val="20"/>
              </w:rPr>
            </w:pPr>
            <w:r w:rsidRPr="00720D9E">
              <w:rPr>
                <w:rFonts w:ascii="Arial" w:hAnsi="Arial"/>
                <w:sz w:val="20"/>
                <w:szCs w:val="20"/>
              </w:rPr>
              <w:t>Excluded</w:t>
            </w:r>
          </w:p>
        </w:tc>
      </w:tr>
      <w:tr w:rsidR="00A05BDD" w:rsidRPr="00720D9E" w:rsidTr="00A05BDD">
        <w:trPr>
          <w:trHeight w:val="144"/>
        </w:trPr>
        <w:tc>
          <w:tcPr>
            <w:tcW w:w="1045" w:type="dxa"/>
            <w:vMerge/>
            <w:vAlign w:val="center"/>
          </w:tcPr>
          <w:p w:rsidR="00A05BDD" w:rsidRPr="00720D9E" w:rsidRDefault="00A05BDD" w:rsidP="0044685C">
            <w:pPr>
              <w:spacing w:line="240" w:lineRule="auto"/>
              <w:jc w:val="center"/>
              <w:rPr>
                <w:sz w:val="20"/>
                <w:szCs w:val="20"/>
              </w:rPr>
            </w:pPr>
          </w:p>
        </w:tc>
        <w:tc>
          <w:tcPr>
            <w:tcW w:w="3183" w:type="dxa"/>
            <w:vMerge/>
            <w:vAlign w:val="center"/>
          </w:tcPr>
          <w:p w:rsidR="00A05BDD" w:rsidRPr="00720D9E" w:rsidRDefault="00A05BDD" w:rsidP="0044685C">
            <w:pPr>
              <w:spacing w:line="240" w:lineRule="auto"/>
              <w:rPr>
                <w:sz w:val="20"/>
                <w:szCs w:val="20"/>
              </w:rPr>
            </w:pPr>
          </w:p>
        </w:tc>
        <w:tc>
          <w:tcPr>
            <w:tcW w:w="1114" w:type="dxa"/>
            <w:vAlign w:val="center"/>
          </w:tcPr>
          <w:p w:rsidR="00A05BDD" w:rsidRPr="00720D9E" w:rsidRDefault="00A05BDD" w:rsidP="0044685C">
            <w:pPr>
              <w:spacing w:line="240" w:lineRule="auto"/>
              <w:jc w:val="center"/>
              <w:rPr>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46" w:type="dxa"/>
            <w:shd w:val="clear" w:color="auto" w:fill="auto"/>
            <w:vAlign w:val="center"/>
          </w:tcPr>
          <w:p w:rsidR="00A05BDD" w:rsidRPr="00720D9E" w:rsidRDefault="00A05BDD" w:rsidP="0044685C">
            <w:pPr>
              <w:spacing w:line="240" w:lineRule="auto"/>
              <w:jc w:val="center"/>
              <w:rPr>
                <w:sz w:val="20"/>
                <w:szCs w:val="20"/>
              </w:rPr>
            </w:pPr>
            <w:r w:rsidRPr="00720D9E">
              <w:rPr>
                <w:rFonts w:ascii="Arial" w:hAnsi="Arial"/>
                <w:sz w:val="20"/>
                <w:szCs w:val="20"/>
              </w:rPr>
              <w:t>n/a</w:t>
            </w:r>
          </w:p>
        </w:tc>
        <w:tc>
          <w:tcPr>
            <w:tcW w:w="2046" w:type="dxa"/>
            <w:vAlign w:val="center"/>
          </w:tcPr>
          <w:p w:rsidR="00A05BDD" w:rsidRPr="00720D9E" w:rsidRDefault="00A05BDD" w:rsidP="0044685C">
            <w:pPr>
              <w:spacing w:line="240" w:lineRule="auto"/>
              <w:jc w:val="center"/>
              <w:rPr>
                <w:sz w:val="20"/>
                <w:szCs w:val="20"/>
              </w:rPr>
            </w:pPr>
            <w:r w:rsidRPr="00720D9E">
              <w:rPr>
                <w:rFonts w:ascii="Arial" w:hAnsi="Arial"/>
                <w:sz w:val="20"/>
                <w:szCs w:val="20"/>
              </w:rPr>
              <w:t>Excluded</w:t>
            </w:r>
          </w:p>
        </w:tc>
      </w:tr>
      <w:tr w:rsidR="00A05BDD" w:rsidRPr="00720D9E" w:rsidTr="00A05BDD">
        <w:trPr>
          <w:trHeight w:val="144"/>
        </w:trPr>
        <w:tc>
          <w:tcPr>
            <w:tcW w:w="1045" w:type="dxa"/>
            <w:vMerge/>
            <w:vAlign w:val="center"/>
          </w:tcPr>
          <w:p w:rsidR="00A05BDD" w:rsidRPr="00720D9E" w:rsidRDefault="00A05BDD" w:rsidP="0044685C">
            <w:pPr>
              <w:spacing w:line="240" w:lineRule="auto"/>
              <w:jc w:val="center"/>
              <w:rPr>
                <w:sz w:val="20"/>
                <w:szCs w:val="20"/>
              </w:rPr>
            </w:pPr>
          </w:p>
        </w:tc>
        <w:tc>
          <w:tcPr>
            <w:tcW w:w="3183" w:type="dxa"/>
            <w:vAlign w:val="center"/>
          </w:tcPr>
          <w:p w:rsidR="00A05BDD" w:rsidRPr="00720D9E" w:rsidRDefault="00A05BDD" w:rsidP="0044685C">
            <w:pPr>
              <w:spacing w:line="240" w:lineRule="auto"/>
              <w:rPr>
                <w:sz w:val="20"/>
                <w:szCs w:val="20"/>
              </w:rPr>
            </w:pPr>
            <w:r w:rsidRPr="00720D9E">
              <w:rPr>
                <w:rFonts w:ascii="Arial" w:hAnsi="Arial"/>
                <w:sz w:val="20"/>
                <w:szCs w:val="20"/>
              </w:rPr>
              <w:t>Fugitive emissions from the on-site transportation of mine gas</w:t>
            </w:r>
          </w:p>
        </w:tc>
        <w:tc>
          <w:tcPr>
            <w:tcW w:w="1114" w:type="dxa"/>
            <w:vAlign w:val="center"/>
          </w:tcPr>
          <w:p w:rsidR="00A05BDD" w:rsidRPr="00720D9E" w:rsidRDefault="00A05BDD" w:rsidP="0044685C">
            <w:pPr>
              <w:spacing w:line="240" w:lineRule="auto"/>
              <w:jc w:val="center"/>
              <w:rPr>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shd w:val="clear" w:color="auto" w:fill="auto"/>
            <w:vAlign w:val="center"/>
          </w:tcPr>
          <w:p w:rsidR="00A05BDD" w:rsidRPr="00720D9E" w:rsidRDefault="00A05BDD" w:rsidP="0044685C">
            <w:pPr>
              <w:spacing w:line="240" w:lineRule="auto"/>
              <w:jc w:val="center"/>
              <w:rPr>
                <w:sz w:val="20"/>
                <w:szCs w:val="20"/>
              </w:rPr>
            </w:pPr>
            <w:r w:rsidRPr="00720D9E">
              <w:rPr>
                <w:rFonts w:ascii="Arial" w:hAnsi="Arial"/>
                <w:sz w:val="20"/>
                <w:szCs w:val="20"/>
              </w:rPr>
              <w:t>n/a</w:t>
            </w:r>
          </w:p>
        </w:tc>
        <w:tc>
          <w:tcPr>
            <w:tcW w:w="2046" w:type="dxa"/>
            <w:vAlign w:val="center"/>
          </w:tcPr>
          <w:p w:rsidR="00A05BDD" w:rsidRPr="00720D9E" w:rsidRDefault="00A05BDD" w:rsidP="0044685C">
            <w:pPr>
              <w:spacing w:line="240" w:lineRule="auto"/>
              <w:jc w:val="center"/>
              <w:rPr>
                <w:sz w:val="20"/>
                <w:szCs w:val="20"/>
              </w:rPr>
            </w:pPr>
            <w:r w:rsidRPr="00720D9E">
              <w:rPr>
                <w:rFonts w:ascii="Arial" w:hAnsi="Arial"/>
                <w:sz w:val="20"/>
                <w:szCs w:val="20"/>
              </w:rPr>
              <w:t>Excluded</w:t>
            </w:r>
          </w:p>
        </w:tc>
      </w:tr>
      <w:tr w:rsidR="00A05BDD" w:rsidRPr="00720D9E" w:rsidTr="00A05BDD">
        <w:trPr>
          <w:trHeight w:val="144"/>
        </w:trPr>
        <w:tc>
          <w:tcPr>
            <w:tcW w:w="1045" w:type="dxa"/>
            <w:vMerge w:val="restart"/>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4</w:t>
            </w:r>
          </w:p>
        </w:tc>
        <w:tc>
          <w:tcPr>
            <w:tcW w:w="3183" w:type="dxa"/>
            <w:vMerge w:val="restart"/>
            <w:vAlign w:val="center"/>
          </w:tcPr>
          <w:p w:rsidR="00A05BDD" w:rsidRPr="00720D9E" w:rsidRDefault="00A05BDD" w:rsidP="002B20FD">
            <w:pPr>
              <w:spacing w:line="240" w:lineRule="auto"/>
              <w:rPr>
                <w:rFonts w:ascii="Arial" w:hAnsi="Arial"/>
                <w:sz w:val="20"/>
                <w:szCs w:val="20"/>
              </w:rPr>
            </w:pPr>
            <w:r w:rsidRPr="00720D9E">
              <w:rPr>
                <w:rFonts w:ascii="Arial" w:hAnsi="Arial"/>
                <w:sz w:val="20"/>
                <w:szCs w:val="20"/>
              </w:rPr>
              <w:t>Emissions resulting from energy consumed to operate equipment used to liquefy, compress, or store methane for vehicle use.</w:t>
            </w:r>
          </w:p>
        </w:tc>
        <w:tc>
          <w:tcPr>
            <w:tcW w:w="1114"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46" w:type="dxa"/>
            <w:shd w:val="clear" w:color="auto" w:fill="auto"/>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P</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trHeight w:val="291"/>
        </w:trPr>
        <w:tc>
          <w:tcPr>
            <w:tcW w:w="1045" w:type="dxa"/>
            <w:vMerge/>
            <w:vAlign w:val="center"/>
          </w:tcPr>
          <w:p w:rsidR="00A05BDD" w:rsidRPr="00720D9E" w:rsidRDefault="00A05BDD" w:rsidP="002B20FD">
            <w:pPr>
              <w:spacing w:line="240" w:lineRule="auto"/>
              <w:jc w:val="center"/>
              <w:rPr>
                <w:rFonts w:ascii="Arial" w:hAnsi="Arial"/>
                <w:sz w:val="20"/>
                <w:szCs w:val="20"/>
              </w:rPr>
            </w:pPr>
          </w:p>
        </w:tc>
        <w:tc>
          <w:tcPr>
            <w:tcW w:w="3183" w:type="dxa"/>
            <w:vMerge/>
            <w:vAlign w:val="center"/>
          </w:tcPr>
          <w:p w:rsidR="00A05BDD" w:rsidRPr="00720D9E" w:rsidRDefault="00A05BDD" w:rsidP="002B20FD">
            <w:pPr>
              <w:spacing w:line="240" w:lineRule="auto"/>
              <w:rPr>
                <w:rFonts w:ascii="Arial" w:hAnsi="Arial"/>
                <w:sz w:val="20"/>
                <w:szCs w:val="20"/>
              </w:rPr>
            </w:pPr>
          </w:p>
        </w:tc>
        <w:tc>
          <w:tcPr>
            <w:tcW w:w="1114"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shd w:val="clear" w:color="auto" w:fill="auto"/>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n/a</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trHeight w:val="144"/>
        </w:trPr>
        <w:tc>
          <w:tcPr>
            <w:tcW w:w="1045" w:type="dxa"/>
            <w:vMerge/>
            <w:vAlign w:val="center"/>
          </w:tcPr>
          <w:p w:rsidR="00A05BDD" w:rsidRPr="00720D9E" w:rsidRDefault="00A05BDD" w:rsidP="002B20FD">
            <w:pPr>
              <w:spacing w:line="240" w:lineRule="auto"/>
              <w:jc w:val="center"/>
              <w:rPr>
                <w:rFonts w:ascii="Arial" w:hAnsi="Arial"/>
                <w:sz w:val="20"/>
                <w:szCs w:val="20"/>
              </w:rPr>
            </w:pPr>
          </w:p>
        </w:tc>
        <w:tc>
          <w:tcPr>
            <w:tcW w:w="3183" w:type="dxa"/>
            <w:vMerge/>
            <w:vAlign w:val="center"/>
          </w:tcPr>
          <w:p w:rsidR="00A05BDD" w:rsidRPr="00720D9E" w:rsidRDefault="00A05BDD" w:rsidP="002B20FD">
            <w:pPr>
              <w:spacing w:line="240" w:lineRule="auto"/>
              <w:rPr>
                <w:rFonts w:ascii="Arial" w:hAnsi="Arial"/>
                <w:sz w:val="20"/>
                <w:szCs w:val="20"/>
              </w:rPr>
            </w:pPr>
          </w:p>
        </w:tc>
        <w:tc>
          <w:tcPr>
            <w:tcW w:w="1114"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46" w:type="dxa"/>
            <w:shd w:val="clear" w:color="auto" w:fill="auto"/>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n/a</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trHeight w:val="144"/>
        </w:trPr>
        <w:tc>
          <w:tcPr>
            <w:tcW w:w="1045" w:type="dxa"/>
            <w:vMerge/>
            <w:vAlign w:val="center"/>
          </w:tcPr>
          <w:p w:rsidR="00A05BDD" w:rsidRPr="00720D9E" w:rsidRDefault="00A05BDD" w:rsidP="003A0D54">
            <w:pPr>
              <w:spacing w:line="240" w:lineRule="auto"/>
              <w:jc w:val="center"/>
              <w:rPr>
                <w:sz w:val="20"/>
                <w:szCs w:val="20"/>
              </w:rPr>
            </w:pPr>
          </w:p>
        </w:tc>
        <w:tc>
          <w:tcPr>
            <w:tcW w:w="3183" w:type="dxa"/>
            <w:vAlign w:val="center"/>
          </w:tcPr>
          <w:p w:rsidR="00A05BDD" w:rsidRPr="00720D9E" w:rsidRDefault="00A05BDD" w:rsidP="003A0D54">
            <w:pPr>
              <w:spacing w:line="240" w:lineRule="auto"/>
              <w:rPr>
                <w:sz w:val="20"/>
                <w:szCs w:val="20"/>
              </w:rPr>
            </w:pPr>
            <w:r w:rsidRPr="00720D9E">
              <w:rPr>
                <w:rFonts w:ascii="Arial" w:hAnsi="Arial" w:cs="Arial"/>
                <w:sz w:val="20"/>
                <w:szCs w:val="20"/>
              </w:rPr>
              <w:t>Fugitive emissions from operation of equipment used to liquefy, compress, or store methane for vehicle use</w:t>
            </w:r>
          </w:p>
        </w:tc>
        <w:tc>
          <w:tcPr>
            <w:tcW w:w="1114" w:type="dxa"/>
            <w:vAlign w:val="center"/>
          </w:tcPr>
          <w:p w:rsidR="00A05BDD" w:rsidRPr="00720D9E" w:rsidRDefault="00A05BDD" w:rsidP="003A0D54">
            <w:pPr>
              <w:spacing w:line="240" w:lineRule="auto"/>
              <w:jc w:val="center"/>
              <w:rPr>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shd w:val="clear" w:color="auto" w:fill="auto"/>
            <w:vAlign w:val="center"/>
          </w:tcPr>
          <w:p w:rsidR="00A05BDD" w:rsidRPr="00720D9E" w:rsidRDefault="00A05BDD" w:rsidP="003A0D54">
            <w:pPr>
              <w:spacing w:line="240" w:lineRule="auto"/>
              <w:jc w:val="center"/>
              <w:rPr>
                <w:sz w:val="20"/>
                <w:szCs w:val="20"/>
              </w:rPr>
            </w:pPr>
            <w:r w:rsidRPr="00720D9E">
              <w:rPr>
                <w:rFonts w:ascii="Arial" w:hAnsi="Arial" w:cs="Arial"/>
                <w:sz w:val="20"/>
                <w:szCs w:val="20"/>
              </w:rPr>
              <w:t>n/a</w:t>
            </w:r>
          </w:p>
        </w:tc>
        <w:tc>
          <w:tcPr>
            <w:tcW w:w="2046" w:type="dxa"/>
            <w:vAlign w:val="center"/>
          </w:tcPr>
          <w:p w:rsidR="00A05BDD" w:rsidRPr="00720D9E" w:rsidRDefault="00A05BDD" w:rsidP="003A0D54">
            <w:pPr>
              <w:spacing w:line="240" w:lineRule="auto"/>
              <w:jc w:val="center"/>
              <w:rPr>
                <w:sz w:val="20"/>
                <w:szCs w:val="20"/>
              </w:rPr>
            </w:pPr>
            <w:r w:rsidRPr="00720D9E">
              <w:rPr>
                <w:rFonts w:ascii="Arial" w:hAnsi="Arial" w:cs="Arial"/>
                <w:sz w:val="20"/>
                <w:szCs w:val="20"/>
              </w:rPr>
              <w:t>Excluded</w:t>
            </w:r>
          </w:p>
        </w:tc>
      </w:tr>
      <w:tr w:rsidR="00A05BDD" w:rsidRPr="00720D9E" w:rsidTr="00A05BDD">
        <w:trPr>
          <w:trHeight w:val="144"/>
        </w:trPr>
        <w:tc>
          <w:tcPr>
            <w:tcW w:w="1045" w:type="dxa"/>
            <w:vMerge w:val="restart"/>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5</w:t>
            </w:r>
          </w:p>
        </w:tc>
        <w:tc>
          <w:tcPr>
            <w:tcW w:w="3183" w:type="dxa"/>
            <w:vMerge w:val="restart"/>
            <w:vAlign w:val="center"/>
          </w:tcPr>
          <w:p w:rsidR="00A05BDD" w:rsidRPr="00720D9E" w:rsidRDefault="00A05BDD" w:rsidP="00DE4A30">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vehicle operation</w:t>
            </w:r>
          </w:p>
        </w:tc>
        <w:tc>
          <w:tcPr>
            <w:tcW w:w="1114" w:type="dxa"/>
            <w:vAlign w:val="center"/>
          </w:tcPr>
          <w:p w:rsidR="00A05BDD" w:rsidRPr="00720D9E" w:rsidRDefault="00A05BDD" w:rsidP="002B20FD">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B, P</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trHeight w:val="144"/>
        </w:trPr>
        <w:tc>
          <w:tcPr>
            <w:tcW w:w="1045" w:type="dxa"/>
            <w:vMerge/>
            <w:vAlign w:val="center"/>
          </w:tcPr>
          <w:p w:rsidR="00A05BDD" w:rsidRPr="00720D9E" w:rsidRDefault="00A05BDD" w:rsidP="002B20FD">
            <w:pPr>
              <w:spacing w:line="240" w:lineRule="auto"/>
              <w:jc w:val="center"/>
              <w:rPr>
                <w:rFonts w:ascii="Arial" w:hAnsi="Arial"/>
                <w:sz w:val="20"/>
                <w:szCs w:val="20"/>
              </w:rPr>
            </w:pPr>
          </w:p>
        </w:tc>
        <w:tc>
          <w:tcPr>
            <w:tcW w:w="3183" w:type="dxa"/>
            <w:vMerge/>
            <w:vAlign w:val="center"/>
          </w:tcPr>
          <w:p w:rsidR="00A05BDD" w:rsidRPr="00720D9E" w:rsidRDefault="00A05BDD" w:rsidP="002B20FD">
            <w:pPr>
              <w:spacing w:line="240" w:lineRule="auto"/>
              <w:rPr>
                <w:rFonts w:ascii="Arial" w:hAnsi="Arial"/>
                <w:sz w:val="20"/>
                <w:szCs w:val="20"/>
              </w:rPr>
            </w:pPr>
          </w:p>
        </w:tc>
        <w:tc>
          <w:tcPr>
            <w:tcW w:w="1114" w:type="dxa"/>
            <w:vAlign w:val="center"/>
          </w:tcPr>
          <w:p w:rsidR="00A05BDD" w:rsidRPr="00720D9E" w:rsidRDefault="00A05BDD" w:rsidP="002B20FD">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n/a</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trHeight w:val="144"/>
        </w:trPr>
        <w:tc>
          <w:tcPr>
            <w:tcW w:w="1045" w:type="dxa"/>
            <w:vMerge/>
            <w:vAlign w:val="center"/>
          </w:tcPr>
          <w:p w:rsidR="00A05BDD" w:rsidRPr="00720D9E" w:rsidRDefault="00A05BDD" w:rsidP="002B20FD">
            <w:pPr>
              <w:spacing w:line="240" w:lineRule="auto"/>
              <w:jc w:val="center"/>
              <w:rPr>
                <w:rFonts w:ascii="Arial" w:hAnsi="Arial"/>
                <w:sz w:val="20"/>
                <w:szCs w:val="20"/>
              </w:rPr>
            </w:pPr>
          </w:p>
        </w:tc>
        <w:tc>
          <w:tcPr>
            <w:tcW w:w="3183" w:type="dxa"/>
            <w:vAlign w:val="center"/>
          </w:tcPr>
          <w:p w:rsidR="00A05BDD" w:rsidRPr="00720D9E" w:rsidRDefault="00A05BDD" w:rsidP="003A0D54">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vehicle operation</w:t>
            </w:r>
          </w:p>
        </w:tc>
        <w:tc>
          <w:tcPr>
            <w:tcW w:w="1114" w:type="dxa"/>
            <w:vAlign w:val="center"/>
          </w:tcPr>
          <w:p w:rsidR="00A05BDD" w:rsidRPr="00720D9E" w:rsidRDefault="00A05BDD" w:rsidP="002B20FD">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P</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trHeight w:val="144"/>
        </w:trPr>
        <w:tc>
          <w:tcPr>
            <w:tcW w:w="1045" w:type="dxa"/>
            <w:vMerge w:val="restart"/>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6</w:t>
            </w:r>
          </w:p>
        </w:tc>
        <w:tc>
          <w:tcPr>
            <w:tcW w:w="3183" w:type="dxa"/>
            <w:vMerge w:val="restart"/>
            <w:vAlign w:val="center"/>
          </w:tcPr>
          <w:p w:rsidR="00A05BDD" w:rsidRPr="00720D9E" w:rsidRDefault="00A05BDD" w:rsidP="003A0D54">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electricity generation</w:t>
            </w:r>
          </w:p>
        </w:tc>
        <w:tc>
          <w:tcPr>
            <w:tcW w:w="1114" w:type="dxa"/>
            <w:vAlign w:val="center"/>
          </w:tcPr>
          <w:p w:rsidR="00A05BDD" w:rsidRPr="00720D9E" w:rsidRDefault="00A05BDD" w:rsidP="002B20FD">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B, P</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trHeight w:val="144"/>
        </w:trPr>
        <w:tc>
          <w:tcPr>
            <w:tcW w:w="1045" w:type="dxa"/>
            <w:vMerge/>
            <w:vAlign w:val="center"/>
          </w:tcPr>
          <w:p w:rsidR="00A05BDD" w:rsidRPr="00720D9E" w:rsidRDefault="00A05BDD" w:rsidP="002B20FD">
            <w:pPr>
              <w:spacing w:line="240" w:lineRule="auto"/>
              <w:jc w:val="center"/>
              <w:rPr>
                <w:rFonts w:ascii="Arial" w:hAnsi="Arial"/>
                <w:sz w:val="20"/>
                <w:szCs w:val="20"/>
              </w:rPr>
            </w:pPr>
          </w:p>
        </w:tc>
        <w:tc>
          <w:tcPr>
            <w:tcW w:w="3183" w:type="dxa"/>
            <w:vMerge/>
            <w:vAlign w:val="center"/>
          </w:tcPr>
          <w:p w:rsidR="00A05BDD" w:rsidRPr="00720D9E" w:rsidRDefault="00A05BDD" w:rsidP="002B20FD">
            <w:pPr>
              <w:spacing w:line="240" w:lineRule="auto"/>
              <w:rPr>
                <w:rFonts w:ascii="Arial" w:hAnsi="Arial"/>
                <w:sz w:val="20"/>
                <w:szCs w:val="20"/>
              </w:rPr>
            </w:pPr>
          </w:p>
        </w:tc>
        <w:tc>
          <w:tcPr>
            <w:tcW w:w="1114" w:type="dxa"/>
            <w:vAlign w:val="center"/>
          </w:tcPr>
          <w:p w:rsidR="00A05BDD" w:rsidRPr="00720D9E" w:rsidRDefault="00A05BDD" w:rsidP="002B20FD">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n/a</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trHeight w:val="144"/>
        </w:trPr>
        <w:tc>
          <w:tcPr>
            <w:tcW w:w="1045" w:type="dxa"/>
            <w:vMerge/>
            <w:vAlign w:val="center"/>
          </w:tcPr>
          <w:p w:rsidR="00A05BDD" w:rsidRPr="00720D9E" w:rsidRDefault="00A05BDD" w:rsidP="002B20FD">
            <w:pPr>
              <w:spacing w:line="240" w:lineRule="auto"/>
              <w:jc w:val="center"/>
              <w:rPr>
                <w:rFonts w:ascii="Arial" w:hAnsi="Arial"/>
                <w:sz w:val="20"/>
                <w:szCs w:val="20"/>
              </w:rPr>
            </w:pPr>
          </w:p>
        </w:tc>
        <w:tc>
          <w:tcPr>
            <w:tcW w:w="3183" w:type="dxa"/>
            <w:vAlign w:val="center"/>
          </w:tcPr>
          <w:p w:rsidR="00A05BDD" w:rsidRPr="00720D9E" w:rsidRDefault="00A05BDD" w:rsidP="003A0D54">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electricity generation</w:t>
            </w:r>
          </w:p>
        </w:tc>
        <w:tc>
          <w:tcPr>
            <w:tcW w:w="1114" w:type="dxa"/>
            <w:vAlign w:val="center"/>
          </w:tcPr>
          <w:p w:rsidR="00A05BDD" w:rsidRPr="00720D9E" w:rsidRDefault="00A05BDD" w:rsidP="002B20FD">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P</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trHeight w:val="144"/>
        </w:trPr>
        <w:tc>
          <w:tcPr>
            <w:tcW w:w="1045" w:type="dxa"/>
            <w:vMerge w:val="restart"/>
            <w:vAlign w:val="center"/>
          </w:tcPr>
          <w:p w:rsidR="00A05BDD" w:rsidRPr="00720D9E" w:rsidRDefault="00A05BDD" w:rsidP="006E426F">
            <w:pPr>
              <w:spacing w:line="240" w:lineRule="auto"/>
              <w:jc w:val="center"/>
              <w:rPr>
                <w:rFonts w:ascii="Arial" w:hAnsi="Arial" w:cs="Arial"/>
                <w:sz w:val="20"/>
                <w:szCs w:val="20"/>
              </w:rPr>
            </w:pPr>
            <w:r w:rsidRPr="00720D9E">
              <w:rPr>
                <w:rFonts w:ascii="Arial" w:hAnsi="Arial" w:cs="Arial"/>
                <w:sz w:val="20"/>
                <w:szCs w:val="20"/>
              </w:rPr>
              <w:t>7</w:t>
            </w:r>
          </w:p>
        </w:tc>
        <w:tc>
          <w:tcPr>
            <w:tcW w:w="3183" w:type="dxa"/>
            <w:vMerge w:val="restart"/>
            <w:vAlign w:val="center"/>
          </w:tcPr>
          <w:p w:rsidR="00A05BDD" w:rsidRPr="00720D9E" w:rsidRDefault="00A05BDD" w:rsidP="003A0D54">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thermal energy generation</w:t>
            </w:r>
          </w:p>
        </w:tc>
        <w:tc>
          <w:tcPr>
            <w:tcW w:w="1114" w:type="dxa"/>
            <w:vAlign w:val="center"/>
          </w:tcPr>
          <w:p w:rsidR="00A05BDD" w:rsidRPr="00720D9E" w:rsidRDefault="00A05BDD" w:rsidP="006E426F">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46" w:type="dxa"/>
            <w:vAlign w:val="center"/>
          </w:tcPr>
          <w:p w:rsidR="00A05BDD" w:rsidRPr="00720D9E" w:rsidRDefault="00A05BDD" w:rsidP="006E426F">
            <w:pPr>
              <w:spacing w:line="240" w:lineRule="auto"/>
              <w:jc w:val="center"/>
              <w:rPr>
                <w:rFonts w:ascii="Arial" w:hAnsi="Arial"/>
                <w:sz w:val="20"/>
                <w:szCs w:val="20"/>
              </w:rPr>
            </w:pPr>
            <w:r w:rsidRPr="00720D9E">
              <w:rPr>
                <w:rFonts w:ascii="Arial" w:hAnsi="Arial"/>
                <w:sz w:val="20"/>
                <w:szCs w:val="20"/>
              </w:rPr>
              <w:t>B, P</w:t>
            </w:r>
          </w:p>
        </w:tc>
        <w:tc>
          <w:tcPr>
            <w:tcW w:w="2046" w:type="dxa"/>
            <w:vAlign w:val="center"/>
          </w:tcPr>
          <w:p w:rsidR="00A05BDD" w:rsidRPr="00720D9E" w:rsidRDefault="00A05BDD" w:rsidP="006E426F">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trHeight w:val="144"/>
        </w:trPr>
        <w:tc>
          <w:tcPr>
            <w:tcW w:w="1045" w:type="dxa"/>
            <w:vMerge/>
            <w:vAlign w:val="center"/>
          </w:tcPr>
          <w:p w:rsidR="00A05BDD" w:rsidRPr="00720D9E" w:rsidRDefault="00A05BDD" w:rsidP="006E426F">
            <w:pPr>
              <w:spacing w:line="240" w:lineRule="auto"/>
              <w:jc w:val="center"/>
              <w:rPr>
                <w:sz w:val="20"/>
                <w:szCs w:val="20"/>
              </w:rPr>
            </w:pPr>
          </w:p>
        </w:tc>
        <w:tc>
          <w:tcPr>
            <w:tcW w:w="3183" w:type="dxa"/>
            <w:vMerge/>
            <w:vAlign w:val="center"/>
          </w:tcPr>
          <w:p w:rsidR="00A05BDD" w:rsidRPr="00720D9E" w:rsidRDefault="00A05BDD" w:rsidP="006E426F">
            <w:pPr>
              <w:spacing w:line="240" w:lineRule="auto"/>
              <w:rPr>
                <w:sz w:val="20"/>
                <w:szCs w:val="20"/>
              </w:rPr>
            </w:pPr>
          </w:p>
        </w:tc>
        <w:tc>
          <w:tcPr>
            <w:tcW w:w="1114" w:type="dxa"/>
            <w:vAlign w:val="center"/>
          </w:tcPr>
          <w:p w:rsidR="00A05BDD" w:rsidRPr="00720D9E" w:rsidRDefault="00A05BDD" w:rsidP="006E426F">
            <w:pPr>
              <w:spacing w:line="240" w:lineRule="auto"/>
              <w:jc w:val="center"/>
              <w:rPr>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46" w:type="dxa"/>
            <w:vAlign w:val="center"/>
          </w:tcPr>
          <w:p w:rsidR="00A05BDD" w:rsidRPr="00720D9E" w:rsidRDefault="00A05BDD" w:rsidP="006E426F">
            <w:pPr>
              <w:spacing w:line="240" w:lineRule="auto"/>
              <w:jc w:val="center"/>
              <w:rPr>
                <w:sz w:val="20"/>
                <w:szCs w:val="20"/>
              </w:rPr>
            </w:pPr>
            <w:r w:rsidRPr="00720D9E">
              <w:rPr>
                <w:rFonts w:ascii="Arial" w:hAnsi="Arial"/>
                <w:sz w:val="20"/>
                <w:szCs w:val="20"/>
              </w:rPr>
              <w:t>n/a</w:t>
            </w:r>
          </w:p>
        </w:tc>
        <w:tc>
          <w:tcPr>
            <w:tcW w:w="2046" w:type="dxa"/>
            <w:vAlign w:val="center"/>
          </w:tcPr>
          <w:p w:rsidR="00A05BDD" w:rsidRPr="00720D9E" w:rsidRDefault="00A05BDD" w:rsidP="006E426F">
            <w:pPr>
              <w:spacing w:line="240" w:lineRule="auto"/>
              <w:jc w:val="center"/>
              <w:rPr>
                <w:sz w:val="20"/>
                <w:szCs w:val="20"/>
              </w:rPr>
            </w:pPr>
            <w:r w:rsidRPr="00720D9E">
              <w:rPr>
                <w:rFonts w:ascii="Arial" w:hAnsi="Arial"/>
                <w:sz w:val="20"/>
                <w:szCs w:val="20"/>
              </w:rPr>
              <w:t>Excluded</w:t>
            </w:r>
          </w:p>
        </w:tc>
      </w:tr>
      <w:tr w:rsidR="00A05BDD" w:rsidRPr="00720D9E" w:rsidTr="00A05BDD">
        <w:trPr>
          <w:trHeight w:val="144"/>
        </w:trPr>
        <w:tc>
          <w:tcPr>
            <w:tcW w:w="1045" w:type="dxa"/>
            <w:vMerge/>
            <w:vAlign w:val="center"/>
          </w:tcPr>
          <w:p w:rsidR="00A05BDD" w:rsidRPr="00720D9E" w:rsidRDefault="00A05BDD" w:rsidP="006E426F">
            <w:pPr>
              <w:spacing w:line="240" w:lineRule="auto"/>
              <w:jc w:val="center"/>
              <w:rPr>
                <w:sz w:val="20"/>
                <w:szCs w:val="20"/>
              </w:rPr>
            </w:pPr>
          </w:p>
        </w:tc>
        <w:tc>
          <w:tcPr>
            <w:tcW w:w="3183" w:type="dxa"/>
            <w:vAlign w:val="center"/>
          </w:tcPr>
          <w:p w:rsidR="00A05BDD" w:rsidRPr="00720D9E" w:rsidRDefault="00A05BDD" w:rsidP="003A0D54">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electricity generation</w:t>
            </w:r>
          </w:p>
        </w:tc>
        <w:tc>
          <w:tcPr>
            <w:tcW w:w="1114" w:type="dxa"/>
            <w:vAlign w:val="center"/>
          </w:tcPr>
          <w:p w:rsidR="00A05BDD" w:rsidRPr="00720D9E" w:rsidRDefault="00A05BDD" w:rsidP="006E426F">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vAlign w:val="center"/>
          </w:tcPr>
          <w:p w:rsidR="00A05BDD" w:rsidRPr="00720D9E" w:rsidRDefault="00A05BDD" w:rsidP="006E426F">
            <w:pPr>
              <w:spacing w:line="240" w:lineRule="auto"/>
              <w:jc w:val="center"/>
              <w:rPr>
                <w:rFonts w:ascii="Arial" w:hAnsi="Arial"/>
                <w:sz w:val="20"/>
                <w:szCs w:val="20"/>
              </w:rPr>
            </w:pPr>
            <w:r w:rsidRPr="00720D9E">
              <w:rPr>
                <w:rFonts w:ascii="Arial" w:hAnsi="Arial"/>
                <w:sz w:val="20"/>
                <w:szCs w:val="20"/>
              </w:rPr>
              <w:t>P</w:t>
            </w:r>
          </w:p>
        </w:tc>
        <w:tc>
          <w:tcPr>
            <w:tcW w:w="2046" w:type="dxa"/>
            <w:vAlign w:val="center"/>
          </w:tcPr>
          <w:p w:rsidR="00A05BDD" w:rsidRPr="00720D9E" w:rsidRDefault="00A05BDD" w:rsidP="006E426F">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trHeight w:val="220"/>
        </w:trPr>
        <w:tc>
          <w:tcPr>
            <w:tcW w:w="1045" w:type="dxa"/>
            <w:vMerge w:val="restart"/>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8</w:t>
            </w:r>
          </w:p>
        </w:tc>
        <w:tc>
          <w:tcPr>
            <w:tcW w:w="3183" w:type="dxa"/>
            <w:vMerge w:val="restart"/>
            <w:vAlign w:val="center"/>
          </w:tcPr>
          <w:p w:rsidR="00A05BDD" w:rsidRPr="00720D9E" w:rsidRDefault="00A05BDD" w:rsidP="003A0D54">
            <w:pPr>
              <w:spacing w:line="240" w:lineRule="auto"/>
              <w:rPr>
                <w:rFonts w:ascii="Arial" w:hAnsi="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on-site flaring</w:t>
            </w:r>
          </w:p>
        </w:tc>
        <w:tc>
          <w:tcPr>
            <w:tcW w:w="1114" w:type="dxa"/>
            <w:vAlign w:val="center"/>
          </w:tcPr>
          <w:p w:rsidR="00A05BDD" w:rsidRPr="00720D9E" w:rsidRDefault="00A05BDD" w:rsidP="002B20FD">
            <w:pPr>
              <w:spacing w:line="240" w:lineRule="auto"/>
              <w:jc w:val="center"/>
              <w:rPr>
                <w:rFonts w:ascii="Arial" w:hAnsi="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B, P</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trHeight w:val="144"/>
        </w:trPr>
        <w:tc>
          <w:tcPr>
            <w:tcW w:w="1045" w:type="dxa"/>
            <w:vMerge/>
            <w:vAlign w:val="center"/>
          </w:tcPr>
          <w:p w:rsidR="00A05BDD" w:rsidRPr="00720D9E" w:rsidRDefault="00A05BDD" w:rsidP="002B20FD">
            <w:pPr>
              <w:spacing w:line="240" w:lineRule="auto"/>
              <w:jc w:val="center"/>
              <w:rPr>
                <w:rFonts w:ascii="Arial" w:hAnsi="Arial"/>
                <w:sz w:val="20"/>
                <w:szCs w:val="20"/>
              </w:rPr>
            </w:pPr>
          </w:p>
        </w:tc>
        <w:tc>
          <w:tcPr>
            <w:tcW w:w="3183" w:type="dxa"/>
            <w:vMerge/>
            <w:vAlign w:val="center"/>
          </w:tcPr>
          <w:p w:rsidR="00A05BDD" w:rsidRPr="00720D9E" w:rsidRDefault="00A05BDD" w:rsidP="002B20FD">
            <w:pPr>
              <w:spacing w:line="240" w:lineRule="auto"/>
              <w:rPr>
                <w:rFonts w:ascii="Arial" w:hAnsi="Arial"/>
                <w:sz w:val="20"/>
                <w:szCs w:val="20"/>
              </w:rPr>
            </w:pPr>
          </w:p>
        </w:tc>
        <w:tc>
          <w:tcPr>
            <w:tcW w:w="1114" w:type="dxa"/>
            <w:vAlign w:val="center"/>
          </w:tcPr>
          <w:p w:rsidR="00A05BDD" w:rsidRPr="00720D9E" w:rsidRDefault="00A05BDD" w:rsidP="002B20FD">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n/a</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Excluded</w:t>
            </w:r>
          </w:p>
        </w:tc>
      </w:tr>
      <w:tr w:rsidR="00A05BDD" w:rsidRPr="00720D9E" w:rsidTr="00A05BDD">
        <w:trPr>
          <w:trHeight w:val="144"/>
        </w:trPr>
        <w:tc>
          <w:tcPr>
            <w:tcW w:w="1045" w:type="dxa"/>
            <w:vMerge/>
            <w:vAlign w:val="center"/>
          </w:tcPr>
          <w:p w:rsidR="00A05BDD" w:rsidRPr="00720D9E" w:rsidRDefault="00A05BDD" w:rsidP="002B20FD">
            <w:pPr>
              <w:spacing w:line="240" w:lineRule="auto"/>
              <w:jc w:val="center"/>
              <w:rPr>
                <w:rFonts w:ascii="Arial" w:hAnsi="Arial"/>
                <w:sz w:val="20"/>
                <w:szCs w:val="20"/>
              </w:rPr>
            </w:pPr>
          </w:p>
        </w:tc>
        <w:tc>
          <w:tcPr>
            <w:tcW w:w="3183" w:type="dxa"/>
            <w:vAlign w:val="center"/>
          </w:tcPr>
          <w:p w:rsidR="00A05BDD" w:rsidRPr="00720D9E" w:rsidRDefault="00A05BDD" w:rsidP="003A0D54">
            <w:pPr>
              <w:spacing w:line="240" w:lineRule="auto"/>
              <w:rPr>
                <w:rFonts w:ascii="Arial" w:hAnsi="Arial"/>
                <w:sz w:val="20"/>
                <w:szCs w:val="20"/>
              </w:rPr>
            </w:pPr>
            <w:r w:rsidRPr="00720D9E">
              <w:rPr>
                <w:rFonts w:ascii="Arial" w:hAnsi="Arial"/>
                <w:sz w:val="20"/>
                <w:szCs w:val="20"/>
              </w:rPr>
              <w:t>Emissions resulting from incomplete methane</w:t>
            </w:r>
            <w:r w:rsidRPr="00720D9E">
              <w:rPr>
                <w:rFonts w:ascii="Arial" w:hAnsi="Arial" w:cs="Arial"/>
                <w:sz w:val="20"/>
                <w:szCs w:val="20"/>
                <w:vertAlign w:val="subscript"/>
                <w:lang w:val="en-GB"/>
              </w:rPr>
              <w:t xml:space="preserve"> </w:t>
            </w:r>
            <w:r w:rsidRPr="00720D9E">
              <w:rPr>
                <w:rFonts w:ascii="Arial" w:hAnsi="Arial"/>
                <w:sz w:val="20"/>
                <w:szCs w:val="20"/>
              </w:rPr>
              <w:t>combustion during flaring</w:t>
            </w:r>
          </w:p>
        </w:tc>
        <w:tc>
          <w:tcPr>
            <w:tcW w:w="1114" w:type="dxa"/>
            <w:vAlign w:val="center"/>
          </w:tcPr>
          <w:p w:rsidR="00A05BDD" w:rsidRPr="00720D9E" w:rsidRDefault="00A05BDD" w:rsidP="002B20FD">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P</w:t>
            </w:r>
          </w:p>
        </w:tc>
        <w:tc>
          <w:tcPr>
            <w:tcW w:w="2046" w:type="dxa"/>
            <w:vAlign w:val="center"/>
          </w:tcPr>
          <w:p w:rsidR="00A05BDD" w:rsidRPr="00720D9E" w:rsidRDefault="00A05BDD" w:rsidP="002B20FD">
            <w:pPr>
              <w:spacing w:line="240" w:lineRule="auto"/>
              <w:jc w:val="center"/>
              <w:rPr>
                <w:rFonts w:ascii="Arial" w:hAnsi="Arial"/>
                <w:sz w:val="20"/>
                <w:szCs w:val="20"/>
              </w:rPr>
            </w:pPr>
            <w:r w:rsidRPr="00720D9E">
              <w:rPr>
                <w:rFonts w:ascii="Arial" w:hAnsi="Arial"/>
                <w:sz w:val="20"/>
                <w:szCs w:val="20"/>
              </w:rPr>
              <w:t>Included</w:t>
            </w:r>
          </w:p>
        </w:tc>
      </w:tr>
      <w:tr w:rsidR="00A05BDD" w:rsidRPr="00720D9E" w:rsidTr="00A05BDD">
        <w:trPr>
          <w:trHeight w:val="220"/>
        </w:trPr>
        <w:tc>
          <w:tcPr>
            <w:tcW w:w="1045" w:type="dxa"/>
            <w:vMerge w:val="restart"/>
            <w:shd w:val="clear" w:color="auto" w:fill="auto"/>
            <w:vAlign w:val="center"/>
          </w:tcPr>
          <w:p w:rsidR="00A05BDD" w:rsidRPr="00720D9E" w:rsidRDefault="00A05BDD" w:rsidP="00332511">
            <w:pPr>
              <w:spacing w:line="240" w:lineRule="auto"/>
              <w:jc w:val="center"/>
              <w:rPr>
                <w:rFonts w:ascii="Arial" w:hAnsi="Arial" w:cs="Arial"/>
                <w:sz w:val="20"/>
                <w:szCs w:val="20"/>
              </w:rPr>
            </w:pPr>
            <w:r w:rsidRPr="00720D9E">
              <w:rPr>
                <w:rFonts w:ascii="Arial" w:hAnsi="Arial" w:cs="Arial"/>
                <w:sz w:val="20"/>
                <w:szCs w:val="20"/>
              </w:rPr>
              <w:t>9</w:t>
            </w:r>
          </w:p>
        </w:tc>
        <w:tc>
          <w:tcPr>
            <w:tcW w:w="3183" w:type="dxa"/>
            <w:vMerge w:val="restart"/>
            <w:vAlign w:val="center"/>
          </w:tcPr>
          <w:p w:rsidR="00A05BDD" w:rsidRPr="00720D9E" w:rsidRDefault="00A05BDD" w:rsidP="002B20FD">
            <w:pPr>
              <w:spacing w:line="240" w:lineRule="auto"/>
              <w:rPr>
                <w:rFonts w:ascii="Arial" w:hAnsi="Arial" w:cs="Arial"/>
                <w:sz w:val="20"/>
                <w:szCs w:val="20"/>
              </w:rPr>
            </w:pPr>
            <w:r w:rsidRPr="00720D9E">
              <w:rPr>
                <w:rFonts w:ascii="Arial" w:hAnsi="Arial"/>
                <w:sz w:val="20"/>
                <w:szCs w:val="20"/>
              </w:rPr>
              <w:t>Emissions resulting from methane</w:t>
            </w:r>
            <w:r w:rsidRPr="00720D9E">
              <w:rPr>
                <w:rFonts w:ascii="Arial" w:hAnsi="Arial" w:cs="Arial"/>
                <w:sz w:val="20"/>
                <w:szCs w:val="20"/>
                <w:vertAlign w:val="subscript"/>
                <w:lang w:val="en-GB"/>
              </w:rPr>
              <w:t xml:space="preserve"> </w:t>
            </w:r>
            <w:r w:rsidRPr="00720D9E">
              <w:rPr>
                <w:rFonts w:ascii="Arial" w:hAnsi="Arial"/>
                <w:sz w:val="20"/>
                <w:szCs w:val="20"/>
              </w:rPr>
              <w:t>combustion resulting from pipeline injection</w:t>
            </w:r>
          </w:p>
          <w:p w:rsidR="00A05BDD" w:rsidRPr="00720D9E" w:rsidRDefault="00A05BDD" w:rsidP="002B20FD">
            <w:pPr>
              <w:spacing w:line="240" w:lineRule="auto"/>
              <w:rPr>
                <w:rFonts w:ascii="Arial" w:hAnsi="Arial" w:cs="Arial"/>
                <w:sz w:val="20"/>
                <w:szCs w:val="20"/>
              </w:rPr>
            </w:pPr>
            <w:r w:rsidRPr="00720D9E">
              <w:rPr>
                <w:rFonts w:ascii="Arial" w:hAnsi="Arial" w:cs="Arial"/>
                <w:sz w:val="20"/>
                <w:szCs w:val="20"/>
              </w:rPr>
              <w:t>Emissions resulting from the incomplete methane</w:t>
            </w:r>
            <w:r w:rsidRPr="00720D9E">
              <w:rPr>
                <w:rFonts w:ascii="Arial" w:hAnsi="Arial" w:cs="Arial"/>
                <w:sz w:val="20"/>
                <w:szCs w:val="20"/>
                <w:vertAlign w:val="subscript"/>
                <w:lang w:val="en-GB"/>
              </w:rPr>
              <w:t xml:space="preserve"> </w:t>
            </w:r>
            <w:r w:rsidRPr="00720D9E">
              <w:rPr>
                <w:rFonts w:ascii="Arial" w:hAnsi="Arial" w:cs="Arial"/>
                <w:sz w:val="20"/>
                <w:szCs w:val="20"/>
              </w:rPr>
              <w:t>combustion resulting from pipeline injection</w:t>
            </w:r>
          </w:p>
        </w:tc>
        <w:tc>
          <w:tcPr>
            <w:tcW w:w="1114"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46"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P</w:t>
            </w:r>
          </w:p>
        </w:tc>
        <w:tc>
          <w:tcPr>
            <w:tcW w:w="2046" w:type="dxa"/>
            <w:vAlign w:val="center"/>
          </w:tcPr>
          <w:p w:rsidR="00A05BDD" w:rsidRPr="00720D9E" w:rsidRDefault="00A05BDD" w:rsidP="002B20FD">
            <w:pPr>
              <w:spacing w:line="240" w:lineRule="auto"/>
              <w:jc w:val="center"/>
              <w:rPr>
                <w:rFonts w:ascii="Arial" w:hAnsi="Arial" w:cs="Arial"/>
                <w:sz w:val="20"/>
                <w:szCs w:val="20"/>
              </w:rPr>
            </w:pPr>
            <w:r w:rsidRPr="00720D9E">
              <w:rPr>
                <w:rFonts w:ascii="Arial" w:hAnsi="Arial" w:cs="Arial"/>
                <w:sz w:val="20"/>
                <w:szCs w:val="20"/>
              </w:rPr>
              <w:t>Included</w:t>
            </w:r>
          </w:p>
        </w:tc>
      </w:tr>
      <w:tr w:rsidR="00A05BDD" w:rsidRPr="00720D9E" w:rsidTr="00A05BDD">
        <w:trPr>
          <w:trHeight w:val="369"/>
        </w:trPr>
        <w:tc>
          <w:tcPr>
            <w:tcW w:w="1045" w:type="dxa"/>
            <w:vMerge/>
            <w:shd w:val="clear" w:color="auto" w:fill="auto"/>
            <w:vAlign w:val="center"/>
          </w:tcPr>
          <w:p w:rsidR="00A05BDD" w:rsidRPr="00720D9E" w:rsidRDefault="00A05BDD" w:rsidP="006253CE">
            <w:pPr>
              <w:spacing w:line="240" w:lineRule="auto"/>
              <w:jc w:val="center"/>
              <w:rPr>
                <w:rFonts w:ascii="Arial" w:hAnsi="Arial" w:cs="Arial"/>
                <w:sz w:val="20"/>
                <w:szCs w:val="20"/>
              </w:rPr>
            </w:pPr>
          </w:p>
        </w:tc>
        <w:tc>
          <w:tcPr>
            <w:tcW w:w="3183" w:type="dxa"/>
            <w:vMerge/>
            <w:shd w:val="clear" w:color="auto" w:fill="auto"/>
            <w:vAlign w:val="center"/>
          </w:tcPr>
          <w:p w:rsidR="00A05BDD" w:rsidRPr="00720D9E" w:rsidRDefault="00A05BDD" w:rsidP="006253CE">
            <w:pPr>
              <w:spacing w:line="240" w:lineRule="auto"/>
              <w:rPr>
                <w:rFonts w:ascii="Arial" w:hAnsi="Arial" w:cs="Arial"/>
                <w:sz w:val="20"/>
                <w:szCs w:val="20"/>
              </w:rPr>
            </w:pPr>
          </w:p>
        </w:tc>
        <w:tc>
          <w:tcPr>
            <w:tcW w:w="1114" w:type="dxa"/>
            <w:vAlign w:val="center"/>
          </w:tcPr>
          <w:p w:rsidR="00A05BDD" w:rsidRPr="00720D9E" w:rsidRDefault="00A05BDD" w:rsidP="006253CE">
            <w:pPr>
              <w:spacing w:line="240" w:lineRule="auto"/>
              <w:jc w:val="center"/>
              <w:rPr>
                <w:rFonts w:ascii="Arial" w:hAnsi="Arial" w:cs="Arial"/>
                <w:sz w:val="20"/>
                <w:szCs w:val="20"/>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46" w:type="dxa"/>
            <w:vAlign w:val="center"/>
          </w:tcPr>
          <w:p w:rsidR="00A05BDD" w:rsidRPr="00720D9E" w:rsidRDefault="00A05BDD" w:rsidP="006253CE">
            <w:pPr>
              <w:spacing w:line="240" w:lineRule="auto"/>
              <w:jc w:val="center"/>
              <w:rPr>
                <w:rFonts w:ascii="Arial" w:hAnsi="Arial" w:cs="Arial"/>
                <w:sz w:val="20"/>
                <w:szCs w:val="20"/>
              </w:rPr>
            </w:pPr>
            <w:r w:rsidRPr="00720D9E">
              <w:rPr>
                <w:rFonts w:ascii="Arial" w:hAnsi="Arial"/>
                <w:sz w:val="20"/>
                <w:szCs w:val="20"/>
              </w:rPr>
              <w:t>n/a</w:t>
            </w:r>
          </w:p>
        </w:tc>
        <w:tc>
          <w:tcPr>
            <w:tcW w:w="2046" w:type="dxa"/>
            <w:vAlign w:val="center"/>
          </w:tcPr>
          <w:p w:rsidR="00A05BDD" w:rsidRPr="00720D9E" w:rsidRDefault="00A05BDD" w:rsidP="006253CE">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trHeight w:val="144"/>
        </w:trPr>
        <w:tc>
          <w:tcPr>
            <w:tcW w:w="1045" w:type="dxa"/>
            <w:vMerge/>
            <w:shd w:val="clear" w:color="auto" w:fill="auto"/>
            <w:vAlign w:val="center"/>
          </w:tcPr>
          <w:p w:rsidR="00A05BDD" w:rsidRPr="00720D9E" w:rsidRDefault="00A05BDD" w:rsidP="006253CE">
            <w:pPr>
              <w:spacing w:line="240" w:lineRule="auto"/>
              <w:jc w:val="center"/>
              <w:rPr>
                <w:rFonts w:ascii="Arial" w:hAnsi="Arial" w:cs="Arial"/>
                <w:sz w:val="20"/>
                <w:szCs w:val="20"/>
              </w:rPr>
            </w:pPr>
          </w:p>
        </w:tc>
        <w:tc>
          <w:tcPr>
            <w:tcW w:w="3183" w:type="dxa"/>
            <w:vMerge/>
            <w:shd w:val="clear" w:color="auto" w:fill="auto"/>
            <w:vAlign w:val="center"/>
          </w:tcPr>
          <w:p w:rsidR="00A05BDD" w:rsidRPr="00720D9E" w:rsidRDefault="00A05BDD" w:rsidP="006253CE">
            <w:pPr>
              <w:spacing w:line="240" w:lineRule="auto"/>
              <w:rPr>
                <w:rFonts w:ascii="Arial" w:hAnsi="Arial" w:cs="Arial"/>
                <w:sz w:val="20"/>
                <w:szCs w:val="20"/>
              </w:rPr>
            </w:pPr>
          </w:p>
        </w:tc>
        <w:tc>
          <w:tcPr>
            <w:tcW w:w="1114" w:type="dxa"/>
            <w:vAlign w:val="center"/>
          </w:tcPr>
          <w:p w:rsidR="00A05BDD" w:rsidRPr="00720D9E" w:rsidRDefault="00A05BDD" w:rsidP="006253CE">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vAlign w:val="center"/>
          </w:tcPr>
          <w:p w:rsidR="00A05BDD" w:rsidRPr="00720D9E" w:rsidRDefault="00A05BDD" w:rsidP="006253CE">
            <w:pPr>
              <w:spacing w:line="240" w:lineRule="auto"/>
              <w:jc w:val="center"/>
              <w:rPr>
                <w:rFonts w:ascii="Arial" w:hAnsi="Arial" w:cs="Arial"/>
                <w:sz w:val="20"/>
                <w:szCs w:val="20"/>
              </w:rPr>
            </w:pPr>
            <w:r w:rsidRPr="00720D9E">
              <w:rPr>
                <w:rFonts w:ascii="Arial" w:hAnsi="Arial" w:cs="Arial"/>
                <w:sz w:val="20"/>
                <w:szCs w:val="20"/>
              </w:rPr>
              <w:t>P</w:t>
            </w:r>
          </w:p>
        </w:tc>
        <w:tc>
          <w:tcPr>
            <w:tcW w:w="2046" w:type="dxa"/>
            <w:vAlign w:val="center"/>
          </w:tcPr>
          <w:p w:rsidR="00A05BDD" w:rsidRPr="00720D9E" w:rsidRDefault="00A05BDD" w:rsidP="006253CE">
            <w:pPr>
              <w:spacing w:line="240" w:lineRule="auto"/>
              <w:jc w:val="center"/>
              <w:rPr>
                <w:rFonts w:ascii="Arial" w:hAnsi="Arial" w:cs="Arial"/>
                <w:sz w:val="20"/>
                <w:szCs w:val="20"/>
              </w:rPr>
            </w:pPr>
            <w:r w:rsidRPr="00720D9E">
              <w:rPr>
                <w:rFonts w:ascii="Arial" w:hAnsi="Arial" w:cs="Arial"/>
                <w:sz w:val="20"/>
                <w:szCs w:val="20"/>
              </w:rPr>
              <w:t>Included</w:t>
            </w:r>
          </w:p>
        </w:tc>
      </w:tr>
      <w:tr w:rsidR="00A05BDD" w:rsidRPr="00720D9E" w:rsidTr="00A05BDD">
        <w:trPr>
          <w:trHeight w:val="220"/>
        </w:trPr>
        <w:tc>
          <w:tcPr>
            <w:tcW w:w="1045" w:type="dxa"/>
            <w:vMerge w:val="restart"/>
            <w:shd w:val="clear" w:color="auto" w:fill="auto"/>
            <w:vAlign w:val="center"/>
          </w:tcPr>
          <w:p w:rsidR="00A05BDD" w:rsidRPr="00720D9E" w:rsidRDefault="00A05BDD" w:rsidP="00332511">
            <w:pPr>
              <w:jc w:val="center"/>
              <w:rPr>
                <w:rFonts w:ascii="Arial" w:hAnsi="Arial" w:cs="Arial"/>
                <w:sz w:val="20"/>
                <w:szCs w:val="20"/>
              </w:rPr>
            </w:pPr>
            <w:r w:rsidRPr="00720D9E">
              <w:rPr>
                <w:rFonts w:ascii="Arial" w:hAnsi="Arial" w:cs="Arial"/>
                <w:sz w:val="20"/>
                <w:szCs w:val="20"/>
              </w:rPr>
              <w:t>10</w:t>
            </w:r>
          </w:p>
        </w:tc>
        <w:tc>
          <w:tcPr>
            <w:tcW w:w="3183" w:type="dxa"/>
            <w:vMerge w:val="restart"/>
            <w:vAlign w:val="center"/>
          </w:tcPr>
          <w:p w:rsidR="00A05BDD" w:rsidRPr="00720D9E" w:rsidRDefault="00A05BDD" w:rsidP="003A0D54">
            <w:pPr>
              <w:spacing w:line="240" w:lineRule="auto"/>
              <w:rPr>
                <w:rFonts w:ascii="Arial" w:hAnsi="Arial"/>
                <w:sz w:val="20"/>
                <w:szCs w:val="20"/>
              </w:rPr>
            </w:pPr>
            <w:r w:rsidRPr="00720D9E">
              <w:rPr>
                <w:rFonts w:ascii="Arial" w:hAnsi="Arial" w:cs="Arial"/>
                <w:sz w:val="20"/>
                <w:szCs w:val="20"/>
              </w:rPr>
              <w:t>Emissions from well drilling and well gas completion</w:t>
            </w:r>
          </w:p>
        </w:tc>
        <w:tc>
          <w:tcPr>
            <w:tcW w:w="1114" w:type="dxa"/>
            <w:vAlign w:val="center"/>
          </w:tcPr>
          <w:p w:rsidR="00A05BDD" w:rsidRPr="00720D9E" w:rsidRDefault="00A05BDD" w:rsidP="006253CE">
            <w:pPr>
              <w:spacing w:line="240" w:lineRule="auto"/>
              <w:jc w:val="center"/>
              <w:rPr>
                <w:rFonts w:ascii="Arial" w:hAnsi="Arial" w:cs="Arial"/>
                <w:sz w:val="20"/>
                <w:szCs w:val="20"/>
                <w:lang w:val="en-GB"/>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46" w:type="dxa"/>
            <w:shd w:val="clear" w:color="auto" w:fill="auto"/>
            <w:vAlign w:val="center"/>
          </w:tcPr>
          <w:p w:rsidR="00A05BDD" w:rsidRPr="00720D9E" w:rsidRDefault="00A05BDD" w:rsidP="006253CE">
            <w:pPr>
              <w:spacing w:line="240" w:lineRule="auto"/>
              <w:jc w:val="center"/>
              <w:rPr>
                <w:rFonts w:ascii="Arial" w:hAnsi="Arial" w:cs="Arial"/>
                <w:sz w:val="20"/>
                <w:szCs w:val="20"/>
              </w:rPr>
            </w:pPr>
            <w:r w:rsidRPr="00720D9E">
              <w:rPr>
                <w:rFonts w:ascii="Arial" w:hAnsi="Arial" w:cs="Arial"/>
                <w:sz w:val="20"/>
                <w:szCs w:val="20"/>
              </w:rPr>
              <w:t>P</w:t>
            </w:r>
          </w:p>
        </w:tc>
        <w:tc>
          <w:tcPr>
            <w:tcW w:w="2046" w:type="dxa"/>
            <w:vAlign w:val="center"/>
          </w:tcPr>
          <w:p w:rsidR="00A05BDD" w:rsidRPr="00720D9E" w:rsidRDefault="00A05BDD" w:rsidP="006253CE">
            <w:pPr>
              <w:spacing w:line="240" w:lineRule="auto"/>
              <w:jc w:val="center"/>
              <w:rPr>
                <w:rFonts w:ascii="Arial" w:hAnsi="Arial" w:cs="Arial"/>
                <w:sz w:val="20"/>
                <w:szCs w:val="20"/>
              </w:rPr>
            </w:pPr>
            <w:r w:rsidRPr="00720D9E">
              <w:rPr>
                <w:rFonts w:ascii="Arial" w:hAnsi="Arial" w:cs="Arial"/>
                <w:sz w:val="20"/>
                <w:szCs w:val="20"/>
              </w:rPr>
              <w:t>Included</w:t>
            </w:r>
          </w:p>
        </w:tc>
      </w:tr>
      <w:tr w:rsidR="00A05BDD" w:rsidRPr="00720D9E" w:rsidTr="00A05BDD">
        <w:trPr>
          <w:trHeight w:val="144"/>
        </w:trPr>
        <w:tc>
          <w:tcPr>
            <w:tcW w:w="1045" w:type="dxa"/>
            <w:vMerge/>
            <w:shd w:val="clear" w:color="auto" w:fill="auto"/>
            <w:vAlign w:val="center"/>
          </w:tcPr>
          <w:p w:rsidR="00A05BDD" w:rsidRPr="00720D9E" w:rsidRDefault="00A05BDD" w:rsidP="006253CE">
            <w:pPr>
              <w:spacing w:line="240" w:lineRule="auto"/>
              <w:jc w:val="center"/>
              <w:rPr>
                <w:rFonts w:ascii="Arial" w:hAnsi="Arial"/>
                <w:sz w:val="20"/>
                <w:szCs w:val="20"/>
              </w:rPr>
            </w:pPr>
          </w:p>
        </w:tc>
        <w:tc>
          <w:tcPr>
            <w:tcW w:w="3183" w:type="dxa"/>
            <w:vMerge/>
            <w:vAlign w:val="center"/>
          </w:tcPr>
          <w:p w:rsidR="00A05BDD" w:rsidRPr="00720D9E" w:rsidRDefault="00A05BDD" w:rsidP="006253CE">
            <w:pPr>
              <w:spacing w:line="240" w:lineRule="auto"/>
              <w:rPr>
                <w:rFonts w:ascii="Arial" w:hAnsi="Arial"/>
                <w:sz w:val="20"/>
                <w:szCs w:val="20"/>
              </w:rPr>
            </w:pPr>
          </w:p>
        </w:tc>
        <w:tc>
          <w:tcPr>
            <w:tcW w:w="1114" w:type="dxa"/>
            <w:vAlign w:val="center"/>
          </w:tcPr>
          <w:p w:rsidR="00A05BDD" w:rsidRPr="00720D9E" w:rsidRDefault="00A05BDD" w:rsidP="006253CE">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shd w:val="clear" w:color="auto" w:fill="auto"/>
            <w:vAlign w:val="center"/>
          </w:tcPr>
          <w:p w:rsidR="00A05BDD" w:rsidRPr="00720D9E" w:rsidRDefault="00A05BDD" w:rsidP="006253CE">
            <w:pPr>
              <w:spacing w:line="240" w:lineRule="auto"/>
              <w:jc w:val="center"/>
              <w:rPr>
                <w:rFonts w:ascii="Arial" w:hAnsi="Arial"/>
                <w:sz w:val="20"/>
                <w:szCs w:val="20"/>
              </w:rPr>
            </w:pPr>
            <w:r w:rsidRPr="00720D9E">
              <w:rPr>
                <w:rFonts w:ascii="Arial" w:hAnsi="Arial" w:cs="Arial"/>
                <w:sz w:val="20"/>
                <w:szCs w:val="20"/>
              </w:rPr>
              <w:t>n/a</w:t>
            </w:r>
          </w:p>
        </w:tc>
        <w:tc>
          <w:tcPr>
            <w:tcW w:w="2046" w:type="dxa"/>
            <w:vAlign w:val="center"/>
          </w:tcPr>
          <w:p w:rsidR="00A05BDD" w:rsidRPr="00720D9E" w:rsidRDefault="00A05BDD" w:rsidP="006253CE">
            <w:pPr>
              <w:spacing w:line="240" w:lineRule="auto"/>
              <w:jc w:val="center"/>
              <w:rPr>
                <w:rFonts w:ascii="Arial" w:hAnsi="Arial"/>
                <w:sz w:val="20"/>
                <w:szCs w:val="20"/>
              </w:rPr>
            </w:pPr>
            <w:r w:rsidRPr="00720D9E">
              <w:rPr>
                <w:rFonts w:ascii="Arial" w:hAnsi="Arial" w:cs="Arial"/>
                <w:sz w:val="20"/>
                <w:szCs w:val="20"/>
              </w:rPr>
              <w:t>Excluded</w:t>
            </w:r>
          </w:p>
        </w:tc>
      </w:tr>
      <w:tr w:rsidR="00A05BDD" w:rsidRPr="00720D9E" w:rsidTr="00A05BDD">
        <w:trPr>
          <w:trHeight w:val="144"/>
        </w:trPr>
        <w:tc>
          <w:tcPr>
            <w:tcW w:w="1045" w:type="dxa"/>
            <w:vMerge/>
            <w:shd w:val="clear" w:color="auto" w:fill="auto"/>
            <w:vAlign w:val="center"/>
          </w:tcPr>
          <w:p w:rsidR="00A05BDD" w:rsidRPr="00720D9E" w:rsidRDefault="00A05BDD" w:rsidP="00C179DE">
            <w:pPr>
              <w:spacing w:line="240" w:lineRule="auto"/>
              <w:jc w:val="center"/>
              <w:rPr>
                <w:rFonts w:ascii="Arial" w:hAnsi="Arial"/>
                <w:sz w:val="20"/>
                <w:szCs w:val="20"/>
              </w:rPr>
            </w:pPr>
          </w:p>
        </w:tc>
        <w:tc>
          <w:tcPr>
            <w:tcW w:w="3183" w:type="dxa"/>
            <w:vAlign w:val="center"/>
          </w:tcPr>
          <w:p w:rsidR="00A05BDD" w:rsidRPr="00720D9E" w:rsidRDefault="00A05BDD" w:rsidP="003A0D54">
            <w:pPr>
              <w:spacing w:line="240" w:lineRule="auto"/>
              <w:rPr>
                <w:rFonts w:ascii="Arial" w:hAnsi="Arial"/>
                <w:sz w:val="20"/>
                <w:szCs w:val="20"/>
              </w:rPr>
            </w:pPr>
            <w:r w:rsidRPr="00720D9E">
              <w:rPr>
                <w:rFonts w:ascii="Arial" w:hAnsi="Arial" w:cs="Arial"/>
                <w:sz w:val="20"/>
                <w:szCs w:val="20"/>
              </w:rPr>
              <w:t>Emissions resulting from the incomplete methane</w:t>
            </w:r>
            <w:r w:rsidRPr="00720D9E">
              <w:rPr>
                <w:rFonts w:ascii="Arial" w:hAnsi="Arial" w:cs="Arial"/>
                <w:sz w:val="20"/>
                <w:szCs w:val="20"/>
                <w:vertAlign w:val="subscript"/>
                <w:lang w:val="en-GB"/>
              </w:rPr>
              <w:t xml:space="preserve"> </w:t>
            </w:r>
            <w:r w:rsidRPr="00720D9E">
              <w:rPr>
                <w:rFonts w:ascii="Arial" w:hAnsi="Arial" w:cs="Arial"/>
                <w:sz w:val="20"/>
                <w:szCs w:val="20"/>
              </w:rPr>
              <w:t>combustion resulting from pipeline injection</w:t>
            </w:r>
          </w:p>
        </w:tc>
        <w:tc>
          <w:tcPr>
            <w:tcW w:w="1114" w:type="dxa"/>
            <w:vAlign w:val="center"/>
          </w:tcPr>
          <w:p w:rsidR="00A05BDD" w:rsidRPr="00720D9E" w:rsidRDefault="00A05BDD" w:rsidP="00C179DE">
            <w:pPr>
              <w:spacing w:line="240" w:lineRule="auto"/>
              <w:jc w:val="center"/>
              <w:rPr>
                <w:rFonts w:ascii="Arial" w:hAnsi="Arial"/>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46" w:type="dxa"/>
            <w:shd w:val="clear" w:color="auto" w:fill="auto"/>
            <w:vAlign w:val="center"/>
          </w:tcPr>
          <w:p w:rsidR="00A05BDD" w:rsidRPr="00720D9E" w:rsidRDefault="00A05BDD" w:rsidP="00C179DE">
            <w:pPr>
              <w:spacing w:line="240" w:lineRule="auto"/>
              <w:jc w:val="center"/>
              <w:rPr>
                <w:rFonts w:ascii="Arial" w:hAnsi="Arial"/>
                <w:sz w:val="20"/>
                <w:szCs w:val="20"/>
              </w:rPr>
            </w:pPr>
            <w:r w:rsidRPr="00720D9E">
              <w:rPr>
                <w:rFonts w:ascii="Arial" w:hAnsi="Arial" w:cs="Arial"/>
                <w:sz w:val="20"/>
                <w:szCs w:val="20"/>
              </w:rPr>
              <w:t>n/a</w:t>
            </w:r>
          </w:p>
        </w:tc>
        <w:tc>
          <w:tcPr>
            <w:tcW w:w="2046" w:type="dxa"/>
            <w:vAlign w:val="center"/>
          </w:tcPr>
          <w:p w:rsidR="00A05BDD" w:rsidRPr="00720D9E" w:rsidRDefault="00A05BDD" w:rsidP="00C179DE">
            <w:pPr>
              <w:spacing w:line="240" w:lineRule="auto"/>
              <w:jc w:val="center"/>
              <w:rPr>
                <w:rFonts w:ascii="Arial" w:hAnsi="Arial"/>
                <w:sz w:val="20"/>
                <w:szCs w:val="20"/>
              </w:rPr>
            </w:pPr>
            <w:r w:rsidRPr="00720D9E">
              <w:rPr>
                <w:rFonts w:ascii="Arial" w:hAnsi="Arial" w:cs="Arial"/>
                <w:sz w:val="20"/>
                <w:szCs w:val="20"/>
              </w:rPr>
              <w:t>Excluded</w:t>
            </w:r>
          </w:p>
        </w:tc>
      </w:tr>
      <w:tr w:rsidR="00A05BDD" w:rsidRPr="00720D9E" w:rsidTr="00A05BDD">
        <w:trPr>
          <w:trHeight w:val="144"/>
        </w:trPr>
        <w:tc>
          <w:tcPr>
            <w:tcW w:w="1045" w:type="dxa"/>
            <w:vMerge/>
            <w:shd w:val="clear" w:color="auto" w:fill="auto"/>
            <w:vAlign w:val="center"/>
          </w:tcPr>
          <w:p w:rsidR="00A05BDD" w:rsidRPr="00720D9E" w:rsidRDefault="00A05BDD" w:rsidP="006253CE">
            <w:pPr>
              <w:spacing w:line="240" w:lineRule="auto"/>
              <w:jc w:val="center"/>
              <w:rPr>
                <w:rFonts w:ascii="Arial" w:hAnsi="Arial"/>
                <w:sz w:val="20"/>
                <w:szCs w:val="20"/>
              </w:rPr>
            </w:pPr>
          </w:p>
        </w:tc>
        <w:tc>
          <w:tcPr>
            <w:tcW w:w="3183" w:type="dxa"/>
            <w:vAlign w:val="center"/>
          </w:tcPr>
          <w:p w:rsidR="00A05BDD" w:rsidRPr="00720D9E" w:rsidRDefault="00A05BDD" w:rsidP="006253CE">
            <w:pPr>
              <w:spacing w:line="240" w:lineRule="auto"/>
              <w:rPr>
                <w:rFonts w:ascii="Arial" w:hAnsi="Arial"/>
                <w:sz w:val="20"/>
                <w:szCs w:val="20"/>
              </w:rPr>
            </w:pPr>
            <w:r w:rsidRPr="00720D9E">
              <w:rPr>
                <w:rFonts w:ascii="Arial" w:hAnsi="Arial" w:cs="Arial"/>
                <w:sz w:val="20"/>
                <w:szCs w:val="20"/>
              </w:rPr>
              <w:t>Fugitive emissions  from well drilling and gas well completion</w:t>
            </w:r>
          </w:p>
        </w:tc>
        <w:tc>
          <w:tcPr>
            <w:tcW w:w="1114" w:type="dxa"/>
            <w:vAlign w:val="center"/>
          </w:tcPr>
          <w:p w:rsidR="00A05BDD" w:rsidRPr="00720D9E" w:rsidRDefault="00A05BDD" w:rsidP="006253CE">
            <w:pPr>
              <w:spacing w:line="240" w:lineRule="auto"/>
              <w:jc w:val="center"/>
              <w:rPr>
                <w:rFonts w:ascii="Arial" w:hAnsi="Arial"/>
                <w:sz w:val="20"/>
                <w:szCs w:val="20"/>
                <w:lang w:val="en-GB"/>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shd w:val="clear" w:color="auto" w:fill="auto"/>
            <w:vAlign w:val="center"/>
          </w:tcPr>
          <w:p w:rsidR="00A05BDD" w:rsidRPr="00720D9E" w:rsidRDefault="00A05BDD" w:rsidP="006253CE">
            <w:pPr>
              <w:spacing w:line="240" w:lineRule="auto"/>
              <w:jc w:val="center"/>
              <w:rPr>
                <w:rFonts w:ascii="Arial" w:hAnsi="Arial"/>
                <w:sz w:val="20"/>
                <w:szCs w:val="20"/>
              </w:rPr>
            </w:pPr>
            <w:r w:rsidRPr="00720D9E">
              <w:rPr>
                <w:rFonts w:ascii="Arial" w:hAnsi="Arial" w:cs="Arial"/>
                <w:sz w:val="20"/>
                <w:szCs w:val="20"/>
              </w:rPr>
              <w:t>n/a</w:t>
            </w:r>
          </w:p>
        </w:tc>
        <w:tc>
          <w:tcPr>
            <w:tcW w:w="2046" w:type="dxa"/>
            <w:vAlign w:val="center"/>
          </w:tcPr>
          <w:p w:rsidR="00A05BDD" w:rsidRPr="00720D9E" w:rsidRDefault="00A05BDD" w:rsidP="006253CE">
            <w:pPr>
              <w:spacing w:line="240" w:lineRule="auto"/>
              <w:jc w:val="center"/>
              <w:rPr>
                <w:rFonts w:ascii="Arial" w:hAnsi="Arial"/>
                <w:sz w:val="20"/>
                <w:szCs w:val="20"/>
              </w:rPr>
            </w:pPr>
            <w:r w:rsidRPr="00720D9E">
              <w:rPr>
                <w:rFonts w:ascii="Arial" w:hAnsi="Arial" w:cs="Arial"/>
                <w:sz w:val="20"/>
                <w:szCs w:val="20"/>
              </w:rPr>
              <w:t>Excluded</w:t>
            </w:r>
          </w:p>
        </w:tc>
      </w:tr>
      <w:tr w:rsidR="00A05BDD" w:rsidRPr="00720D9E" w:rsidTr="00A05BDD">
        <w:trPr>
          <w:trHeight w:val="306"/>
        </w:trPr>
        <w:tc>
          <w:tcPr>
            <w:tcW w:w="1045" w:type="dxa"/>
            <w:vMerge w:val="restart"/>
            <w:shd w:val="clear" w:color="auto" w:fill="auto"/>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rPr>
              <w:t>11</w:t>
            </w:r>
          </w:p>
        </w:tc>
        <w:tc>
          <w:tcPr>
            <w:tcW w:w="3183" w:type="dxa"/>
            <w:vMerge w:val="restart"/>
            <w:vAlign w:val="center"/>
          </w:tcPr>
          <w:p w:rsidR="00A05BDD" w:rsidRPr="00720D9E" w:rsidRDefault="00A05BDD" w:rsidP="004E26DC">
            <w:pPr>
              <w:spacing w:line="240" w:lineRule="auto"/>
              <w:rPr>
                <w:rFonts w:ascii="Arial" w:hAnsi="Arial" w:cs="Arial"/>
                <w:sz w:val="20"/>
                <w:szCs w:val="20"/>
              </w:rPr>
            </w:pPr>
            <w:r w:rsidRPr="00720D9E">
              <w:rPr>
                <w:rFonts w:ascii="Arial" w:hAnsi="Arial" w:cs="Arial"/>
                <w:sz w:val="20"/>
                <w:szCs w:val="20"/>
              </w:rPr>
              <w:t>Emission reductions resulting from the displacement of fossil fuels or electricity</w:t>
            </w:r>
          </w:p>
        </w:tc>
        <w:tc>
          <w:tcPr>
            <w:tcW w:w="1114" w:type="dxa"/>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lang w:val="en-GB"/>
              </w:rPr>
              <w:t>CO</w:t>
            </w:r>
            <w:r w:rsidRPr="00720D9E">
              <w:rPr>
                <w:rFonts w:ascii="Arial" w:hAnsi="Arial" w:cs="Arial"/>
                <w:sz w:val="20"/>
                <w:szCs w:val="20"/>
                <w:vertAlign w:val="subscript"/>
                <w:lang w:val="en-GB"/>
              </w:rPr>
              <w:t>2</w:t>
            </w:r>
          </w:p>
        </w:tc>
        <w:tc>
          <w:tcPr>
            <w:tcW w:w="2046" w:type="dxa"/>
            <w:shd w:val="clear" w:color="auto" w:fill="auto"/>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rPr>
              <w:t>n/a</w:t>
            </w:r>
          </w:p>
        </w:tc>
        <w:tc>
          <w:tcPr>
            <w:tcW w:w="2046" w:type="dxa"/>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trHeight w:val="351"/>
        </w:trPr>
        <w:tc>
          <w:tcPr>
            <w:tcW w:w="1045" w:type="dxa"/>
            <w:vMerge/>
            <w:shd w:val="clear" w:color="auto" w:fill="auto"/>
            <w:vAlign w:val="center"/>
          </w:tcPr>
          <w:p w:rsidR="00A05BDD" w:rsidRPr="00720D9E" w:rsidRDefault="00A05BDD" w:rsidP="004E26DC">
            <w:pPr>
              <w:spacing w:line="240" w:lineRule="auto"/>
              <w:jc w:val="center"/>
              <w:rPr>
                <w:sz w:val="20"/>
                <w:szCs w:val="20"/>
              </w:rPr>
            </w:pPr>
          </w:p>
        </w:tc>
        <w:tc>
          <w:tcPr>
            <w:tcW w:w="3183" w:type="dxa"/>
            <w:vMerge/>
            <w:vAlign w:val="center"/>
          </w:tcPr>
          <w:p w:rsidR="00A05BDD" w:rsidRPr="00720D9E" w:rsidRDefault="00A05BDD" w:rsidP="004E26DC">
            <w:pPr>
              <w:spacing w:line="240" w:lineRule="auto"/>
              <w:rPr>
                <w:sz w:val="20"/>
                <w:szCs w:val="20"/>
              </w:rPr>
            </w:pPr>
          </w:p>
        </w:tc>
        <w:tc>
          <w:tcPr>
            <w:tcW w:w="1114" w:type="dxa"/>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lang w:val="en-GB"/>
              </w:rPr>
              <w:t>CH</w:t>
            </w:r>
            <w:r w:rsidRPr="00720D9E">
              <w:rPr>
                <w:rFonts w:ascii="Arial" w:hAnsi="Arial" w:cs="Arial"/>
                <w:sz w:val="20"/>
                <w:szCs w:val="20"/>
                <w:vertAlign w:val="subscript"/>
                <w:lang w:val="en-GB"/>
              </w:rPr>
              <w:t>4</w:t>
            </w:r>
          </w:p>
        </w:tc>
        <w:tc>
          <w:tcPr>
            <w:tcW w:w="2046" w:type="dxa"/>
            <w:shd w:val="clear" w:color="auto" w:fill="auto"/>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rPr>
              <w:t>n/a</w:t>
            </w:r>
          </w:p>
        </w:tc>
        <w:tc>
          <w:tcPr>
            <w:tcW w:w="2046" w:type="dxa"/>
            <w:vAlign w:val="center"/>
          </w:tcPr>
          <w:p w:rsidR="00A05BDD" w:rsidRPr="00720D9E" w:rsidRDefault="00A05BDD" w:rsidP="004E26DC">
            <w:pPr>
              <w:spacing w:line="240" w:lineRule="auto"/>
              <w:jc w:val="center"/>
              <w:rPr>
                <w:rFonts w:ascii="Arial" w:hAnsi="Arial" w:cs="Arial"/>
                <w:sz w:val="20"/>
                <w:szCs w:val="20"/>
              </w:rPr>
            </w:pPr>
            <w:r w:rsidRPr="00720D9E">
              <w:rPr>
                <w:rFonts w:ascii="Arial" w:hAnsi="Arial" w:cs="Arial"/>
                <w:sz w:val="20"/>
                <w:szCs w:val="20"/>
              </w:rPr>
              <w:t>Excluded</w:t>
            </w:r>
          </w:p>
        </w:tc>
      </w:tr>
      <w:tr w:rsidR="00A05BDD" w:rsidRPr="00720D9E" w:rsidTr="00A05BDD">
        <w:trPr>
          <w:trHeight w:val="144"/>
        </w:trPr>
        <w:tc>
          <w:tcPr>
            <w:tcW w:w="1045" w:type="dxa"/>
            <w:vMerge/>
            <w:shd w:val="clear" w:color="auto" w:fill="auto"/>
            <w:vAlign w:val="center"/>
          </w:tcPr>
          <w:p w:rsidR="00A05BDD" w:rsidRPr="00720D9E" w:rsidRDefault="00A05BDD" w:rsidP="004E26DC">
            <w:pPr>
              <w:spacing w:line="240" w:lineRule="auto"/>
              <w:jc w:val="center"/>
              <w:rPr>
                <w:sz w:val="20"/>
                <w:szCs w:val="20"/>
              </w:rPr>
            </w:pPr>
          </w:p>
        </w:tc>
        <w:tc>
          <w:tcPr>
            <w:tcW w:w="3183" w:type="dxa"/>
            <w:vMerge/>
            <w:vAlign w:val="center"/>
          </w:tcPr>
          <w:p w:rsidR="00A05BDD" w:rsidRPr="00720D9E" w:rsidRDefault="00A05BDD" w:rsidP="004E26DC">
            <w:pPr>
              <w:spacing w:line="240" w:lineRule="auto"/>
              <w:rPr>
                <w:sz w:val="20"/>
                <w:szCs w:val="20"/>
              </w:rPr>
            </w:pPr>
          </w:p>
        </w:tc>
        <w:tc>
          <w:tcPr>
            <w:tcW w:w="1114" w:type="dxa"/>
            <w:vAlign w:val="center"/>
          </w:tcPr>
          <w:p w:rsidR="00A05BDD" w:rsidRPr="00720D9E" w:rsidRDefault="00A05BDD" w:rsidP="004E26DC">
            <w:pPr>
              <w:spacing w:line="240" w:lineRule="auto"/>
              <w:jc w:val="center"/>
              <w:rPr>
                <w:sz w:val="20"/>
                <w:szCs w:val="20"/>
                <w:lang w:val="en-GB"/>
              </w:rPr>
            </w:pPr>
            <w:r w:rsidRPr="00720D9E">
              <w:rPr>
                <w:rFonts w:ascii="Arial" w:hAnsi="Arial" w:cs="Arial"/>
                <w:sz w:val="20"/>
                <w:szCs w:val="20"/>
                <w:lang w:val="en-GB"/>
              </w:rPr>
              <w:t>N</w:t>
            </w:r>
            <w:r w:rsidRPr="00720D9E">
              <w:rPr>
                <w:rFonts w:ascii="Arial" w:hAnsi="Arial" w:cs="Arial"/>
                <w:sz w:val="20"/>
                <w:szCs w:val="20"/>
                <w:vertAlign w:val="subscript"/>
                <w:lang w:val="en-GB"/>
              </w:rPr>
              <w:t>2</w:t>
            </w:r>
            <w:r w:rsidRPr="00720D9E">
              <w:rPr>
                <w:rFonts w:ascii="Arial" w:hAnsi="Arial" w:cs="Arial"/>
                <w:sz w:val="20"/>
                <w:szCs w:val="20"/>
                <w:lang w:val="en-GB"/>
              </w:rPr>
              <w:t>O</w:t>
            </w:r>
          </w:p>
        </w:tc>
        <w:tc>
          <w:tcPr>
            <w:tcW w:w="2046" w:type="dxa"/>
            <w:shd w:val="clear" w:color="auto" w:fill="auto"/>
            <w:vAlign w:val="center"/>
          </w:tcPr>
          <w:p w:rsidR="00A05BDD" w:rsidRPr="00720D9E" w:rsidRDefault="00A05BDD" w:rsidP="004E26DC">
            <w:pPr>
              <w:spacing w:line="240" w:lineRule="auto"/>
              <w:jc w:val="center"/>
              <w:rPr>
                <w:sz w:val="20"/>
                <w:szCs w:val="20"/>
              </w:rPr>
            </w:pPr>
            <w:r w:rsidRPr="00720D9E">
              <w:rPr>
                <w:rFonts w:ascii="Arial" w:hAnsi="Arial" w:cs="Arial"/>
                <w:sz w:val="20"/>
                <w:szCs w:val="20"/>
              </w:rPr>
              <w:t>n/a</w:t>
            </w:r>
          </w:p>
        </w:tc>
        <w:tc>
          <w:tcPr>
            <w:tcW w:w="2046" w:type="dxa"/>
            <w:vAlign w:val="center"/>
          </w:tcPr>
          <w:p w:rsidR="00A05BDD" w:rsidRPr="00720D9E" w:rsidRDefault="00A05BDD" w:rsidP="004E26DC">
            <w:pPr>
              <w:spacing w:line="240" w:lineRule="auto"/>
              <w:jc w:val="center"/>
              <w:rPr>
                <w:sz w:val="20"/>
                <w:szCs w:val="20"/>
              </w:rPr>
            </w:pPr>
            <w:r w:rsidRPr="00720D9E">
              <w:rPr>
                <w:rFonts w:ascii="Arial" w:hAnsi="Arial" w:cs="Arial"/>
                <w:sz w:val="20"/>
                <w:szCs w:val="20"/>
              </w:rPr>
              <w:t>Excluded</w:t>
            </w:r>
          </w:p>
        </w:tc>
      </w:tr>
    </w:tbl>
    <w:p w:rsidR="002B20FD" w:rsidRPr="00720D9E" w:rsidRDefault="002B20FD" w:rsidP="002B20FD"/>
    <w:p w:rsidR="00C926F7" w:rsidRPr="00720D9E" w:rsidRDefault="00D25B46" w:rsidP="00C926F7">
      <w:pPr>
        <w:pStyle w:val="Heading1"/>
      </w:pPr>
      <w:bookmarkStart w:id="33" w:name="_Toc364243207"/>
      <w:r w:rsidRPr="00720D9E">
        <w:t>Chapter</w:t>
      </w:r>
      <w:r w:rsidR="00C926F7" w:rsidRPr="00720D9E">
        <w:t xml:space="preserve"> </w:t>
      </w:r>
      <w:r w:rsidR="006F24A1" w:rsidRPr="00720D9E">
        <w:t>5</w:t>
      </w:r>
      <w:r w:rsidR="00C926F7" w:rsidRPr="00720D9E">
        <w:t xml:space="preserve">. </w:t>
      </w:r>
      <w:r w:rsidR="0056242F" w:rsidRPr="00720D9E">
        <w:t xml:space="preserve">Quantifying </w:t>
      </w:r>
      <w:r w:rsidR="00C926F7" w:rsidRPr="00720D9E">
        <w:t xml:space="preserve">GHG Emission Reductions </w:t>
      </w:r>
      <w:r w:rsidR="0056242F" w:rsidRPr="00720D9E">
        <w:t>– Q</w:t>
      </w:r>
      <w:r w:rsidR="00C926F7" w:rsidRPr="00720D9E">
        <w:t>uantification Methodology</w:t>
      </w:r>
      <w:bookmarkEnd w:id="33"/>
    </w:p>
    <w:p w:rsidR="00C926F7" w:rsidRPr="00720D9E" w:rsidRDefault="00C926F7" w:rsidP="00C926F7">
      <w:pPr>
        <w:pStyle w:val="ListParagraph"/>
        <w:numPr>
          <w:ilvl w:val="0"/>
          <w:numId w:val="26"/>
        </w:numPr>
        <w:ind w:hanging="720"/>
      </w:pPr>
      <w:r w:rsidRPr="00720D9E">
        <w:t xml:space="preserve">GHG emission reductions from an MMC project are quantified by comparing actual project emissions to project baseline emissions at the mine. </w:t>
      </w:r>
    </w:p>
    <w:p w:rsidR="00C926F7" w:rsidRPr="00720D9E" w:rsidRDefault="004E7024" w:rsidP="00C926F7">
      <w:pPr>
        <w:pStyle w:val="ListParagraph"/>
        <w:numPr>
          <w:ilvl w:val="0"/>
          <w:numId w:val="26"/>
        </w:numPr>
        <w:ind w:hanging="720"/>
      </w:pPr>
      <w:r w:rsidRPr="00720D9E">
        <w:t xml:space="preserve">Offset Project Operators </w:t>
      </w:r>
      <w:r w:rsidR="00C926F7" w:rsidRPr="00720D9E">
        <w:t xml:space="preserve">and </w:t>
      </w:r>
      <w:r w:rsidRPr="00720D9E">
        <w:t>Authorized Project Designee</w:t>
      </w:r>
      <w:r w:rsidR="00C926F7" w:rsidRPr="00720D9E">
        <w:t xml:space="preserve">s </w:t>
      </w:r>
      <w:r w:rsidR="00523499" w:rsidRPr="00720D9E">
        <w:t>must</w:t>
      </w:r>
      <w:r w:rsidR="00C926F7" w:rsidRPr="00720D9E">
        <w:t xml:space="preserve"> use the </w:t>
      </w:r>
      <w:r w:rsidR="00361FF3" w:rsidRPr="00720D9E">
        <w:t xml:space="preserve">activity </w:t>
      </w:r>
      <w:r w:rsidR="00C926F7" w:rsidRPr="00720D9E">
        <w:t xml:space="preserve">type-specific calculation methods provided in this protocol to determine baseline and project GHG emissions. </w:t>
      </w:r>
    </w:p>
    <w:p w:rsidR="00C926F7" w:rsidRPr="00720D9E" w:rsidRDefault="00C926F7" w:rsidP="00C926F7">
      <w:pPr>
        <w:pStyle w:val="ListParagraph"/>
        <w:numPr>
          <w:ilvl w:val="0"/>
          <w:numId w:val="26"/>
        </w:numPr>
        <w:ind w:hanging="720"/>
      </w:pPr>
      <w:r w:rsidRPr="00720D9E">
        <w:t>GHG emission reductions must be quantified on at least an annual basis. The length of time over which GHG emission reductions are quantified is called the “reporting period.”</w:t>
      </w:r>
    </w:p>
    <w:p w:rsidR="00C926F7" w:rsidRPr="00720D9E" w:rsidRDefault="00C926F7" w:rsidP="00C926F7">
      <w:pPr>
        <w:pStyle w:val="ListParagraph"/>
        <w:numPr>
          <w:ilvl w:val="0"/>
          <w:numId w:val="26"/>
        </w:numPr>
        <w:ind w:hanging="720"/>
      </w:pPr>
      <w:r w:rsidRPr="00720D9E">
        <w:t xml:space="preserve">Measurements used to quantify emission reductions </w:t>
      </w:r>
      <w:r w:rsidR="00523499" w:rsidRPr="00720D9E">
        <w:t>must</w:t>
      </w:r>
      <w:r w:rsidRPr="00720D9E">
        <w:t xml:space="preserve"> be corrected to standard conditions of 60°F and </w:t>
      </w:r>
      <w:r w:rsidR="00361FF3" w:rsidRPr="00720D9E">
        <w:t>14.696 pounds per square inch (</w:t>
      </w:r>
      <w:r w:rsidRPr="00720D9E">
        <w:t>1 atm</w:t>
      </w:r>
      <w:r w:rsidR="00361FF3" w:rsidRPr="00720D9E">
        <w:t>)</w:t>
      </w:r>
      <w:r w:rsidRPr="00720D9E">
        <w:t>.</w:t>
      </w:r>
    </w:p>
    <w:p w:rsidR="00C926F7" w:rsidRPr="00720D9E" w:rsidRDefault="00C926F7" w:rsidP="00C926F7">
      <w:pPr>
        <w:pStyle w:val="ListParagraph"/>
        <w:numPr>
          <w:ilvl w:val="0"/>
          <w:numId w:val="26"/>
        </w:numPr>
        <w:ind w:hanging="720"/>
      </w:pPr>
      <w:r w:rsidRPr="00720D9E">
        <w:t xml:space="preserve">Global warming potential values </w:t>
      </w:r>
      <w:r w:rsidR="00523499" w:rsidRPr="00720D9E">
        <w:t>must</w:t>
      </w:r>
      <w:r w:rsidRPr="00720D9E">
        <w:t xml:space="preserve"> be determined consistent with the definition of Carbon Dioxide Equivalent in </w:t>
      </w:r>
      <w:r w:rsidR="00CA632B" w:rsidRPr="00720D9E">
        <w:t xml:space="preserve">MRR </w:t>
      </w:r>
      <w:r w:rsidRPr="00720D9E">
        <w:t>section 95102(a).</w:t>
      </w:r>
    </w:p>
    <w:p w:rsidR="00C926F7" w:rsidRPr="00720D9E" w:rsidRDefault="00C926F7" w:rsidP="00C926F7">
      <w:pPr>
        <w:pStyle w:val="Heading2"/>
      </w:pPr>
      <w:bookmarkStart w:id="34" w:name="_Toc364243208"/>
      <w:r w:rsidRPr="00720D9E">
        <w:t xml:space="preserve">§ </w:t>
      </w:r>
      <w:r w:rsidR="00926183" w:rsidRPr="00720D9E">
        <w:t>5.</w:t>
      </w:r>
      <w:r w:rsidRPr="00720D9E">
        <w:t xml:space="preserve">1. Active Underground Ventilation Air Methane </w:t>
      </w:r>
      <w:r w:rsidR="00361FF3" w:rsidRPr="00720D9E">
        <w:t>Activities</w:t>
      </w:r>
      <w:r w:rsidRPr="00720D9E">
        <w:t>.</w:t>
      </w:r>
      <w:bookmarkEnd w:id="34"/>
    </w:p>
    <w:p w:rsidR="00C926F7" w:rsidRPr="00720D9E" w:rsidRDefault="00C926F7" w:rsidP="00C926F7">
      <w:pPr>
        <w:pStyle w:val="ListParagraph"/>
        <w:numPr>
          <w:ilvl w:val="0"/>
          <w:numId w:val="27"/>
        </w:numPr>
        <w:ind w:hanging="720"/>
      </w:pPr>
      <w:r w:rsidRPr="00720D9E">
        <w:t>GHG emission reductions for a reporting period (ER) must be quantified by subtracting the project emissions for that reporting period (PE</w:t>
      </w:r>
      <w:r w:rsidR="00A45AB1" w:rsidRPr="00720D9E">
        <w:t>)</w:t>
      </w:r>
      <w:r w:rsidRPr="00720D9E">
        <w:t xml:space="preserve"> from the baseline emissions for that reporting period (BE) using </w:t>
      </w:r>
      <w:r w:rsidR="004842C4" w:rsidRPr="00720D9E">
        <w:t>Equation 5.</w:t>
      </w:r>
      <w:r w:rsidRPr="00720D9E">
        <w:t>1.</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1: GHG Emission Reductions</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ER = BE – PE</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ER</w:t>
      </w:r>
      <w:r w:rsidRPr="00720D9E">
        <w:tab/>
        <w:t>=</w:t>
      </w:r>
      <w:r w:rsidRPr="00720D9E">
        <w:tab/>
        <w:t>Emission reductions achieved by the project during the reporting period</w:t>
      </w:r>
      <w:r w:rsidR="00B35B71" w:rsidRPr="00720D9E">
        <w:t xml:space="preserve"> </w:t>
      </w:r>
      <w:r w:rsidRPr="00720D9E">
        <w:t>(tCO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tab/>
        <w:t>=</w:t>
      </w:r>
      <w:r w:rsidRPr="00720D9E">
        <w:tab/>
        <w:t>Baseline emissions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tab/>
        <w:t>=</w:t>
      </w:r>
      <w:r w:rsidRPr="00720D9E">
        <w:tab/>
        <w:t>Project emissions during the reporting period (tCO</w:t>
      </w:r>
      <w:r w:rsidRPr="00720D9E">
        <w:rPr>
          <w:vertAlign w:val="subscript"/>
        </w:rPr>
        <w:t>2</w:t>
      </w:r>
      <w:r w:rsidRPr="00720D9E">
        <w:t>e)</w:t>
      </w:r>
    </w:p>
    <w:p w:rsidR="00C926F7" w:rsidRPr="00720D9E" w:rsidRDefault="00C926F7" w:rsidP="00C926F7">
      <w:pPr>
        <w:pStyle w:val="Heading3"/>
      </w:pPr>
      <w:bookmarkStart w:id="35" w:name="_Toc364243209"/>
      <w:r w:rsidRPr="00720D9E">
        <w:t xml:space="preserve">§ </w:t>
      </w:r>
      <w:r w:rsidR="00645452" w:rsidRPr="00720D9E">
        <w:t>5</w:t>
      </w:r>
      <w:r w:rsidRPr="00720D9E">
        <w:t>.1</w:t>
      </w:r>
      <w:r w:rsidR="00645452" w:rsidRPr="00720D9E">
        <w:t>.1.</w:t>
      </w:r>
      <w:r w:rsidRPr="00720D9E">
        <w:t xml:space="preserve"> Quantifying Baseline Emissions</w:t>
      </w:r>
      <w:bookmarkEnd w:id="35"/>
    </w:p>
    <w:p w:rsidR="00C926F7" w:rsidRPr="00720D9E" w:rsidRDefault="00C926F7" w:rsidP="00DB4B17">
      <w:pPr>
        <w:pStyle w:val="ListParagraph"/>
        <w:numPr>
          <w:ilvl w:val="0"/>
          <w:numId w:val="62"/>
        </w:numPr>
        <w:ind w:hanging="720"/>
      </w:pPr>
      <w:r w:rsidRPr="00720D9E">
        <w:t xml:space="preserve">Baseline emissions for a reporting period (BE) must be estimated by summing the baseline emissions for all SSRs identified as included in the baseline in Table </w:t>
      </w:r>
      <w:r w:rsidR="00106016" w:rsidRPr="00720D9E">
        <w:t>4</w:t>
      </w:r>
      <w:r w:rsidRPr="00720D9E">
        <w:t xml:space="preserve">.1 and </w:t>
      </w:r>
      <w:r w:rsidR="00B35B71" w:rsidRPr="00720D9E">
        <w:t xml:space="preserve">by </w:t>
      </w:r>
      <w:r w:rsidRPr="00720D9E">
        <w:t xml:space="preserve">using </w:t>
      </w:r>
      <w:r w:rsidR="004842C4" w:rsidRPr="00720D9E">
        <w:t>Equation 5.</w:t>
      </w:r>
      <w:r w:rsidRPr="00720D9E">
        <w:t>2.</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lastRenderedPageBreak/>
        <w:t>Equation 5.</w:t>
      </w:r>
      <w:r w:rsidR="00C926F7" w:rsidRPr="00720D9E">
        <w:t>2: Baseline Emissions</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BE = BE</w:t>
      </w:r>
      <w:r w:rsidR="00B35B71" w:rsidRPr="00720D9E">
        <w:rPr>
          <w:i/>
          <w:vertAlign w:val="subscript"/>
        </w:rPr>
        <w:t>MD</w:t>
      </w:r>
      <w:r w:rsidRPr="00720D9E">
        <w:rPr>
          <w:i/>
        </w:rPr>
        <w:t xml:space="preserve"> + BE</w:t>
      </w:r>
      <w:r w:rsidR="00B35B71" w:rsidRPr="00720D9E">
        <w:rPr>
          <w:i/>
          <w:vertAlign w:val="subscript"/>
        </w:rPr>
        <w:t>MR</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tab/>
        <w:t>=</w:t>
      </w:r>
      <w:r w:rsidRPr="00720D9E">
        <w:tab/>
        <w:t>Baseline emissions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00B35B71" w:rsidRPr="00720D9E">
        <w:rPr>
          <w:i/>
          <w:vertAlign w:val="subscript"/>
        </w:rPr>
        <w:t>MD</w:t>
      </w:r>
      <w:r w:rsidRPr="00720D9E">
        <w:tab/>
        <w:t>=</w:t>
      </w:r>
      <w:r w:rsidRPr="00720D9E">
        <w:tab/>
        <w:t>Baseline emissions from destruction of methane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00B35B71" w:rsidRPr="00720D9E">
        <w:rPr>
          <w:i/>
          <w:vertAlign w:val="subscript"/>
        </w:rPr>
        <w:t>MR</w:t>
      </w:r>
      <w:r w:rsidRPr="00720D9E">
        <w:tab/>
        <w:t>=</w:t>
      </w:r>
      <w:r w:rsidRPr="00720D9E">
        <w:tab/>
        <w:t>Baseline emissions from release of methane into the atmosphere avoided by the project during the reporting period (tCO</w:t>
      </w:r>
      <w:r w:rsidRPr="00720D9E">
        <w:rPr>
          <w:vertAlign w:val="subscript"/>
        </w:rPr>
        <w:t>2</w:t>
      </w:r>
      <w:r w:rsidRPr="00720D9E">
        <w:t>e)</w:t>
      </w:r>
    </w:p>
    <w:p w:rsidR="00C926F7" w:rsidRPr="00720D9E" w:rsidRDefault="00C926F7" w:rsidP="00DB4B17">
      <w:pPr>
        <w:pStyle w:val="ListParagraph"/>
        <w:numPr>
          <w:ilvl w:val="0"/>
          <w:numId w:val="62"/>
        </w:numPr>
        <w:ind w:hanging="720"/>
      </w:pPr>
      <w:r w:rsidRPr="00720D9E">
        <w:t>Baseline emissions from the destruction of methane (BE</w:t>
      </w:r>
      <w:r w:rsidR="00B35B71" w:rsidRPr="00720D9E">
        <w:rPr>
          <w:vertAlign w:val="subscript"/>
        </w:rPr>
        <w:t>MD</w:t>
      </w:r>
      <w:r w:rsidRPr="00720D9E">
        <w:t xml:space="preserve">) must be quantified using </w:t>
      </w:r>
      <w:r w:rsidR="004842C4" w:rsidRPr="00720D9E">
        <w:t>Equation 5.</w:t>
      </w:r>
      <w:r w:rsidRPr="00720D9E">
        <w:t xml:space="preserve">3. </w:t>
      </w:r>
    </w:p>
    <w:p w:rsidR="00E021AB" w:rsidRPr="00720D9E" w:rsidRDefault="00E021AB" w:rsidP="00E021AB">
      <w:pPr>
        <w:pStyle w:val="ListParagraph"/>
        <w:numPr>
          <w:ilvl w:val="0"/>
          <w:numId w:val="62"/>
        </w:numPr>
        <w:ind w:hanging="720"/>
      </w:pPr>
      <w:r w:rsidRPr="00720D9E">
        <w:t>BE</w:t>
      </w:r>
      <w:r w:rsidRPr="00720D9E">
        <w:rPr>
          <w:vertAlign w:val="subscript"/>
        </w:rPr>
        <w:t>MD</w:t>
      </w:r>
      <w:r w:rsidRPr="00720D9E">
        <w:t xml:space="preserve"> must include the estimated CO</w:t>
      </w:r>
      <w:r w:rsidRPr="00720D9E">
        <w:rPr>
          <w:vertAlign w:val="subscript"/>
        </w:rPr>
        <w:t>2</w:t>
      </w:r>
      <w:r w:rsidRPr="00720D9E">
        <w:t xml:space="preserve"> emissions from the destruction of VAM by non-qualifying devices.</w:t>
      </w:r>
    </w:p>
    <w:p w:rsidR="00642AF5" w:rsidRPr="00720D9E" w:rsidRDefault="00642AF5" w:rsidP="00DB4B17">
      <w:pPr>
        <w:pStyle w:val="ListParagraph"/>
        <w:numPr>
          <w:ilvl w:val="0"/>
          <w:numId w:val="62"/>
        </w:numPr>
        <w:ind w:hanging="720"/>
      </w:pPr>
      <w:r w:rsidRPr="00720D9E">
        <w:t xml:space="preserve">The volume of VAM destroyed in the baseline </w:t>
      </w:r>
      <w:r w:rsidR="00B35B71" w:rsidRPr="00720D9E">
        <w:t>must</w:t>
      </w:r>
      <w:r w:rsidRPr="00720D9E">
        <w:t xml:space="preserve"> be the determined by calculating and comparing:</w:t>
      </w:r>
    </w:p>
    <w:p w:rsidR="00B35B71" w:rsidRPr="00720D9E" w:rsidRDefault="00642AF5" w:rsidP="00DB4B17">
      <w:pPr>
        <w:pStyle w:val="ListParagraph"/>
        <w:numPr>
          <w:ilvl w:val="1"/>
          <w:numId w:val="62"/>
        </w:numPr>
        <w:ind w:hanging="720"/>
      </w:pPr>
      <w:r w:rsidRPr="00720D9E">
        <w:t>The volume of VAM destroyed by non-qualifying devices during the reporting period</w:t>
      </w:r>
      <w:r w:rsidR="00B2365E" w:rsidRPr="00720D9E">
        <w:t>, adjusted for temperature a</w:t>
      </w:r>
      <w:r w:rsidR="00850511" w:rsidRPr="00720D9E">
        <w:t xml:space="preserve">nd pressure, </w:t>
      </w:r>
      <w:r w:rsidR="00FE2A32" w:rsidRPr="00720D9E">
        <w:t>if applicable</w:t>
      </w:r>
      <w:r w:rsidR="00850511" w:rsidRPr="00720D9E">
        <w:t xml:space="preserve">, using </w:t>
      </w:r>
      <w:r w:rsidR="004842C4" w:rsidRPr="00720D9E">
        <w:t>Equation 5.</w:t>
      </w:r>
      <w:r w:rsidR="00420675">
        <w:t>10</w:t>
      </w:r>
      <w:r w:rsidRPr="00720D9E">
        <w:t xml:space="preserve">; and </w:t>
      </w:r>
    </w:p>
    <w:p w:rsidR="00642AF5" w:rsidRPr="00720D9E" w:rsidRDefault="00642AF5" w:rsidP="00DB4B17">
      <w:pPr>
        <w:pStyle w:val="ListParagraph"/>
        <w:numPr>
          <w:ilvl w:val="1"/>
          <w:numId w:val="62"/>
        </w:numPr>
        <w:ind w:hanging="720"/>
      </w:pPr>
      <w:r w:rsidRPr="00720D9E">
        <w:t>The volume of VAM destroyed by non-qualifying devices during the three-year period prior to</w:t>
      </w:r>
      <w:r w:rsidR="004447DE" w:rsidRPr="00720D9E">
        <w:t xml:space="preserve"> offset</w:t>
      </w:r>
      <w:r w:rsidRPr="00720D9E">
        <w:t xml:space="preserve"> project commencement (or during the length of time the devices are operational, if less than three years), </w:t>
      </w:r>
      <w:r w:rsidR="00B2365E" w:rsidRPr="00720D9E">
        <w:t>adjusted for temperature a</w:t>
      </w:r>
      <w:r w:rsidR="00850511" w:rsidRPr="00720D9E">
        <w:t xml:space="preserve">nd pressure, </w:t>
      </w:r>
      <w:r w:rsidR="00FE2A32" w:rsidRPr="00720D9E">
        <w:t>if applicable</w:t>
      </w:r>
      <w:r w:rsidR="00850511" w:rsidRPr="00720D9E">
        <w:t xml:space="preserve">, using </w:t>
      </w:r>
      <w:r w:rsidR="004842C4" w:rsidRPr="00720D9E">
        <w:t>Equation 5.</w:t>
      </w:r>
      <w:r w:rsidR="00420675">
        <w:t>10</w:t>
      </w:r>
      <w:r w:rsidR="00B2365E" w:rsidRPr="00720D9E">
        <w:t xml:space="preserve"> and </w:t>
      </w:r>
      <w:r w:rsidRPr="00720D9E">
        <w:t>averaged according to the length of the reporting period.</w:t>
      </w:r>
    </w:p>
    <w:p w:rsidR="003B2BE3" w:rsidRPr="00720D9E" w:rsidRDefault="00DF752C" w:rsidP="00DB4B17">
      <w:pPr>
        <w:pStyle w:val="ListParagraph"/>
        <w:numPr>
          <w:ilvl w:val="0"/>
          <w:numId w:val="62"/>
        </w:numPr>
        <w:ind w:hanging="720"/>
      </w:pPr>
      <w:r w:rsidRPr="00720D9E">
        <w:t xml:space="preserve">The larger of the two above quantities must be used for </w:t>
      </w:r>
      <w:r w:rsidRPr="00720D9E">
        <w:rPr>
          <w:i/>
        </w:rPr>
        <w:t>VAM</w:t>
      </w:r>
      <w:r w:rsidR="00B35B71" w:rsidRPr="00720D9E">
        <w:rPr>
          <w:i/>
          <w:vertAlign w:val="subscript"/>
        </w:rPr>
        <w:t>B,i</w:t>
      </w:r>
      <w:r w:rsidRPr="00720D9E">
        <w:rPr>
          <w:i/>
          <w:vertAlign w:val="subscript"/>
        </w:rPr>
        <w:t xml:space="preserve">  </w:t>
      </w:r>
      <w:r w:rsidRPr="00720D9E">
        <w:t xml:space="preserve">in </w:t>
      </w:r>
      <w:r w:rsidR="004842C4" w:rsidRPr="00720D9E">
        <w:t>Equation 5.</w:t>
      </w:r>
      <w:r w:rsidRPr="00720D9E">
        <w:t>3.</w:t>
      </w:r>
    </w:p>
    <w:p w:rsidR="00DF752C" w:rsidRPr="00720D9E" w:rsidRDefault="00DF752C" w:rsidP="00DB4B17">
      <w:pPr>
        <w:pStyle w:val="ListParagraph"/>
        <w:numPr>
          <w:ilvl w:val="0"/>
          <w:numId w:val="62"/>
        </w:numPr>
        <w:ind w:hanging="720"/>
      </w:pPr>
      <w:r w:rsidRPr="00720D9E">
        <w:t xml:space="preserve">For the purpose of baseline quantification, only non-qualifying devices that were operating during the year prior to </w:t>
      </w:r>
      <w:r w:rsidR="004447DE" w:rsidRPr="00720D9E">
        <w:t xml:space="preserve">offset </w:t>
      </w:r>
      <w:r w:rsidRPr="00720D9E">
        <w:t xml:space="preserve">project commencement should be taken into account. </w:t>
      </w:r>
    </w:p>
    <w:p w:rsidR="00C926F7" w:rsidRPr="00720D9E" w:rsidRDefault="00C926F7" w:rsidP="00DB4B17">
      <w:pPr>
        <w:pStyle w:val="ListParagraph"/>
        <w:numPr>
          <w:ilvl w:val="0"/>
          <w:numId w:val="62"/>
        </w:numPr>
        <w:ind w:hanging="720"/>
      </w:pPr>
      <w:r w:rsidRPr="00720D9E">
        <w:t>If there is no destruction of methane in the baseline, then BE</w:t>
      </w:r>
      <w:r w:rsidRPr="00720D9E">
        <w:rPr>
          <w:vertAlign w:val="subscript"/>
        </w:rPr>
        <w:t>MD</w:t>
      </w:r>
      <w:r w:rsidRPr="00720D9E">
        <w:t xml:space="preserve"> = 0.</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3: Baseline Emissions from Destruction of Methane</w:t>
      </w:r>
    </w:p>
    <w:p w:rsidR="00973BFB" w:rsidRPr="00720D9E" w:rsidRDefault="00C926F7" w:rsidP="00C926F7">
      <w:pPr>
        <w:pBdr>
          <w:top w:val="single" w:sz="4" w:space="1" w:color="auto"/>
          <w:left w:val="single" w:sz="4" w:space="4" w:color="auto"/>
          <w:bottom w:val="single" w:sz="4" w:space="1" w:color="auto"/>
          <w:right w:val="single" w:sz="4" w:space="4" w:color="auto"/>
        </w:pBdr>
        <w:tabs>
          <w:tab w:val="left" w:pos="810"/>
        </w:tabs>
        <w:rPr>
          <w:i/>
          <w:vertAlign w:val="subscript"/>
          <w:lang w:val="en-GB"/>
        </w:rPr>
      </w:pPr>
      <w:r w:rsidRPr="00720D9E">
        <w:rPr>
          <w:i/>
        </w:rPr>
        <w:t>BE</w:t>
      </w:r>
      <w:r w:rsidRPr="00720D9E">
        <w:rPr>
          <w:i/>
          <w:vertAlign w:val="subscript"/>
        </w:rPr>
        <w:t>MD</w:t>
      </w:r>
      <w:r w:rsidRPr="00720D9E">
        <w:rPr>
          <w:i/>
        </w:rPr>
        <w:t xml:space="preserve"> = </w:t>
      </w:r>
      <w:r w:rsidR="00B03842" w:rsidRPr="00720D9E">
        <w:rPr>
          <w:i/>
          <w:position w:val="-28"/>
        </w:rPr>
        <w:object w:dxaOrig="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9pt" o:ole="">
            <v:imagedata r:id="rId13" o:title=""/>
          </v:shape>
          <o:OLEObject Type="Embed" ProgID="Equation.3" ShapeID="_x0000_i1025" DrawAspect="Content" ObjectID="_1437988678" r:id="rId14"/>
        </w:object>
      </w:r>
      <w:r w:rsidR="00B03842" w:rsidRPr="00720D9E">
        <w:rPr>
          <w:i/>
        </w:rPr>
        <w:t>VAM</w:t>
      </w:r>
      <w:r w:rsidR="00B03842" w:rsidRPr="00720D9E">
        <w:rPr>
          <w:i/>
          <w:vertAlign w:val="subscript"/>
        </w:rPr>
        <w:t xml:space="preserve">B,i </w:t>
      </w:r>
      <w:r w:rsidR="00B03842" w:rsidRPr="00720D9E">
        <w:t xml:space="preserve"> </w:t>
      </w:r>
      <w:r w:rsidR="00973BFB" w:rsidRPr="00720D9E">
        <w:t xml:space="preserve">x </w:t>
      </w:r>
      <w:r w:rsidR="00973BFB" w:rsidRPr="00720D9E">
        <w:rPr>
          <w:i/>
          <w:lang w:val="en-GB"/>
        </w:rPr>
        <w:t>C</w:t>
      </w:r>
      <w:r w:rsidR="00973BFB" w:rsidRPr="00720D9E">
        <w:rPr>
          <w:i/>
          <w:vertAlign w:val="subscript"/>
          <w:lang w:val="en-GB"/>
        </w:rPr>
        <w:t>CH4</w:t>
      </w:r>
      <w:r w:rsidR="00B03842" w:rsidRPr="00720D9E">
        <w:t xml:space="preserve"> x 0.0423 x 0.000454 x </w:t>
      </w:r>
      <w:r w:rsidR="00B03842" w:rsidRPr="00720D9E">
        <w:rPr>
          <w:i/>
        </w:rPr>
        <w:t>CEF</w:t>
      </w:r>
      <w:r w:rsidR="00B03842" w:rsidRPr="00720D9E">
        <w:rPr>
          <w:i/>
          <w:vertAlign w:val="subscript"/>
        </w:rPr>
        <w:t>CH4</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973BFB" w:rsidRPr="00720D9E" w:rsidRDefault="00973BFB" w:rsidP="00973BFB">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BE</w:t>
      </w:r>
      <w:r w:rsidR="00B03842" w:rsidRPr="00720D9E">
        <w:rPr>
          <w:i/>
          <w:vertAlign w:val="subscript"/>
        </w:rPr>
        <w:t>MD</w:t>
      </w:r>
      <w:r w:rsidRPr="00720D9E">
        <w:tab/>
        <w:t>=</w:t>
      </w:r>
      <w:r w:rsidRPr="00720D9E">
        <w:tab/>
        <w:t>Baseline emissions from destruction of methane during the reporting period (tCO</w:t>
      </w:r>
      <w:r w:rsidRPr="00720D9E">
        <w:rPr>
          <w:vertAlign w:val="subscript"/>
        </w:rPr>
        <w:t>2</w:t>
      </w:r>
      <w:r w:rsidRPr="00720D9E">
        <w:t>e)</w:t>
      </w:r>
    </w:p>
    <w:p w:rsidR="00B03842" w:rsidRPr="00720D9E" w:rsidRDefault="00B03842" w:rsidP="00B03842">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(oxidation or alternative combustion end use)</w:t>
      </w:r>
    </w:p>
    <w:p w:rsidR="00973BFB" w:rsidRPr="00720D9E" w:rsidRDefault="00B03842"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VAM</w:t>
      </w:r>
      <w:r w:rsidRPr="00720D9E">
        <w:rPr>
          <w:i/>
          <w:vertAlign w:val="subscript"/>
        </w:rPr>
        <w:t>B,i</w:t>
      </w:r>
      <w:r w:rsidR="00973BFB" w:rsidRPr="00720D9E">
        <w:rPr>
          <w:i/>
          <w:vertAlign w:val="subscript"/>
        </w:rPr>
        <w:tab/>
      </w:r>
      <w:r w:rsidR="00E049BC" w:rsidRPr="00720D9E">
        <w:t>=</w:t>
      </w:r>
      <w:r w:rsidR="00E049BC" w:rsidRPr="00720D9E">
        <w:tab/>
        <w:t>V</w:t>
      </w:r>
      <w:r w:rsidR="00973BFB" w:rsidRPr="00720D9E">
        <w:t xml:space="preserve">olume of VAM that would have been </w:t>
      </w:r>
      <w:r w:rsidR="008111CD" w:rsidRPr="00720D9E">
        <w:t xml:space="preserve">sent to a non-qualifying device for destruction through </w:t>
      </w:r>
      <w:r w:rsidR="00973BFB" w:rsidRPr="00720D9E">
        <w:t xml:space="preserve">use </w:t>
      </w:r>
      <w:r w:rsidR="00E049BC" w:rsidRPr="00720D9E">
        <w:t>i</w:t>
      </w:r>
      <w:r w:rsidR="00973BFB" w:rsidRPr="00720D9E">
        <w:t xml:space="preserve"> during the reporting period in the baseline scenario (scf)</w:t>
      </w:r>
    </w:p>
    <w:p w:rsidR="00973BFB" w:rsidRPr="00720D9E" w:rsidRDefault="00973BFB" w:rsidP="00973BFB">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 xml:space="preserve">Measured methane concentration of captured ventilation air </w:t>
      </w:r>
      <w:r w:rsidR="00B03842" w:rsidRPr="00720D9E">
        <w:rPr>
          <w:lang w:val="en-GB"/>
        </w:rPr>
        <w:t>(scf CH</w:t>
      </w:r>
      <w:r w:rsidR="00B03842" w:rsidRPr="00720D9E">
        <w:rPr>
          <w:vertAlign w:val="subscript"/>
          <w:lang w:val="en-GB"/>
        </w:rPr>
        <w:t>4</w:t>
      </w:r>
      <w:r w:rsidR="00B03842" w:rsidRPr="00720D9E">
        <w:rPr>
          <w:lang w:val="en-GB"/>
        </w:rPr>
        <w:t>/scf)</w:t>
      </w:r>
    </w:p>
    <w:p w:rsidR="00B03842" w:rsidRPr="00720D9E" w:rsidRDefault="00B03842" w:rsidP="00016217">
      <w:pPr>
        <w:pStyle w:val="ListParagraph"/>
        <w:numPr>
          <w:ilvl w:val="1"/>
          <w:numId w:val="60"/>
        </w:numPr>
        <w:pBdr>
          <w:top w:val="single" w:sz="4" w:space="1" w:color="auto"/>
          <w:left w:val="single" w:sz="4" w:space="4" w:color="auto"/>
          <w:bottom w:val="single" w:sz="4" w:space="1" w:color="auto"/>
          <w:right w:val="single" w:sz="4" w:space="4" w:color="auto"/>
        </w:pBdr>
        <w:tabs>
          <w:tab w:val="left" w:pos="1440"/>
        </w:tabs>
        <w:spacing w:after="120" w:line="240" w:lineRule="auto"/>
      </w:pPr>
      <w:r w:rsidRPr="00720D9E">
        <w:t>=</w:t>
      </w:r>
      <w:r w:rsidRPr="00720D9E">
        <w:tab/>
        <w:t>Density of methane (lb CH</w:t>
      </w:r>
      <w:r w:rsidRPr="00720D9E">
        <w:rPr>
          <w:vertAlign w:val="subscript"/>
        </w:rPr>
        <w:t>4</w:t>
      </w:r>
      <w:r w:rsidRPr="00720D9E">
        <w:t>/scf CH</w:t>
      </w:r>
      <w:r w:rsidRPr="00720D9E">
        <w:rPr>
          <w:vertAlign w:val="subscript"/>
        </w:rPr>
        <w:t>4</w:t>
      </w:r>
      <w:r w:rsidRPr="00720D9E">
        <w:t>)</w:t>
      </w:r>
    </w:p>
    <w:p w:rsidR="00016217" w:rsidRPr="00720D9E" w:rsidRDefault="00B03842" w:rsidP="0001621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vertAlign w:val="subscript"/>
        </w:rPr>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C926F7" w:rsidRPr="00720D9E" w:rsidRDefault="00C926F7" w:rsidP="0001621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CH4</w:t>
      </w:r>
      <w:r w:rsidRPr="00720D9E">
        <w:tab/>
        <w:t>=</w:t>
      </w:r>
      <w:r w:rsidRPr="00720D9E">
        <w:tab/>
        <w:t>CO</w:t>
      </w:r>
      <w:r w:rsidRPr="00720D9E">
        <w:rPr>
          <w:vertAlign w:val="subscript"/>
        </w:rPr>
        <w:t>2</w:t>
      </w:r>
      <w:r w:rsidRPr="00720D9E">
        <w:t xml:space="preserve"> emission factor for combusted methane (2.75 tCO</w:t>
      </w:r>
      <w:r w:rsidRPr="00720D9E">
        <w:rPr>
          <w:vertAlign w:val="subscript"/>
        </w:rPr>
        <w:t>2</w:t>
      </w:r>
      <w:r w:rsidRPr="00720D9E">
        <w:t>e/tCH</w:t>
      </w:r>
      <w:r w:rsidRPr="00720D9E">
        <w:rPr>
          <w:vertAlign w:val="subscript"/>
        </w:rPr>
        <w:t>4</w:t>
      </w:r>
      <w:r w:rsidRPr="00720D9E">
        <w:t>)</w:t>
      </w:r>
    </w:p>
    <w:p w:rsidR="00016217" w:rsidRPr="00720D9E" w:rsidRDefault="00016217" w:rsidP="00DB4B17">
      <w:pPr>
        <w:pStyle w:val="ListParagraph"/>
        <w:numPr>
          <w:ilvl w:val="0"/>
          <w:numId w:val="62"/>
        </w:numPr>
        <w:ind w:hanging="720"/>
      </w:pPr>
      <w:r w:rsidRPr="00720D9E">
        <w:t>Baseline emissions from the release of methane (BE</w:t>
      </w:r>
      <w:r w:rsidRPr="00720D9E">
        <w:rPr>
          <w:vertAlign w:val="subscript"/>
        </w:rPr>
        <w:t>MR</w:t>
      </w:r>
      <w:r w:rsidRPr="00720D9E">
        <w:t xml:space="preserve">) must be quantified using </w:t>
      </w:r>
      <w:r w:rsidR="004842C4" w:rsidRPr="00720D9E">
        <w:t>Equation 5.</w:t>
      </w:r>
      <w:r w:rsidRPr="00720D9E">
        <w:t>4.</w:t>
      </w:r>
    </w:p>
    <w:p w:rsidR="00D04989" w:rsidRPr="00720D9E" w:rsidRDefault="00D04989" w:rsidP="00D04989">
      <w:pPr>
        <w:pStyle w:val="ListParagraph"/>
        <w:numPr>
          <w:ilvl w:val="0"/>
          <w:numId w:val="62"/>
        </w:numPr>
        <w:ind w:hanging="720"/>
      </w:pPr>
      <w:r w:rsidRPr="00720D9E">
        <w:t>BE</w:t>
      </w:r>
      <w:r w:rsidRPr="00720D9E">
        <w:rPr>
          <w:vertAlign w:val="subscript"/>
        </w:rPr>
        <w:t>MR</w:t>
      </w:r>
      <w:r w:rsidRPr="00720D9E">
        <w:t xml:space="preserve"> must account for the total amount of methane actually destroyed by all qualifying and non-qualifying devices.</w:t>
      </w:r>
    </w:p>
    <w:p w:rsidR="00C926F7" w:rsidRPr="00720D9E" w:rsidRDefault="00104F38" w:rsidP="00DB4B17">
      <w:pPr>
        <w:pStyle w:val="ListParagraph"/>
        <w:numPr>
          <w:ilvl w:val="0"/>
          <w:numId w:val="62"/>
        </w:numPr>
        <w:ind w:hanging="720"/>
      </w:pPr>
      <w:r w:rsidRPr="00720D9E">
        <w:t>VAM project activities</w:t>
      </w:r>
      <w:r w:rsidR="00642AF5" w:rsidRPr="00720D9E">
        <w:t xml:space="preserve"> </w:t>
      </w:r>
      <w:r w:rsidR="00C926F7" w:rsidRPr="00720D9E">
        <w:t xml:space="preserve">may supplement VAM with mine </w:t>
      </w:r>
      <w:r w:rsidR="00896C3F" w:rsidRPr="00720D9E">
        <w:t>gas</w:t>
      </w:r>
      <w:r w:rsidR="00C926F7" w:rsidRPr="00720D9E">
        <w:t xml:space="preserve"> </w:t>
      </w:r>
      <w:r w:rsidR="00640BD6" w:rsidRPr="00720D9E">
        <w:t xml:space="preserve">(MG) </w:t>
      </w:r>
      <w:r w:rsidR="00C926F7" w:rsidRPr="00720D9E">
        <w:t xml:space="preserve">extracted from a methane drainage system  to either increase or help balance the concentration of methane flowing into the </w:t>
      </w:r>
      <w:r w:rsidR="003B5CED" w:rsidRPr="00720D9E">
        <w:t>destruction device</w:t>
      </w:r>
      <w:r w:rsidR="00C926F7" w:rsidRPr="00720D9E">
        <w:t>.  If M</w:t>
      </w:r>
      <w:r w:rsidR="00896C3F" w:rsidRPr="00720D9E">
        <w:t>G</w:t>
      </w:r>
      <w:r w:rsidR="00C926F7" w:rsidRPr="00720D9E">
        <w:t xml:space="preserve"> is used to supplement VAM, the M</w:t>
      </w:r>
      <w:r w:rsidR="00896C3F" w:rsidRPr="00720D9E">
        <w:t>G</w:t>
      </w:r>
      <w:r w:rsidR="00C926F7" w:rsidRPr="00720D9E">
        <w:t xml:space="preserve"> destructed by the project during the reporting period must be accounted for</w:t>
      </w:r>
      <w:r w:rsidR="00986AA3" w:rsidRPr="00720D9E">
        <w:t xml:space="preserve"> using </w:t>
      </w:r>
      <w:r w:rsidR="004842C4" w:rsidRPr="00720D9E">
        <w:t>Equation 5.</w:t>
      </w:r>
      <w:r w:rsidR="00986AA3" w:rsidRPr="00720D9E">
        <w:t>4</w:t>
      </w:r>
      <w:r w:rsidR="00C926F7" w:rsidRPr="00720D9E">
        <w:t xml:space="preserve"> either as M</w:t>
      </w:r>
      <w:r w:rsidR="00896C3F" w:rsidRPr="00720D9E">
        <w:t>G</w:t>
      </w:r>
      <w:r w:rsidR="00C926F7" w:rsidRPr="00720D9E">
        <w:rPr>
          <w:vertAlign w:val="subscript"/>
        </w:rPr>
        <w:t>S</w:t>
      </w:r>
      <w:r w:rsidR="00896C3F" w:rsidRPr="00720D9E">
        <w:rPr>
          <w:vertAlign w:val="subscript"/>
        </w:rPr>
        <w:t>UPP</w:t>
      </w:r>
      <w:r w:rsidR="00C926F7" w:rsidRPr="00720D9E">
        <w:rPr>
          <w:vertAlign w:val="subscript"/>
        </w:rPr>
        <w:t>,i,</w:t>
      </w:r>
      <w:r w:rsidR="00C926F7" w:rsidRPr="00720D9E">
        <w:t xml:space="preserve"> if VAM flow and mine methane flow are monitored separately, or through VAM</w:t>
      </w:r>
      <w:r w:rsidR="00D6753E" w:rsidRPr="00720D9E">
        <w:rPr>
          <w:vertAlign w:val="subscript"/>
        </w:rPr>
        <w:t xml:space="preserve">P,i </w:t>
      </w:r>
      <w:r w:rsidR="00C926F7" w:rsidRPr="00720D9E">
        <w:t>if only the resulting enriched flow is monitored.</w:t>
      </w:r>
    </w:p>
    <w:p w:rsidR="00A8210F" w:rsidRPr="00720D9E" w:rsidDel="00E021AB" w:rsidRDefault="00A8210F" w:rsidP="00DB4B17">
      <w:pPr>
        <w:pStyle w:val="ListParagraph"/>
        <w:numPr>
          <w:ilvl w:val="0"/>
          <w:numId w:val="62"/>
        </w:numPr>
        <w:ind w:hanging="720"/>
      </w:pPr>
      <w:r w:rsidRPr="00720D9E" w:rsidDel="00E021AB">
        <w:t>Methane that is still vented in the project scenario is not accounted for in the project emissions or baseline emissions since it is vented in both scenarios.</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4: Baseline Emissions from Release of Methane</w:t>
      </w:r>
    </w:p>
    <w:p w:rsidR="007F443B" w:rsidRPr="00720D9E" w:rsidRDefault="00C926F7" w:rsidP="00DE4F4C">
      <w:pPr>
        <w:pBdr>
          <w:top w:val="single" w:sz="4" w:space="1" w:color="auto"/>
          <w:left w:val="single" w:sz="4" w:space="4" w:color="auto"/>
          <w:bottom w:val="single" w:sz="4" w:space="1" w:color="auto"/>
          <w:right w:val="single" w:sz="4" w:space="4" w:color="auto"/>
        </w:pBdr>
        <w:tabs>
          <w:tab w:val="left" w:pos="900"/>
        </w:tabs>
        <w:ind w:left="900" w:hanging="900"/>
        <w:rPr>
          <w:i/>
          <w:vertAlign w:val="subscript"/>
        </w:rPr>
      </w:pPr>
      <w:r w:rsidRPr="00720D9E">
        <w:rPr>
          <w:i/>
        </w:rPr>
        <w:t>BE</w:t>
      </w:r>
      <w:r w:rsidRPr="00720D9E">
        <w:rPr>
          <w:i/>
          <w:vertAlign w:val="subscript"/>
        </w:rPr>
        <w:t>MR</w:t>
      </w:r>
      <w:r w:rsidRPr="00720D9E">
        <w:t xml:space="preserve"> = </w:t>
      </w:r>
      <w:r w:rsidRPr="00720D9E">
        <w:rPr>
          <w:i/>
          <w:position w:val="-28"/>
        </w:rPr>
        <w:object w:dxaOrig="460" w:dyaOrig="540">
          <v:shape id="_x0000_i1026" type="#_x0000_t75" style="width:22pt;height:29pt" o:ole="">
            <v:imagedata r:id="rId13" o:title=""/>
          </v:shape>
          <o:OLEObject Type="Embed" ProgID="Equation.3" ShapeID="_x0000_i1026" DrawAspect="Content" ObjectID="_1437988679" r:id="rId15"/>
        </w:object>
      </w:r>
      <w:r w:rsidR="00167241" w:rsidRPr="00720D9E">
        <w:t>[</w:t>
      </w:r>
      <w:r w:rsidRPr="00720D9E">
        <w:t>(</w:t>
      </w:r>
      <w:r w:rsidRPr="00720D9E">
        <w:rPr>
          <w:i/>
        </w:rPr>
        <w:t>VAM</w:t>
      </w:r>
      <w:r w:rsidRPr="00720D9E">
        <w:rPr>
          <w:i/>
          <w:vertAlign w:val="subscript"/>
        </w:rPr>
        <w:t>P,i</w:t>
      </w:r>
      <w:r w:rsidR="00D6753E" w:rsidRPr="00720D9E">
        <w:rPr>
          <w:i/>
          <w:vertAlign w:val="subscript"/>
        </w:rPr>
        <w:t xml:space="preserve">  </w:t>
      </w:r>
      <w:r w:rsidRPr="00720D9E">
        <w:t xml:space="preserve">- </w:t>
      </w:r>
      <w:r w:rsidRPr="00720D9E">
        <w:rPr>
          <w:i/>
        </w:rPr>
        <w:t>VAM</w:t>
      </w:r>
      <w:r w:rsidR="00D6753E" w:rsidRPr="00720D9E">
        <w:rPr>
          <w:i/>
          <w:vertAlign w:val="subscript"/>
        </w:rPr>
        <w:t>B,i</w:t>
      </w:r>
      <w:r w:rsidRPr="00720D9E">
        <w:t xml:space="preserve">) </w:t>
      </w:r>
      <w:r w:rsidR="00D6753E" w:rsidRPr="00720D9E">
        <w:t xml:space="preserve">x </w:t>
      </w:r>
      <w:r w:rsidR="00D6753E" w:rsidRPr="00720D9E">
        <w:rPr>
          <w:i/>
          <w:lang w:val="en-GB"/>
        </w:rPr>
        <w:t>C</w:t>
      </w:r>
      <w:r w:rsidR="00D6753E" w:rsidRPr="00720D9E">
        <w:rPr>
          <w:i/>
          <w:vertAlign w:val="subscript"/>
          <w:lang w:val="en-GB"/>
        </w:rPr>
        <w:t>CH4</w:t>
      </w:r>
      <w:r w:rsidR="00D6753E" w:rsidRPr="00720D9E">
        <w:t xml:space="preserve"> x </w:t>
      </w:r>
      <w:r w:rsidRPr="00720D9E">
        <w:t xml:space="preserve">+ </w:t>
      </w:r>
      <w:r w:rsidRPr="00720D9E">
        <w:rPr>
          <w:i/>
        </w:rPr>
        <w:t>M</w:t>
      </w:r>
      <w:r w:rsidR="00896C3F" w:rsidRPr="00720D9E">
        <w:rPr>
          <w:i/>
        </w:rPr>
        <w:t>G</w:t>
      </w:r>
      <w:r w:rsidRPr="00720D9E">
        <w:rPr>
          <w:i/>
          <w:vertAlign w:val="subscript"/>
        </w:rPr>
        <w:t>SUP</w:t>
      </w:r>
      <w:r w:rsidR="00D6753E" w:rsidRPr="00720D9E">
        <w:rPr>
          <w:i/>
          <w:vertAlign w:val="subscript"/>
        </w:rPr>
        <w:t>P,i</w:t>
      </w:r>
      <w:r w:rsidR="00D6753E" w:rsidRPr="00720D9E">
        <w:t xml:space="preserve">  x </w:t>
      </w:r>
      <w:r w:rsidR="00D6753E" w:rsidRPr="00720D9E">
        <w:rPr>
          <w:i/>
          <w:lang w:val="en-GB"/>
        </w:rPr>
        <w:t>C</w:t>
      </w:r>
      <w:r w:rsidR="00D6753E" w:rsidRPr="00720D9E">
        <w:rPr>
          <w:i/>
          <w:vertAlign w:val="subscript"/>
          <w:lang w:val="en-GB"/>
        </w:rPr>
        <w:t>CH4M</w:t>
      </w:r>
      <w:r w:rsidR="00896C3F" w:rsidRPr="00720D9E">
        <w:rPr>
          <w:i/>
          <w:vertAlign w:val="subscript"/>
          <w:lang w:val="en-GB"/>
        </w:rPr>
        <w:t>G</w:t>
      </w:r>
      <w:r w:rsidR="00167241" w:rsidRPr="00720D9E">
        <w:rPr>
          <w:lang w:val="en-GB"/>
        </w:rPr>
        <w:t>]</w:t>
      </w:r>
      <w:r w:rsidR="00D6753E" w:rsidRPr="00720D9E">
        <w:t xml:space="preserve"> x 0.0423 x 0.000454</w:t>
      </w:r>
      <w:r w:rsidRPr="00720D9E">
        <w:t xml:space="preserve"> x </w:t>
      </w:r>
      <w:r w:rsidRPr="00720D9E">
        <w:rPr>
          <w:i/>
        </w:rPr>
        <w:t>GWP</w:t>
      </w:r>
      <w:r w:rsidRPr="00720D9E">
        <w:rPr>
          <w:i/>
          <w:vertAlign w:val="subscript"/>
        </w:rPr>
        <w:t>CH</w:t>
      </w:r>
      <w:r w:rsidR="00BA6296" w:rsidRPr="00720D9E">
        <w:rPr>
          <w:i/>
          <w:vertAlign w:val="subscript"/>
        </w:rPr>
        <w:t>4</w:t>
      </w:r>
    </w:p>
    <w:p w:rsidR="007F443B" w:rsidRPr="00720D9E" w:rsidRDefault="007F443B" w:rsidP="00C926F7">
      <w:pPr>
        <w:pBdr>
          <w:top w:val="single" w:sz="4" w:space="1" w:color="auto"/>
          <w:left w:val="single" w:sz="4" w:space="4" w:color="auto"/>
          <w:bottom w:val="single" w:sz="4" w:space="1" w:color="auto"/>
          <w:right w:val="single" w:sz="4" w:space="4" w:color="auto"/>
        </w:pBdr>
        <w:tabs>
          <w:tab w:val="left" w:pos="810"/>
        </w:tabs>
        <w:rPr>
          <w:i/>
          <w:vertAlign w:val="subscript"/>
        </w:rPr>
      </w:pP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810"/>
        </w:tabs>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rPr>
          <w:i/>
          <w:vertAlign w:val="subscript"/>
        </w:rPr>
        <w:t>MR</w:t>
      </w:r>
      <w:r w:rsidRPr="00720D9E">
        <w:tab/>
        <w:t>=</w:t>
      </w:r>
      <w:r w:rsidRPr="00720D9E">
        <w:tab/>
        <w:t>Baseline emissions from release of methane into the atmosphere avoided by the project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(oxidation or alternative combustion end use)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VAM</w:t>
      </w:r>
      <w:r w:rsidR="00D6753E" w:rsidRPr="00720D9E">
        <w:rPr>
          <w:i/>
          <w:vertAlign w:val="subscript"/>
        </w:rPr>
        <w:t>P,i</w:t>
      </w:r>
      <w:r w:rsidRPr="00720D9E">
        <w:tab/>
        <w:t>=</w:t>
      </w:r>
      <w:r w:rsidRPr="00720D9E">
        <w:tab/>
      </w:r>
      <w:r w:rsidR="00896C3F" w:rsidRPr="00720D9E">
        <w:t>Volume of ventilation air</w:t>
      </w:r>
      <w:r w:rsidR="0081144A" w:rsidRPr="00720D9E">
        <w:t xml:space="preserve"> </w:t>
      </w:r>
      <w:r w:rsidR="00B912B0">
        <w:t xml:space="preserve">sent to </w:t>
      </w:r>
      <w:r w:rsidR="0081144A" w:rsidRPr="00720D9E">
        <w:t>qualifying and non-qualifying devices</w:t>
      </w:r>
      <w:r w:rsidR="00E305FE" w:rsidRPr="00720D9E">
        <w:t xml:space="preserve"> for destruction</w:t>
      </w:r>
      <w:r w:rsidR="0081144A" w:rsidRPr="00720D9E">
        <w:t xml:space="preserve"> through use i during the project during the reporting period </w:t>
      </w:r>
      <w:r w:rsidRPr="00720D9E">
        <w:t>(</w:t>
      </w:r>
      <w:r w:rsidR="00D6753E" w:rsidRPr="00720D9E">
        <w:t>scf</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VAM</w:t>
      </w:r>
      <w:r w:rsidR="00D6753E" w:rsidRPr="00720D9E">
        <w:rPr>
          <w:i/>
          <w:vertAlign w:val="subscript"/>
        </w:rPr>
        <w:t>B,i</w:t>
      </w:r>
      <w:r w:rsidRPr="00720D9E">
        <w:tab/>
        <w:t>=</w:t>
      </w:r>
      <w:r w:rsidRPr="00720D9E">
        <w:tab/>
      </w:r>
      <w:r w:rsidR="00D6753E" w:rsidRPr="00720D9E">
        <w:t xml:space="preserve">Volume of </w:t>
      </w:r>
      <w:r w:rsidR="00896C3F" w:rsidRPr="00720D9E">
        <w:t>ventilation air</w:t>
      </w:r>
      <w:r w:rsidRPr="00720D9E">
        <w:t xml:space="preserve"> that would have </w:t>
      </w:r>
      <w:r w:rsidR="00582355" w:rsidRPr="00720D9E">
        <w:t>sent to non-qualifying devices</w:t>
      </w:r>
      <w:r w:rsidR="00E305FE" w:rsidRPr="00720D9E">
        <w:t xml:space="preserve"> for destruction</w:t>
      </w:r>
      <w:r w:rsidR="00582355" w:rsidRPr="00720D9E">
        <w:t xml:space="preserve"> through</w:t>
      </w:r>
      <w:r w:rsidRPr="00720D9E">
        <w:t xml:space="preserve"> use i during the reporting period in the baseline scenario (</w:t>
      </w:r>
      <w:r w:rsidR="00D6753E" w:rsidRPr="00720D9E">
        <w:t>scf</w:t>
      </w:r>
      <w:r w:rsidRPr="00720D9E">
        <w:t>)</w:t>
      </w:r>
    </w:p>
    <w:p w:rsidR="00896C3F" w:rsidRPr="00720D9E" w:rsidRDefault="00896C3F" w:rsidP="00896C3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captured ventilation air (scf CH</w:t>
      </w:r>
      <w:r w:rsidRPr="00720D9E">
        <w:rPr>
          <w:vertAlign w:val="subscript"/>
          <w:lang w:val="en-GB"/>
        </w:rPr>
        <w:t>4</w:t>
      </w:r>
      <w:r w:rsidRPr="00720D9E">
        <w:rPr>
          <w:lang w:val="en-GB"/>
        </w:rPr>
        <w:t>/scf)</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w:t>
      </w:r>
      <w:r w:rsidR="00FD4A82" w:rsidRPr="00720D9E">
        <w:rPr>
          <w:i/>
        </w:rPr>
        <w:t>G</w:t>
      </w:r>
      <w:r w:rsidRPr="00720D9E">
        <w:rPr>
          <w:i/>
          <w:vertAlign w:val="subscript"/>
        </w:rPr>
        <w:t>SUP</w:t>
      </w:r>
      <w:r w:rsidR="00D6753E" w:rsidRPr="00720D9E">
        <w:rPr>
          <w:i/>
          <w:vertAlign w:val="subscript"/>
        </w:rPr>
        <w:t>P,i</w:t>
      </w:r>
      <w:r w:rsidR="00D6753E" w:rsidRPr="00720D9E">
        <w:rPr>
          <w:i/>
          <w:vertAlign w:val="subscript"/>
        </w:rPr>
        <w:tab/>
      </w:r>
      <w:r w:rsidRPr="00720D9E">
        <w:t>=</w:t>
      </w:r>
      <w:r w:rsidRPr="00720D9E">
        <w:tab/>
      </w:r>
      <w:r w:rsidR="00896C3F" w:rsidRPr="00720D9E">
        <w:t>Volume of m</w:t>
      </w:r>
      <w:r w:rsidRPr="00720D9E">
        <w:t xml:space="preserve">ine methane extracted from a methane drainage system and </w:t>
      </w:r>
      <w:r w:rsidR="00474A1B" w:rsidRPr="00720D9E">
        <w:t xml:space="preserve">sent to qualifying and non-qualifying devices for destruction </w:t>
      </w:r>
      <w:r w:rsidRPr="00720D9E">
        <w:t>with VAM (</w:t>
      </w:r>
      <w:r w:rsidR="00D6753E" w:rsidRPr="00720D9E">
        <w:t>scf</w:t>
      </w:r>
      <w:r w:rsidRPr="00720D9E">
        <w:t>)</w:t>
      </w:r>
    </w:p>
    <w:p w:rsidR="00896C3F" w:rsidRPr="00720D9E" w:rsidRDefault="00896C3F"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lang w:val="en-GB"/>
        </w:rPr>
        <w:t>C</w:t>
      </w:r>
      <w:r w:rsidRPr="00720D9E">
        <w:rPr>
          <w:i/>
          <w:vertAlign w:val="subscript"/>
          <w:lang w:val="en-GB"/>
        </w:rPr>
        <w:t>CH4MG</w:t>
      </w:r>
      <w:r w:rsidRPr="00720D9E">
        <w:rPr>
          <w:lang w:val="en-GB"/>
        </w:rPr>
        <w:tab/>
        <w:t>=</w:t>
      </w:r>
      <w:r w:rsidRPr="00720D9E">
        <w:rPr>
          <w:lang w:val="en-GB"/>
        </w:rPr>
        <w:tab/>
        <w:t>Measured methane concentration of captured mine gas (scf CH</w:t>
      </w:r>
      <w:r w:rsidRPr="00720D9E">
        <w:rPr>
          <w:vertAlign w:val="subscript"/>
          <w:lang w:val="en-GB"/>
        </w:rPr>
        <w:t>4</w:t>
      </w:r>
      <w:r w:rsidRPr="00720D9E">
        <w:rPr>
          <w:lang w:val="en-GB"/>
        </w:rPr>
        <w:t>/scf)</w:t>
      </w:r>
    </w:p>
    <w:p w:rsidR="00896C3F" w:rsidRPr="00720D9E" w:rsidRDefault="00896C3F" w:rsidP="00896C3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896C3F" w:rsidRPr="00720D9E" w:rsidRDefault="00896C3F" w:rsidP="00896C3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GWP</w:t>
      </w:r>
      <w:r w:rsidRPr="00720D9E">
        <w:rPr>
          <w:i/>
          <w:vertAlign w:val="subscript"/>
        </w:rPr>
        <w:t>CH4</w:t>
      </w:r>
      <w:r w:rsidRPr="00720D9E">
        <w:rPr>
          <w:i/>
        </w:rPr>
        <w:tab/>
      </w:r>
      <w:r w:rsidRPr="00720D9E">
        <w:t>=</w:t>
      </w:r>
      <w:r w:rsidRPr="00720D9E">
        <w:tab/>
        <w:t>Global warming potential of methane (tCO</w:t>
      </w:r>
      <w:r w:rsidRPr="00720D9E">
        <w:rPr>
          <w:vertAlign w:val="subscript"/>
        </w:rPr>
        <w:t>2</w:t>
      </w:r>
      <w:r w:rsidRPr="00720D9E">
        <w:t>e/tCH</w:t>
      </w:r>
      <w:r w:rsidRPr="00720D9E">
        <w:rPr>
          <w:vertAlign w:val="subscript"/>
        </w:rPr>
        <w:t>4</w:t>
      </w:r>
      <w:r w:rsidRPr="00720D9E">
        <w:t>)</w:t>
      </w:r>
    </w:p>
    <w:p w:rsidR="00C926F7" w:rsidRPr="00720D9E" w:rsidRDefault="00C926F7" w:rsidP="00333004">
      <w:pPr>
        <w:pStyle w:val="Heading3"/>
      </w:pPr>
      <w:bookmarkStart w:id="36" w:name="_Toc364243210"/>
      <w:r w:rsidRPr="00720D9E">
        <w:t xml:space="preserve">§ </w:t>
      </w:r>
      <w:r w:rsidR="00645452" w:rsidRPr="00720D9E">
        <w:t>5.1</w:t>
      </w:r>
      <w:r w:rsidRPr="00720D9E">
        <w:t>.2</w:t>
      </w:r>
      <w:r w:rsidR="00645452" w:rsidRPr="00720D9E">
        <w:t>.</w:t>
      </w:r>
      <w:r w:rsidRPr="00720D9E">
        <w:t xml:space="preserve"> Quantifying Project Emissions.</w:t>
      </w:r>
      <w:bookmarkEnd w:id="36"/>
    </w:p>
    <w:p w:rsidR="00C926F7" w:rsidRPr="00720D9E" w:rsidRDefault="00C926F7" w:rsidP="00C926F7">
      <w:pPr>
        <w:pStyle w:val="ListParagraph"/>
        <w:numPr>
          <w:ilvl w:val="0"/>
          <w:numId w:val="28"/>
        </w:numPr>
        <w:ind w:hanging="720"/>
      </w:pPr>
      <w:r w:rsidRPr="00720D9E">
        <w:t xml:space="preserve">Project emissions must be quantified on an annual basis. </w:t>
      </w:r>
    </w:p>
    <w:p w:rsidR="00C926F7" w:rsidRPr="00720D9E" w:rsidRDefault="00C926F7" w:rsidP="00C926F7">
      <w:pPr>
        <w:pStyle w:val="ListParagraph"/>
        <w:numPr>
          <w:ilvl w:val="0"/>
          <w:numId w:val="28"/>
        </w:numPr>
        <w:ind w:hanging="720"/>
      </w:pPr>
      <w:r w:rsidRPr="00720D9E">
        <w:t xml:space="preserve">Project emissions for a reporting period (PE) must be quantified by summing the emissions for all SSRs identified as included in the project in Table </w:t>
      </w:r>
      <w:r w:rsidR="00106016" w:rsidRPr="00720D9E">
        <w:t>4</w:t>
      </w:r>
      <w:r w:rsidRPr="00720D9E">
        <w:t xml:space="preserve">.1 and using </w:t>
      </w:r>
      <w:r w:rsidR="004842C4" w:rsidRPr="00720D9E">
        <w:t>Equation 5.</w:t>
      </w:r>
      <w:r w:rsidR="007F443B" w:rsidRPr="00720D9E">
        <w:t>5</w:t>
      </w:r>
      <w:r w:rsidRPr="00720D9E">
        <w:t>.</w:t>
      </w:r>
    </w:p>
    <w:p w:rsidR="00E021AB" w:rsidRPr="00720D9E" w:rsidRDefault="00D04989" w:rsidP="00D04989">
      <w:pPr>
        <w:pStyle w:val="ListParagraph"/>
        <w:numPr>
          <w:ilvl w:val="0"/>
          <w:numId w:val="28"/>
        </w:numPr>
        <w:ind w:hanging="720"/>
      </w:pPr>
      <w:r w:rsidRPr="00720D9E" w:rsidDel="00E021AB">
        <w:t>Methane that is still vented in the project scenario is not accounted for in the project emissions or baseline emissions since it is vented in both scenarios.</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7F443B" w:rsidRPr="00720D9E">
        <w:t>5</w:t>
      </w:r>
      <w:r w:rsidR="00C926F7" w:rsidRPr="00720D9E">
        <w:t>: Project Emissions</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PE = PE</w:t>
      </w:r>
      <w:r w:rsidRPr="00720D9E">
        <w:rPr>
          <w:i/>
          <w:vertAlign w:val="subscript"/>
        </w:rPr>
        <w:t>EC</w:t>
      </w:r>
      <w:r w:rsidRPr="00720D9E">
        <w:rPr>
          <w:i/>
        </w:rPr>
        <w:t xml:space="preserve"> + PE</w:t>
      </w:r>
      <w:r w:rsidRPr="00720D9E">
        <w:rPr>
          <w:i/>
          <w:vertAlign w:val="subscript"/>
        </w:rPr>
        <w:t>MD</w:t>
      </w:r>
      <w:r w:rsidRPr="00720D9E">
        <w:rPr>
          <w:i/>
        </w:rPr>
        <w:t xml:space="preserve"> + PE</w:t>
      </w:r>
      <w:r w:rsidR="007A22F8">
        <w:rPr>
          <w:i/>
          <w:vertAlign w:val="subscript"/>
        </w:rPr>
        <w:t>UM</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tab/>
        <w:t>=</w:t>
      </w:r>
      <w:r w:rsidRPr="00720D9E">
        <w:tab/>
        <w:t>Project emissions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EC</w:t>
      </w:r>
      <w:r w:rsidRPr="00720D9E">
        <w:rPr>
          <w:i/>
          <w:vertAlign w:val="subscript"/>
        </w:rPr>
        <w:tab/>
      </w:r>
      <w:r w:rsidRPr="00720D9E">
        <w:t>=</w:t>
      </w:r>
      <w:r w:rsidRPr="00720D9E">
        <w:tab/>
        <w:t>Project emissions from energy consumed to capture and destroy methane during the reporting period (tCO</w:t>
      </w:r>
      <w:r w:rsidRPr="00720D9E">
        <w:rPr>
          <w:vertAlign w:val="subscript"/>
        </w:rPr>
        <w:t>2</w:t>
      </w:r>
      <w:r w:rsidRPr="00720D9E">
        <w:t>e)</w:t>
      </w:r>
    </w:p>
    <w:p w:rsidR="00016217" w:rsidRPr="00720D9E" w:rsidRDefault="00C926F7" w:rsidP="0001621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007F443B" w:rsidRPr="00720D9E">
        <w:rPr>
          <w:i/>
          <w:vertAlign w:val="subscript"/>
        </w:rPr>
        <w:t>MD</w:t>
      </w:r>
      <w:r w:rsidRPr="00720D9E">
        <w:tab/>
        <w:t>=</w:t>
      </w:r>
      <w:r w:rsidRPr="00720D9E">
        <w:tab/>
        <w:t>Project emissions from destruction of methane during the reporting period (tCO</w:t>
      </w:r>
      <w:r w:rsidRPr="00720D9E">
        <w:rPr>
          <w:vertAlign w:val="subscript"/>
        </w:rPr>
        <w:t>2</w:t>
      </w:r>
      <w:r w:rsidR="00016217" w:rsidRPr="00720D9E">
        <w:t>e)</w:t>
      </w:r>
    </w:p>
    <w:p w:rsidR="00C926F7" w:rsidRPr="00720D9E" w:rsidRDefault="00C926F7" w:rsidP="0001621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007A22F8">
        <w:rPr>
          <w:i/>
          <w:vertAlign w:val="subscript"/>
        </w:rPr>
        <w:t>UM</w:t>
      </w:r>
      <w:r w:rsidRPr="00720D9E">
        <w:tab/>
        <w:t>=</w:t>
      </w:r>
      <w:r w:rsidRPr="00720D9E">
        <w:tab/>
        <w:t>Project emissions from uncombusted methane during the reporting period (tCO</w:t>
      </w:r>
      <w:r w:rsidRPr="00720D9E">
        <w:rPr>
          <w:vertAlign w:val="subscript"/>
        </w:rPr>
        <w:t>2</w:t>
      </w:r>
      <w:r w:rsidRPr="00720D9E">
        <w:t xml:space="preserve">e) </w:t>
      </w:r>
    </w:p>
    <w:p w:rsidR="00016217" w:rsidRPr="00720D9E" w:rsidRDefault="00016217" w:rsidP="00C926F7">
      <w:pPr>
        <w:pStyle w:val="ListParagraph"/>
        <w:numPr>
          <w:ilvl w:val="0"/>
          <w:numId w:val="28"/>
        </w:numPr>
        <w:ind w:hanging="720"/>
      </w:pPr>
      <w:r w:rsidRPr="00720D9E">
        <w:t>If the project uses fossil fuel or grid electricity to power additional equipment required for project activities, the resulting CO</w:t>
      </w:r>
      <w:r w:rsidRPr="00720D9E">
        <w:rPr>
          <w:vertAlign w:val="subscript"/>
        </w:rPr>
        <w:t>2</w:t>
      </w:r>
      <w:r w:rsidRPr="00720D9E">
        <w:t xml:space="preserve"> emissions from the energy </w:t>
      </w:r>
      <w:r w:rsidRPr="00720D9E">
        <w:lastRenderedPageBreak/>
        <w:t>consumed to capture and destroy methane (PE</w:t>
      </w:r>
      <w:r w:rsidRPr="00720D9E">
        <w:rPr>
          <w:vertAlign w:val="subscript"/>
        </w:rPr>
        <w:t>EC</w:t>
      </w:r>
      <w:r w:rsidRPr="00720D9E">
        <w:t xml:space="preserve">) must be quantified using </w:t>
      </w:r>
      <w:r w:rsidR="004842C4" w:rsidRPr="00720D9E">
        <w:t>Equation 5.</w:t>
      </w:r>
      <w:r w:rsidRPr="00720D9E">
        <w:t>6.</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7F443B" w:rsidRPr="00720D9E">
        <w:t>6</w:t>
      </w:r>
      <w:r w:rsidR="00C926F7" w:rsidRPr="00720D9E">
        <w:t>: Project Emissions from Energy Consumed to Capture and Destroy Methane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810"/>
        </w:tabs>
        <w:rPr>
          <w:i/>
        </w:rPr>
      </w:pPr>
      <w:r w:rsidRPr="00720D9E">
        <w:rPr>
          <w:i/>
        </w:rPr>
        <w:t>PE</w:t>
      </w:r>
      <w:r w:rsidRPr="00720D9E">
        <w:rPr>
          <w:i/>
          <w:vertAlign w:val="subscript"/>
        </w:rPr>
        <w:t>EC</w:t>
      </w:r>
      <w:r w:rsidRPr="00720D9E">
        <w:rPr>
          <w:i/>
        </w:rPr>
        <w:t xml:space="preserve"> = (CONS</w:t>
      </w:r>
      <w:r w:rsidRPr="00720D9E">
        <w:rPr>
          <w:i/>
          <w:vertAlign w:val="subscript"/>
        </w:rPr>
        <w:t>ELEC</w:t>
      </w:r>
      <w:r w:rsidR="007F443B" w:rsidRPr="00720D9E">
        <w:rPr>
          <w:i/>
          <w:vertAlign w:val="subscript"/>
        </w:rPr>
        <w:t xml:space="preserve"> </w:t>
      </w:r>
      <w:r w:rsidRPr="00720D9E">
        <w:t xml:space="preserve">x </w:t>
      </w:r>
      <w:r w:rsidRPr="00720D9E">
        <w:rPr>
          <w:i/>
        </w:rPr>
        <w:t>CEF</w:t>
      </w:r>
      <w:r w:rsidRPr="00720D9E">
        <w:rPr>
          <w:i/>
          <w:vertAlign w:val="subscript"/>
        </w:rPr>
        <w:t>ELEC</w:t>
      </w:r>
      <w:r w:rsidRPr="00720D9E">
        <w:rPr>
          <w:i/>
        </w:rPr>
        <w:t xml:space="preserve">) + </w:t>
      </w:r>
      <w:r w:rsidR="007F443B" w:rsidRPr="00720D9E">
        <w:rPr>
          <w:position w:val="-24"/>
        </w:rPr>
        <w:object w:dxaOrig="4400" w:dyaOrig="639">
          <v:shape id="_x0000_i1027" type="#_x0000_t75" style="width:223pt;height:29pt" o:ole="">
            <v:imagedata r:id="rId16" o:title=""/>
          </v:shape>
          <o:OLEObject Type="Embed" ProgID="Equation.3" ShapeID="_x0000_i1027" DrawAspect="Content" ObjectID="_1437988680" r:id="rId17"/>
        </w:objec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EC</w:t>
      </w:r>
      <w:r w:rsidRPr="00720D9E">
        <w:rPr>
          <w:i/>
          <w:vertAlign w:val="subscript"/>
        </w:rPr>
        <w:tab/>
      </w:r>
      <w:r w:rsidRPr="00720D9E">
        <w:t>=</w:t>
      </w:r>
      <w:r w:rsidRPr="00720D9E">
        <w:tab/>
        <w:t>Project emissions from energy consumed to capture and destroy methane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ELEC</w:t>
      </w:r>
      <w:r w:rsidRPr="00720D9E">
        <w:rPr>
          <w:i/>
          <w:vertAlign w:val="subscript"/>
        </w:rPr>
        <w:tab/>
      </w:r>
      <w:r w:rsidRPr="00720D9E">
        <w:t>=</w:t>
      </w:r>
      <w:r w:rsidRPr="00720D9E">
        <w:tab/>
        <w:t>Additional electricity consumption for the capture and destruction of methane during the reporting period (</w:t>
      </w:r>
      <w:r w:rsidR="00351628" w:rsidRPr="00720D9E">
        <w:t>MWh</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ELEC</w:t>
      </w:r>
      <w:r w:rsidRPr="00720D9E">
        <w:rPr>
          <w:i/>
          <w:vertAlign w:val="subscript"/>
        </w:rPr>
        <w:tab/>
      </w:r>
      <w:r w:rsidRPr="00720D9E">
        <w:t>=</w:t>
      </w:r>
      <w:r w:rsidRPr="00720D9E">
        <w:tab/>
        <w:t>CO</w:t>
      </w:r>
      <w:r w:rsidRPr="00720D9E">
        <w:rPr>
          <w:vertAlign w:val="subscript"/>
        </w:rPr>
        <w:t>2</w:t>
      </w:r>
      <w:r w:rsidRPr="00720D9E">
        <w:t xml:space="preserve"> emission factor of electricity used </w:t>
      </w:r>
      <w:r w:rsidR="00106016" w:rsidRPr="00720D9E">
        <w:t>from Appendix A</w:t>
      </w:r>
      <w:r w:rsidR="004F2D63">
        <w:t xml:space="preserve"> </w:t>
      </w:r>
      <w:r w:rsidR="004F2D63" w:rsidRPr="00720D9E">
        <w:t>(tCO</w:t>
      </w:r>
      <w:r w:rsidR="004F2D63" w:rsidRPr="00720D9E">
        <w:rPr>
          <w:vertAlign w:val="subscript"/>
        </w:rPr>
        <w:t>2</w:t>
      </w:r>
      <w:r w:rsidR="004F2D63" w:rsidRPr="00720D9E">
        <w:t>e/MWh)</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HEAT</w:t>
      </w:r>
      <w:r w:rsidRPr="00720D9E">
        <w:tab/>
        <w:t>=</w:t>
      </w:r>
      <w:r w:rsidRPr="00720D9E">
        <w:tab/>
        <w:t>Additional heat consumption for the capture and destruction of methane during the reporting period (</w:t>
      </w:r>
      <w:r w:rsidR="00351628" w:rsidRPr="00720D9E">
        <w:t>volume</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007F443B" w:rsidRPr="00720D9E">
        <w:rPr>
          <w:i/>
          <w:vertAlign w:val="subscript"/>
        </w:rPr>
        <w:t>HEAT</w:t>
      </w:r>
      <w:r w:rsidRPr="00720D9E">
        <w:rPr>
          <w:i/>
          <w:vertAlign w:val="subscript"/>
        </w:rPr>
        <w:tab/>
      </w:r>
      <w:r w:rsidRPr="00720D9E">
        <w:t>=</w:t>
      </w:r>
      <w:r w:rsidRPr="00720D9E">
        <w:tab/>
        <w:t>CO</w:t>
      </w:r>
      <w:r w:rsidRPr="00720D9E">
        <w:rPr>
          <w:vertAlign w:val="subscript"/>
        </w:rPr>
        <w:t>2</w:t>
      </w:r>
      <w:r w:rsidRPr="00720D9E">
        <w:t xml:space="preserve"> emission factor of heat used </w:t>
      </w:r>
      <w:r w:rsidR="00106016" w:rsidRPr="00720D9E">
        <w:t>from Appendix A</w:t>
      </w:r>
      <w:r w:rsidR="004F2D63">
        <w:t xml:space="preserve"> </w:t>
      </w:r>
      <w:r w:rsidR="004F2D63" w:rsidRPr="00720D9E">
        <w:t>(kg CO</w:t>
      </w:r>
      <w:r w:rsidR="004F2D63" w:rsidRPr="00720D9E">
        <w:rPr>
          <w:vertAlign w:val="subscript"/>
        </w:rPr>
        <w:t>2</w:t>
      </w:r>
      <w:r w:rsidR="004F2D63" w:rsidRPr="00720D9E">
        <w:t>/volume)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FF</w:t>
      </w:r>
      <w:r w:rsidRPr="00720D9E">
        <w:tab/>
        <w:t>=</w:t>
      </w:r>
      <w:r w:rsidRPr="00720D9E">
        <w:tab/>
        <w:t>Additional fossil fuel consumption for the capture and destruction of methane during the reporting period (volume)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FF</w:t>
      </w:r>
      <w:r w:rsidRPr="00720D9E">
        <w:rPr>
          <w:i/>
          <w:vertAlign w:val="subscript"/>
        </w:rPr>
        <w:tab/>
      </w:r>
      <w:r w:rsidRPr="00720D9E">
        <w:t>=</w:t>
      </w:r>
      <w:r w:rsidRPr="00720D9E">
        <w:tab/>
        <w:t>CO</w:t>
      </w:r>
      <w:r w:rsidRPr="00720D9E">
        <w:rPr>
          <w:vertAlign w:val="subscript"/>
        </w:rPr>
        <w:t>2</w:t>
      </w:r>
      <w:r w:rsidRPr="00720D9E">
        <w:t xml:space="preserve"> emission factor of fossil fuel used </w:t>
      </w:r>
      <w:r w:rsidR="00106016" w:rsidRPr="00720D9E">
        <w:t>from Appendix A</w:t>
      </w:r>
      <w:r w:rsidR="004F2D63">
        <w:t xml:space="preserve"> </w:t>
      </w:r>
      <w:r w:rsidR="004F2D63" w:rsidRPr="00720D9E">
        <w:t>(kg CO</w:t>
      </w:r>
      <w:r w:rsidR="004F2D63" w:rsidRPr="00720D9E">
        <w:rPr>
          <w:vertAlign w:val="subscript"/>
        </w:rPr>
        <w:t>2</w:t>
      </w:r>
      <w:r w:rsidR="004F2D63" w:rsidRPr="00720D9E">
        <w:t>/volume)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1/1000</w:t>
      </w:r>
      <w:r w:rsidRPr="00720D9E">
        <w:tab/>
        <w:t>=</w:t>
      </w:r>
      <w:r w:rsidRPr="00720D9E">
        <w:tab/>
        <w:t>Conversion of kg to metric tons</w:t>
      </w:r>
    </w:p>
    <w:p w:rsidR="00C926F7" w:rsidRPr="00720D9E" w:rsidRDefault="00C926F7" w:rsidP="00C926F7">
      <w:pPr>
        <w:pStyle w:val="ListParagraph"/>
        <w:numPr>
          <w:ilvl w:val="0"/>
          <w:numId w:val="28"/>
        </w:numPr>
        <w:ind w:hanging="720"/>
      </w:pPr>
      <w:r w:rsidRPr="00720D9E">
        <w:t>Project emissions from the destruction of methane (PE</w:t>
      </w:r>
      <w:r w:rsidR="00CA6B48" w:rsidRPr="00720D9E">
        <w:rPr>
          <w:vertAlign w:val="subscript"/>
        </w:rPr>
        <w:t>MD</w:t>
      </w:r>
      <w:r w:rsidRPr="00720D9E">
        <w:t xml:space="preserve">) must be quantified using Equations </w:t>
      </w:r>
      <w:r w:rsidR="00A45AB1" w:rsidRPr="00720D9E">
        <w:t>5</w:t>
      </w:r>
      <w:r w:rsidRPr="00720D9E">
        <w:t>.</w:t>
      </w:r>
      <w:r w:rsidR="007F443B" w:rsidRPr="00720D9E">
        <w:t>7</w:t>
      </w:r>
      <w:r w:rsidRPr="00720D9E">
        <w:t xml:space="preserve"> and </w:t>
      </w:r>
      <w:r w:rsidR="00A45AB1" w:rsidRPr="00720D9E">
        <w:t>5</w:t>
      </w:r>
      <w:r w:rsidRPr="00720D9E">
        <w:t>.</w:t>
      </w:r>
      <w:r w:rsidR="007F443B" w:rsidRPr="00720D9E">
        <w:t>8</w:t>
      </w:r>
      <w:r w:rsidRPr="00720D9E">
        <w:t xml:space="preserve">. </w:t>
      </w:r>
    </w:p>
    <w:p w:rsidR="00E021AB" w:rsidRPr="00720D9E" w:rsidRDefault="00E021AB" w:rsidP="00106016">
      <w:pPr>
        <w:pStyle w:val="ListParagraph"/>
        <w:numPr>
          <w:ilvl w:val="0"/>
          <w:numId w:val="28"/>
        </w:numPr>
        <w:ind w:hanging="720"/>
      </w:pPr>
      <w:r w:rsidRPr="00720D9E">
        <w:t>PE</w:t>
      </w:r>
      <w:r w:rsidRPr="00720D9E">
        <w:rPr>
          <w:vertAlign w:val="subscript"/>
        </w:rPr>
        <w:t>MD</w:t>
      </w:r>
      <w:r w:rsidRPr="00720D9E">
        <w:t xml:space="preserve"> must include the estimated CO</w:t>
      </w:r>
      <w:r w:rsidRPr="00720D9E">
        <w:rPr>
          <w:vertAlign w:val="subscript"/>
        </w:rPr>
        <w:t>2</w:t>
      </w:r>
      <w:r w:rsidRPr="00720D9E">
        <w:t xml:space="preserve"> emissions from the destruction of VAM by all qualifying and non-qualifying devices.</w:t>
      </w:r>
    </w:p>
    <w:p w:rsidR="00E021AB" w:rsidRPr="00720D9E" w:rsidRDefault="00E021AB" w:rsidP="00106016">
      <w:pPr>
        <w:pStyle w:val="ListParagraph"/>
        <w:numPr>
          <w:ilvl w:val="0"/>
          <w:numId w:val="28"/>
        </w:numPr>
        <w:ind w:hanging="720"/>
      </w:pPr>
      <w:r w:rsidRPr="00720D9E">
        <w:t xml:space="preserve">If MG is used to supplement VAM, the MG destructed by </w:t>
      </w:r>
      <w:r w:rsidR="00582355" w:rsidRPr="00720D9E">
        <w:t>the project during the reporting period must be accounted for using Equation 5.8 either as MG</w:t>
      </w:r>
      <w:r w:rsidR="00582355" w:rsidRPr="00720D9E">
        <w:rPr>
          <w:vertAlign w:val="subscript"/>
        </w:rPr>
        <w:t>SUPP,i</w:t>
      </w:r>
      <w:r w:rsidR="00582355" w:rsidRPr="00720D9E">
        <w:t>, if VAM flow and mine methane flow are monitored separately, or through VAM</w:t>
      </w:r>
      <w:r w:rsidR="00582355" w:rsidRPr="00720D9E">
        <w:rPr>
          <w:vertAlign w:val="subscript"/>
        </w:rPr>
        <w:t>P,i</w:t>
      </w:r>
      <w:r w:rsidR="00582355" w:rsidRPr="00720D9E">
        <w:t xml:space="preserve"> if only the resulting enriched flow is monitored.</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7F443B" w:rsidRPr="00720D9E">
        <w:t>7</w:t>
      </w:r>
      <w:r w:rsidR="00C926F7" w:rsidRPr="00720D9E">
        <w:t xml:space="preserve">: Project Emissions from Destruction of Captured </w:t>
      </w:r>
      <w:r w:rsidR="00AB2672" w:rsidRPr="00720D9E">
        <w:t>Methane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810"/>
        </w:tabs>
        <w:rPr>
          <w:i/>
          <w:vertAlign w:val="subscript"/>
          <w:lang w:val="en-GB"/>
        </w:rPr>
      </w:pPr>
      <w:r w:rsidRPr="00720D9E">
        <w:rPr>
          <w:i/>
        </w:rPr>
        <w:t>PE</w:t>
      </w:r>
      <w:r w:rsidR="007F443B" w:rsidRPr="00720D9E">
        <w:rPr>
          <w:i/>
          <w:vertAlign w:val="subscript"/>
        </w:rPr>
        <w:t>MD</w:t>
      </w:r>
      <w:r w:rsidRPr="00720D9E">
        <w:rPr>
          <w:i/>
        </w:rPr>
        <w:t xml:space="preserve"> = </w:t>
      </w:r>
      <w:r w:rsidR="00626455" w:rsidRPr="00720D9E">
        <w:rPr>
          <w:i/>
          <w:position w:val="-28"/>
        </w:rPr>
        <w:object w:dxaOrig="480" w:dyaOrig="540">
          <v:shape id="_x0000_i1028" type="#_x0000_t75" style="width:22pt;height:29pt" o:ole="">
            <v:imagedata r:id="rId18" o:title=""/>
          </v:shape>
          <o:OLEObject Type="Embed" ProgID="Equation.3" ShapeID="_x0000_i1028" DrawAspect="Content" ObjectID="_1437988681" r:id="rId19"/>
        </w:object>
      </w:r>
      <w:r w:rsidRPr="00720D9E">
        <w:rPr>
          <w:i/>
        </w:rPr>
        <w:t>MD</w:t>
      </w:r>
      <w:r w:rsidRPr="00720D9E">
        <w:rPr>
          <w:i/>
          <w:vertAlign w:val="subscript"/>
        </w:rPr>
        <w:t xml:space="preserve">i </w:t>
      </w:r>
      <w:r w:rsidRPr="00720D9E">
        <w:rPr>
          <w:vertAlign w:val="subscript"/>
        </w:rPr>
        <w:t xml:space="preserve"> </w:t>
      </w:r>
      <w:r w:rsidRPr="00720D9E">
        <w:t xml:space="preserve">x </w:t>
      </w:r>
      <w:r w:rsidRPr="00720D9E">
        <w:rPr>
          <w:i/>
        </w:rPr>
        <w:t>CEF</w:t>
      </w:r>
      <w:r w:rsidRPr="00720D9E">
        <w:rPr>
          <w:i/>
          <w:vertAlign w:val="subscript"/>
        </w:rPr>
        <w:t>CH4</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PE</w:t>
      </w:r>
      <w:r w:rsidR="00F04FB0" w:rsidRPr="00720D9E">
        <w:rPr>
          <w:i/>
          <w:vertAlign w:val="subscript"/>
        </w:rPr>
        <w:t>MD</w:t>
      </w:r>
      <w:r w:rsidRPr="00720D9E">
        <w:tab/>
        <w:t>=</w:t>
      </w:r>
      <w:r w:rsidRPr="00720D9E">
        <w:tab/>
        <w:t>Project emissions from destruction of methane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 xml:space="preserve">Use of methane (oxidation or alternative combustion end use) </w:t>
      </w:r>
      <w:r w:rsidR="00626455" w:rsidRPr="00720D9E">
        <w:t>by all qualifying and non-qualifying devices</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00F04FB0" w:rsidRPr="00720D9E">
        <w:rPr>
          <w:i/>
          <w:vertAlign w:val="subscript"/>
        </w:rPr>
        <w:t>,i</w:t>
      </w:r>
      <w:r w:rsidRPr="00720D9E">
        <w:tab/>
        <w:t>=</w:t>
      </w:r>
      <w:r w:rsidRPr="00720D9E">
        <w:tab/>
        <w:t>Methane destroyed by use i during the reporting period (tCH</w:t>
      </w:r>
      <w:r w:rsidRPr="00720D9E">
        <w:rPr>
          <w:vertAlign w:val="subscript"/>
        </w:rPr>
        <w:t>4</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CH4</w:t>
      </w:r>
      <w:r w:rsidRPr="00720D9E">
        <w:tab/>
        <w:t>=</w:t>
      </w:r>
      <w:r w:rsidRPr="00720D9E">
        <w:tab/>
        <w:t>CO</w:t>
      </w:r>
      <w:r w:rsidRPr="00720D9E">
        <w:rPr>
          <w:vertAlign w:val="subscript"/>
        </w:rPr>
        <w:t>2</w:t>
      </w:r>
      <w:r w:rsidRPr="00720D9E">
        <w:t xml:space="preserve"> emission factor for combusted methane (2.75 tCO</w:t>
      </w:r>
      <w:r w:rsidRPr="00720D9E">
        <w:rPr>
          <w:vertAlign w:val="subscript"/>
        </w:rPr>
        <w:t>2</w:t>
      </w:r>
      <w:r w:rsidRPr="00720D9E">
        <w:t>e/tCH</w:t>
      </w:r>
      <w:r w:rsidRPr="00720D9E">
        <w:rPr>
          <w:vertAlign w:val="subscript"/>
        </w:rPr>
        <w:t>4</w:t>
      </w:r>
      <w:r w:rsidRPr="00720D9E">
        <w:t>)</w:t>
      </w:r>
    </w:p>
    <w:p w:rsidR="00C926F7" w:rsidRPr="00720D9E" w:rsidRDefault="00C926F7" w:rsidP="000B732C">
      <w:pPr>
        <w:pStyle w:val="NoSpacing"/>
      </w:pP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F04FB0" w:rsidRPr="00720D9E">
        <w:t>8</w:t>
      </w:r>
      <w:r w:rsidR="00C926F7" w:rsidRPr="00720D9E">
        <w:t>: Methane Destroyed by VAM Oxidation</w:t>
      </w:r>
    </w:p>
    <w:p w:rsidR="00CA6B48" w:rsidRPr="00720D9E" w:rsidRDefault="00C926F7" w:rsidP="00C926F7">
      <w:pPr>
        <w:pBdr>
          <w:top w:val="single" w:sz="4" w:space="1" w:color="auto"/>
          <w:left w:val="single" w:sz="4" w:space="4" w:color="auto"/>
          <w:bottom w:val="single" w:sz="4" w:space="1" w:color="auto"/>
          <w:right w:val="single" w:sz="4" w:space="4" w:color="auto"/>
        </w:pBdr>
        <w:tabs>
          <w:tab w:val="left" w:pos="810"/>
        </w:tabs>
      </w:pPr>
      <w:r w:rsidRPr="00720D9E">
        <w:rPr>
          <w:i/>
        </w:rPr>
        <w:t>MD</w:t>
      </w:r>
      <w:r w:rsidRPr="00720D9E">
        <w:rPr>
          <w:i/>
          <w:vertAlign w:val="subscript"/>
        </w:rPr>
        <w:t xml:space="preserve">i </w:t>
      </w:r>
      <w:r w:rsidRPr="00720D9E">
        <w:rPr>
          <w:vertAlign w:val="subscript"/>
        </w:rPr>
        <w:t xml:space="preserve"> </w:t>
      </w:r>
      <w:r w:rsidRPr="00720D9E">
        <w:t xml:space="preserve">= </w:t>
      </w:r>
      <w:r w:rsidR="00626455" w:rsidRPr="00720D9E">
        <w:rPr>
          <w:i/>
          <w:position w:val="-28"/>
        </w:rPr>
        <w:object w:dxaOrig="480" w:dyaOrig="540">
          <v:shape id="_x0000_i1029" type="#_x0000_t75" style="width:22pt;height:29pt" o:ole="">
            <v:imagedata r:id="rId18" o:title=""/>
          </v:shape>
          <o:OLEObject Type="Embed" ProgID="Equation.3" ShapeID="_x0000_i1029" DrawAspect="Content" ObjectID="_1437988682" r:id="rId20"/>
        </w:object>
      </w:r>
      <w:r w:rsidR="00CA6B48" w:rsidRPr="00720D9E">
        <w:rPr>
          <w:i/>
        </w:rPr>
        <w:t>MM</w:t>
      </w:r>
      <w:r w:rsidR="00CA6B48" w:rsidRPr="00720D9E">
        <w:rPr>
          <w:i/>
          <w:vertAlign w:val="subscript"/>
        </w:rPr>
        <w:t>i</w:t>
      </w:r>
      <w:r w:rsidR="00CA6B48" w:rsidRPr="00720D9E">
        <w:rPr>
          <w:i/>
        </w:rPr>
        <w:t xml:space="preserve"> – PE</w:t>
      </w:r>
      <w:r w:rsidR="00CA6B48" w:rsidRPr="00720D9E">
        <w:rPr>
          <w:i/>
          <w:vertAlign w:val="subscript"/>
        </w:rPr>
        <w:t>NO</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00F04FB0" w:rsidRPr="00720D9E">
        <w:rPr>
          <w:i/>
          <w:vertAlign w:val="subscript"/>
        </w:rPr>
        <w:t>,i</w:t>
      </w:r>
      <w:r w:rsidRPr="00720D9E">
        <w:tab/>
        <w:t>=</w:t>
      </w:r>
      <w:r w:rsidRPr="00720D9E">
        <w:tab/>
        <w:t>Methane destroyed by use i during the reporting period (tCH</w:t>
      </w:r>
      <w:r w:rsidRPr="00720D9E">
        <w:rPr>
          <w:vertAlign w:val="subscript"/>
        </w:rPr>
        <w:t>4</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(oxidation or alternative combustion end use)</w:t>
      </w:r>
      <w:r w:rsidR="00626455" w:rsidRPr="00720D9E">
        <w:t xml:space="preserve"> by all qualifying and non-qualifying devices</w:t>
      </w:r>
    </w:p>
    <w:p w:rsidR="00CA6B48" w:rsidRPr="00720D9E" w:rsidRDefault="00CA6B48"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MM</w:t>
      </w:r>
      <w:r w:rsidRPr="00720D9E">
        <w:rPr>
          <w:i/>
          <w:vertAlign w:val="subscript"/>
        </w:rPr>
        <w:t>i</w:t>
      </w:r>
      <w:r w:rsidRPr="00720D9E">
        <w:rPr>
          <w:i/>
          <w:vertAlign w:val="subscript"/>
        </w:rPr>
        <w:tab/>
        <w:t>=</w:t>
      </w:r>
      <w:r w:rsidRPr="00720D9E">
        <w:rPr>
          <w:i/>
          <w:vertAlign w:val="subscript"/>
        </w:rPr>
        <w:tab/>
      </w:r>
      <w:r w:rsidRPr="00720D9E">
        <w:t>Mine methane sent to destruction device (tCH</w:t>
      </w:r>
      <w:r w:rsidRPr="00720D9E">
        <w:rPr>
          <w:vertAlign w:val="subscript"/>
        </w:rPr>
        <w:t>4</w:t>
      </w:r>
      <w:r w:rsidRPr="00720D9E">
        <w:t>)</w:t>
      </w:r>
    </w:p>
    <w:p w:rsidR="00CA6B48" w:rsidRPr="00720D9E" w:rsidRDefault="00CA6B48" w:rsidP="00CA6B4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NO</w:t>
      </w:r>
      <w:r w:rsidRPr="00720D9E">
        <w:tab/>
        <w:t>=</w:t>
      </w:r>
      <w:r w:rsidRPr="00720D9E">
        <w:tab/>
        <w:t>Project emissions of non-oxidized methane from oxidation of the VAM stream during the reporting period (tCH</w:t>
      </w:r>
      <w:r w:rsidRPr="00720D9E">
        <w:rPr>
          <w:vertAlign w:val="subscript"/>
        </w:rPr>
        <w:t>4</w:t>
      </w:r>
      <w:r w:rsidRPr="00720D9E">
        <w:t xml:space="preserve">) </w:t>
      </w:r>
    </w:p>
    <w:p w:rsidR="00C926F7" w:rsidRPr="00720D9E" w:rsidRDefault="00C926F7" w:rsidP="00CA6B48">
      <w:pPr>
        <w:pBdr>
          <w:top w:val="single" w:sz="4" w:space="1" w:color="auto"/>
          <w:left w:val="single" w:sz="4" w:space="4" w:color="auto"/>
          <w:bottom w:val="single" w:sz="4" w:space="1" w:color="auto"/>
          <w:right w:val="single" w:sz="4" w:space="4" w:color="auto"/>
        </w:pBdr>
        <w:tabs>
          <w:tab w:val="left" w:pos="1440"/>
        </w:tabs>
        <w:spacing w:after="120" w:line="240" w:lineRule="auto"/>
      </w:pP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With:</w:t>
      </w:r>
    </w:p>
    <w:p w:rsidR="00CA6B48" w:rsidRPr="00720D9E" w:rsidRDefault="00CA6B48" w:rsidP="00CA6B48">
      <w:pPr>
        <w:pBdr>
          <w:top w:val="single" w:sz="4" w:space="1" w:color="auto"/>
          <w:left w:val="single" w:sz="4" w:space="4" w:color="auto"/>
          <w:bottom w:val="single" w:sz="4" w:space="1" w:color="auto"/>
          <w:right w:val="single" w:sz="4" w:space="4" w:color="auto"/>
        </w:pBdr>
        <w:tabs>
          <w:tab w:val="left" w:pos="810"/>
        </w:tabs>
      </w:pPr>
      <w:r w:rsidRPr="00720D9E">
        <w:rPr>
          <w:i/>
        </w:rPr>
        <w:t>MM</w:t>
      </w:r>
      <w:r w:rsidRPr="00720D9E">
        <w:rPr>
          <w:i/>
          <w:vertAlign w:val="subscript"/>
        </w:rPr>
        <w:t>i</w:t>
      </w:r>
      <w:r w:rsidRPr="00720D9E">
        <w:t xml:space="preserve">  = (</w:t>
      </w:r>
      <w:r w:rsidRPr="00720D9E">
        <w:rPr>
          <w:i/>
        </w:rPr>
        <w:t>VAM</w:t>
      </w:r>
      <w:r w:rsidRPr="00720D9E">
        <w:rPr>
          <w:i/>
          <w:vertAlign w:val="subscript"/>
        </w:rPr>
        <w:t>i</w:t>
      </w:r>
      <w:r w:rsidRPr="00720D9E">
        <w:t xml:space="preserve"> x </w:t>
      </w:r>
      <w:r w:rsidRPr="00720D9E">
        <w:rPr>
          <w:i/>
          <w:lang w:val="en-GB"/>
        </w:rPr>
        <w:t>C</w:t>
      </w:r>
      <w:r w:rsidRPr="00720D9E">
        <w:rPr>
          <w:i/>
          <w:vertAlign w:val="subscript"/>
          <w:lang w:val="en-GB"/>
        </w:rPr>
        <w:t>CH4</w:t>
      </w:r>
      <w:r w:rsidR="00167241" w:rsidRPr="00720D9E">
        <w:t xml:space="preserve"> + </w:t>
      </w:r>
      <w:r w:rsidR="00167241" w:rsidRPr="00720D9E">
        <w:rPr>
          <w:i/>
        </w:rPr>
        <w:t>MG</w:t>
      </w:r>
      <w:r w:rsidR="00167241" w:rsidRPr="00720D9E">
        <w:rPr>
          <w:i/>
          <w:vertAlign w:val="subscript"/>
        </w:rPr>
        <w:t>SUPP,i</w:t>
      </w:r>
      <w:r w:rsidR="00167241" w:rsidRPr="00720D9E">
        <w:t xml:space="preserve">  x </w:t>
      </w:r>
      <w:r w:rsidR="00167241" w:rsidRPr="00720D9E">
        <w:rPr>
          <w:i/>
          <w:lang w:val="en-GB"/>
        </w:rPr>
        <w:t>C</w:t>
      </w:r>
      <w:r w:rsidR="00167241" w:rsidRPr="00720D9E">
        <w:rPr>
          <w:i/>
          <w:vertAlign w:val="subscript"/>
          <w:lang w:val="en-GB"/>
        </w:rPr>
        <w:t>CH4MG</w:t>
      </w:r>
      <w:r w:rsidR="00167241" w:rsidRPr="00720D9E">
        <w:rPr>
          <w:lang w:val="en-GB"/>
        </w:rPr>
        <w:t xml:space="preserve">) x </w:t>
      </w:r>
      <w:r w:rsidRPr="00720D9E">
        <w:t xml:space="preserve"> 0.0423 x 0.000454</w:t>
      </w:r>
    </w:p>
    <w:p w:rsidR="00CA6B48" w:rsidRPr="00720D9E" w:rsidRDefault="00CA6B48" w:rsidP="00CA6B48">
      <w:pPr>
        <w:pBdr>
          <w:top w:val="single" w:sz="4" w:space="1" w:color="auto"/>
          <w:left w:val="single" w:sz="4" w:space="4" w:color="auto"/>
          <w:bottom w:val="single" w:sz="4" w:space="1" w:color="auto"/>
          <w:right w:val="single" w:sz="4" w:space="4" w:color="auto"/>
        </w:pBdr>
        <w:tabs>
          <w:tab w:val="left" w:pos="810"/>
        </w:tabs>
        <w:rPr>
          <w:i/>
        </w:rPr>
      </w:pPr>
      <w:r w:rsidRPr="00720D9E">
        <w:rPr>
          <w:i/>
        </w:rPr>
        <w:t>Where,</w:t>
      </w:r>
    </w:p>
    <w:p w:rsidR="00CA6B48" w:rsidRPr="00720D9E" w:rsidRDefault="00CA6B48" w:rsidP="00CA6B4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VAM</w:t>
      </w:r>
      <w:r w:rsidR="00BC1420" w:rsidRPr="00BC1420">
        <w:rPr>
          <w:i/>
          <w:vertAlign w:val="subscript"/>
        </w:rPr>
        <w:t>P,</w:t>
      </w:r>
      <w:r w:rsidRPr="00720D9E">
        <w:rPr>
          <w:i/>
          <w:vertAlign w:val="subscript"/>
        </w:rPr>
        <w:t>i</w:t>
      </w:r>
      <w:r w:rsidRPr="00720D9E">
        <w:rPr>
          <w:i/>
          <w:vertAlign w:val="subscript"/>
        </w:rPr>
        <w:tab/>
      </w:r>
      <w:r w:rsidRPr="00720D9E">
        <w:t>=</w:t>
      </w:r>
      <w:r w:rsidRPr="00720D9E">
        <w:tab/>
      </w:r>
      <w:r w:rsidR="00B912B0" w:rsidRPr="00720D9E">
        <w:t xml:space="preserve">Volume of ventilation air </w:t>
      </w:r>
      <w:r w:rsidR="00B912B0">
        <w:t xml:space="preserve">sent to </w:t>
      </w:r>
      <w:r w:rsidR="00B912B0" w:rsidRPr="00720D9E">
        <w:t>qualifying and non-qualifying devices for destruction through use i during the project during the reporting period (scf)</w:t>
      </w:r>
    </w:p>
    <w:p w:rsidR="00CA6B48" w:rsidRPr="00720D9E" w:rsidRDefault="00CA6B48" w:rsidP="00CA6B4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captured ventilation air (scf CH</w:t>
      </w:r>
      <w:r w:rsidRPr="00720D9E">
        <w:rPr>
          <w:vertAlign w:val="subscript"/>
          <w:lang w:val="en-GB"/>
        </w:rPr>
        <w:t>4</w:t>
      </w:r>
      <w:r w:rsidRPr="00720D9E">
        <w:rPr>
          <w:lang w:val="en-GB"/>
        </w:rPr>
        <w:t>/scf)</w:t>
      </w:r>
    </w:p>
    <w:p w:rsidR="00167241" w:rsidRPr="00720D9E" w:rsidRDefault="00167241" w:rsidP="00167241">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MG</w:t>
      </w:r>
      <w:r w:rsidRPr="00720D9E">
        <w:rPr>
          <w:i/>
          <w:vertAlign w:val="subscript"/>
        </w:rPr>
        <w:t>SUPP,i</w:t>
      </w:r>
      <w:r w:rsidRPr="00720D9E">
        <w:rPr>
          <w:i/>
          <w:vertAlign w:val="subscript"/>
        </w:rPr>
        <w:tab/>
      </w:r>
      <w:r w:rsidRPr="00720D9E">
        <w:t>=</w:t>
      </w:r>
      <w:r w:rsidRPr="00720D9E">
        <w:tab/>
        <w:t xml:space="preserve">Volume of mine methane extracted from a methane drainage system and </w:t>
      </w:r>
      <w:r w:rsidR="008E55FC" w:rsidRPr="00720D9E">
        <w:t>sent to destruction device</w:t>
      </w:r>
      <w:r w:rsidRPr="00720D9E">
        <w:t xml:space="preserve"> with VAM  (scf)</w:t>
      </w:r>
    </w:p>
    <w:p w:rsidR="00167241" w:rsidRPr="00720D9E" w:rsidRDefault="00167241" w:rsidP="00167241">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lang w:val="en-GB"/>
        </w:rPr>
        <w:t>C</w:t>
      </w:r>
      <w:r w:rsidRPr="00720D9E">
        <w:rPr>
          <w:i/>
          <w:vertAlign w:val="subscript"/>
          <w:lang w:val="en-GB"/>
        </w:rPr>
        <w:t>CH4MG</w:t>
      </w:r>
      <w:r w:rsidRPr="00720D9E">
        <w:rPr>
          <w:lang w:val="en-GB"/>
        </w:rPr>
        <w:tab/>
        <w:t>=</w:t>
      </w:r>
      <w:r w:rsidRPr="00720D9E">
        <w:rPr>
          <w:lang w:val="en-GB"/>
        </w:rPr>
        <w:tab/>
        <w:t>Measured methane concentration of captured mine gas (scf CH</w:t>
      </w:r>
      <w:r w:rsidRPr="00720D9E">
        <w:rPr>
          <w:vertAlign w:val="subscript"/>
          <w:lang w:val="en-GB"/>
        </w:rPr>
        <w:t>4</w:t>
      </w:r>
      <w:r w:rsidRPr="00720D9E">
        <w:rPr>
          <w:lang w:val="en-GB"/>
        </w:rPr>
        <w:t>/scf)</w:t>
      </w:r>
    </w:p>
    <w:p w:rsidR="00CA6B48" w:rsidRPr="00720D9E" w:rsidRDefault="00CA6B48" w:rsidP="00CA6B4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CA6B48" w:rsidRPr="00720D9E" w:rsidRDefault="00CA6B48" w:rsidP="00CA6B4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vertAlign w:val="subscript"/>
        </w:rPr>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CA6B48" w:rsidRPr="00720D9E" w:rsidRDefault="00CA6B48" w:rsidP="00CA6B4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p>
    <w:p w:rsidR="00CA6B48" w:rsidRPr="00720D9E" w:rsidRDefault="00CA6B48"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With:</w:t>
      </w:r>
    </w:p>
    <w:p w:rsidR="00C926F7" w:rsidRPr="00720D9E" w:rsidRDefault="00B912B0" w:rsidP="00067DF2">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rPr>
          <w:i/>
        </w:rPr>
        <w:t>VAM</w:t>
      </w:r>
      <w:r w:rsidRPr="00BC1420">
        <w:rPr>
          <w:i/>
          <w:vertAlign w:val="subscript"/>
        </w:rPr>
        <w:t>P,</w:t>
      </w:r>
      <w:r w:rsidRPr="00720D9E">
        <w:rPr>
          <w:i/>
          <w:vertAlign w:val="subscript"/>
        </w:rPr>
        <w:t>i</w:t>
      </w:r>
      <w:r w:rsidRPr="00720D9E">
        <w:rPr>
          <w:i/>
        </w:rPr>
        <w:t xml:space="preserve"> </w:t>
      </w:r>
      <w:r w:rsidR="00067DF2" w:rsidRPr="00720D9E">
        <w:rPr>
          <w:i/>
        </w:rPr>
        <w:t xml:space="preserve">= </w:t>
      </w:r>
      <w:r w:rsidR="00C926F7" w:rsidRPr="00720D9E">
        <w:rPr>
          <w:i/>
        </w:rPr>
        <w:t>VAM</w:t>
      </w:r>
      <w:r w:rsidR="00C926F7" w:rsidRPr="00720D9E">
        <w:rPr>
          <w:i/>
          <w:vertAlign w:val="subscript"/>
        </w:rPr>
        <w:t>FLOW,y</w:t>
      </w:r>
      <w:r w:rsidR="00C926F7" w:rsidRPr="00720D9E">
        <w:rPr>
          <w:i/>
        </w:rPr>
        <w:t xml:space="preserve"> </w:t>
      </w:r>
      <w:r w:rsidR="00C926F7" w:rsidRPr="00720D9E">
        <w:t>x</w:t>
      </w:r>
      <w:r w:rsidR="00C926F7" w:rsidRPr="00720D9E">
        <w:rPr>
          <w:i/>
        </w:rPr>
        <w:t xml:space="preserve"> TIME</w:t>
      </w:r>
      <w:r w:rsidR="00C926F7" w:rsidRPr="00720D9E">
        <w:rPr>
          <w:i/>
          <w:vertAlign w:val="subscript"/>
        </w:rPr>
        <w:t>y</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rPr>
          <w:i/>
        </w:rPr>
        <w:t>Where,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VAM</w:t>
      </w:r>
      <w:r w:rsidRPr="00720D9E">
        <w:rPr>
          <w:i/>
          <w:vertAlign w:val="subscript"/>
        </w:rPr>
        <w:t>FLOW,y</w:t>
      </w:r>
      <w:r w:rsidRPr="00720D9E">
        <w:rPr>
          <w:vertAlign w:val="subscript"/>
        </w:rPr>
        <w:tab/>
      </w:r>
      <w:r w:rsidRPr="00720D9E">
        <w:t>=</w:t>
      </w:r>
      <w:r w:rsidRPr="00720D9E">
        <w:tab/>
        <w:t xml:space="preserve">Average flow rate of ventilation air entering the </w:t>
      </w:r>
      <w:r w:rsidR="003B5CED" w:rsidRPr="00720D9E">
        <w:t>destruction device</w:t>
      </w:r>
      <w:r w:rsidRPr="00720D9E">
        <w:t xml:space="preserve"> during period y corrected to standard conditions, </w:t>
      </w:r>
      <w:r w:rsidR="00851EE5" w:rsidRPr="00720D9E">
        <w:t>if applicable</w:t>
      </w:r>
      <w:r w:rsidRPr="00720D9E">
        <w:t>, for inlet flow gas pressure and temperature (scfm)</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TIME</w:t>
      </w:r>
      <w:r w:rsidRPr="00720D9E">
        <w:rPr>
          <w:i/>
          <w:vertAlign w:val="subscript"/>
        </w:rPr>
        <w:t>y</w:t>
      </w:r>
      <w:r w:rsidRPr="00720D9E">
        <w:rPr>
          <w:i/>
          <w:vertAlign w:val="subscript"/>
        </w:rPr>
        <w:tab/>
      </w:r>
      <w:r w:rsidRPr="00720D9E">
        <w:t>=</w:t>
      </w:r>
      <w:r w:rsidRPr="00720D9E">
        <w:tab/>
        <w:t xml:space="preserve">Time during which </w:t>
      </w:r>
      <w:r w:rsidR="003B5CED" w:rsidRPr="00720D9E">
        <w:t>destruction device</w:t>
      </w:r>
      <w:r w:rsidRPr="00720D9E">
        <w:t xml:space="preserve"> is operational during period y (m)</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And:</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vertAlign w:val="subscript"/>
        </w:rPr>
      </w:pPr>
      <w:r w:rsidRPr="00720D9E">
        <w:rPr>
          <w:i/>
        </w:rPr>
        <w:t>PE</w:t>
      </w:r>
      <w:r w:rsidR="00067DF2" w:rsidRPr="00720D9E">
        <w:rPr>
          <w:i/>
          <w:vertAlign w:val="subscript"/>
        </w:rPr>
        <w:t>NO</w:t>
      </w:r>
      <w:r w:rsidRPr="00720D9E">
        <w:rPr>
          <w:i/>
        </w:rPr>
        <w:t xml:space="preserve"> = VAM</w:t>
      </w:r>
      <w:r w:rsidRPr="00720D9E">
        <w:rPr>
          <w:i/>
          <w:vertAlign w:val="subscript"/>
        </w:rPr>
        <w:t>FLOW,y</w:t>
      </w:r>
      <w:r w:rsidRPr="00720D9E">
        <w:rPr>
          <w:i/>
        </w:rPr>
        <w:t xml:space="preserve"> </w:t>
      </w:r>
      <w:r w:rsidRPr="00720D9E">
        <w:t>x</w:t>
      </w:r>
      <w:r w:rsidRPr="00720D9E">
        <w:rPr>
          <w:i/>
        </w:rPr>
        <w:t xml:space="preserve"> TIME</w:t>
      </w:r>
      <w:r w:rsidRPr="00720D9E">
        <w:rPr>
          <w:i/>
          <w:vertAlign w:val="subscript"/>
        </w:rPr>
        <w:t>y</w:t>
      </w:r>
      <w:r w:rsidRPr="00720D9E">
        <w:rPr>
          <w:i/>
        </w:rPr>
        <w:t xml:space="preserve"> </w:t>
      </w:r>
      <w:r w:rsidRPr="00720D9E">
        <w:t>x</w:t>
      </w:r>
      <w:r w:rsidRPr="00720D9E">
        <w:rPr>
          <w:i/>
        </w:rPr>
        <w:t xml:space="preserve"> C</w:t>
      </w:r>
      <w:r w:rsidRPr="00720D9E">
        <w:rPr>
          <w:i/>
          <w:vertAlign w:val="subscript"/>
        </w:rPr>
        <w:t>CH4,exhaust</w:t>
      </w:r>
      <w:r w:rsidR="00CA6B48" w:rsidRPr="00720D9E">
        <w:t xml:space="preserve"> x 0.0423 x 0.000454</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rPr>
          <w:i/>
        </w:rPr>
        <w:t>Where,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w:t>
      </w:r>
      <w:r w:rsidRPr="00720D9E">
        <w:rPr>
          <w:i/>
          <w:vertAlign w:val="subscript"/>
        </w:rPr>
        <w:t>CH4,exhaust</w:t>
      </w:r>
      <w:r w:rsidRPr="00720D9E">
        <w:tab/>
        <w:t>=</w:t>
      </w:r>
      <w:r w:rsidRPr="00720D9E">
        <w:tab/>
      </w:r>
      <w:r w:rsidR="00CA6B48" w:rsidRPr="00720D9E">
        <w:t>Measured methane c</w:t>
      </w:r>
      <w:r w:rsidRPr="00720D9E">
        <w:t>oncentration in the ventilation air exhaust (scf</w:t>
      </w:r>
      <w:r w:rsidR="00067DF2" w:rsidRPr="00720D9E">
        <w:t xml:space="preserve"> CH</w:t>
      </w:r>
      <w:r w:rsidR="00067DF2" w:rsidRPr="00720D9E">
        <w:rPr>
          <w:vertAlign w:val="subscript"/>
        </w:rPr>
        <w:t>4</w:t>
      </w:r>
      <w:r w:rsidRPr="00720D9E">
        <w:t>/scf)</w:t>
      </w:r>
    </w:p>
    <w:p w:rsidR="00420675" w:rsidRPr="00720D9E" w:rsidRDefault="00420675" w:rsidP="00420675">
      <w:pPr>
        <w:pStyle w:val="ListParagraph"/>
        <w:numPr>
          <w:ilvl w:val="0"/>
          <w:numId w:val="28"/>
        </w:numPr>
        <w:ind w:hanging="720"/>
      </w:pPr>
      <w:r w:rsidRPr="00720D9E">
        <w:t>Project emissions from uncombusted methane (PE</w:t>
      </w:r>
      <w:r>
        <w:rPr>
          <w:vertAlign w:val="subscript"/>
        </w:rPr>
        <w:t>UM</w:t>
      </w:r>
      <w:r w:rsidRPr="00720D9E">
        <w:t>) must be quantified using Equation 5.</w:t>
      </w:r>
      <w:r>
        <w:t>9</w:t>
      </w:r>
      <w:r w:rsidRPr="00720D9E">
        <w:t xml:space="preserve">. </w:t>
      </w:r>
    </w:p>
    <w:p w:rsidR="00420675" w:rsidRPr="00720D9E" w:rsidRDefault="00420675" w:rsidP="00420675">
      <w:pPr>
        <w:pStyle w:val="Heading4"/>
        <w:pBdr>
          <w:top w:val="single" w:sz="4" w:space="1" w:color="auto"/>
          <w:left w:val="single" w:sz="4" w:space="4" w:color="auto"/>
          <w:bottom w:val="single" w:sz="4" w:space="1" w:color="auto"/>
          <w:right w:val="single" w:sz="4" w:space="4" w:color="auto"/>
        </w:pBdr>
      </w:pPr>
      <w:r w:rsidRPr="00720D9E">
        <w:t>Equation 5.</w:t>
      </w:r>
      <w:r>
        <w:t>9</w:t>
      </w:r>
      <w:r w:rsidRPr="00720D9E">
        <w:t>: Uncombusted Methane Emissions</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vertAlign w:val="subscript"/>
        </w:rPr>
      </w:pPr>
      <w:r w:rsidRPr="00720D9E">
        <w:rPr>
          <w:i/>
        </w:rPr>
        <w:t>PE</w:t>
      </w:r>
      <w:r w:rsidRPr="00720D9E">
        <w:rPr>
          <w:i/>
          <w:vertAlign w:val="subscript"/>
        </w:rPr>
        <w:t>UM</w:t>
      </w:r>
      <w:r w:rsidRPr="00720D9E">
        <w:t xml:space="preserve"> = </w:t>
      </w:r>
      <w:r w:rsidRPr="00720D9E">
        <w:rPr>
          <w:i/>
        </w:rPr>
        <w:t>PE</w:t>
      </w:r>
      <w:r w:rsidRPr="00720D9E">
        <w:rPr>
          <w:i/>
          <w:vertAlign w:val="subscript"/>
        </w:rPr>
        <w:t>NO</w:t>
      </w:r>
      <w:r w:rsidRPr="00720D9E">
        <w:t xml:space="preserve"> x </w:t>
      </w:r>
      <w:r w:rsidRPr="00720D9E">
        <w:rPr>
          <w:i/>
        </w:rPr>
        <w:t>GWP</w:t>
      </w:r>
      <w:r w:rsidRPr="00720D9E">
        <w:rPr>
          <w:i/>
          <w:vertAlign w:val="subscript"/>
        </w:rPr>
        <w:t>CH4</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Where,</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UM</w:t>
      </w:r>
      <w:r w:rsidRPr="00720D9E">
        <w:tab/>
        <w:t>=</w:t>
      </w:r>
      <w:r w:rsidRPr="00720D9E">
        <w:tab/>
        <w:t>Project emissions from uncombusted methane during the reporting period (tCO</w:t>
      </w:r>
      <w:r w:rsidRPr="00720D9E">
        <w:rPr>
          <w:vertAlign w:val="subscript"/>
        </w:rPr>
        <w:t>2</w:t>
      </w:r>
      <w:r w:rsidRPr="00720D9E">
        <w:t>e)</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NO</w:t>
      </w:r>
      <w:r w:rsidRPr="00720D9E">
        <w:tab/>
        <w:t>=</w:t>
      </w:r>
      <w:r w:rsidRPr="00720D9E">
        <w:tab/>
        <w:t>Project emissions of non-oxidized methane from oxidation of the VAM stream during the reporting period (tCH</w:t>
      </w:r>
      <w:r w:rsidRPr="00720D9E">
        <w:rPr>
          <w:vertAlign w:val="subscript"/>
        </w:rPr>
        <w:t>4</w:t>
      </w:r>
      <w:r w:rsidRPr="00720D9E">
        <w:t xml:space="preserve">) </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GWP</w:t>
      </w:r>
      <w:r w:rsidRPr="00720D9E">
        <w:rPr>
          <w:i/>
          <w:vertAlign w:val="subscript"/>
        </w:rPr>
        <w:t>CH4</w:t>
      </w:r>
      <w:r w:rsidRPr="00720D9E">
        <w:rPr>
          <w:i/>
        </w:rPr>
        <w:tab/>
      </w:r>
      <w:r w:rsidRPr="00720D9E">
        <w:t>=</w:t>
      </w:r>
      <w:r w:rsidRPr="00720D9E">
        <w:tab/>
        <w:t>Global warming potential of methane (tCO</w:t>
      </w:r>
      <w:r w:rsidRPr="00720D9E">
        <w:rPr>
          <w:vertAlign w:val="subscript"/>
        </w:rPr>
        <w:t>2</w:t>
      </w:r>
      <w:r w:rsidRPr="00720D9E">
        <w:t>e/tCH</w:t>
      </w:r>
      <w:r w:rsidRPr="00720D9E">
        <w:rPr>
          <w:vertAlign w:val="subscript"/>
        </w:rPr>
        <w:t>4</w:t>
      </w:r>
      <w:r w:rsidRPr="00720D9E">
        <w:t>)</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With,</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vertAlign w:val="subscript"/>
        </w:rPr>
      </w:pPr>
      <w:r w:rsidRPr="00720D9E">
        <w:rPr>
          <w:i/>
        </w:rPr>
        <w:t>PE</w:t>
      </w:r>
      <w:r w:rsidRPr="00720D9E">
        <w:rPr>
          <w:i/>
          <w:vertAlign w:val="subscript"/>
        </w:rPr>
        <w:t>NO</w:t>
      </w:r>
      <w:r w:rsidRPr="00720D9E">
        <w:rPr>
          <w:i/>
        </w:rPr>
        <w:t xml:space="preserve"> = VAM</w:t>
      </w:r>
      <w:r w:rsidRPr="00720D9E">
        <w:rPr>
          <w:i/>
          <w:vertAlign w:val="subscript"/>
        </w:rPr>
        <w:t>FLOW,y</w:t>
      </w:r>
      <w:r w:rsidRPr="00720D9E">
        <w:rPr>
          <w:i/>
        </w:rPr>
        <w:t xml:space="preserve"> </w:t>
      </w:r>
      <w:r w:rsidRPr="00720D9E">
        <w:t>x</w:t>
      </w:r>
      <w:r w:rsidRPr="00720D9E">
        <w:rPr>
          <w:i/>
        </w:rPr>
        <w:t xml:space="preserve"> TIME</w:t>
      </w:r>
      <w:r w:rsidRPr="00720D9E">
        <w:rPr>
          <w:i/>
          <w:vertAlign w:val="subscript"/>
        </w:rPr>
        <w:t>y</w:t>
      </w:r>
      <w:r w:rsidRPr="00720D9E">
        <w:rPr>
          <w:i/>
        </w:rPr>
        <w:t xml:space="preserve"> </w:t>
      </w:r>
      <w:r w:rsidRPr="00720D9E">
        <w:t>x</w:t>
      </w:r>
      <w:r w:rsidRPr="00720D9E">
        <w:rPr>
          <w:i/>
        </w:rPr>
        <w:t xml:space="preserve"> C</w:t>
      </w:r>
      <w:r w:rsidRPr="00720D9E">
        <w:rPr>
          <w:i/>
          <w:vertAlign w:val="subscript"/>
        </w:rPr>
        <w:t>CH4,exhaust</w:t>
      </w:r>
      <w:r w:rsidRPr="00720D9E">
        <w:t xml:space="preserve"> x 0.0423 x 0.000454</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rPr>
          <w:i/>
        </w:rPr>
        <w:t>Where,</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VAM</w:t>
      </w:r>
      <w:r w:rsidRPr="00720D9E">
        <w:rPr>
          <w:i/>
          <w:vertAlign w:val="subscript"/>
        </w:rPr>
        <w:t>FLOW,y</w:t>
      </w:r>
      <w:r w:rsidRPr="00720D9E">
        <w:tab/>
        <w:t>=</w:t>
      </w:r>
      <w:r w:rsidRPr="00720D9E">
        <w:tab/>
        <w:t>Corrected average flow rate or total volume of ventilation air entering the destruction device during period y, adjusted to 60°F and 1 atm (scf/unit of time)</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TIME</w:t>
      </w:r>
      <w:r w:rsidRPr="00720D9E">
        <w:rPr>
          <w:i/>
          <w:vertAlign w:val="subscript"/>
        </w:rPr>
        <w:t>y</w:t>
      </w:r>
      <w:r w:rsidRPr="00720D9E">
        <w:rPr>
          <w:i/>
          <w:vertAlign w:val="subscript"/>
        </w:rPr>
        <w:tab/>
      </w:r>
      <w:r w:rsidRPr="00720D9E">
        <w:t>=</w:t>
      </w:r>
      <w:r w:rsidRPr="00720D9E">
        <w:tab/>
        <w:t>Time during which destruction device is operational during period y (m)</w:t>
      </w:r>
    </w:p>
    <w:p w:rsidR="00420675" w:rsidRPr="00720D9E" w:rsidRDefault="00420675" w:rsidP="0042067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w:t>
      </w:r>
      <w:r w:rsidRPr="00720D9E">
        <w:rPr>
          <w:i/>
          <w:vertAlign w:val="subscript"/>
        </w:rPr>
        <w:t>CH4,exhaust</w:t>
      </w:r>
      <w:r w:rsidRPr="00720D9E">
        <w:tab/>
        <w:t>=</w:t>
      </w:r>
      <w:r w:rsidRPr="00720D9E">
        <w:tab/>
        <w:t>Measured methane concentration in the ventilation air exhaust (scf CH</w:t>
      </w:r>
      <w:r w:rsidRPr="00720D9E">
        <w:rPr>
          <w:vertAlign w:val="subscript"/>
        </w:rPr>
        <w:t>4</w:t>
      </w:r>
      <w:r w:rsidRPr="00720D9E">
        <w:t>/scf)</w:t>
      </w:r>
    </w:p>
    <w:p w:rsidR="00C926F7" w:rsidRPr="00720D9E" w:rsidRDefault="00C926F7" w:rsidP="00C926F7">
      <w:pPr>
        <w:pStyle w:val="ListParagraph"/>
        <w:numPr>
          <w:ilvl w:val="0"/>
          <w:numId w:val="28"/>
        </w:numPr>
        <w:ind w:hanging="720"/>
      </w:pPr>
      <w:r w:rsidRPr="00720D9E">
        <w:t xml:space="preserve">If gas flow metering equipment does not internally correct for temperature and </w:t>
      </w:r>
      <w:r w:rsidR="00CA6B48" w:rsidRPr="00720D9E">
        <w:t xml:space="preserve">pressure, apply </w:t>
      </w:r>
      <w:r w:rsidR="004842C4" w:rsidRPr="00720D9E">
        <w:t>Equation 5.</w:t>
      </w:r>
      <w:r w:rsidR="00420675">
        <w:t>10</w:t>
      </w:r>
      <w:r w:rsidRPr="00720D9E">
        <w:t xml:space="preserve"> to the flow rate of ventilation air entering the </w:t>
      </w:r>
      <w:r w:rsidR="003B5CED" w:rsidRPr="00720D9E">
        <w:t>destruction device</w:t>
      </w:r>
      <w:r w:rsidRPr="00720D9E">
        <w:t>.</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lastRenderedPageBreak/>
        <w:t>Equation 5.</w:t>
      </w:r>
      <w:r w:rsidR="00420675">
        <w:t>10</w:t>
      </w:r>
      <w:r w:rsidR="00C926F7" w:rsidRPr="00720D9E">
        <w:t>: VAM Corrected for Temperature and Pressure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810"/>
        </w:tabs>
      </w:pPr>
      <w:r w:rsidRPr="00720D9E">
        <w:rPr>
          <w:i/>
        </w:rPr>
        <w:t>VAM</w:t>
      </w:r>
      <w:r w:rsidRPr="00720D9E">
        <w:rPr>
          <w:i/>
          <w:vertAlign w:val="subscript"/>
        </w:rPr>
        <w:t>FLOW,y</w:t>
      </w:r>
      <w:r w:rsidRPr="00720D9E">
        <w:t xml:space="preserve"> = </w:t>
      </w:r>
      <w:r w:rsidRPr="00720D9E">
        <w:rPr>
          <w:i/>
        </w:rPr>
        <w:t>VAM</w:t>
      </w:r>
      <w:r w:rsidRPr="00720D9E">
        <w:rPr>
          <w:i/>
          <w:vertAlign w:val="subscript"/>
        </w:rPr>
        <w:t xml:space="preserve">FLOWmeas,y </w:t>
      </w:r>
      <w:r w:rsidRPr="00720D9E">
        <w:t xml:space="preserve"> x </w:t>
      </w:r>
      <w:r w:rsidRPr="00720D9E">
        <w:rPr>
          <w:position w:val="-32"/>
        </w:rPr>
        <w:object w:dxaOrig="1040" w:dyaOrig="700">
          <v:shape id="_x0000_i1030" type="#_x0000_t75" style="width:50pt;height:36pt" o:ole="">
            <v:imagedata r:id="rId21" o:title=""/>
          </v:shape>
          <o:OLEObject Type="Embed" ProgID="Equation.3" ShapeID="_x0000_i1030" DrawAspect="Content" ObjectID="_1437988683" r:id="rId22"/>
        </w:object>
      </w:r>
      <w:r w:rsidRPr="00720D9E">
        <w:t xml:space="preserve"> x </w:t>
      </w:r>
      <w:r w:rsidRPr="00720D9E">
        <w:rPr>
          <w:position w:val="-24"/>
        </w:rPr>
        <w:object w:dxaOrig="1060" w:dyaOrig="660">
          <v:shape id="_x0000_i1031" type="#_x0000_t75" style="width:58pt;height:36pt" o:ole="">
            <v:imagedata r:id="rId23" o:title=""/>
          </v:shape>
          <o:OLEObject Type="Embed" ProgID="Equation.3" ShapeID="_x0000_i1031" DrawAspect="Content" ObjectID="_1437988684" r:id="rId24"/>
        </w:objec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VAM</w:t>
      </w:r>
      <w:r w:rsidRPr="00720D9E">
        <w:rPr>
          <w:i/>
          <w:vertAlign w:val="subscript"/>
        </w:rPr>
        <w:t>FLOW,y</w:t>
      </w:r>
      <w:r w:rsidRPr="00720D9E">
        <w:tab/>
        <w:t>=</w:t>
      </w:r>
      <w:r w:rsidRPr="00720D9E">
        <w:tab/>
        <w:t xml:space="preserve">Corrected average flow rate </w:t>
      </w:r>
      <w:r w:rsidR="00106016" w:rsidRPr="00720D9E">
        <w:t xml:space="preserve">or total volume </w:t>
      </w:r>
      <w:r w:rsidRPr="00720D9E">
        <w:t xml:space="preserve">of ventilation air entering the </w:t>
      </w:r>
      <w:r w:rsidR="003B5CED" w:rsidRPr="00720D9E">
        <w:t>destruction device</w:t>
      </w:r>
      <w:r w:rsidRPr="00720D9E">
        <w:t xml:space="preserve"> during period y, adjusted to 60°F and 1</w:t>
      </w:r>
      <w:r w:rsidR="00CA6B48" w:rsidRPr="00720D9E">
        <w:t xml:space="preserve"> </w:t>
      </w:r>
      <w:r w:rsidRPr="00720D9E">
        <w:t>atm (scf/unit of time)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VAM</w:t>
      </w:r>
      <w:r w:rsidRPr="00720D9E">
        <w:rPr>
          <w:i/>
          <w:vertAlign w:val="subscript"/>
        </w:rPr>
        <w:t>FLOWmeas,y</w:t>
      </w:r>
      <w:r w:rsidRPr="00720D9E">
        <w:rPr>
          <w:i/>
        </w:rPr>
        <w:t xml:space="preserve"> </w:t>
      </w:r>
      <w:r w:rsidRPr="00720D9E">
        <w:t>=</w:t>
      </w:r>
      <w:r w:rsidRPr="00720D9E">
        <w:tab/>
      </w:r>
      <w:r w:rsidR="00106016" w:rsidRPr="00720D9E">
        <w:t xml:space="preserve">Measured </w:t>
      </w:r>
      <w:r w:rsidRPr="00720D9E">
        <w:t xml:space="preserve">average flow rate </w:t>
      </w:r>
      <w:r w:rsidR="00106016" w:rsidRPr="00720D9E">
        <w:t xml:space="preserve">or total volume </w:t>
      </w:r>
      <w:r w:rsidRPr="00720D9E">
        <w:t xml:space="preserve">of ventilation air entering the </w:t>
      </w:r>
      <w:r w:rsidR="003B5CED" w:rsidRPr="00720D9E">
        <w:t>destruction device</w:t>
      </w:r>
      <w:r w:rsidRPr="00720D9E">
        <w:t xml:space="preserve"> as measured during period y (scf/unit of time)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T</w:t>
      </w:r>
      <w:r w:rsidRPr="00720D9E">
        <w:rPr>
          <w:i/>
          <w:vertAlign w:val="subscript"/>
        </w:rPr>
        <w:t>VAMinflow,y</w:t>
      </w:r>
      <w:r w:rsidRPr="00720D9E">
        <w:rPr>
          <w:i/>
        </w:rPr>
        <w:tab/>
      </w:r>
      <w:r w:rsidRPr="00720D9E">
        <w:t>=</w:t>
      </w:r>
      <w:r w:rsidRPr="00720D9E">
        <w:tab/>
        <w:t xml:space="preserve">Measured temperature of ventilation air entering the </w:t>
      </w:r>
      <w:r w:rsidR="003B5CED" w:rsidRPr="00720D9E">
        <w:t>destruction device</w:t>
      </w:r>
      <w:r w:rsidRPr="00720D9E">
        <w:t xml:space="preserve"> for the time </w:t>
      </w:r>
      <w:r w:rsidR="0050200E" w:rsidRPr="00720D9E">
        <w:t>interval</w:t>
      </w:r>
      <w:r w:rsidRPr="00720D9E">
        <w:t xml:space="preserve"> y, °R=°F+460 (°R)</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w:t>
      </w:r>
      <w:r w:rsidRPr="00720D9E">
        <w:rPr>
          <w:i/>
          <w:vertAlign w:val="subscript"/>
        </w:rPr>
        <w:t>VAMinflow,y</w:t>
      </w:r>
      <w:r w:rsidRPr="00720D9E">
        <w:rPr>
          <w:i/>
        </w:rPr>
        <w:tab/>
        <w:t>=</w:t>
      </w:r>
      <w:r w:rsidRPr="00720D9E">
        <w:rPr>
          <w:i/>
        </w:rPr>
        <w:tab/>
      </w:r>
      <w:r w:rsidRPr="00720D9E">
        <w:t xml:space="preserve">Measured pressure of ventilation air entering the </w:t>
      </w:r>
      <w:r w:rsidR="003B5CED" w:rsidRPr="00720D9E">
        <w:t>destruction device</w:t>
      </w:r>
      <w:r w:rsidRPr="00720D9E">
        <w:t xml:space="preserve"> for the time </w:t>
      </w:r>
      <w:r w:rsidR="0050200E" w:rsidRPr="00720D9E">
        <w:t>interval</w:t>
      </w:r>
      <w:r w:rsidRPr="00720D9E">
        <w:t xml:space="preserve"> y (atm)</w:t>
      </w:r>
    </w:p>
    <w:p w:rsidR="00C926F7" w:rsidRPr="00720D9E" w:rsidRDefault="00C926F7" w:rsidP="00C926F7">
      <w:pPr>
        <w:pStyle w:val="Heading2"/>
      </w:pPr>
      <w:bookmarkStart w:id="37" w:name="_Toc364243211"/>
      <w:r w:rsidRPr="00720D9E">
        <w:t xml:space="preserve">§ </w:t>
      </w:r>
      <w:r w:rsidR="00645452" w:rsidRPr="00720D9E">
        <w:t>5.</w:t>
      </w:r>
      <w:r w:rsidRPr="00720D9E">
        <w:t xml:space="preserve">2. Active Underground Mine Methane Drainage </w:t>
      </w:r>
      <w:r w:rsidR="007D7CBC" w:rsidRPr="00720D9E">
        <w:t>Activities</w:t>
      </w:r>
      <w:r w:rsidRPr="00720D9E">
        <w:t>.</w:t>
      </w:r>
      <w:bookmarkEnd w:id="37"/>
    </w:p>
    <w:p w:rsidR="00C926F7" w:rsidRPr="00720D9E" w:rsidRDefault="00C926F7" w:rsidP="00C926F7">
      <w:pPr>
        <w:pStyle w:val="ListParagraph"/>
        <w:numPr>
          <w:ilvl w:val="0"/>
          <w:numId w:val="29"/>
        </w:numPr>
        <w:ind w:hanging="720"/>
      </w:pPr>
      <w:r w:rsidRPr="00720D9E">
        <w:t xml:space="preserve">GHG emission reductions for a reporting period (ER) must be quantified by subtracting the project emissions for that reporting period (PE) from the baseline emissions for that reporting period (BE) using </w:t>
      </w:r>
      <w:r w:rsidR="004842C4" w:rsidRPr="00720D9E">
        <w:t>Equation 5.</w:t>
      </w:r>
      <w:r w:rsidRPr="00720D9E">
        <w:t>1</w:t>
      </w:r>
      <w:r w:rsidR="00106016" w:rsidRPr="00720D9E">
        <w:t>1</w:t>
      </w:r>
      <w:r w:rsidRPr="00720D9E">
        <w:t>.</w:t>
      </w:r>
    </w:p>
    <w:p w:rsidR="00C926F7" w:rsidRPr="00720D9E" w:rsidRDefault="00C926F7" w:rsidP="00C926F7">
      <w:pPr>
        <w:pStyle w:val="ListParagraph"/>
        <w:numPr>
          <w:ilvl w:val="0"/>
          <w:numId w:val="29"/>
        </w:numPr>
        <w:ind w:hanging="720"/>
      </w:pPr>
      <w:r w:rsidRPr="00720D9E">
        <w:t xml:space="preserve">If a mine that has historically sent </w:t>
      </w:r>
      <w:r w:rsidR="002E0166" w:rsidRPr="00720D9E">
        <w:t>mine methane (</w:t>
      </w:r>
      <w:r w:rsidRPr="00720D9E">
        <w:t>MM</w:t>
      </w:r>
      <w:r w:rsidR="002E0166" w:rsidRPr="00720D9E">
        <w:t>)</w:t>
      </w:r>
      <w:r w:rsidRPr="00720D9E">
        <w:t xml:space="preserve"> to a natural </w:t>
      </w:r>
      <w:r w:rsidR="002E0166" w:rsidRPr="00720D9E">
        <w:t>gas pipeline ceases to do so, MM</w:t>
      </w:r>
      <w:r w:rsidRPr="00720D9E">
        <w:t xml:space="preserve"> from that source (pre-mining surface wells, pre-mining in-mine boreholes, or post-mining gob wells) is ineligible for emission reduction un</w:t>
      </w:r>
      <w:r w:rsidR="002E0166" w:rsidRPr="00720D9E">
        <w:t>der this protocol, even if the MM</w:t>
      </w:r>
      <w:r w:rsidRPr="00720D9E">
        <w:t xml:space="preserve"> is sent to an otherwise eligible destruction device.  If a mine begins to inject MM into a natural gas pipeline while the offset project is ongoing, MM from that source is ineligible for emission reductions going forward.</w:t>
      </w:r>
    </w:p>
    <w:p w:rsidR="00C926F7" w:rsidRPr="00720D9E" w:rsidRDefault="00C926F7" w:rsidP="00C926F7">
      <w:pPr>
        <w:pStyle w:val="ListParagraph"/>
        <w:numPr>
          <w:ilvl w:val="0"/>
          <w:numId w:val="29"/>
        </w:numPr>
        <w:ind w:hanging="720"/>
      </w:pPr>
      <w:r w:rsidRPr="00720D9E">
        <w:t>MM that is injected into a natural gas pipeline in the project scenario is not accounted for in the project emissions or baseline emissions, since it is injected in both scenarios.</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1</w:t>
      </w:r>
      <w:r w:rsidR="00106016" w:rsidRPr="00720D9E">
        <w:t>1</w:t>
      </w:r>
      <w:r w:rsidR="00C926F7" w:rsidRPr="00720D9E">
        <w:t>: GHG Emission Reductions</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ER = BE – PE</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ER</w:t>
      </w:r>
      <w:r w:rsidRPr="00720D9E">
        <w:tab/>
        <w:t>=</w:t>
      </w:r>
      <w:r w:rsidRPr="00720D9E">
        <w:tab/>
        <w:t>Emission reductions achieved by the project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BE</w:t>
      </w:r>
      <w:r w:rsidRPr="00720D9E">
        <w:tab/>
        <w:t>=</w:t>
      </w:r>
      <w:r w:rsidRPr="00720D9E">
        <w:tab/>
        <w:t>Baseline emissions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tab/>
        <w:t>=</w:t>
      </w:r>
      <w:r w:rsidRPr="00720D9E">
        <w:tab/>
        <w:t>Project emissions during the reporting period (tCO</w:t>
      </w:r>
      <w:r w:rsidRPr="00720D9E">
        <w:rPr>
          <w:vertAlign w:val="subscript"/>
        </w:rPr>
        <w:t>2</w:t>
      </w:r>
      <w:r w:rsidRPr="00720D9E">
        <w:t>e)</w:t>
      </w:r>
    </w:p>
    <w:p w:rsidR="00C926F7" w:rsidRPr="00720D9E" w:rsidRDefault="00C926F7" w:rsidP="00C926F7">
      <w:pPr>
        <w:pStyle w:val="Heading3"/>
      </w:pPr>
      <w:bookmarkStart w:id="38" w:name="_Toc364243212"/>
      <w:r w:rsidRPr="00720D9E">
        <w:t xml:space="preserve">§ </w:t>
      </w:r>
      <w:r w:rsidR="00645452" w:rsidRPr="00720D9E">
        <w:t>5.</w:t>
      </w:r>
      <w:r w:rsidRPr="00720D9E">
        <w:t>2.1</w:t>
      </w:r>
      <w:r w:rsidR="00645452" w:rsidRPr="00720D9E">
        <w:t>.</w:t>
      </w:r>
      <w:r w:rsidRPr="00720D9E">
        <w:t xml:space="preserve"> Quantifying Baseline Emissions.</w:t>
      </w:r>
      <w:bookmarkEnd w:id="38"/>
    </w:p>
    <w:p w:rsidR="00C926F7" w:rsidRPr="00720D9E" w:rsidRDefault="00C926F7" w:rsidP="00C926F7">
      <w:pPr>
        <w:pStyle w:val="ListParagraph"/>
        <w:numPr>
          <w:ilvl w:val="0"/>
          <w:numId w:val="30"/>
        </w:numPr>
        <w:ind w:hanging="720"/>
      </w:pPr>
      <w:r w:rsidRPr="00720D9E">
        <w:t xml:space="preserve">Baseline emissions for a reporting period (BE) must be estimated by summing the baseline emissions for all SSRs identified as included in the baseline in Table </w:t>
      </w:r>
      <w:r w:rsidR="00D91C57" w:rsidRPr="00720D9E">
        <w:t>4</w:t>
      </w:r>
      <w:r w:rsidRPr="00720D9E">
        <w:t xml:space="preserve">.2 and using </w:t>
      </w:r>
      <w:r w:rsidR="004842C4" w:rsidRPr="00720D9E">
        <w:t>Equation 5.</w:t>
      </w:r>
      <w:r w:rsidRPr="00720D9E">
        <w:t>1</w:t>
      </w:r>
      <w:r w:rsidR="00D91C57" w:rsidRPr="00720D9E">
        <w:t>2</w:t>
      </w:r>
      <w:r w:rsidRPr="00720D9E">
        <w:t>.</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1</w:t>
      </w:r>
      <w:r w:rsidR="00D91C57" w:rsidRPr="00720D9E">
        <w:t>2</w:t>
      </w:r>
      <w:r w:rsidR="00C926F7" w:rsidRPr="00720D9E">
        <w:t>: Baseline Emissions</w:t>
      </w:r>
    </w:p>
    <w:p w:rsidR="002E0166" w:rsidRPr="00720D9E" w:rsidRDefault="002E0166" w:rsidP="002E0166">
      <w:pPr>
        <w:pBdr>
          <w:top w:val="single" w:sz="4" w:space="1" w:color="auto"/>
          <w:left w:val="single" w:sz="4" w:space="4" w:color="auto"/>
          <w:bottom w:val="single" w:sz="4" w:space="1" w:color="auto"/>
          <w:right w:val="single" w:sz="4" w:space="4" w:color="auto"/>
        </w:pBdr>
        <w:spacing w:after="120" w:line="240" w:lineRule="auto"/>
        <w:rPr>
          <w:i/>
        </w:rPr>
      </w:pPr>
      <w:r w:rsidRPr="00720D9E">
        <w:rPr>
          <w:i/>
        </w:rPr>
        <w:t>BE = BE</w:t>
      </w:r>
      <w:r w:rsidRPr="00720D9E">
        <w:rPr>
          <w:i/>
          <w:vertAlign w:val="subscript"/>
        </w:rPr>
        <w:t>MD</w:t>
      </w:r>
      <w:r w:rsidRPr="00720D9E">
        <w:rPr>
          <w:i/>
        </w:rPr>
        <w:t xml:space="preserve"> + BE</w:t>
      </w:r>
      <w:r w:rsidRPr="00720D9E">
        <w:rPr>
          <w:i/>
          <w:vertAlign w:val="subscript"/>
        </w:rPr>
        <w:t>MR</w:t>
      </w:r>
    </w:p>
    <w:p w:rsidR="002E0166" w:rsidRPr="00720D9E" w:rsidRDefault="002E0166" w:rsidP="002E0166">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2E0166" w:rsidRPr="00720D9E" w:rsidRDefault="002E0166" w:rsidP="002E016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tab/>
        <w:t>=</w:t>
      </w:r>
      <w:r w:rsidRPr="00720D9E">
        <w:tab/>
        <w:t>Baseline emissions during the reporting period (tCO</w:t>
      </w:r>
      <w:r w:rsidRPr="00720D9E">
        <w:rPr>
          <w:vertAlign w:val="subscript"/>
        </w:rPr>
        <w:t>2</w:t>
      </w:r>
      <w:r w:rsidRPr="00720D9E">
        <w:t>e)</w:t>
      </w:r>
    </w:p>
    <w:p w:rsidR="002E0166" w:rsidRPr="00720D9E" w:rsidRDefault="002E0166" w:rsidP="002E016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rPr>
          <w:i/>
          <w:vertAlign w:val="subscript"/>
        </w:rPr>
        <w:t>MD</w:t>
      </w:r>
      <w:r w:rsidRPr="00720D9E">
        <w:tab/>
        <w:t>=</w:t>
      </w:r>
      <w:r w:rsidRPr="00720D9E">
        <w:tab/>
        <w:t>Baseline emissions from destruction of methane during the reporting period (tCO</w:t>
      </w:r>
      <w:r w:rsidRPr="00720D9E">
        <w:rPr>
          <w:vertAlign w:val="subscript"/>
        </w:rPr>
        <w:t>2</w:t>
      </w:r>
      <w:r w:rsidRPr="00720D9E">
        <w:t>e)</w:t>
      </w:r>
    </w:p>
    <w:p w:rsidR="002E0166" w:rsidRPr="00720D9E" w:rsidRDefault="002E0166" w:rsidP="002E016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rPr>
          <w:i/>
          <w:vertAlign w:val="subscript"/>
        </w:rPr>
        <w:t>MR</w:t>
      </w:r>
      <w:r w:rsidRPr="00720D9E">
        <w:tab/>
        <w:t>=</w:t>
      </w:r>
      <w:r w:rsidRPr="00720D9E">
        <w:tab/>
        <w:t>Baseline emissions from release of methane into the atmosphere avoided by the project during the reporting period (tCO</w:t>
      </w:r>
      <w:r w:rsidRPr="00720D9E">
        <w:rPr>
          <w:vertAlign w:val="subscript"/>
        </w:rPr>
        <w:t>2</w:t>
      </w:r>
      <w:r w:rsidRPr="00720D9E">
        <w:t>e)</w:t>
      </w:r>
    </w:p>
    <w:p w:rsidR="00C926F7" w:rsidRPr="00720D9E" w:rsidRDefault="00C926F7" w:rsidP="00C926F7">
      <w:pPr>
        <w:pStyle w:val="ListParagraph"/>
        <w:numPr>
          <w:ilvl w:val="0"/>
          <w:numId w:val="30"/>
        </w:numPr>
        <w:ind w:hanging="720"/>
      </w:pPr>
      <w:r w:rsidRPr="00720D9E">
        <w:t>Baseline emissions from the destruction of MM (BE</w:t>
      </w:r>
      <w:r w:rsidR="0018337E" w:rsidRPr="00720D9E">
        <w:rPr>
          <w:vertAlign w:val="subscript"/>
        </w:rPr>
        <w:t>MD</w:t>
      </w:r>
      <w:r w:rsidRPr="00720D9E">
        <w:t xml:space="preserve">) must be quantified using </w:t>
      </w:r>
      <w:r w:rsidR="004842C4" w:rsidRPr="00720D9E">
        <w:t>Equation 5.</w:t>
      </w:r>
      <w:r w:rsidRPr="00720D9E">
        <w:t>1</w:t>
      </w:r>
      <w:r w:rsidR="00D04989" w:rsidRPr="00720D9E">
        <w:t>3</w:t>
      </w:r>
      <w:r w:rsidRPr="00720D9E">
        <w:t xml:space="preserve">. </w:t>
      </w:r>
    </w:p>
    <w:p w:rsidR="00D04989" w:rsidRPr="00720D9E" w:rsidRDefault="00D04989" w:rsidP="00D04989">
      <w:pPr>
        <w:pStyle w:val="ListParagraph"/>
        <w:numPr>
          <w:ilvl w:val="0"/>
          <w:numId w:val="30"/>
        </w:numPr>
        <w:ind w:hanging="720"/>
      </w:pPr>
      <w:r w:rsidRPr="00720D9E">
        <w:t>BE</w:t>
      </w:r>
      <w:r w:rsidRPr="00720D9E">
        <w:rPr>
          <w:vertAlign w:val="subscript"/>
        </w:rPr>
        <w:t>MD</w:t>
      </w:r>
      <w:r w:rsidRPr="00720D9E">
        <w:t xml:space="preserve"> must include the estimated CO</w:t>
      </w:r>
      <w:r w:rsidRPr="00720D9E">
        <w:rPr>
          <w:vertAlign w:val="subscript"/>
        </w:rPr>
        <w:t>2</w:t>
      </w:r>
      <w:r w:rsidRPr="00720D9E">
        <w:t xml:space="preserve"> emissions from the destruction of MM in non-qualifying devices.</w:t>
      </w:r>
    </w:p>
    <w:p w:rsidR="00B92FC5" w:rsidRPr="00720D9E" w:rsidRDefault="00B92FC5" w:rsidP="00B92FC5">
      <w:pPr>
        <w:pStyle w:val="ListParagraph"/>
        <w:numPr>
          <w:ilvl w:val="0"/>
          <w:numId w:val="30"/>
        </w:numPr>
        <w:ind w:hanging="720"/>
      </w:pPr>
      <w:r w:rsidRPr="00720D9E">
        <w:t>Mine gas (MG) can originate from three distinct sources for active underground mine methane drainage activities: pre-mining surface wells, pre-mining in-mine boreholes, and post-mining gob wells. MG from these sources must be measured and accounted for individually per the equations in this section.</w:t>
      </w:r>
    </w:p>
    <w:p w:rsidR="007D7CBC" w:rsidRPr="00720D9E" w:rsidRDefault="007D7CBC" w:rsidP="007D7CBC">
      <w:pPr>
        <w:pStyle w:val="ListParagraph"/>
        <w:numPr>
          <w:ilvl w:val="0"/>
          <w:numId w:val="30"/>
        </w:numPr>
        <w:ind w:hanging="720"/>
      </w:pPr>
      <w:r w:rsidRPr="00720D9E">
        <w:t>For each eligible methane source, the volume of M</w:t>
      </w:r>
      <w:r w:rsidR="009F7E85" w:rsidRPr="00720D9E">
        <w:t>G</w:t>
      </w:r>
      <w:r w:rsidRPr="00720D9E">
        <w:t xml:space="preserve"> destroyed in the baseline </w:t>
      </w:r>
      <w:r w:rsidR="00A52042" w:rsidRPr="00720D9E">
        <w:t>must</w:t>
      </w:r>
      <w:r w:rsidRPr="00720D9E">
        <w:t xml:space="preserve"> be the determined by calculating and comparing:</w:t>
      </w:r>
    </w:p>
    <w:p w:rsidR="007D7CBC" w:rsidRPr="00720D9E" w:rsidRDefault="007D7CBC" w:rsidP="007D7CBC">
      <w:pPr>
        <w:pStyle w:val="ListParagraph"/>
        <w:numPr>
          <w:ilvl w:val="1"/>
          <w:numId w:val="30"/>
        </w:numPr>
        <w:ind w:hanging="720"/>
      </w:pPr>
      <w:r w:rsidRPr="00720D9E">
        <w:t>The volume of M</w:t>
      </w:r>
      <w:r w:rsidR="00B92FC5" w:rsidRPr="00720D9E">
        <w:t>G</w:t>
      </w:r>
      <w:r w:rsidRPr="00720D9E">
        <w:t xml:space="preserve"> destroyed by non-qualifying devices during the reporting period</w:t>
      </w:r>
      <w:r w:rsidR="00B2365E" w:rsidRPr="00720D9E">
        <w:t xml:space="preserve">, </w:t>
      </w:r>
      <w:r w:rsidR="00D646AD" w:rsidRPr="00720D9E">
        <w:t xml:space="preserve">adjusted for temperature and pressure, </w:t>
      </w:r>
      <w:r w:rsidR="00FE2A32" w:rsidRPr="00720D9E">
        <w:t>if applicable</w:t>
      </w:r>
      <w:r w:rsidR="00B2365E" w:rsidRPr="00720D9E">
        <w:t xml:space="preserve">, using </w:t>
      </w:r>
      <w:r w:rsidR="004842C4" w:rsidRPr="00720D9E">
        <w:t>Equation 5.</w:t>
      </w:r>
      <w:r w:rsidR="00D04989" w:rsidRPr="00720D9E">
        <w:t>2</w:t>
      </w:r>
      <w:r w:rsidR="00AD5699">
        <w:t>1</w:t>
      </w:r>
      <w:r w:rsidRPr="00720D9E">
        <w:t xml:space="preserve">; and </w:t>
      </w:r>
    </w:p>
    <w:p w:rsidR="00C926F7" w:rsidRPr="00720D9E" w:rsidRDefault="007D7CBC" w:rsidP="007D7CBC">
      <w:pPr>
        <w:pStyle w:val="ListParagraph"/>
        <w:numPr>
          <w:ilvl w:val="1"/>
          <w:numId w:val="30"/>
        </w:numPr>
        <w:ind w:hanging="720"/>
      </w:pPr>
      <w:r w:rsidRPr="00720D9E">
        <w:t>The volume of M</w:t>
      </w:r>
      <w:r w:rsidR="00B92FC5" w:rsidRPr="00720D9E">
        <w:t>G</w:t>
      </w:r>
      <w:r w:rsidRPr="00720D9E">
        <w:t xml:space="preserve"> destroyed by non-qualifying devices during the three-year period prior to </w:t>
      </w:r>
      <w:r w:rsidR="004447DE" w:rsidRPr="00720D9E">
        <w:t xml:space="preserve">offset </w:t>
      </w:r>
      <w:r w:rsidRPr="00720D9E">
        <w:t xml:space="preserve">project commencement (or during the length of time the devices are operational, if less than three years), </w:t>
      </w:r>
      <w:r w:rsidR="00B2365E" w:rsidRPr="00720D9E">
        <w:t xml:space="preserve">adjusted for </w:t>
      </w:r>
      <w:r w:rsidR="00B2365E" w:rsidRPr="00720D9E">
        <w:lastRenderedPageBreak/>
        <w:t xml:space="preserve">temperature and pressure, </w:t>
      </w:r>
      <w:r w:rsidR="00FE2A32" w:rsidRPr="00720D9E">
        <w:t>if applicable</w:t>
      </w:r>
      <w:r w:rsidR="00B2365E" w:rsidRPr="00720D9E">
        <w:t xml:space="preserve">, using </w:t>
      </w:r>
      <w:r w:rsidR="004842C4" w:rsidRPr="00720D9E">
        <w:t>Equation 5.</w:t>
      </w:r>
      <w:r w:rsidR="00D04989" w:rsidRPr="00720D9E">
        <w:t>2</w:t>
      </w:r>
      <w:r w:rsidR="00AD5699">
        <w:t>1</w:t>
      </w:r>
      <w:r w:rsidR="00B2365E" w:rsidRPr="00720D9E">
        <w:t xml:space="preserve"> and </w:t>
      </w:r>
      <w:r w:rsidRPr="00720D9E">
        <w:t>averaged according to the length of the reporting period.</w:t>
      </w:r>
    </w:p>
    <w:p w:rsidR="00D646AD" w:rsidRPr="00720D9E" w:rsidRDefault="00A52042" w:rsidP="00B2365E">
      <w:pPr>
        <w:pStyle w:val="ListParagraph"/>
        <w:numPr>
          <w:ilvl w:val="0"/>
          <w:numId w:val="30"/>
        </w:numPr>
        <w:ind w:hanging="720"/>
      </w:pPr>
      <w:r w:rsidRPr="00720D9E">
        <w:t>For each methane source, t</w:t>
      </w:r>
      <w:r w:rsidR="00DF752C" w:rsidRPr="00720D9E">
        <w:t xml:space="preserve">he larger of the two above quantities must be used in </w:t>
      </w:r>
      <w:r w:rsidR="004842C4" w:rsidRPr="00720D9E">
        <w:t>Equation 5.</w:t>
      </w:r>
      <w:r w:rsidRPr="00720D9E">
        <w:t>1</w:t>
      </w:r>
      <w:r w:rsidR="00D04989" w:rsidRPr="00720D9E">
        <w:t>3</w:t>
      </w:r>
      <w:r w:rsidR="00DF752C" w:rsidRPr="00720D9E">
        <w:t>.</w:t>
      </w:r>
    </w:p>
    <w:p w:rsidR="00847B3F" w:rsidRPr="00720D9E" w:rsidRDefault="00847B3F" w:rsidP="00847B3F">
      <w:pPr>
        <w:pStyle w:val="ListParagraph"/>
        <w:numPr>
          <w:ilvl w:val="0"/>
          <w:numId w:val="30"/>
        </w:numPr>
        <w:ind w:hanging="720"/>
      </w:pPr>
      <w:r w:rsidRPr="00720D9E">
        <w:t xml:space="preserve">For the purpose of baseline quantification, only non-qualifying devices that were operating during the year prior to </w:t>
      </w:r>
      <w:r w:rsidR="004447DE" w:rsidRPr="00720D9E">
        <w:t xml:space="preserve">offset </w:t>
      </w:r>
      <w:r w:rsidRPr="00720D9E">
        <w:t xml:space="preserve">project commencement should be taken into account. </w:t>
      </w:r>
    </w:p>
    <w:p w:rsidR="008E0C00" w:rsidRPr="00720D9E" w:rsidRDefault="008E0C00" w:rsidP="008E0C00">
      <w:pPr>
        <w:pStyle w:val="ListParagraph"/>
        <w:numPr>
          <w:ilvl w:val="0"/>
          <w:numId w:val="30"/>
        </w:numPr>
        <w:ind w:hanging="720"/>
      </w:pPr>
      <w:r w:rsidRPr="00720D9E">
        <w:t>If there is no destruction of methane in the baseline, then BE</w:t>
      </w:r>
      <w:r w:rsidRPr="00720D9E">
        <w:rPr>
          <w:vertAlign w:val="subscript"/>
        </w:rPr>
        <w:t>MD</w:t>
      </w:r>
      <w:r w:rsidRPr="00720D9E">
        <w:t xml:space="preserve"> = 0.</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1</w:t>
      </w:r>
      <w:r w:rsidR="00D04989" w:rsidRPr="00720D9E">
        <w:t>3</w:t>
      </w:r>
      <w:r w:rsidR="00C926F7" w:rsidRPr="00720D9E">
        <w:t>: Baseline Emissions from Destruction of Methane</w:t>
      </w:r>
    </w:p>
    <w:p w:rsidR="00C926F7" w:rsidRPr="00720D9E" w:rsidRDefault="00C926F7" w:rsidP="00DE4F4C">
      <w:pPr>
        <w:pBdr>
          <w:top w:val="single" w:sz="4" w:space="1" w:color="auto"/>
          <w:left w:val="single" w:sz="4" w:space="4" w:color="auto"/>
          <w:bottom w:val="single" w:sz="4" w:space="1" w:color="auto"/>
          <w:right w:val="single" w:sz="4" w:space="4" w:color="auto"/>
        </w:pBdr>
        <w:tabs>
          <w:tab w:val="left" w:pos="810"/>
        </w:tabs>
        <w:ind w:left="720" w:hanging="720"/>
        <w:rPr>
          <w:i/>
        </w:rPr>
      </w:pPr>
      <w:r w:rsidRPr="00720D9E">
        <w:rPr>
          <w:i/>
        </w:rPr>
        <w:t>BE</w:t>
      </w:r>
      <w:r w:rsidR="00A52042" w:rsidRPr="00720D9E">
        <w:rPr>
          <w:i/>
          <w:vertAlign w:val="subscript"/>
        </w:rPr>
        <w:t>MD</w:t>
      </w:r>
      <w:r w:rsidRPr="00720D9E">
        <w:rPr>
          <w:i/>
        </w:rPr>
        <w:t xml:space="preserve"> = </w:t>
      </w:r>
      <w:r w:rsidRPr="00720D9E">
        <w:rPr>
          <w:i/>
          <w:position w:val="-28"/>
        </w:rPr>
        <w:object w:dxaOrig="460" w:dyaOrig="540">
          <v:shape id="_x0000_i1032" type="#_x0000_t75" style="width:22pt;height:29pt" o:ole="">
            <v:imagedata r:id="rId13" o:title=""/>
          </v:shape>
          <o:OLEObject Type="Embed" ProgID="Equation.3" ShapeID="_x0000_i1032" DrawAspect="Content" ObjectID="_1437988685" r:id="rId25"/>
        </w:object>
      </w:r>
      <w:r w:rsidRPr="00720D9E">
        <w:t>(</w:t>
      </w:r>
      <w:r w:rsidRPr="00720D9E">
        <w:rPr>
          <w:i/>
        </w:rPr>
        <w:t>PSW</w:t>
      </w:r>
      <w:r w:rsidR="00A52042" w:rsidRPr="00720D9E">
        <w:rPr>
          <w:i/>
          <w:vertAlign w:val="subscript"/>
        </w:rPr>
        <w:t>B,i</w:t>
      </w:r>
      <w:r w:rsidRPr="00720D9E">
        <w:t xml:space="preserve"> </w:t>
      </w:r>
      <w:r w:rsidR="000D05D4" w:rsidRPr="00720D9E">
        <w:t xml:space="preserve">x </w:t>
      </w:r>
      <w:r w:rsidR="000D05D4" w:rsidRPr="00720D9E">
        <w:rPr>
          <w:i/>
          <w:lang w:val="en-GB"/>
        </w:rPr>
        <w:t>C</w:t>
      </w:r>
      <w:r w:rsidR="000D05D4" w:rsidRPr="00720D9E">
        <w:rPr>
          <w:i/>
          <w:vertAlign w:val="subscript"/>
          <w:lang w:val="en-GB"/>
        </w:rPr>
        <w:t xml:space="preserve">CH4 </w:t>
      </w:r>
      <w:r w:rsidRPr="00720D9E">
        <w:t xml:space="preserve">+ </w:t>
      </w:r>
      <w:r w:rsidRPr="00720D9E">
        <w:rPr>
          <w:i/>
        </w:rPr>
        <w:t>PIB</w:t>
      </w:r>
      <w:r w:rsidRPr="00720D9E">
        <w:rPr>
          <w:i/>
          <w:vertAlign w:val="subscript"/>
        </w:rPr>
        <w:t>B,i</w:t>
      </w:r>
      <w:r w:rsidRPr="00720D9E">
        <w:t xml:space="preserve"> </w:t>
      </w:r>
      <w:r w:rsidR="000D05D4" w:rsidRPr="00720D9E">
        <w:t xml:space="preserve">x </w:t>
      </w:r>
      <w:r w:rsidR="000D05D4" w:rsidRPr="00720D9E">
        <w:rPr>
          <w:i/>
          <w:lang w:val="en-GB"/>
        </w:rPr>
        <w:t>C</w:t>
      </w:r>
      <w:r w:rsidR="000D05D4" w:rsidRPr="00720D9E">
        <w:rPr>
          <w:i/>
          <w:vertAlign w:val="subscript"/>
          <w:lang w:val="en-GB"/>
        </w:rPr>
        <w:t>CH 4</w:t>
      </w:r>
      <w:r w:rsidR="00A52042" w:rsidRPr="00720D9E">
        <w:rPr>
          <w:i/>
          <w:vertAlign w:val="subscript"/>
          <w:lang w:val="en-GB"/>
        </w:rPr>
        <w:t xml:space="preserve"> </w:t>
      </w:r>
      <w:r w:rsidRPr="00720D9E">
        <w:t>+</w:t>
      </w:r>
      <w:r w:rsidRPr="00720D9E">
        <w:rPr>
          <w:i/>
        </w:rPr>
        <w:t xml:space="preserve"> PGW</w:t>
      </w:r>
      <w:r w:rsidR="00A52042" w:rsidRPr="00720D9E">
        <w:rPr>
          <w:i/>
          <w:vertAlign w:val="subscript"/>
        </w:rPr>
        <w:t>B,i</w:t>
      </w:r>
      <w:r w:rsidR="000D05D4" w:rsidRPr="00720D9E">
        <w:t xml:space="preserve"> x </w:t>
      </w:r>
      <w:r w:rsidR="000D05D4" w:rsidRPr="00720D9E">
        <w:rPr>
          <w:i/>
          <w:lang w:val="en-GB"/>
        </w:rPr>
        <w:t>C</w:t>
      </w:r>
      <w:r w:rsidR="000D05D4" w:rsidRPr="00720D9E">
        <w:rPr>
          <w:i/>
          <w:vertAlign w:val="subscript"/>
          <w:lang w:val="en-GB"/>
        </w:rPr>
        <w:t>CH4</w:t>
      </w:r>
      <w:r w:rsidRPr="00720D9E">
        <w:t>)</w:t>
      </w:r>
      <w:r w:rsidR="00A52042" w:rsidRPr="00720D9E">
        <w:t xml:space="preserve"> x 0.0423 x 0.000454</w:t>
      </w:r>
      <w:r w:rsidRPr="00720D9E">
        <w:t xml:space="preserve"> x </w:t>
      </w:r>
      <w:r w:rsidRPr="00720D9E">
        <w:rPr>
          <w:i/>
        </w:rPr>
        <w:t>CEF</w:t>
      </w:r>
      <w:r w:rsidRPr="00720D9E">
        <w:rPr>
          <w:i/>
          <w:vertAlign w:val="subscript"/>
        </w:rPr>
        <w:t>CH4</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00A52042" w:rsidRPr="00720D9E">
        <w:rPr>
          <w:i/>
          <w:vertAlign w:val="subscript"/>
        </w:rPr>
        <w:t>MD</w:t>
      </w:r>
      <w:r w:rsidRPr="00720D9E">
        <w:tab/>
        <w:t>=</w:t>
      </w:r>
      <w:r w:rsidRPr="00720D9E">
        <w:tab/>
        <w:t>Baseline emissions from destruction of methane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(flaring, power generation, heat generation,</w:t>
      </w:r>
      <w:r w:rsidR="000D6176" w:rsidRPr="00720D9E">
        <w:t xml:space="preserve"> production of transportation fuel,</w:t>
      </w:r>
      <w:r w:rsidRPr="00720D9E">
        <w:t xml:space="preserve"> etc.)</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00A52042" w:rsidRPr="00720D9E">
        <w:rPr>
          <w:i/>
          <w:vertAlign w:val="subscript"/>
        </w:rPr>
        <w:t>B,i</w:t>
      </w:r>
      <w:r w:rsidRPr="00720D9E">
        <w:tab/>
        <w:t>=</w:t>
      </w:r>
      <w:r w:rsidRPr="00720D9E">
        <w:tab/>
      </w:r>
      <w:r w:rsidR="00A52042" w:rsidRPr="00720D9E">
        <w:t>Volume of MG</w:t>
      </w:r>
      <w:r w:rsidRPr="00720D9E">
        <w:t xml:space="preserve"> from pre-mining surface wells that would have been </w:t>
      </w:r>
      <w:r w:rsidR="008111CD" w:rsidRPr="00720D9E">
        <w:t>sent to non-qualifying devices for destruction through</w:t>
      </w:r>
      <w:r w:rsidRPr="00720D9E">
        <w:t xml:space="preserve"> use i during the reporting period in the baseline scenario (</w:t>
      </w:r>
      <w:r w:rsidR="00DE4F4C" w:rsidRPr="00720D9E">
        <w:t>scf</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00A52042" w:rsidRPr="00720D9E">
        <w:rPr>
          <w:i/>
          <w:vertAlign w:val="subscript"/>
        </w:rPr>
        <w:t>B,i</w:t>
      </w:r>
      <w:r w:rsidRPr="00720D9E">
        <w:tab/>
        <w:t>=</w:t>
      </w:r>
      <w:r w:rsidRPr="00720D9E">
        <w:tab/>
      </w:r>
      <w:r w:rsidR="00A52042" w:rsidRPr="00720D9E">
        <w:t>Volume of MG</w:t>
      </w:r>
      <w:r w:rsidRPr="00720D9E">
        <w:t xml:space="preserve"> from pre-mining in-mine boreholes that would have been </w:t>
      </w:r>
      <w:r w:rsidR="008111CD" w:rsidRPr="00720D9E">
        <w:t>sent to non-qualifying devices for destruction through</w:t>
      </w:r>
      <w:r w:rsidRPr="00720D9E">
        <w:t xml:space="preserve"> use i during the reporting period in the baseline scenario (</w:t>
      </w:r>
      <w:r w:rsidR="00DE4F4C" w:rsidRPr="00720D9E">
        <w:t>scf</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PGW</w:t>
      </w:r>
      <w:r w:rsidR="00A52042" w:rsidRPr="00720D9E">
        <w:rPr>
          <w:i/>
          <w:vertAlign w:val="subscript"/>
        </w:rPr>
        <w:t>B,i</w:t>
      </w:r>
      <w:r w:rsidRPr="00720D9E">
        <w:tab/>
        <w:t>=</w:t>
      </w:r>
      <w:r w:rsidRPr="00720D9E">
        <w:tab/>
      </w:r>
      <w:r w:rsidR="00A52042" w:rsidRPr="00720D9E">
        <w:t xml:space="preserve">Volume of </w:t>
      </w:r>
      <w:r w:rsidR="009F7E85" w:rsidRPr="00720D9E">
        <w:t>M</w:t>
      </w:r>
      <w:r w:rsidR="00A52042" w:rsidRPr="00720D9E">
        <w:t>G</w:t>
      </w:r>
      <w:r w:rsidRPr="00720D9E">
        <w:t xml:space="preserve"> from post-mining gob wells that would have been </w:t>
      </w:r>
      <w:r w:rsidR="008111CD" w:rsidRPr="00720D9E">
        <w:t>sent to non-qualifying devices for destruction through</w:t>
      </w:r>
      <w:r w:rsidRPr="00720D9E">
        <w:t xml:space="preserve"> use i during the reporting period in the baseline scenario (</w:t>
      </w:r>
      <w:r w:rsidR="00DE4F4C" w:rsidRPr="00720D9E">
        <w:t>scf</w:t>
      </w:r>
      <w:r w:rsidRPr="00720D9E">
        <w:t>)</w:t>
      </w:r>
    </w:p>
    <w:p w:rsidR="00A52042" w:rsidRPr="00720D9E" w:rsidRDefault="00A52042" w:rsidP="00A52042">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 xml:space="preserve">/scf) </w:t>
      </w:r>
    </w:p>
    <w:p w:rsidR="00A52042" w:rsidRPr="00720D9E" w:rsidRDefault="00A52042" w:rsidP="00A52042">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A52042" w:rsidRPr="00720D9E" w:rsidRDefault="00A52042" w:rsidP="00A52042">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A52042" w:rsidRPr="00720D9E" w:rsidRDefault="00C926F7" w:rsidP="00A52042">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CH4</w:t>
      </w:r>
      <w:r w:rsidRPr="00720D9E">
        <w:tab/>
        <w:t>=</w:t>
      </w:r>
      <w:r w:rsidRPr="00720D9E">
        <w:tab/>
        <w:t>CO</w:t>
      </w:r>
      <w:r w:rsidRPr="00720D9E">
        <w:rPr>
          <w:vertAlign w:val="subscript"/>
        </w:rPr>
        <w:t>2</w:t>
      </w:r>
      <w:r w:rsidRPr="00720D9E">
        <w:t xml:space="preserve"> emission factor for combusted methane (2.75 tCO</w:t>
      </w:r>
      <w:r w:rsidRPr="00720D9E">
        <w:rPr>
          <w:vertAlign w:val="subscript"/>
        </w:rPr>
        <w:t>2</w:t>
      </w:r>
      <w:r w:rsidRPr="00720D9E">
        <w:t>e/tCH</w:t>
      </w:r>
      <w:r w:rsidRPr="00720D9E">
        <w:rPr>
          <w:vertAlign w:val="subscript"/>
        </w:rPr>
        <w:t>4</w:t>
      </w:r>
      <w:r w:rsidRPr="00720D9E">
        <w:t>)</w:t>
      </w:r>
    </w:p>
    <w:p w:rsidR="00C926F7" w:rsidRPr="00720D9E" w:rsidRDefault="00C926F7" w:rsidP="00C926F7">
      <w:pPr>
        <w:pStyle w:val="ListParagraph"/>
        <w:numPr>
          <w:ilvl w:val="0"/>
          <w:numId w:val="30"/>
        </w:numPr>
        <w:ind w:hanging="720"/>
      </w:pPr>
      <w:r w:rsidRPr="00720D9E">
        <w:t>Baseline emissions from the release of methane (BE</w:t>
      </w:r>
      <w:r w:rsidR="00A52042" w:rsidRPr="00720D9E">
        <w:rPr>
          <w:vertAlign w:val="subscript"/>
        </w:rPr>
        <w:t>MR</w:t>
      </w:r>
      <w:r w:rsidRPr="00720D9E">
        <w:t xml:space="preserve">) must be quantified using </w:t>
      </w:r>
      <w:r w:rsidR="004842C4" w:rsidRPr="00720D9E">
        <w:t>Equation 5.</w:t>
      </w:r>
      <w:r w:rsidRPr="00720D9E">
        <w:t>1</w:t>
      </w:r>
      <w:r w:rsidR="00D04989" w:rsidRPr="00720D9E">
        <w:t>4</w:t>
      </w:r>
      <w:r w:rsidRPr="00720D9E">
        <w:t>.</w:t>
      </w:r>
    </w:p>
    <w:p w:rsidR="00C926F7" w:rsidRPr="00720D9E" w:rsidRDefault="00C926F7" w:rsidP="00C926F7">
      <w:pPr>
        <w:pStyle w:val="ListParagraph"/>
        <w:numPr>
          <w:ilvl w:val="0"/>
          <w:numId w:val="30"/>
        </w:numPr>
        <w:ind w:hanging="720"/>
      </w:pPr>
      <w:r w:rsidRPr="00720D9E">
        <w:lastRenderedPageBreak/>
        <w:t>BE</w:t>
      </w:r>
      <w:r w:rsidRPr="00720D9E">
        <w:rPr>
          <w:vertAlign w:val="subscript"/>
        </w:rPr>
        <w:t>MR</w:t>
      </w:r>
      <w:r w:rsidRPr="00720D9E">
        <w:t xml:space="preserve"> must account for the total amount of methane actually destroyed by all qualifying and non-qualifying devices.</w:t>
      </w:r>
    </w:p>
    <w:p w:rsidR="00C926F7" w:rsidRPr="00720D9E" w:rsidRDefault="00C926F7" w:rsidP="00C926F7">
      <w:pPr>
        <w:pStyle w:val="ListParagraph"/>
        <w:numPr>
          <w:ilvl w:val="0"/>
          <w:numId w:val="30"/>
        </w:numPr>
        <w:ind w:hanging="720"/>
      </w:pPr>
      <w:r w:rsidRPr="00720D9E">
        <w:t>Emissions from the release of methane through pre-mining surface wells are only accounted for in the baseline during the reporting period(s) in which the emissions would have occurred (i.e. when the well is mined through).  For the purposes of this protocol, a well at an active underground mine is considered mined through when any of the following occur:</w:t>
      </w:r>
    </w:p>
    <w:p w:rsidR="00C926F7" w:rsidRPr="00720D9E" w:rsidRDefault="00C926F7" w:rsidP="00C926F7">
      <w:pPr>
        <w:pStyle w:val="ListParagraph"/>
        <w:numPr>
          <w:ilvl w:val="1"/>
          <w:numId w:val="30"/>
        </w:numPr>
        <w:ind w:hanging="720"/>
      </w:pPr>
      <w:r w:rsidRPr="00720D9E">
        <w:t>The working face intersects the borehole</w:t>
      </w:r>
      <w:r w:rsidR="00F26BBC" w:rsidRPr="00720D9E">
        <w:t>, as long as the endpoint of the borehole is not more than 50 meters below the mined coal seam</w:t>
      </w:r>
      <w:r w:rsidRPr="00720D9E">
        <w:t>;</w:t>
      </w:r>
    </w:p>
    <w:p w:rsidR="00C926F7" w:rsidRPr="00720D9E" w:rsidRDefault="00C926F7" w:rsidP="00C926F7">
      <w:pPr>
        <w:pStyle w:val="ListParagraph"/>
        <w:numPr>
          <w:ilvl w:val="1"/>
          <w:numId w:val="30"/>
        </w:numPr>
        <w:ind w:hanging="720"/>
      </w:pPr>
      <w:r w:rsidRPr="00720D9E">
        <w:t>The working face passes directly underneath the bottom of the borehole, as long as the endpoint of the borehole is not more than 150 meters above the mined coal seam</w:t>
      </w:r>
      <w:r w:rsidR="00F26BBC" w:rsidRPr="00720D9E">
        <w:t>;</w:t>
      </w:r>
    </w:p>
    <w:p w:rsidR="00C926F7" w:rsidRPr="00720D9E" w:rsidRDefault="00C926F7" w:rsidP="00C926F7">
      <w:pPr>
        <w:pStyle w:val="ListParagraph"/>
        <w:numPr>
          <w:ilvl w:val="1"/>
          <w:numId w:val="30"/>
        </w:numPr>
        <w:ind w:hanging="720"/>
      </w:pPr>
      <w:r w:rsidRPr="00720D9E">
        <w:t>The working face passes both underneath</w:t>
      </w:r>
      <w:r w:rsidR="00847B3F" w:rsidRPr="00720D9E">
        <w:t xml:space="preserve"> (not more than 150 meters below the endpoint of the borehole)</w:t>
      </w:r>
      <w:r w:rsidRPr="00720D9E">
        <w:t xml:space="preserve"> and to the side of the borehole </w:t>
      </w:r>
      <w:r w:rsidR="00F26BBC" w:rsidRPr="00720D9E">
        <w:t xml:space="preserve">if room and pillar mining technique is employed and </w:t>
      </w:r>
      <w:r w:rsidRPr="00720D9E">
        <w:t xml:space="preserve">the </w:t>
      </w:r>
      <w:r w:rsidR="00847B3F" w:rsidRPr="00720D9E">
        <w:t>endpoint</w:t>
      </w:r>
      <w:r w:rsidRPr="00720D9E">
        <w:t xml:space="preserve"> of the borehole lies above a block of coal that w</w:t>
      </w:r>
      <w:r w:rsidR="00847B3F" w:rsidRPr="00720D9E">
        <w:t>ill be left unmined as a pillar</w:t>
      </w:r>
      <w:r w:rsidR="000707D8" w:rsidRPr="00720D9E">
        <w:t>; or</w:t>
      </w:r>
    </w:p>
    <w:p w:rsidR="000707D8" w:rsidRPr="00720D9E" w:rsidRDefault="000707D8" w:rsidP="000707D8">
      <w:pPr>
        <w:pStyle w:val="ListParagraph"/>
        <w:numPr>
          <w:ilvl w:val="1"/>
          <w:numId w:val="30"/>
        </w:numPr>
        <w:ind w:hanging="720"/>
      </w:pPr>
      <w:r w:rsidRPr="00720D9E">
        <w:t>The</w:t>
      </w:r>
      <w:r w:rsidRPr="00720D9E">
        <w:rPr>
          <w:lang w:val="en-GB"/>
        </w:rPr>
        <w:t xml:space="preserve"> well produces elevated amounts of atmospheric gases (the percent concentration of nitrogen in mine gas increases by five compared to baseline levels).  A full gas analysis using a gas chromatograph must be completed by an ISO 17025 accredited lab.  To ensure that elevated nitrogen levels are the result of a well being mined through and not the result of a leak in the well, the gas analysis must show that oxygen levels did not increase by the same proportion as the nitrogen levels.</w:t>
      </w:r>
    </w:p>
    <w:p w:rsidR="000707D8" w:rsidRPr="00720D9E" w:rsidRDefault="000707D8" w:rsidP="00C926F7">
      <w:pPr>
        <w:pStyle w:val="ListParagraph"/>
        <w:numPr>
          <w:ilvl w:val="0"/>
          <w:numId w:val="30"/>
        </w:numPr>
        <w:ind w:hanging="720"/>
      </w:pPr>
      <w:r w:rsidRPr="00720D9E">
        <w:t>If using option 1, 2, or 3 to demonstrate that a well is mined through, an</w:t>
      </w:r>
      <w:r w:rsidR="0079791B" w:rsidRPr="00720D9E">
        <w:t xml:space="preserve"> up-to-date</w:t>
      </w:r>
      <w:r w:rsidR="00C926F7" w:rsidRPr="00720D9E">
        <w:t xml:space="preserve"> mine plan </w:t>
      </w:r>
      <w:r w:rsidR="00523499" w:rsidRPr="00720D9E">
        <w:t>must</w:t>
      </w:r>
      <w:r w:rsidR="0079791B" w:rsidRPr="00720D9E">
        <w:t xml:space="preserve"> </w:t>
      </w:r>
      <w:r w:rsidR="00C926F7" w:rsidRPr="00720D9E">
        <w:t xml:space="preserve">be used to identify which wells were mined through, based on the above criteria, and therefore eligible for baseline quantification in any given reporting period.  </w:t>
      </w:r>
    </w:p>
    <w:p w:rsidR="00C926F7" w:rsidRPr="00720D9E" w:rsidRDefault="00C926F7" w:rsidP="00C926F7">
      <w:pPr>
        <w:pStyle w:val="ListParagraph"/>
        <w:numPr>
          <w:ilvl w:val="0"/>
          <w:numId w:val="30"/>
        </w:numPr>
        <w:ind w:hanging="720"/>
      </w:pPr>
      <w:r w:rsidRPr="00720D9E">
        <w:t>If the mine plan calls for mining past rather than through a borehole, MM from that borehole is eligible for quantification in the baseline when the linear distance between the endpoint of the borehole and the working face that will pass nearest the endpoint of the borehole has reached an absolute minimum.</w:t>
      </w:r>
    </w:p>
    <w:p w:rsidR="00167241" w:rsidRPr="00720D9E" w:rsidRDefault="00167241" w:rsidP="00720E6E">
      <w:pPr>
        <w:pStyle w:val="ListParagraph"/>
        <w:numPr>
          <w:ilvl w:val="0"/>
          <w:numId w:val="30"/>
        </w:numPr>
        <w:ind w:hanging="720"/>
      </w:pPr>
      <w:r w:rsidRPr="00720D9E">
        <w:lastRenderedPageBreak/>
        <w:t xml:space="preserve">If an MMC project at an active underground mine consists of both VAM and methane drainage activities, mine gas extracted from a methane drainage system (MG) may be used to supplement VAM to either increase or help balance the concentration of methane flowing into the destruction device.  If MG is used to supplement VAM, the MG destructed by the project during the reporting period must be accounted for using </w:t>
      </w:r>
      <w:r w:rsidR="004842C4" w:rsidRPr="00720D9E">
        <w:t>Equation 5.</w:t>
      </w:r>
      <w:r w:rsidR="00720E6E" w:rsidRPr="00720D9E">
        <w:t>1</w:t>
      </w:r>
      <w:r w:rsidR="00D04989" w:rsidRPr="00720D9E">
        <w:t>4</w:t>
      </w:r>
      <w:r w:rsidRPr="00720D9E">
        <w:t xml:space="preserve"> as MG</w:t>
      </w:r>
      <w:r w:rsidRPr="00720D9E">
        <w:rPr>
          <w:vertAlign w:val="subscript"/>
        </w:rPr>
        <w:t>SUPP,i,</w:t>
      </w:r>
      <w:r w:rsidR="00720E6E" w:rsidRPr="00720D9E">
        <w:rPr>
          <w:vertAlign w:val="subscript"/>
        </w:rPr>
        <w:t>.</w:t>
      </w:r>
    </w:p>
    <w:p w:rsidR="00A8210F" w:rsidRPr="00720D9E" w:rsidRDefault="00A8210F" w:rsidP="00A8210F">
      <w:pPr>
        <w:pStyle w:val="ListParagraph"/>
        <w:numPr>
          <w:ilvl w:val="0"/>
          <w:numId w:val="30"/>
        </w:numPr>
        <w:ind w:hanging="720"/>
      </w:pPr>
      <w:r w:rsidRPr="00720D9E">
        <w:t>MM that is still vented in the project scenario is not accounted for in the project emissions or baseline emissions, since it is vented in both scenarios.</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1</w:t>
      </w:r>
      <w:r w:rsidR="00D04989" w:rsidRPr="00720D9E">
        <w:t>4</w:t>
      </w:r>
      <w:r w:rsidR="00C926F7" w:rsidRPr="00720D9E">
        <w:t xml:space="preserve">: Baseline Emissions from Release of </w:t>
      </w:r>
      <w:r w:rsidR="00AB2672" w:rsidRPr="00720D9E">
        <w:t>M</w:t>
      </w:r>
      <w:r w:rsidR="00C926F7" w:rsidRPr="00720D9E">
        <w:t>ethane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900"/>
        </w:tabs>
        <w:ind w:left="900" w:hanging="900"/>
      </w:pPr>
      <w:r w:rsidRPr="00720D9E">
        <w:rPr>
          <w:i/>
        </w:rPr>
        <w:t>BE</w:t>
      </w:r>
      <w:r w:rsidRPr="00720D9E">
        <w:rPr>
          <w:i/>
          <w:vertAlign w:val="subscript"/>
        </w:rPr>
        <w:t>MR</w:t>
      </w:r>
      <w:r w:rsidRPr="00720D9E">
        <w:t xml:space="preserve"> = </w:t>
      </w:r>
      <w:r w:rsidRPr="00720D9E">
        <w:rPr>
          <w:i/>
          <w:position w:val="-28"/>
        </w:rPr>
        <w:object w:dxaOrig="480" w:dyaOrig="540">
          <v:shape id="_x0000_i1033" type="#_x0000_t75" style="width:22pt;height:29pt" o:ole="">
            <v:imagedata r:id="rId18" o:title=""/>
          </v:shape>
          <o:OLEObject Type="Embed" ProgID="Equation.3" ShapeID="_x0000_i1033" DrawAspect="Content" ObjectID="_1437988686" r:id="rId26"/>
        </w:object>
      </w:r>
      <w:r w:rsidR="00167241" w:rsidRPr="00720D9E">
        <w:t>[</w:t>
      </w:r>
      <w:r w:rsidRPr="00720D9E">
        <w:t>(</w:t>
      </w:r>
      <w:r w:rsidRPr="00720D9E">
        <w:rPr>
          <w:i/>
        </w:rPr>
        <w:t>PSW</w:t>
      </w:r>
      <w:r w:rsidRPr="00720D9E">
        <w:rPr>
          <w:i/>
          <w:vertAlign w:val="subscript"/>
        </w:rPr>
        <w:t>P,</w:t>
      </w:r>
      <w:r w:rsidR="00847B3F" w:rsidRPr="00720D9E">
        <w:rPr>
          <w:i/>
          <w:vertAlign w:val="subscript"/>
        </w:rPr>
        <w:t>i</w:t>
      </w:r>
      <w:r w:rsidRPr="00720D9E">
        <w:t xml:space="preserve"> - </w:t>
      </w:r>
      <w:r w:rsidRPr="00720D9E">
        <w:rPr>
          <w:i/>
        </w:rPr>
        <w:t>PSW</w:t>
      </w:r>
      <w:r w:rsidR="00847B3F" w:rsidRPr="00720D9E">
        <w:rPr>
          <w:i/>
          <w:vertAlign w:val="subscript"/>
        </w:rPr>
        <w:t>B,i</w:t>
      </w:r>
      <w:r w:rsidRPr="00720D9E">
        <w:t>)</w:t>
      </w:r>
      <w:r w:rsidR="00847B3F" w:rsidRPr="00720D9E">
        <w:t xml:space="preserve"> x </w:t>
      </w:r>
      <w:r w:rsidR="00847B3F" w:rsidRPr="00720D9E">
        <w:rPr>
          <w:i/>
          <w:lang w:val="en-GB"/>
        </w:rPr>
        <w:t>C</w:t>
      </w:r>
      <w:r w:rsidR="00847B3F" w:rsidRPr="00720D9E">
        <w:rPr>
          <w:i/>
          <w:vertAlign w:val="subscript"/>
          <w:lang w:val="en-GB"/>
        </w:rPr>
        <w:t>CH4</w:t>
      </w:r>
      <w:r w:rsidRPr="00720D9E">
        <w:t xml:space="preserve"> +</w:t>
      </w:r>
      <w:r w:rsidR="00847B3F" w:rsidRPr="00720D9E">
        <w:t xml:space="preserve"> </w:t>
      </w:r>
      <w:r w:rsidRPr="00720D9E">
        <w:t>(</w:t>
      </w:r>
      <w:r w:rsidRPr="00720D9E">
        <w:rPr>
          <w:i/>
        </w:rPr>
        <w:t>PIB</w:t>
      </w:r>
      <w:r w:rsidRPr="00720D9E">
        <w:rPr>
          <w:i/>
          <w:vertAlign w:val="subscript"/>
        </w:rPr>
        <w:t>P,i</w:t>
      </w:r>
      <w:r w:rsidRPr="00720D9E">
        <w:t xml:space="preserve"> - </w:t>
      </w:r>
      <w:r w:rsidRPr="00720D9E">
        <w:rPr>
          <w:i/>
        </w:rPr>
        <w:t>PIB</w:t>
      </w:r>
      <w:r w:rsidR="00847B3F" w:rsidRPr="00720D9E">
        <w:rPr>
          <w:i/>
          <w:vertAlign w:val="subscript"/>
        </w:rPr>
        <w:t>B,i</w:t>
      </w:r>
      <w:r w:rsidRPr="00720D9E">
        <w:t xml:space="preserve">) </w:t>
      </w:r>
      <w:r w:rsidR="00847B3F" w:rsidRPr="00720D9E">
        <w:t xml:space="preserve">x </w:t>
      </w:r>
      <w:r w:rsidR="00847B3F" w:rsidRPr="00720D9E">
        <w:rPr>
          <w:i/>
          <w:lang w:val="en-GB"/>
        </w:rPr>
        <w:t>C</w:t>
      </w:r>
      <w:r w:rsidR="00847B3F" w:rsidRPr="00720D9E">
        <w:rPr>
          <w:i/>
          <w:vertAlign w:val="subscript"/>
          <w:lang w:val="en-GB"/>
        </w:rPr>
        <w:t>CH4</w:t>
      </w:r>
      <w:r w:rsidR="00847B3F" w:rsidRPr="00720D9E">
        <w:t xml:space="preserve"> </w:t>
      </w:r>
      <w:r w:rsidRPr="00720D9E">
        <w:t>+</w:t>
      </w:r>
      <w:r w:rsidR="00847B3F" w:rsidRPr="00720D9E">
        <w:t xml:space="preserve"> </w:t>
      </w:r>
      <w:r w:rsidRPr="00720D9E">
        <w:t>(</w:t>
      </w:r>
      <w:r w:rsidRPr="00720D9E">
        <w:rPr>
          <w:i/>
        </w:rPr>
        <w:t>PGW</w:t>
      </w:r>
      <w:r w:rsidRPr="00720D9E">
        <w:rPr>
          <w:i/>
          <w:vertAlign w:val="subscript"/>
        </w:rPr>
        <w:t>P,i</w:t>
      </w:r>
      <w:r w:rsidRPr="00720D9E">
        <w:t xml:space="preserve"> - </w:t>
      </w:r>
      <w:r w:rsidRPr="00720D9E">
        <w:rPr>
          <w:i/>
        </w:rPr>
        <w:t>PGW</w:t>
      </w:r>
      <w:r w:rsidR="00847B3F" w:rsidRPr="00720D9E">
        <w:rPr>
          <w:i/>
          <w:vertAlign w:val="subscript"/>
        </w:rPr>
        <w:t>B,i</w:t>
      </w:r>
      <w:r w:rsidRPr="00720D9E">
        <w:t>)</w:t>
      </w:r>
      <w:r w:rsidR="00847B3F" w:rsidRPr="00720D9E">
        <w:t xml:space="preserve"> x </w:t>
      </w:r>
      <w:r w:rsidR="00847B3F" w:rsidRPr="00720D9E">
        <w:rPr>
          <w:i/>
          <w:lang w:val="en-GB"/>
        </w:rPr>
        <w:t>C</w:t>
      </w:r>
      <w:r w:rsidR="00847B3F" w:rsidRPr="00720D9E">
        <w:rPr>
          <w:i/>
          <w:vertAlign w:val="subscript"/>
          <w:lang w:val="en-GB"/>
        </w:rPr>
        <w:t>CH4</w:t>
      </w:r>
      <w:r w:rsidR="00167241" w:rsidRPr="00720D9E">
        <w:rPr>
          <w:i/>
          <w:vertAlign w:val="subscript"/>
          <w:lang w:val="en-GB"/>
        </w:rPr>
        <w:t xml:space="preserve"> </w:t>
      </w:r>
      <w:r w:rsidR="00167241" w:rsidRPr="00720D9E">
        <w:rPr>
          <w:i/>
          <w:lang w:val="en-GB"/>
        </w:rPr>
        <w:t xml:space="preserve"> -</w:t>
      </w:r>
      <w:r w:rsidR="00167241" w:rsidRPr="00720D9E">
        <w:t xml:space="preserve"> </w:t>
      </w:r>
      <w:r w:rsidR="00167241" w:rsidRPr="00720D9E">
        <w:rPr>
          <w:i/>
        </w:rPr>
        <w:t>MG</w:t>
      </w:r>
      <w:r w:rsidR="00167241" w:rsidRPr="00720D9E">
        <w:rPr>
          <w:i/>
          <w:vertAlign w:val="subscript"/>
        </w:rPr>
        <w:t>SUPP,i</w:t>
      </w:r>
      <w:r w:rsidR="00167241" w:rsidRPr="00720D9E">
        <w:t xml:space="preserve"> x </w:t>
      </w:r>
      <w:r w:rsidR="00167241" w:rsidRPr="00720D9E">
        <w:rPr>
          <w:i/>
          <w:lang w:val="en-GB"/>
        </w:rPr>
        <w:t>C</w:t>
      </w:r>
      <w:r w:rsidR="00167241" w:rsidRPr="00720D9E">
        <w:rPr>
          <w:i/>
          <w:vertAlign w:val="subscript"/>
          <w:lang w:val="en-GB"/>
        </w:rPr>
        <w:t>CH4MG</w:t>
      </w:r>
      <w:r w:rsidRPr="00720D9E">
        <w:t xml:space="preserve">] </w:t>
      </w:r>
      <w:r w:rsidR="00DE4F4C" w:rsidRPr="00720D9E">
        <w:t>x 0.0423 x 0.000454</w:t>
      </w:r>
      <w:r w:rsidR="00DE4F4C" w:rsidRPr="00720D9E">
        <w:rPr>
          <w:i/>
          <w:vertAlign w:val="subscript"/>
        </w:rPr>
        <w:t xml:space="preserve"> </w:t>
      </w:r>
      <w:r w:rsidRPr="00720D9E">
        <w:t>x</w:t>
      </w:r>
      <w:r w:rsidRPr="00720D9E">
        <w:rPr>
          <w:i/>
        </w:rPr>
        <w:t xml:space="preserve"> GWP</w:t>
      </w:r>
      <w:r w:rsidRPr="00720D9E">
        <w:rPr>
          <w:i/>
          <w:vertAlign w:val="subscript"/>
        </w:rPr>
        <w:t>CH4</w:t>
      </w:r>
      <w:r w:rsidRPr="00720D9E">
        <w:rPr>
          <w:i/>
        </w:rPr>
        <w:t xml:space="preserv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810"/>
        </w:tabs>
        <w:rPr>
          <w:i/>
        </w:rPr>
      </w:pPr>
      <w:r w:rsidRPr="00720D9E">
        <w:rPr>
          <w:i/>
        </w:rPr>
        <w:t xml:space="preserve"> 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rPr>
          <w:i/>
          <w:vertAlign w:val="subscript"/>
        </w:rPr>
        <w:t>MR</w:t>
      </w:r>
      <w:r w:rsidRPr="00720D9E">
        <w:tab/>
        <w:t>=</w:t>
      </w:r>
      <w:r w:rsidRPr="00720D9E">
        <w:tab/>
        <w:t>Baseline emissions from release of methane into the atmosphere avoided by the project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 xml:space="preserve">Use of methane (flaring, power generation, heat generation, </w:t>
      </w:r>
      <w:r w:rsidR="000D6176" w:rsidRPr="00720D9E">
        <w:t xml:space="preserve">production of transportation fuel, </w:t>
      </w:r>
      <w:r w:rsidRPr="00720D9E">
        <w:t>etc.) by all qualifying and non-qualifying devices</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Pr="00720D9E">
        <w:rPr>
          <w:i/>
          <w:vertAlign w:val="subscript"/>
        </w:rPr>
        <w:t>P,</w:t>
      </w:r>
      <w:r w:rsidR="00DE4F4C" w:rsidRPr="00720D9E">
        <w:rPr>
          <w:i/>
          <w:vertAlign w:val="subscript"/>
        </w:rPr>
        <w:t>i</w:t>
      </w:r>
      <w:r w:rsidRPr="00720D9E">
        <w:tab/>
        <w:t>=</w:t>
      </w:r>
      <w:r w:rsidRPr="00720D9E">
        <w:tab/>
      </w:r>
      <w:r w:rsidR="00DE4F4C" w:rsidRPr="00720D9E">
        <w:t>Volume of MG</w:t>
      </w:r>
      <w:r w:rsidRPr="00720D9E">
        <w:t xml:space="preserve"> from pre-mining surface wells </w:t>
      </w:r>
      <w:r w:rsidR="00E305FE" w:rsidRPr="00720D9E">
        <w:t>sent to</w:t>
      </w:r>
      <w:r w:rsidRPr="00720D9E">
        <w:t xml:space="preserve"> qualifying and non-qualifying devices </w:t>
      </w:r>
      <w:r w:rsidR="00E305FE" w:rsidRPr="00720D9E">
        <w:t xml:space="preserve">for destruction </w:t>
      </w:r>
      <w:r w:rsidRPr="00720D9E">
        <w:t xml:space="preserve">through use i during the reporting period.  For qualifying devices, only the eligible amount per </w:t>
      </w:r>
      <w:r w:rsidR="004842C4" w:rsidRPr="00720D9E">
        <w:t>Equation 5.</w:t>
      </w:r>
      <w:r w:rsidRPr="00720D9E">
        <w:t>1</w:t>
      </w:r>
      <w:r w:rsidR="00E305FE" w:rsidRPr="00720D9E">
        <w:t>5</w:t>
      </w:r>
      <w:r w:rsidRPr="00720D9E">
        <w:t xml:space="preserve"> in accordance with </w:t>
      </w:r>
      <w:r w:rsidR="0060268C" w:rsidRPr="00720D9E">
        <w:t>sections</w:t>
      </w:r>
      <w:r w:rsidRPr="00720D9E">
        <w:t xml:space="preserve"> </w:t>
      </w:r>
      <w:r w:rsidR="00F53DCB" w:rsidRPr="00720D9E">
        <w:t>5.</w:t>
      </w:r>
      <w:r w:rsidR="00E305FE" w:rsidRPr="00720D9E">
        <w:t>2.1</w:t>
      </w:r>
      <w:r w:rsidRPr="00720D9E">
        <w:t>(k)</w:t>
      </w:r>
      <w:r w:rsidR="00E305FE" w:rsidRPr="00720D9E">
        <w:t>,</w:t>
      </w:r>
      <w:r w:rsidR="00F77CCE" w:rsidRPr="00720D9E">
        <w:t xml:space="preserve"> (l)</w:t>
      </w:r>
      <w:r w:rsidR="00E305FE" w:rsidRPr="00720D9E">
        <w:t xml:space="preserve"> and (m)</w:t>
      </w:r>
      <w:r w:rsidRPr="00720D9E">
        <w:t xml:space="preserve"> </w:t>
      </w:r>
      <w:r w:rsidR="00523499" w:rsidRPr="00720D9E">
        <w:t>must</w:t>
      </w:r>
      <w:r w:rsidRPr="00720D9E">
        <w:t xml:space="preserve"> be quantified (</w:t>
      </w:r>
      <w:r w:rsidR="00DE4F4C" w:rsidRPr="00720D9E">
        <w:t>scf</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00DE4F4C" w:rsidRPr="00720D9E">
        <w:rPr>
          <w:i/>
          <w:vertAlign w:val="subscript"/>
        </w:rPr>
        <w:t>B,i</w:t>
      </w:r>
      <w:r w:rsidRPr="00720D9E">
        <w:tab/>
        <w:t>=</w:t>
      </w:r>
      <w:r w:rsidRPr="00720D9E">
        <w:tab/>
      </w:r>
      <w:r w:rsidR="00DE4F4C" w:rsidRPr="00720D9E">
        <w:t>Volume of MG</w:t>
      </w:r>
      <w:r w:rsidRPr="00720D9E">
        <w:t xml:space="preserve"> from pre-mining surface wells that would have been </w:t>
      </w:r>
      <w:r w:rsidR="00E305FE" w:rsidRPr="00720D9E">
        <w:t>sent to non-qualifying devices for destruction through</w:t>
      </w:r>
      <w:r w:rsidRPr="00720D9E">
        <w:t xml:space="preserve"> use i during the reporting period in the baseline scenario (</w:t>
      </w:r>
      <w:r w:rsidR="00DE4F4C" w:rsidRPr="00720D9E">
        <w:t>scf</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Pr="00720D9E">
        <w:rPr>
          <w:i/>
          <w:vertAlign w:val="subscript"/>
        </w:rPr>
        <w:t>P,i</w:t>
      </w:r>
      <w:r w:rsidRPr="00720D9E">
        <w:tab/>
        <w:t>=</w:t>
      </w:r>
      <w:r w:rsidRPr="00720D9E">
        <w:tab/>
      </w:r>
      <w:r w:rsidR="00DE4F4C" w:rsidRPr="00720D9E">
        <w:t>Volume of MG</w:t>
      </w:r>
      <w:r w:rsidRPr="00720D9E">
        <w:t xml:space="preserve"> from pre-mining in-mine boreholes </w:t>
      </w:r>
      <w:r w:rsidR="00E305FE" w:rsidRPr="00720D9E">
        <w:t>sent to</w:t>
      </w:r>
      <w:r w:rsidRPr="00720D9E">
        <w:t xml:space="preserve"> qualifying and non-qualifying devices </w:t>
      </w:r>
      <w:r w:rsidR="00E305FE" w:rsidRPr="00720D9E">
        <w:t xml:space="preserve">for destruction </w:t>
      </w:r>
      <w:r w:rsidRPr="00720D9E">
        <w:t>through use i during the reporting period (</w:t>
      </w:r>
      <w:r w:rsidR="00DE4F4C" w:rsidRPr="00720D9E">
        <w:t>scf</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00DE4F4C" w:rsidRPr="00720D9E">
        <w:rPr>
          <w:i/>
          <w:vertAlign w:val="subscript"/>
        </w:rPr>
        <w:t>B,i</w:t>
      </w:r>
      <w:r w:rsidRPr="00720D9E">
        <w:tab/>
        <w:t>=</w:t>
      </w:r>
      <w:r w:rsidRPr="00720D9E">
        <w:tab/>
      </w:r>
      <w:r w:rsidR="00DE4F4C" w:rsidRPr="00720D9E">
        <w:t>Volume of MG</w:t>
      </w:r>
      <w:r w:rsidRPr="00720D9E">
        <w:t xml:space="preserve"> from pre-mining in-mine boreholes that would have been </w:t>
      </w:r>
      <w:r w:rsidR="00E305FE" w:rsidRPr="00720D9E">
        <w:t>sent to non-qualifying devices for destruction through</w:t>
      </w:r>
      <w:r w:rsidRPr="00720D9E">
        <w:t xml:space="preserve"> use i during the reporting period in the baseline scenario (</w:t>
      </w:r>
      <w:r w:rsidR="00DE4F4C" w:rsidRPr="00720D9E">
        <w:t>scf</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PGW</w:t>
      </w:r>
      <w:r w:rsidRPr="00720D9E">
        <w:rPr>
          <w:i/>
          <w:vertAlign w:val="subscript"/>
        </w:rPr>
        <w:t>P,i</w:t>
      </w:r>
      <w:r w:rsidRPr="00720D9E">
        <w:tab/>
        <w:t>=</w:t>
      </w:r>
      <w:r w:rsidRPr="00720D9E">
        <w:tab/>
      </w:r>
      <w:r w:rsidR="00DE4F4C" w:rsidRPr="00720D9E">
        <w:t>Volume of MG</w:t>
      </w:r>
      <w:r w:rsidRPr="00720D9E">
        <w:t xml:space="preserve"> from post-mining gob wells </w:t>
      </w:r>
      <w:r w:rsidR="00E305FE" w:rsidRPr="00720D9E">
        <w:t>sent to</w:t>
      </w:r>
      <w:r w:rsidRPr="00720D9E">
        <w:t xml:space="preserve"> qualifying and non-qualifying</w:t>
      </w:r>
      <w:r w:rsidR="00474A1B" w:rsidRPr="00720D9E">
        <w:t xml:space="preserve"> </w:t>
      </w:r>
      <w:r w:rsidRPr="00720D9E">
        <w:t>devices</w:t>
      </w:r>
      <w:r w:rsidR="00E305FE" w:rsidRPr="00720D9E">
        <w:t xml:space="preserve"> for destruction</w:t>
      </w:r>
      <w:r w:rsidRPr="00720D9E">
        <w:t xml:space="preserve"> through use i during the reporting period (</w:t>
      </w:r>
      <w:r w:rsidR="00DE4F4C" w:rsidRPr="00720D9E">
        <w:t>scf</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PGW</w:t>
      </w:r>
      <w:r w:rsidR="00DE4F4C" w:rsidRPr="00720D9E">
        <w:rPr>
          <w:i/>
          <w:vertAlign w:val="subscript"/>
        </w:rPr>
        <w:t>B,i</w:t>
      </w:r>
      <w:r w:rsidRPr="00720D9E">
        <w:tab/>
        <w:t>=</w:t>
      </w:r>
      <w:r w:rsidRPr="00720D9E">
        <w:tab/>
      </w:r>
      <w:r w:rsidR="00DE4F4C" w:rsidRPr="00720D9E">
        <w:t>Volume of MG</w:t>
      </w:r>
      <w:r w:rsidRPr="00720D9E">
        <w:t xml:space="preserve"> from post-mining gob wells that would have been </w:t>
      </w:r>
      <w:r w:rsidR="00E305FE" w:rsidRPr="00720D9E">
        <w:t>sent to non-qualifying device for destruction through</w:t>
      </w:r>
      <w:r w:rsidRPr="00720D9E">
        <w:t xml:space="preserve"> use i during the reporting period in the baseline scenario (</w:t>
      </w:r>
      <w:r w:rsidR="00DE4F4C" w:rsidRPr="00720D9E">
        <w:t>scf</w:t>
      </w:r>
      <w:r w:rsidRPr="00720D9E">
        <w:t>)</w:t>
      </w:r>
    </w:p>
    <w:p w:rsidR="00DE4F4C" w:rsidRPr="00720D9E" w:rsidRDefault="00DE4F4C" w:rsidP="00DE4F4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/scf)</w:t>
      </w:r>
    </w:p>
    <w:p w:rsidR="00167241" w:rsidRPr="00720D9E" w:rsidRDefault="00167241" w:rsidP="00167241">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MG</w:t>
      </w:r>
      <w:r w:rsidRPr="00720D9E">
        <w:rPr>
          <w:i/>
          <w:vertAlign w:val="subscript"/>
        </w:rPr>
        <w:t>SUPP,i</w:t>
      </w:r>
      <w:r w:rsidRPr="00720D9E">
        <w:rPr>
          <w:i/>
          <w:vertAlign w:val="subscript"/>
        </w:rPr>
        <w:tab/>
      </w:r>
      <w:r w:rsidRPr="00720D9E">
        <w:t>=</w:t>
      </w:r>
      <w:r w:rsidRPr="00720D9E">
        <w:tab/>
        <w:t xml:space="preserve">Volume of mine methane extracted from a methane drainage system and </w:t>
      </w:r>
      <w:r w:rsidR="00E305FE" w:rsidRPr="00720D9E">
        <w:t>sent to qualifying and non-qualifying devices</w:t>
      </w:r>
      <w:r w:rsidR="00E305FE" w:rsidRPr="00720D9E" w:rsidDel="00E305FE">
        <w:t xml:space="preserve"> </w:t>
      </w:r>
      <w:r w:rsidR="00474A1B" w:rsidRPr="00720D9E">
        <w:t xml:space="preserve">for combustion with VAM </w:t>
      </w:r>
      <w:r w:rsidRPr="00720D9E">
        <w:t>(scf)</w:t>
      </w:r>
    </w:p>
    <w:p w:rsidR="00167241" w:rsidRPr="00720D9E" w:rsidRDefault="00167241" w:rsidP="00167241">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lang w:val="en-GB"/>
        </w:rPr>
        <w:t>C</w:t>
      </w:r>
      <w:r w:rsidRPr="00720D9E">
        <w:rPr>
          <w:i/>
          <w:vertAlign w:val="subscript"/>
          <w:lang w:val="en-GB"/>
        </w:rPr>
        <w:t>CH4MG</w:t>
      </w:r>
      <w:r w:rsidRPr="00720D9E">
        <w:rPr>
          <w:lang w:val="en-GB"/>
        </w:rPr>
        <w:tab/>
        <w:t>=</w:t>
      </w:r>
      <w:r w:rsidRPr="00720D9E">
        <w:rPr>
          <w:lang w:val="en-GB"/>
        </w:rPr>
        <w:tab/>
        <w:t>Measured methane concentration of captured mine gas (scf CH</w:t>
      </w:r>
      <w:r w:rsidRPr="00720D9E">
        <w:rPr>
          <w:vertAlign w:val="subscript"/>
          <w:lang w:val="en-GB"/>
        </w:rPr>
        <w:t>4</w:t>
      </w:r>
      <w:r w:rsidRPr="00720D9E">
        <w:rPr>
          <w:lang w:val="en-GB"/>
        </w:rPr>
        <w:t>/scf)</w:t>
      </w:r>
    </w:p>
    <w:p w:rsidR="00DE4F4C" w:rsidRPr="00720D9E" w:rsidRDefault="00DE4F4C" w:rsidP="00DE4F4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DE4F4C" w:rsidRPr="00720D9E" w:rsidRDefault="00DE4F4C" w:rsidP="00DE4F4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GWP</w:t>
      </w:r>
      <w:r w:rsidRPr="00720D9E">
        <w:rPr>
          <w:i/>
          <w:vertAlign w:val="subscript"/>
        </w:rPr>
        <w:t>CH4</w:t>
      </w:r>
      <w:r w:rsidRPr="00720D9E">
        <w:rPr>
          <w:i/>
        </w:rPr>
        <w:tab/>
      </w:r>
      <w:r w:rsidRPr="00720D9E">
        <w:t>=</w:t>
      </w:r>
      <w:r w:rsidRPr="00720D9E">
        <w:tab/>
        <w:t>Global warming potential of methane (tCO</w:t>
      </w:r>
      <w:r w:rsidRPr="00720D9E">
        <w:rPr>
          <w:vertAlign w:val="subscript"/>
        </w:rPr>
        <w:t>2</w:t>
      </w:r>
      <w:r w:rsidRPr="00720D9E">
        <w:t>e/tCH</w:t>
      </w:r>
      <w:r w:rsidRPr="00720D9E">
        <w:rPr>
          <w:vertAlign w:val="subscript"/>
        </w:rPr>
        <w:t>4</w:t>
      </w:r>
      <w:r w:rsidRPr="00720D9E">
        <w:t>)</w:t>
      </w:r>
    </w:p>
    <w:p w:rsidR="00144959" w:rsidRPr="00720D9E" w:rsidRDefault="00144959"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p>
    <w:p w:rsidR="00144959" w:rsidRPr="00720D9E" w:rsidRDefault="00144959"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 xml:space="preserve">With, </w:t>
      </w:r>
    </w:p>
    <w:p w:rsidR="00144959" w:rsidRPr="00720D9E" w:rsidRDefault="00144959"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vertAlign w:val="subscript"/>
        </w:rPr>
      </w:pPr>
      <w:r w:rsidRPr="00720D9E">
        <w:rPr>
          <w:i/>
        </w:rPr>
        <w:t>PSW</w:t>
      </w:r>
      <w:r w:rsidRPr="00720D9E">
        <w:rPr>
          <w:i/>
          <w:vertAlign w:val="subscript"/>
        </w:rPr>
        <w:t>P,</w:t>
      </w:r>
      <w:r w:rsidR="00DE4F4C" w:rsidRPr="00720D9E">
        <w:rPr>
          <w:i/>
          <w:vertAlign w:val="subscript"/>
        </w:rPr>
        <w:t>i</w:t>
      </w:r>
      <w:r w:rsidRPr="00720D9E">
        <w:t xml:space="preserve"> = </w:t>
      </w:r>
      <w:r w:rsidRPr="00720D9E">
        <w:rPr>
          <w:i/>
        </w:rPr>
        <w:t>PSWe</w:t>
      </w:r>
      <w:r w:rsidR="00DE4F4C" w:rsidRPr="00720D9E">
        <w:rPr>
          <w:i/>
          <w:vertAlign w:val="subscript"/>
        </w:rPr>
        <w:t>i</w:t>
      </w:r>
      <w:r w:rsidRPr="00720D9E">
        <w:t xml:space="preserve"> + </w:t>
      </w:r>
      <w:r w:rsidRPr="00720D9E">
        <w:rPr>
          <w:i/>
        </w:rPr>
        <w:t>PSWnqd</w:t>
      </w:r>
      <w:r w:rsidR="00DE4F4C" w:rsidRPr="00720D9E">
        <w:rPr>
          <w:i/>
          <w:vertAlign w:val="subscript"/>
        </w:rPr>
        <w:t>i</w:t>
      </w:r>
    </w:p>
    <w:p w:rsidR="00144959" w:rsidRPr="00720D9E" w:rsidRDefault="00144959"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rPr>
          <w:i/>
        </w:rPr>
        <w:t>Where,</w:t>
      </w:r>
    </w:p>
    <w:p w:rsidR="00144959" w:rsidRPr="00720D9E" w:rsidRDefault="00144959" w:rsidP="00144959">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PSWe</w:t>
      </w:r>
      <w:r w:rsidR="00DE4F4C" w:rsidRPr="00720D9E">
        <w:rPr>
          <w:i/>
          <w:vertAlign w:val="subscript"/>
        </w:rPr>
        <w:t>i</w:t>
      </w:r>
      <w:r w:rsidRPr="00720D9E">
        <w:tab/>
        <w:t>=</w:t>
      </w:r>
      <w:r w:rsidRPr="00720D9E">
        <w:tab/>
      </w:r>
      <w:r w:rsidR="00DE4F4C" w:rsidRPr="00720D9E">
        <w:t>Volume</w:t>
      </w:r>
      <w:r w:rsidRPr="00720D9E">
        <w:t xml:space="preserve"> of M</w:t>
      </w:r>
      <w:r w:rsidR="00DE4F4C" w:rsidRPr="00720D9E">
        <w:t>G</w:t>
      </w:r>
      <w:r w:rsidRPr="00720D9E">
        <w:t xml:space="preserve"> from pre-mining surface wells </w:t>
      </w:r>
      <w:r w:rsidR="00E305FE" w:rsidRPr="00720D9E">
        <w:t>sent to</w:t>
      </w:r>
      <w:r w:rsidRPr="00720D9E">
        <w:t xml:space="preserve"> qualifying devices</w:t>
      </w:r>
      <w:r w:rsidR="00E305FE" w:rsidRPr="00720D9E">
        <w:t xml:space="preserve"> for destruction</w:t>
      </w:r>
      <w:r w:rsidRPr="00720D9E">
        <w:t xml:space="preserve"> through use i that is eligible for quantification  in the reporting period. Quantified using </w:t>
      </w:r>
      <w:r w:rsidR="004842C4" w:rsidRPr="00720D9E">
        <w:t>Equation 5.</w:t>
      </w:r>
      <w:r w:rsidRPr="00720D9E">
        <w:t>1</w:t>
      </w:r>
      <w:r w:rsidR="00E305FE" w:rsidRPr="00720D9E">
        <w:t>5</w:t>
      </w:r>
      <w:r w:rsidRPr="00720D9E">
        <w:t>. (</w:t>
      </w:r>
      <w:r w:rsidR="00DE4F4C" w:rsidRPr="00720D9E">
        <w:t>scf</w:t>
      </w:r>
      <w:r w:rsidRPr="00720D9E">
        <w:t>)</w:t>
      </w:r>
    </w:p>
    <w:p w:rsidR="00847B3F" w:rsidRPr="00720D9E" w:rsidRDefault="00144959" w:rsidP="00144959">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PSWnqd</w:t>
      </w:r>
      <w:r w:rsidR="00DE4F4C" w:rsidRPr="00720D9E">
        <w:rPr>
          <w:i/>
          <w:vertAlign w:val="subscript"/>
        </w:rPr>
        <w:t>i</w:t>
      </w:r>
      <w:r w:rsidRPr="00720D9E">
        <w:rPr>
          <w:i/>
          <w:vertAlign w:val="subscript"/>
        </w:rPr>
        <w:tab/>
      </w:r>
      <w:r w:rsidRPr="00720D9E">
        <w:t>=</w:t>
      </w:r>
      <w:r w:rsidRPr="00720D9E">
        <w:tab/>
      </w:r>
      <w:r w:rsidR="00DE4F4C" w:rsidRPr="00720D9E">
        <w:t>Volume of MG</w:t>
      </w:r>
      <w:r w:rsidRPr="00720D9E">
        <w:t xml:space="preserve"> from pre-mining surface wells </w:t>
      </w:r>
      <w:r w:rsidR="00E305FE" w:rsidRPr="00720D9E">
        <w:t>sent to</w:t>
      </w:r>
      <w:r w:rsidRPr="00720D9E">
        <w:t xml:space="preserve"> non-qualifying devices</w:t>
      </w:r>
      <w:r w:rsidR="00E305FE" w:rsidRPr="00720D9E">
        <w:t xml:space="preserve"> for destruction</w:t>
      </w:r>
      <w:r w:rsidRPr="00720D9E">
        <w:t xml:space="preserve"> through use i during the reporting period (</w:t>
      </w:r>
      <w:r w:rsidR="00DE4F4C" w:rsidRPr="00720D9E">
        <w:t>scf</w:t>
      </w:r>
      <w:r w:rsidRPr="00720D9E">
        <w:t>)</w:t>
      </w:r>
    </w:p>
    <w:p w:rsidR="00C926F7" w:rsidRPr="00720D9E" w:rsidRDefault="00DE4F4C" w:rsidP="00C926F7">
      <w:pPr>
        <w:pStyle w:val="ListParagraph"/>
        <w:numPr>
          <w:ilvl w:val="0"/>
          <w:numId w:val="30"/>
        </w:numPr>
        <w:ind w:hanging="720"/>
      </w:pPr>
      <w:r w:rsidRPr="00720D9E">
        <w:t>The eligible amount of MG</w:t>
      </w:r>
      <w:r w:rsidR="00C926F7" w:rsidRPr="00720D9E">
        <w:t xml:space="preserve"> from pre-mining surface wells destroyed by qualifying devices (PSWe</w:t>
      </w:r>
      <w:r w:rsidR="00474A1B" w:rsidRPr="00720D9E">
        <w:rPr>
          <w:vertAlign w:val="subscript"/>
        </w:rPr>
        <w:t>i</w:t>
      </w:r>
      <w:r w:rsidR="00C926F7" w:rsidRPr="00720D9E">
        <w:t xml:space="preserve">) </w:t>
      </w:r>
      <w:r w:rsidR="00523499" w:rsidRPr="00720D9E">
        <w:t>must</w:t>
      </w:r>
      <w:r w:rsidR="00C926F7" w:rsidRPr="00720D9E">
        <w:t xml:space="preserve"> be determined by using </w:t>
      </w:r>
      <w:r w:rsidR="004842C4" w:rsidRPr="00720D9E">
        <w:t>Equation 5.</w:t>
      </w:r>
      <w:r w:rsidR="00C926F7" w:rsidRPr="00720D9E">
        <w:t>1</w:t>
      </w:r>
      <w:r w:rsidR="00474A1B" w:rsidRPr="00720D9E">
        <w:t>5</w:t>
      </w:r>
      <w:r w:rsidR="00C926F7" w:rsidRPr="00720D9E">
        <w:t>.</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1</w:t>
      </w:r>
      <w:r w:rsidR="00474A1B" w:rsidRPr="00720D9E">
        <w:t>5</w:t>
      </w:r>
      <w:r w:rsidR="00C926F7" w:rsidRPr="00720D9E">
        <w:t>: Eligible M</w:t>
      </w:r>
      <w:r w:rsidR="00351628" w:rsidRPr="00720D9E">
        <w:t>G</w:t>
      </w:r>
      <w:r w:rsidR="00C926F7" w:rsidRPr="00720D9E">
        <w:t xml:space="preserve"> from Pre-mining Surface Boreholes</w:t>
      </w:r>
    </w:p>
    <w:p w:rsidR="00C926F7" w:rsidRPr="00720D9E" w:rsidRDefault="00C926F7" w:rsidP="00C926F7">
      <w:pPr>
        <w:pBdr>
          <w:top w:val="single" w:sz="4" w:space="1" w:color="auto"/>
          <w:left w:val="single" w:sz="4" w:space="4" w:color="auto"/>
          <w:bottom w:val="single" w:sz="4" w:space="1" w:color="auto"/>
          <w:right w:val="single" w:sz="4" w:space="4" w:color="auto"/>
        </w:pBdr>
        <w:rPr>
          <w:i/>
          <w:vertAlign w:val="subscript"/>
        </w:rPr>
      </w:pPr>
      <w:r w:rsidRPr="00720D9E">
        <w:rPr>
          <w:i/>
        </w:rPr>
        <w:t>PSWe</w:t>
      </w:r>
      <w:r w:rsidR="00DE4F4C" w:rsidRPr="00720D9E">
        <w:rPr>
          <w:i/>
          <w:vertAlign w:val="subscript"/>
        </w:rPr>
        <w:t>i</w:t>
      </w:r>
      <w:r w:rsidRPr="00720D9E">
        <w:t xml:space="preserve"> = </w:t>
      </w:r>
      <w:r w:rsidRPr="00720D9E">
        <w:rPr>
          <w:i/>
        </w:rPr>
        <w:t>PSWe</w:t>
      </w:r>
      <w:r w:rsidR="00DE4F4C" w:rsidRPr="00720D9E">
        <w:rPr>
          <w:i/>
          <w:vertAlign w:val="subscript"/>
        </w:rPr>
        <w:t>pre,i</w:t>
      </w:r>
      <w:r w:rsidRPr="00720D9E">
        <w:t xml:space="preserve"> + </w:t>
      </w:r>
      <w:r w:rsidRPr="00720D9E">
        <w:rPr>
          <w:i/>
        </w:rPr>
        <w:t>PSWe</w:t>
      </w:r>
      <w:r w:rsidR="00DE4F4C" w:rsidRPr="00720D9E">
        <w:rPr>
          <w:i/>
          <w:vertAlign w:val="subscript"/>
        </w:rPr>
        <w:t>post,i</w:t>
      </w:r>
    </w:p>
    <w:p w:rsidR="00C926F7" w:rsidRPr="00720D9E" w:rsidRDefault="00C926F7" w:rsidP="00C926F7">
      <w:pPr>
        <w:pBdr>
          <w:top w:val="single" w:sz="4" w:space="1" w:color="auto"/>
          <w:left w:val="single" w:sz="4" w:space="4" w:color="auto"/>
          <w:bottom w:val="single" w:sz="4" w:space="1" w:color="auto"/>
          <w:right w:val="single" w:sz="4" w:space="4" w:color="auto"/>
        </w:pBdr>
        <w:rPr>
          <w:i/>
        </w:rPr>
      </w:pPr>
      <w:r w:rsidRPr="00720D9E">
        <w:rPr>
          <w:i/>
        </w:rPr>
        <w:t>Where,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PSWe</w:t>
      </w:r>
      <w:r w:rsidR="00DE4F4C" w:rsidRPr="00720D9E">
        <w:rPr>
          <w:i/>
          <w:vertAlign w:val="subscript"/>
        </w:rPr>
        <w:t>i</w:t>
      </w:r>
      <w:r w:rsidRPr="00720D9E">
        <w:tab/>
        <w:t>=</w:t>
      </w:r>
      <w:r w:rsidRPr="00720D9E">
        <w:tab/>
      </w:r>
      <w:r w:rsidR="00351628" w:rsidRPr="00720D9E">
        <w:t>Volume</w:t>
      </w:r>
      <w:r w:rsidRPr="00720D9E">
        <w:t xml:space="preserve"> of M</w:t>
      </w:r>
      <w:r w:rsidR="00351628" w:rsidRPr="00720D9E">
        <w:t>G</w:t>
      </w:r>
      <w:r w:rsidRPr="00720D9E">
        <w:t xml:space="preserve"> from pre-mining surface wells captured and destroyed by qualifying devices through use i that is eligible for quantification  in the reporting period using </w:t>
      </w:r>
      <w:r w:rsidR="004842C4" w:rsidRPr="00720D9E">
        <w:t>Equation 5.</w:t>
      </w:r>
      <w:r w:rsidRPr="00720D9E">
        <w:t>1</w:t>
      </w:r>
      <w:r w:rsidR="00474A1B" w:rsidRPr="00720D9E">
        <w:t>4</w:t>
      </w:r>
      <w:r w:rsidRPr="00720D9E">
        <w:t xml:space="preserve"> (</w:t>
      </w:r>
      <w:r w:rsidR="00351628" w:rsidRPr="00720D9E">
        <w:t>scf</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i</w:t>
      </w:r>
      <w:r w:rsidRPr="00720D9E">
        <w:tab/>
        <w:t>=</w:t>
      </w:r>
      <w:r w:rsidRPr="00720D9E">
        <w:tab/>
        <w:t>Use of methane (flaring, power generation, heat generation,</w:t>
      </w:r>
      <w:r w:rsidR="000D6176" w:rsidRPr="00720D9E">
        <w:t xml:space="preserve"> production of transportation fuel,</w:t>
      </w:r>
      <w:r w:rsidRPr="00720D9E">
        <w:t xml:space="preserve"> etc.) by all qualifying devices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PSWe</w:t>
      </w:r>
      <w:r w:rsidR="00DE4F4C" w:rsidRPr="00720D9E">
        <w:rPr>
          <w:i/>
          <w:vertAlign w:val="subscript"/>
        </w:rPr>
        <w:t>pre,i</w:t>
      </w:r>
      <w:r w:rsidRPr="00720D9E">
        <w:tab/>
        <w:t>=</w:t>
      </w:r>
      <w:r w:rsidRPr="00720D9E">
        <w:tab/>
      </w:r>
      <w:r w:rsidR="00351628" w:rsidRPr="00720D9E">
        <w:t>Volume</w:t>
      </w:r>
      <w:r w:rsidRPr="00720D9E">
        <w:t xml:space="preserve"> of M</w:t>
      </w:r>
      <w:r w:rsidR="00351628" w:rsidRPr="00720D9E">
        <w:t>G</w:t>
      </w:r>
      <w:r w:rsidRPr="00720D9E">
        <w:t xml:space="preserve"> destroyed</w:t>
      </w:r>
      <w:r w:rsidR="00144959" w:rsidRPr="00720D9E">
        <w:t xml:space="preserve"> by qualifying destruction devices</w:t>
      </w:r>
      <w:r w:rsidRPr="00720D9E">
        <w:t xml:space="preserve">, from the </w:t>
      </w:r>
      <w:r w:rsidR="004447DE" w:rsidRPr="00720D9E">
        <w:t xml:space="preserve">offset </w:t>
      </w:r>
      <w:r w:rsidRPr="00720D9E">
        <w:t xml:space="preserve">project commencement date through the end of the current </w:t>
      </w:r>
      <w:r w:rsidRPr="00720D9E">
        <w:lastRenderedPageBreak/>
        <w:t>reporting period, captured from pre-mining surface wells that were mined through during the current reporting period (</w:t>
      </w:r>
      <w:r w:rsidR="00351628" w:rsidRPr="00720D9E">
        <w:t>scf</w:t>
      </w:r>
      <w:r w:rsidRPr="00720D9E">
        <w:t>)</w:t>
      </w:r>
    </w:p>
    <w:p w:rsidR="0087209B" w:rsidRPr="00720D9E" w:rsidRDefault="00C926F7" w:rsidP="0087209B">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PSWe</w:t>
      </w:r>
      <w:r w:rsidR="00351628" w:rsidRPr="00720D9E">
        <w:rPr>
          <w:i/>
          <w:vertAlign w:val="subscript"/>
        </w:rPr>
        <w:t>post,i</w:t>
      </w:r>
      <w:r w:rsidRPr="00720D9E">
        <w:tab/>
        <w:t>=</w:t>
      </w:r>
      <w:r w:rsidR="00351628" w:rsidRPr="00720D9E">
        <w:tab/>
        <w:t>Volume of MG</w:t>
      </w:r>
      <w:r w:rsidRPr="00720D9E">
        <w:t xml:space="preserve"> destroyed</w:t>
      </w:r>
      <w:r w:rsidR="00144959" w:rsidRPr="00720D9E">
        <w:t xml:space="preserve"> by qualifying destruction devices</w:t>
      </w:r>
      <w:r w:rsidRPr="00720D9E">
        <w:t xml:space="preserve"> in the current reporting period captured from pre-mining surface wells that were mined through during earlier reporting periods (</w:t>
      </w:r>
      <w:r w:rsidR="00351628" w:rsidRPr="00720D9E">
        <w:t>scf</w:t>
      </w:r>
      <w:r w:rsidRPr="00720D9E">
        <w:t>)</w:t>
      </w:r>
    </w:p>
    <w:p w:rsidR="00C926F7" w:rsidRPr="00720D9E" w:rsidRDefault="00C926F7" w:rsidP="00C926F7">
      <w:pPr>
        <w:pStyle w:val="Heading3"/>
      </w:pPr>
      <w:bookmarkStart w:id="39" w:name="_Toc364243213"/>
      <w:r w:rsidRPr="00720D9E">
        <w:t xml:space="preserve">§ </w:t>
      </w:r>
      <w:r w:rsidR="00645452" w:rsidRPr="00720D9E">
        <w:t>5.</w:t>
      </w:r>
      <w:r w:rsidRPr="00720D9E">
        <w:t>2.2</w:t>
      </w:r>
      <w:r w:rsidR="00645452" w:rsidRPr="00720D9E">
        <w:t>.</w:t>
      </w:r>
      <w:r w:rsidRPr="00720D9E">
        <w:t xml:space="preserve"> Quantifying Project Emissions.</w:t>
      </w:r>
      <w:bookmarkEnd w:id="39"/>
    </w:p>
    <w:p w:rsidR="00C926F7" w:rsidRPr="00720D9E" w:rsidRDefault="00C926F7" w:rsidP="00C926F7">
      <w:pPr>
        <w:pStyle w:val="ListParagraph"/>
        <w:numPr>
          <w:ilvl w:val="0"/>
          <w:numId w:val="31"/>
        </w:numPr>
        <w:ind w:hanging="720"/>
      </w:pPr>
      <w:r w:rsidRPr="00720D9E">
        <w:t xml:space="preserve">Project emissions must be quantified on an annual basis. </w:t>
      </w:r>
    </w:p>
    <w:p w:rsidR="00C926F7" w:rsidRPr="00720D9E" w:rsidRDefault="00C926F7" w:rsidP="00C926F7">
      <w:pPr>
        <w:pStyle w:val="ListParagraph"/>
        <w:numPr>
          <w:ilvl w:val="0"/>
          <w:numId w:val="31"/>
        </w:numPr>
        <w:ind w:hanging="720"/>
      </w:pPr>
      <w:r w:rsidRPr="00720D9E">
        <w:t xml:space="preserve">Project emissions for a reporting period (PE) must be quantified by summing the emissions for all SSRs identified as included in the project in </w:t>
      </w:r>
      <w:r w:rsidR="00351628" w:rsidRPr="00720D9E">
        <w:t xml:space="preserve">Table </w:t>
      </w:r>
      <w:r w:rsidR="00474A1B" w:rsidRPr="00720D9E">
        <w:t>4</w:t>
      </w:r>
      <w:r w:rsidR="00351628" w:rsidRPr="00720D9E">
        <w:t xml:space="preserve">.2 and using </w:t>
      </w:r>
      <w:r w:rsidR="004842C4" w:rsidRPr="00720D9E">
        <w:t>Equation 5.</w:t>
      </w:r>
      <w:r w:rsidR="00351628" w:rsidRPr="00720D9E">
        <w:t>1</w:t>
      </w:r>
      <w:r w:rsidR="00474A1B" w:rsidRPr="00720D9E">
        <w:t>6</w:t>
      </w:r>
      <w:r w:rsidRPr="00720D9E">
        <w:t>.</w:t>
      </w:r>
    </w:p>
    <w:p w:rsidR="00474A1B" w:rsidRPr="00720D9E" w:rsidRDefault="00474A1B" w:rsidP="00474A1B">
      <w:pPr>
        <w:pStyle w:val="ListParagraph"/>
        <w:numPr>
          <w:ilvl w:val="0"/>
          <w:numId w:val="31"/>
        </w:numPr>
        <w:ind w:hanging="720"/>
      </w:pPr>
      <w:r w:rsidRPr="00720D9E" w:rsidDel="00E021AB">
        <w:t>Methane that is still vented in the project scenario is not accounted for in the project emissions or baseline emissions since it is vented in both scenarios.</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1</w:t>
      </w:r>
      <w:r w:rsidR="00474A1B" w:rsidRPr="00720D9E">
        <w:t>6</w:t>
      </w:r>
      <w:r w:rsidR="00C926F7" w:rsidRPr="00720D9E">
        <w:t>: Project Emissions</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PE = PE</w:t>
      </w:r>
      <w:r w:rsidRPr="00720D9E">
        <w:rPr>
          <w:i/>
          <w:vertAlign w:val="subscript"/>
        </w:rPr>
        <w:t>EC</w:t>
      </w:r>
      <w:r w:rsidRPr="00720D9E">
        <w:rPr>
          <w:i/>
        </w:rPr>
        <w:t xml:space="preserve"> + PE</w:t>
      </w:r>
      <w:r w:rsidRPr="00720D9E">
        <w:rPr>
          <w:i/>
          <w:vertAlign w:val="subscript"/>
        </w:rPr>
        <w:t>MD</w:t>
      </w:r>
      <w:r w:rsidRPr="00720D9E">
        <w:rPr>
          <w:i/>
        </w:rPr>
        <w:t xml:space="preserve"> </w:t>
      </w:r>
      <w:r w:rsidR="00A8210F" w:rsidRPr="00720D9E">
        <w:rPr>
          <w:i/>
        </w:rPr>
        <w:t>+</w:t>
      </w:r>
      <w:r w:rsidR="00351628" w:rsidRPr="00720D9E">
        <w:rPr>
          <w:i/>
        </w:rPr>
        <w:t xml:space="preserve"> </w:t>
      </w:r>
      <w:r w:rsidRPr="00720D9E">
        <w:rPr>
          <w:i/>
        </w:rPr>
        <w:t>PE</w:t>
      </w:r>
      <w:r w:rsidR="007A22F8">
        <w:rPr>
          <w:i/>
          <w:vertAlign w:val="subscript"/>
        </w:rPr>
        <w:t>UM</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tab/>
        <w:t>=</w:t>
      </w:r>
      <w:r w:rsidRPr="00720D9E">
        <w:tab/>
        <w:t>Project emissions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EC</w:t>
      </w:r>
      <w:r w:rsidRPr="00720D9E">
        <w:rPr>
          <w:i/>
          <w:vertAlign w:val="subscript"/>
        </w:rPr>
        <w:tab/>
      </w:r>
      <w:r w:rsidRPr="00720D9E">
        <w:t>=</w:t>
      </w:r>
      <w:r w:rsidRPr="00720D9E">
        <w:tab/>
        <w:t>Project emissions from energy consumed to capture and destroy methane during the reporting period (tCO</w:t>
      </w:r>
      <w:r w:rsidRPr="00720D9E">
        <w:rPr>
          <w:vertAlign w:val="subscript"/>
        </w:rPr>
        <w:t>2</w:t>
      </w:r>
      <w:r w:rsidRPr="00720D9E">
        <w:t>e)</w:t>
      </w:r>
    </w:p>
    <w:p w:rsidR="00016217" w:rsidRPr="00720D9E" w:rsidRDefault="00C926F7" w:rsidP="0001621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00A8210F" w:rsidRPr="00720D9E">
        <w:rPr>
          <w:i/>
          <w:vertAlign w:val="subscript"/>
        </w:rPr>
        <w:t>MD</w:t>
      </w:r>
      <w:r w:rsidRPr="00720D9E">
        <w:tab/>
        <w:t>=</w:t>
      </w:r>
      <w:r w:rsidRPr="00720D9E">
        <w:tab/>
        <w:t>Project emissions from destruction of methane during the reporting period (tCO</w:t>
      </w:r>
      <w:r w:rsidRPr="00720D9E">
        <w:rPr>
          <w:vertAlign w:val="subscript"/>
        </w:rPr>
        <w:t>2</w:t>
      </w:r>
      <w:r w:rsidR="00016217" w:rsidRPr="00720D9E">
        <w:t>e)</w:t>
      </w:r>
    </w:p>
    <w:p w:rsidR="00C926F7" w:rsidRPr="00720D9E" w:rsidRDefault="00C926F7" w:rsidP="0001621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007A22F8">
        <w:rPr>
          <w:i/>
          <w:vertAlign w:val="subscript"/>
        </w:rPr>
        <w:t>UM</w:t>
      </w:r>
      <w:r w:rsidRPr="00720D9E">
        <w:tab/>
        <w:t>=</w:t>
      </w:r>
      <w:r w:rsidRPr="00720D9E">
        <w:tab/>
        <w:t>Project emissions from uncombusted methane during the reporting period (tCO</w:t>
      </w:r>
      <w:r w:rsidRPr="00720D9E">
        <w:rPr>
          <w:vertAlign w:val="subscript"/>
        </w:rPr>
        <w:t>2</w:t>
      </w:r>
      <w:r w:rsidRPr="00720D9E">
        <w:t xml:space="preserve">e) </w:t>
      </w:r>
    </w:p>
    <w:p w:rsidR="00C55513" w:rsidRPr="00720D9E" w:rsidRDefault="00C55513" w:rsidP="00C926F7">
      <w:pPr>
        <w:pStyle w:val="ListParagraph"/>
        <w:numPr>
          <w:ilvl w:val="0"/>
          <w:numId w:val="31"/>
        </w:numPr>
        <w:ind w:hanging="720"/>
      </w:pPr>
      <w:r w:rsidRPr="00720D9E">
        <w:t>If the project uses fossil fuel or grid electricity to power additional equipment required for project activities, the resulting CO</w:t>
      </w:r>
      <w:r w:rsidRPr="00720D9E">
        <w:rPr>
          <w:vertAlign w:val="subscript"/>
        </w:rPr>
        <w:t>2</w:t>
      </w:r>
      <w:r w:rsidRPr="00720D9E">
        <w:t xml:space="preserve"> emissions from the energy consumed to capture and destroy methane (PE</w:t>
      </w:r>
      <w:r w:rsidRPr="00720D9E">
        <w:rPr>
          <w:vertAlign w:val="subscript"/>
        </w:rPr>
        <w:t>EC</w:t>
      </w:r>
      <w:r w:rsidRPr="00720D9E">
        <w:t xml:space="preserve">) must be quantified using </w:t>
      </w:r>
      <w:r w:rsidR="004842C4" w:rsidRPr="00720D9E">
        <w:t>Equation 5.</w:t>
      </w:r>
      <w:r w:rsidRPr="00720D9E">
        <w:t>1</w:t>
      </w:r>
      <w:r w:rsidR="009E08AB" w:rsidRPr="00720D9E">
        <w:t>7</w:t>
      </w:r>
      <w:r w:rsidRPr="00720D9E">
        <w:t>.</w:t>
      </w:r>
    </w:p>
    <w:p w:rsidR="00C926F7" w:rsidRPr="00720D9E" w:rsidRDefault="00C926F7" w:rsidP="00C926F7">
      <w:pPr>
        <w:pStyle w:val="ListParagraph"/>
        <w:numPr>
          <w:ilvl w:val="0"/>
          <w:numId w:val="31"/>
        </w:numPr>
        <w:ind w:hanging="720"/>
      </w:pPr>
      <w:r w:rsidRPr="00720D9E">
        <w:t xml:space="preserve">If the total electricity generated by project activities is greater than the additional electricity consumed for the capture and destruction of methane, then the </w:t>
      </w:r>
      <w:r w:rsidRPr="00720D9E">
        <w:rPr>
          <w:i/>
        </w:rPr>
        <w:t>CONS</w:t>
      </w:r>
      <w:r w:rsidR="00351628" w:rsidRPr="00720D9E">
        <w:rPr>
          <w:i/>
          <w:vertAlign w:val="subscript"/>
        </w:rPr>
        <w:t>ELEC</w:t>
      </w:r>
      <w:r w:rsidRPr="00720D9E">
        <w:rPr>
          <w:i/>
        </w:rPr>
        <w:t xml:space="preserve"> </w:t>
      </w:r>
      <w:r w:rsidRPr="00720D9E">
        <w:t>term may be omitted from</w:t>
      </w:r>
      <w:r w:rsidRPr="00720D9E">
        <w:rPr>
          <w:i/>
        </w:rPr>
        <w:t xml:space="preserve"> </w:t>
      </w:r>
      <w:r w:rsidR="004842C4" w:rsidRPr="00720D9E">
        <w:t>Equation 5.</w:t>
      </w:r>
      <w:r w:rsidR="00351628" w:rsidRPr="00720D9E">
        <w:t>1</w:t>
      </w:r>
      <w:r w:rsidR="009E08AB" w:rsidRPr="00720D9E">
        <w:t>7</w:t>
      </w:r>
      <w:r w:rsidRPr="00720D9E">
        <w:t>.</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lastRenderedPageBreak/>
        <w:t>Equation 5.</w:t>
      </w:r>
      <w:r w:rsidR="00351628" w:rsidRPr="00720D9E">
        <w:t>1</w:t>
      </w:r>
      <w:r w:rsidR="009E08AB" w:rsidRPr="00720D9E">
        <w:t>7</w:t>
      </w:r>
      <w:r w:rsidR="00C926F7" w:rsidRPr="00720D9E">
        <w:t>: Project Emissions from Energy Consumed to Capture and Destroy Methane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810"/>
        </w:tabs>
        <w:rPr>
          <w:i/>
        </w:rPr>
      </w:pPr>
      <w:r w:rsidRPr="00720D9E">
        <w:rPr>
          <w:i/>
        </w:rPr>
        <w:t>PE</w:t>
      </w:r>
      <w:r w:rsidRPr="00720D9E">
        <w:rPr>
          <w:i/>
          <w:vertAlign w:val="subscript"/>
        </w:rPr>
        <w:t>EC</w:t>
      </w:r>
      <w:r w:rsidRPr="00720D9E">
        <w:rPr>
          <w:i/>
        </w:rPr>
        <w:t xml:space="preserve"> = (CONS</w:t>
      </w:r>
      <w:r w:rsidRPr="00720D9E">
        <w:rPr>
          <w:i/>
          <w:vertAlign w:val="subscript"/>
        </w:rPr>
        <w:t>ELEC</w:t>
      </w:r>
      <w:r w:rsidRPr="00720D9E">
        <w:t xml:space="preserve"> x </w:t>
      </w:r>
      <w:r w:rsidRPr="00720D9E">
        <w:rPr>
          <w:i/>
        </w:rPr>
        <w:t>CEF</w:t>
      </w:r>
      <w:r w:rsidRPr="00720D9E">
        <w:rPr>
          <w:i/>
          <w:vertAlign w:val="subscript"/>
        </w:rPr>
        <w:t>ELEC</w:t>
      </w:r>
      <w:r w:rsidRPr="00720D9E">
        <w:rPr>
          <w:i/>
        </w:rPr>
        <w:t xml:space="preserve">) + </w:t>
      </w:r>
      <w:r w:rsidR="00351628" w:rsidRPr="00720D9E">
        <w:rPr>
          <w:position w:val="-24"/>
        </w:rPr>
        <w:object w:dxaOrig="4380" w:dyaOrig="620">
          <v:shape id="_x0000_i1034" type="#_x0000_t75" style="width:223pt;height:29pt" o:ole="">
            <v:imagedata r:id="rId27" o:title=""/>
          </v:shape>
          <o:OLEObject Type="Embed" ProgID="Equation.3" ShapeID="_x0000_i1034" DrawAspect="Content" ObjectID="_1437988687" r:id="rId28"/>
        </w:objec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EC</w:t>
      </w:r>
      <w:r w:rsidRPr="00720D9E">
        <w:rPr>
          <w:i/>
          <w:vertAlign w:val="subscript"/>
        </w:rPr>
        <w:tab/>
      </w:r>
      <w:r w:rsidRPr="00720D9E">
        <w:t>=</w:t>
      </w:r>
      <w:r w:rsidRPr="00720D9E">
        <w:tab/>
        <w:t>Project emissions from energy consumed to capture and destroy methane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ELEC</w:t>
      </w:r>
      <w:r w:rsidRPr="00720D9E">
        <w:rPr>
          <w:i/>
          <w:vertAlign w:val="subscript"/>
        </w:rPr>
        <w:tab/>
      </w:r>
      <w:r w:rsidRPr="00720D9E">
        <w:t>=</w:t>
      </w:r>
      <w:r w:rsidRPr="00720D9E">
        <w:tab/>
        <w:t>Additional electricity consumption for the capture and destruction of methane during the reporting period (</w:t>
      </w:r>
      <w:r w:rsidR="00351628" w:rsidRPr="00720D9E">
        <w:t>MWh</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ELEC</w:t>
      </w:r>
      <w:r w:rsidRPr="00720D9E">
        <w:rPr>
          <w:i/>
          <w:vertAlign w:val="subscript"/>
        </w:rPr>
        <w:tab/>
      </w:r>
      <w:r w:rsidRPr="00720D9E">
        <w:t>=</w:t>
      </w:r>
      <w:r w:rsidRPr="00720D9E">
        <w:tab/>
        <w:t>CO</w:t>
      </w:r>
      <w:r w:rsidRPr="00720D9E">
        <w:rPr>
          <w:vertAlign w:val="subscript"/>
        </w:rPr>
        <w:t>2</w:t>
      </w:r>
      <w:r w:rsidRPr="00720D9E">
        <w:t xml:space="preserve"> emission factor of electricity used </w:t>
      </w:r>
      <w:r w:rsidR="004F2D63" w:rsidRPr="00720D9E">
        <w:t>from Appendix A</w:t>
      </w:r>
      <w:r w:rsidR="004F2D63">
        <w:t xml:space="preserve"> </w:t>
      </w:r>
      <w:r w:rsidRPr="00720D9E">
        <w:t>(tCO</w:t>
      </w:r>
      <w:r w:rsidRPr="00720D9E">
        <w:rPr>
          <w:vertAlign w:val="subscript"/>
        </w:rPr>
        <w:t>2</w:t>
      </w:r>
      <w:r w:rsidRPr="00720D9E">
        <w:t>e/MWh)</w:t>
      </w:r>
      <w:r w:rsidR="009E08AB" w:rsidRPr="00720D9E">
        <w:t xml:space="preserv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HEAT</w:t>
      </w:r>
      <w:r w:rsidR="00351628" w:rsidRPr="00720D9E">
        <w:rPr>
          <w:i/>
          <w:vertAlign w:val="subscript"/>
        </w:rPr>
        <w:tab/>
      </w:r>
      <w:r w:rsidRPr="00720D9E">
        <w:t>=</w:t>
      </w:r>
      <w:r w:rsidRPr="00720D9E">
        <w:tab/>
        <w:t>Additional heat consumption for the capture and destruction of methane during the reporting period (</w:t>
      </w:r>
      <w:r w:rsidR="00351628" w:rsidRPr="00720D9E">
        <w:t>volume</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00351628" w:rsidRPr="00720D9E">
        <w:rPr>
          <w:i/>
          <w:vertAlign w:val="subscript"/>
        </w:rPr>
        <w:t>HEAT</w:t>
      </w:r>
      <w:r w:rsidRPr="00720D9E">
        <w:rPr>
          <w:i/>
          <w:vertAlign w:val="subscript"/>
        </w:rPr>
        <w:tab/>
      </w:r>
      <w:r w:rsidRPr="00720D9E">
        <w:t>=</w:t>
      </w:r>
      <w:r w:rsidRPr="00720D9E">
        <w:tab/>
        <w:t>CO</w:t>
      </w:r>
      <w:r w:rsidRPr="00720D9E">
        <w:rPr>
          <w:vertAlign w:val="subscript"/>
        </w:rPr>
        <w:t>2</w:t>
      </w:r>
      <w:r w:rsidRPr="00720D9E">
        <w:t xml:space="preserve"> emission factor of heat used</w:t>
      </w:r>
      <w:r w:rsidR="004F2D63">
        <w:t xml:space="preserve"> </w:t>
      </w:r>
      <w:r w:rsidR="004F2D63" w:rsidRPr="00720D9E">
        <w:t>from Appendix A</w:t>
      </w:r>
      <w:r w:rsidRPr="00720D9E">
        <w:t xml:space="preserve"> (kg CO</w:t>
      </w:r>
      <w:r w:rsidRPr="00720D9E">
        <w:rPr>
          <w:vertAlign w:val="subscript"/>
        </w:rPr>
        <w:t>2</w:t>
      </w:r>
      <w:r w:rsidRPr="00720D9E">
        <w:t>/volume)</w:t>
      </w:r>
      <w:r w:rsidR="009E08AB" w:rsidRPr="00720D9E">
        <w:t xml:space="preserv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FF</w:t>
      </w:r>
      <w:r w:rsidRPr="00720D9E">
        <w:tab/>
        <w:t>=</w:t>
      </w:r>
      <w:r w:rsidRPr="00720D9E">
        <w:tab/>
        <w:t>Additional fossil fuel consumption for the capture and destruction of methane during the reporting period (volume)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FF</w:t>
      </w:r>
      <w:r w:rsidRPr="00720D9E">
        <w:rPr>
          <w:i/>
          <w:vertAlign w:val="subscript"/>
        </w:rPr>
        <w:tab/>
      </w:r>
      <w:r w:rsidRPr="00720D9E">
        <w:t>=</w:t>
      </w:r>
      <w:r w:rsidRPr="00720D9E">
        <w:tab/>
        <w:t>CO</w:t>
      </w:r>
      <w:r w:rsidRPr="00720D9E">
        <w:rPr>
          <w:vertAlign w:val="subscript"/>
        </w:rPr>
        <w:t>2</w:t>
      </w:r>
      <w:r w:rsidRPr="00720D9E">
        <w:t xml:space="preserve"> emission factor of fossil fuel used</w:t>
      </w:r>
      <w:r w:rsidR="004F2D63" w:rsidRPr="004F2D63">
        <w:t xml:space="preserve"> </w:t>
      </w:r>
      <w:r w:rsidR="004F2D63" w:rsidRPr="00720D9E">
        <w:t>from Appendix A</w:t>
      </w:r>
      <w:r w:rsidRPr="00720D9E">
        <w:t xml:space="preserve"> (kg CO</w:t>
      </w:r>
      <w:r w:rsidRPr="00720D9E">
        <w:rPr>
          <w:vertAlign w:val="subscript"/>
        </w:rPr>
        <w:t>2</w:t>
      </w:r>
      <w:r w:rsidRPr="00720D9E">
        <w:t>/volume)</w:t>
      </w:r>
      <w:r w:rsidR="009E08AB" w:rsidRPr="00720D9E">
        <w:t xml:space="preserv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1/1000</w:t>
      </w:r>
      <w:r w:rsidRPr="00720D9E">
        <w:tab/>
        <w:t>=</w:t>
      </w:r>
      <w:r w:rsidRPr="00720D9E">
        <w:tab/>
        <w:t>Conversion of kg to metric tons</w:t>
      </w:r>
    </w:p>
    <w:p w:rsidR="00C926F7" w:rsidRPr="00720D9E" w:rsidRDefault="00C926F7" w:rsidP="00C926F7">
      <w:pPr>
        <w:pStyle w:val="ListParagraph"/>
        <w:numPr>
          <w:ilvl w:val="0"/>
          <w:numId w:val="31"/>
        </w:numPr>
        <w:ind w:hanging="720"/>
      </w:pPr>
      <w:r w:rsidRPr="00720D9E">
        <w:t>Project emissions from the destruction of methane (PE</w:t>
      </w:r>
      <w:r w:rsidR="00351628" w:rsidRPr="00720D9E">
        <w:rPr>
          <w:vertAlign w:val="subscript"/>
        </w:rPr>
        <w:t>MD</w:t>
      </w:r>
      <w:r w:rsidRPr="00720D9E">
        <w:t xml:space="preserve">) must be quantified using Equations </w:t>
      </w:r>
      <w:r w:rsidR="00A45AB1" w:rsidRPr="00720D9E">
        <w:t>5</w:t>
      </w:r>
      <w:r w:rsidRPr="00720D9E">
        <w:t>.</w:t>
      </w:r>
      <w:r w:rsidR="000B732C" w:rsidRPr="00720D9E">
        <w:t>1</w:t>
      </w:r>
      <w:r w:rsidR="009E08AB" w:rsidRPr="00720D9E">
        <w:t>8</w:t>
      </w:r>
      <w:r w:rsidRPr="00720D9E">
        <w:t xml:space="preserve"> and </w:t>
      </w:r>
      <w:r w:rsidR="00A45AB1" w:rsidRPr="00720D9E">
        <w:t>5</w:t>
      </w:r>
      <w:r w:rsidRPr="00720D9E">
        <w:t>.</w:t>
      </w:r>
      <w:r w:rsidR="00351628" w:rsidRPr="00720D9E">
        <w:t>1</w:t>
      </w:r>
      <w:r w:rsidR="009E08AB" w:rsidRPr="00720D9E">
        <w:t>9</w:t>
      </w:r>
      <w:r w:rsidRPr="00720D9E">
        <w:t xml:space="preserve">. </w:t>
      </w:r>
    </w:p>
    <w:p w:rsidR="00C926F7" w:rsidRPr="00720D9E" w:rsidRDefault="00C926F7" w:rsidP="00C926F7">
      <w:pPr>
        <w:pStyle w:val="ListParagraph"/>
        <w:numPr>
          <w:ilvl w:val="0"/>
          <w:numId w:val="31"/>
        </w:numPr>
        <w:ind w:hanging="720"/>
      </w:pPr>
      <w:r w:rsidRPr="00720D9E">
        <w:t>Project emissions must include the CO</w:t>
      </w:r>
      <w:r w:rsidRPr="00720D9E">
        <w:rPr>
          <w:vertAlign w:val="subscript"/>
        </w:rPr>
        <w:t>2</w:t>
      </w:r>
      <w:r w:rsidRPr="00720D9E">
        <w:t xml:space="preserve"> emissions resulting from the destruction of all MM from pre-mining surface wells that took place during the reporting period regardless of whether or not the well is mined through by the end of the reporting period.</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1</w:t>
      </w:r>
      <w:r w:rsidR="009E08AB" w:rsidRPr="00720D9E">
        <w:t>8</w:t>
      </w:r>
      <w:r w:rsidR="00C926F7" w:rsidRPr="00720D9E">
        <w:t>: Project Emissions from Destruction of Captured Methane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810"/>
        </w:tabs>
        <w:rPr>
          <w:i/>
        </w:rPr>
      </w:pPr>
      <w:r w:rsidRPr="00720D9E">
        <w:rPr>
          <w:i/>
        </w:rPr>
        <w:t>PE</w:t>
      </w:r>
      <w:r w:rsidR="00626455" w:rsidRPr="00720D9E">
        <w:rPr>
          <w:i/>
          <w:vertAlign w:val="subscript"/>
        </w:rPr>
        <w:t>MD</w:t>
      </w:r>
      <w:r w:rsidRPr="00720D9E">
        <w:rPr>
          <w:i/>
        </w:rPr>
        <w:t xml:space="preserve"> = </w:t>
      </w:r>
      <w:r w:rsidR="00626455" w:rsidRPr="00720D9E">
        <w:rPr>
          <w:i/>
          <w:position w:val="-28"/>
        </w:rPr>
        <w:object w:dxaOrig="480" w:dyaOrig="540">
          <v:shape id="_x0000_i1035" type="#_x0000_t75" style="width:22pt;height:29pt" o:ole="">
            <v:imagedata r:id="rId18" o:title=""/>
          </v:shape>
          <o:OLEObject Type="Embed" ProgID="Equation.3" ShapeID="_x0000_i1035" DrawAspect="Content" ObjectID="_1437988688" r:id="rId29"/>
        </w:object>
      </w:r>
      <w:r w:rsidRPr="00720D9E">
        <w:rPr>
          <w:i/>
        </w:rPr>
        <w:t>MD</w:t>
      </w:r>
      <w:r w:rsidRPr="00720D9E">
        <w:rPr>
          <w:i/>
          <w:vertAlign w:val="subscript"/>
        </w:rPr>
        <w:t>i</w:t>
      </w:r>
      <w:r w:rsidR="00626455" w:rsidRPr="00720D9E">
        <w:rPr>
          <w:i/>
          <w:vertAlign w:val="subscript"/>
        </w:rPr>
        <w:t xml:space="preserve"> </w:t>
      </w:r>
      <w:r w:rsidRPr="00720D9E">
        <w:rPr>
          <w:vertAlign w:val="subscript"/>
        </w:rPr>
        <w:t xml:space="preserve"> </w:t>
      </w:r>
      <w:r w:rsidRPr="00720D9E">
        <w:t xml:space="preserve">x </w:t>
      </w:r>
      <w:r w:rsidRPr="00720D9E">
        <w:rPr>
          <w:i/>
        </w:rPr>
        <w:t>CEF</w:t>
      </w:r>
      <w:r w:rsidRPr="00720D9E">
        <w:rPr>
          <w:i/>
          <w:vertAlign w:val="subscript"/>
        </w:rPr>
        <w:t>CH4</w:t>
      </w:r>
    </w:p>
    <w:p w:rsidR="00626455" w:rsidRPr="00720D9E" w:rsidRDefault="00626455" w:rsidP="00626455">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626455" w:rsidRPr="00720D9E" w:rsidRDefault="00626455" w:rsidP="0062645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MD</w:t>
      </w:r>
      <w:r w:rsidRPr="00720D9E">
        <w:tab/>
        <w:t>=</w:t>
      </w:r>
      <w:r w:rsidRPr="00720D9E">
        <w:tab/>
        <w:t>Project emissions from destruction of methane during the reporting period (tCO</w:t>
      </w:r>
      <w:r w:rsidRPr="00720D9E">
        <w:rPr>
          <w:vertAlign w:val="subscript"/>
        </w:rPr>
        <w:t>2</w:t>
      </w:r>
      <w:r w:rsidRPr="00720D9E">
        <w:t>e)</w:t>
      </w:r>
    </w:p>
    <w:p w:rsidR="00626455" w:rsidRPr="00720D9E" w:rsidRDefault="00626455" w:rsidP="0062645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(flaring, power generation, heat generation,</w:t>
      </w:r>
      <w:r w:rsidR="000D6176" w:rsidRPr="00720D9E">
        <w:t xml:space="preserve"> production of transportation fuel,</w:t>
      </w:r>
      <w:r w:rsidRPr="00720D9E">
        <w:t xml:space="preserve"> etc.) by all qualifying and non-qualifying devices</w:t>
      </w:r>
    </w:p>
    <w:p w:rsidR="00626455" w:rsidRPr="00720D9E" w:rsidRDefault="00626455" w:rsidP="0062645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Pr="00720D9E">
        <w:rPr>
          <w:i/>
          <w:vertAlign w:val="subscript"/>
        </w:rPr>
        <w:t>,i</w:t>
      </w:r>
      <w:r w:rsidRPr="00720D9E">
        <w:tab/>
        <w:t>=</w:t>
      </w:r>
      <w:r w:rsidRPr="00720D9E">
        <w:tab/>
        <w:t>Methane destroyed by use i during the reporting period (tCH</w:t>
      </w:r>
      <w:r w:rsidRPr="00720D9E">
        <w:rPr>
          <w:vertAlign w:val="subscript"/>
        </w:rPr>
        <w:t>4</w:t>
      </w:r>
      <w:r w:rsidRPr="00720D9E">
        <w:t>)</w:t>
      </w:r>
    </w:p>
    <w:p w:rsidR="00626455" w:rsidRPr="00720D9E" w:rsidRDefault="00626455" w:rsidP="0062645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CH4</w:t>
      </w:r>
      <w:r w:rsidRPr="00720D9E">
        <w:tab/>
        <w:t>=</w:t>
      </w:r>
      <w:r w:rsidRPr="00720D9E">
        <w:tab/>
        <w:t>CO</w:t>
      </w:r>
      <w:r w:rsidRPr="00720D9E">
        <w:rPr>
          <w:vertAlign w:val="subscript"/>
        </w:rPr>
        <w:t>2</w:t>
      </w:r>
      <w:r w:rsidRPr="00720D9E">
        <w:t xml:space="preserve"> emission factor for combusted methane (2.75 tCO</w:t>
      </w:r>
      <w:r w:rsidRPr="00720D9E">
        <w:rPr>
          <w:vertAlign w:val="subscript"/>
        </w:rPr>
        <w:t>2</w:t>
      </w:r>
      <w:r w:rsidRPr="00720D9E">
        <w:t>e/tCH</w:t>
      </w:r>
      <w:r w:rsidRPr="00720D9E">
        <w:rPr>
          <w:vertAlign w:val="subscript"/>
        </w:rPr>
        <w:t>4</w:t>
      </w:r>
      <w:r w:rsidRPr="00720D9E">
        <w:t>)</w:t>
      </w:r>
    </w:p>
    <w:p w:rsidR="00C926F7" w:rsidRPr="00720D9E" w:rsidRDefault="00C926F7" w:rsidP="00C926F7">
      <w:pPr>
        <w:pStyle w:val="ListParagraph"/>
        <w:numPr>
          <w:ilvl w:val="0"/>
          <w:numId w:val="31"/>
        </w:numPr>
        <w:ind w:hanging="720"/>
      </w:pPr>
      <w:r w:rsidRPr="00720D9E">
        <w:lastRenderedPageBreak/>
        <w:t>The amount of mine methane destroyed (MD</w:t>
      </w:r>
      <w:r w:rsidR="00626455" w:rsidRPr="00720D9E">
        <w:rPr>
          <w:vertAlign w:val="subscript"/>
        </w:rPr>
        <w:t>i</w:t>
      </w:r>
      <w:r w:rsidRPr="00720D9E">
        <w:rPr>
          <w:vertAlign w:val="subscript"/>
        </w:rPr>
        <w:t xml:space="preserve"> </w:t>
      </w:r>
      <w:r w:rsidRPr="00720D9E">
        <w:t>) must be quantified u</w:t>
      </w:r>
      <w:r w:rsidR="00626455" w:rsidRPr="00720D9E">
        <w:t xml:space="preserve">sing </w:t>
      </w:r>
      <w:r w:rsidR="004842C4" w:rsidRPr="00720D9E">
        <w:t>Equation 5.</w:t>
      </w:r>
      <w:r w:rsidR="00626455" w:rsidRPr="00720D9E">
        <w:t>1</w:t>
      </w:r>
      <w:r w:rsidR="009E08AB" w:rsidRPr="00720D9E">
        <w:t>9</w:t>
      </w:r>
      <w:r w:rsidRPr="00720D9E">
        <w:t>.</w:t>
      </w:r>
    </w:p>
    <w:p w:rsidR="00C926F7" w:rsidRPr="00720D9E" w:rsidRDefault="00A45AB1" w:rsidP="00C926F7">
      <w:pPr>
        <w:pStyle w:val="ListParagraph"/>
        <w:numPr>
          <w:ilvl w:val="0"/>
          <w:numId w:val="31"/>
        </w:numPr>
        <w:ind w:hanging="720"/>
      </w:pPr>
      <w:r w:rsidRPr="00720D9E">
        <w:t>Offset Project Operators and Authorized Project Designees</w:t>
      </w:r>
      <w:r w:rsidR="00C926F7" w:rsidRPr="00720D9E">
        <w:t xml:space="preserve"> may choose to use default methane destruction efficiencies (DE</w:t>
      </w:r>
      <w:r w:rsidR="00C926F7" w:rsidRPr="00720D9E">
        <w:rPr>
          <w:vertAlign w:val="subscript"/>
        </w:rPr>
        <w:t>i</w:t>
      </w:r>
      <w:r w:rsidR="00C926F7" w:rsidRPr="00720D9E">
        <w:t xml:space="preserve">) provided in Appendix </w:t>
      </w:r>
      <w:r w:rsidR="00333004" w:rsidRPr="00720D9E">
        <w:t>B</w:t>
      </w:r>
      <w:r w:rsidR="00C926F7" w:rsidRPr="00720D9E">
        <w:t xml:space="preserve"> or site-specific methane destruction efficiencies. </w:t>
      </w:r>
      <w:r w:rsidR="006A5356" w:rsidRPr="00720D9E">
        <w:t xml:space="preserve"> </w:t>
      </w:r>
      <w:r w:rsidR="00C926F7" w:rsidRPr="00720D9E">
        <w:t xml:space="preserve">Site-specific methane destruction efficiencies must be determined </w:t>
      </w:r>
      <w:r w:rsidR="00052E6D" w:rsidRPr="00720D9E">
        <w:t>using an ARB approved methodology.</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626455" w:rsidRPr="00720D9E">
        <w:t>1</w:t>
      </w:r>
      <w:r w:rsidR="008E55FC" w:rsidRPr="00720D9E">
        <w:t>9</w:t>
      </w:r>
      <w:r w:rsidR="00C926F7" w:rsidRPr="00720D9E">
        <w:t>: Methane Destroyed</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810"/>
        </w:tabs>
        <w:rPr>
          <w:i/>
          <w:vertAlign w:val="subscript"/>
        </w:rPr>
      </w:pPr>
      <w:r w:rsidRPr="00720D9E">
        <w:rPr>
          <w:i/>
        </w:rPr>
        <w:t>MD</w:t>
      </w:r>
      <w:r w:rsidRPr="00720D9E">
        <w:rPr>
          <w:i/>
          <w:vertAlign w:val="subscript"/>
        </w:rPr>
        <w:t xml:space="preserve">i </w:t>
      </w:r>
      <w:r w:rsidRPr="00720D9E">
        <w:rPr>
          <w:vertAlign w:val="subscript"/>
        </w:rPr>
        <w:t xml:space="preserve"> </w:t>
      </w:r>
      <w:r w:rsidRPr="00720D9E">
        <w:t xml:space="preserve">= </w:t>
      </w:r>
      <w:r w:rsidRPr="00720D9E">
        <w:rPr>
          <w:i/>
          <w:position w:val="-28"/>
        </w:rPr>
        <w:object w:dxaOrig="480" w:dyaOrig="540">
          <v:shape id="_x0000_i1036" type="#_x0000_t75" style="width:22pt;height:29pt" o:ole="">
            <v:imagedata r:id="rId18" o:title=""/>
          </v:shape>
          <o:OLEObject Type="Embed" ProgID="Equation.3" ShapeID="_x0000_i1036" DrawAspect="Content" ObjectID="_1437988689" r:id="rId30"/>
        </w:object>
      </w:r>
      <w:r w:rsidRPr="00720D9E">
        <w:rPr>
          <w:i/>
        </w:rPr>
        <w:t>MM</w:t>
      </w:r>
      <w:r w:rsidR="00626455" w:rsidRPr="00720D9E">
        <w:rPr>
          <w:i/>
          <w:vertAlign w:val="subscript"/>
        </w:rPr>
        <w:t>i</w:t>
      </w:r>
      <w:r w:rsidRPr="00720D9E">
        <w:t xml:space="preserve"> x </w:t>
      </w:r>
      <w:r w:rsidRPr="00720D9E">
        <w:rPr>
          <w:i/>
        </w:rPr>
        <w:t>DE</w:t>
      </w:r>
      <w:r w:rsidRPr="00720D9E">
        <w:rPr>
          <w:i/>
          <w:vertAlign w:val="subscript"/>
        </w:rPr>
        <w:t>i</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00626455" w:rsidRPr="00720D9E">
        <w:rPr>
          <w:i/>
          <w:vertAlign w:val="subscript"/>
        </w:rPr>
        <w:t>,i</w:t>
      </w:r>
      <w:r w:rsidRPr="00720D9E">
        <w:tab/>
        <w:t>=</w:t>
      </w:r>
      <w:r w:rsidRPr="00720D9E">
        <w:tab/>
        <w:t>Methane destroyed by use i during the reporting period (tCH</w:t>
      </w:r>
      <w:r w:rsidRPr="00720D9E">
        <w:rPr>
          <w:vertAlign w:val="subscript"/>
        </w:rPr>
        <w:t>4</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(flaring, power generation, heat generation,</w:t>
      </w:r>
      <w:r w:rsidR="000D6176" w:rsidRPr="00720D9E">
        <w:t xml:space="preserve"> production of transportation fuel,</w:t>
      </w:r>
      <w:r w:rsidRPr="00720D9E">
        <w:t xml:space="preserve"> etc.) by all qualifying and non-qualifying devices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MM</w:t>
      </w:r>
      <w:r w:rsidR="00626455" w:rsidRPr="00720D9E">
        <w:rPr>
          <w:i/>
          <w:vertAlign w:val="subscript"/>
        </w:rPr>
        <w:t>i</w:t>
      </w:r>
      <w:r w:rsidRPr="00720D9E">
        <w:rPr>
          <w:i/>
          <w:vertAlign w:val="subscript"/>
        </w:rPr>
        <w:tab/>
      </w:r>
      <w:r w:rsidRPr="00720D9E">
        <w:t>=</w:t>
      </w:r>
      <w:r w:rsidRPr="00720D9E">
        <w:tab/>
        <w:t xml:space="preserve">Methane measured sent to use i during the reporting period corrected to standard conditions, </w:t>
      </w:r>
      <w:r w:rsidR="00851EE5" w:rsidRPr="00720D9E">
        <w:t>if applicable</w:t>
      </w:r>
      <w:r w:rsidRPr="00720D9E">
        <w:t>, for pressure and temperature (tCH</w:t>
      </w:r>
      <w:r w:rsidRPr="00720D9E">
        <w:rPr>
          <w:vertAlign w:val="subscript"/>
        </w:rPr>
        <w:t>4</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DE</w:t>
      </w:r>
      <w:r w:rsidRPr="00720D9E">
        <w:rPr>
          <w:i/>
          <w:vertAlign w:val="subscript"/>
        </w:rPr>
        <w:t>i</w:t>
      </w:r>
      <w:r w:rsidRPr="00720D9E">
        <w:tab/>
        <w:t>=</w:t>
      </w:r>
      <w:r w:rsidRPr="00720D9E">
        <w:tab/>
        <w:t>Efficiency of methane destruction device i</w:t>
      </w:r>
      <w:r w:rsidR="00ED375B" w:rsidRPr="00720D9E">
        <w:t>,</w:t>
      </w:r>
      <w:r w:rsidR="008E55FC" w:rsidRPr="00720D9E">
        <w:t xml:space="preserve"> either site-specific or from Appendix B</w:t>
      </w:r>
      <w:r w:rsidR="004F2D63">
        <w:t xml:space="preserve"> </w:t>
      </w:r>
      <w:r w:rsidR="004F2D63" w:rsidRPr="00720D9E">
        <w:t>(%)</w:t>
      </w:r>
    </w:p>
    <w:p w:rsidR="00626455" w:rsidRPr="00720D9E" w:rsidRDefault="00626455" w:rsidP="00626455">
      <w:pPr>
        <w:pBdr>
          <w:top w:val="single" w:sz="4" w:space="1" w:color="auto"/>
          <w:left w:val="single" w:sz="4" w:space="4" w:color="auto"/>
          <w:bottom w:val="single" w:sz="4" w:space="1" w:color="auto"/>
          <w:right w:val="single" w:sz="4" w:space="4" w:color="auto"/>
        </w:pBdr>
        <w:tabs>
          <w:tab w:val="left" w:pos="1440"/>
        </w:tabs>
        <w:spacing w:after="120" w:line="240" w:lineRule="auto"/>
      </w:pPr>
    </w:p>
    <w:p w:rsidR="00626455" w:rsidRPr="00720D9E" w:rsidRDefault="00626455" w:rsidP="0062645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With:</w:t>
      </w:r>
    </w:p>
    <w:p w:rsidR="004A48F3" w:rsidRPr="00720D9E" w:rsidRDefault="00626455" w:rsidP="00720E6E">
      <w:pPr>
        <w:pBdr>
          <w:top w:val="single" w:sz="4" w:space="1" w:color="auto"/>
          <w:left w:val="single" w:sz="4" w:space="4" w:color="auto"/>
          <w:bottom w:val="single" w:sz="4" w:space="1" w:color="auto"/>
          <w:right w:val="single" w:sz="4" w:space="4" w:color="auto"/>
        </w:pBdr>
        <w:ind w:left="720" w:hanging="720"/>
      </w:pPr>
      <w:r w:rsidRPr="00720D9E">
        <w:rPr>
          <w:i/>
        </w:rPr>
        <w:t>MM</w:t>
      </w:r>
      <w:r w:rsidRPr="00720D9E">
        <w:rPr>
          <w:i/>
          <w:vertAlign w:val="subscript"/>
        </w:rPr>
        <w:t>i</w:t>
      </w:r>
      <w:r w:rsidRPr="00720D9E">
        <w:t xml:space="preserve">  =</w:t>
      </w:r>
      <w:r w:rsidR="004A48F3" w:rsidRPr="00720D9E">
        <w:rPr>
          <w:i/>
          <w:position w:val="-28"/>
        </w:rPr>
        <w:object w:dxaOrig="480" w:dyaOrig="540">
          <v:shape id="_x0000_i1037" type="#_x0000_t75" style="width:22pt;height:29pt" o:ole="">
            <v:imagedata r:id="rId18" o:title=""/>
          </v:shape>
          <o:OLEObject Type="Embed" ProgID="Equation.3" ShapeID="_x0000_i1037" DrawAspect="Content" ObjectID="_1437988690" r:id="rId31"/>
        </w:object>
      </w:r>
      <w:r w:rsidR="004A48F3" w:rsidRPr="00720D9E">
        <w:t>(</w:t>
      </w:r>
      <w:r w:rsidR="004A48F3" w:rsidRPr="00720D9E">
        <w:rPr>
          <w:i/>
        </w:rPr>
        <w:t>PSW</w:t>
      </w:r>
      <w:r w:rsidR="00C01509" w:rsidRPr="00720D9E">
        <w:rPr>
          <w:i/>
          <w:vertAlign w:val="subscript"/>
        </w:rPr>
        <w:t>P,all</w:t>
      </w:r>
      <w:r w:rsidR="00C01509" w:rsidRPr="00720D9E">
        <w:rPr>
          <w:i/>
        </w:rPr>
        <w:t>,</w:t>
      </w:r>
      <w:r w:rsidR="004A48F3" w:rsidRPr="00720D9E">
        <w:rPr>
          <w:i/>
          <w:vertAlign w:val="subscript"/>
        </w:rPr>
        <w:t>i</w:t>
      </w:r>
      <w:r w:rsidR="004A48F3" w:rsidRPr="00720D9E">
        <w:t xml:space="preserve">  x </w:t>
      </w:r>
      <w:r w:rsidR="004A48F3" w:rsidRPr="00720D9E">
        <w:rPr>
          <w:i/>
          <w:lang w:val="en-GB"/>
        </w:rPr>
        <w:t>C</w:t>
      </w:r>
      <w:r w:rsidR="004A48F3" w:rsidRPr="00720D9E">
        <w:rPr>
          <w:i/>
          <w:vertAlign w:val="subscript"/>
          <w:lang w:val="en-GB"/>
        </w:rPr>
        <w:t>CH4</w:t>
      </w:r>
      <w:r w:rsidR="004A48F3" w:rsidRPr="00720D9E">
        <w:t xml:space="preserve"> + </w:t>
      </w:r>
      <w:r w:rsidR="004A48F3" w:rsidRPr="00720D9E">
        <w:rPr>
          <w:i/>
        </w:rPr>
        <w:t>PIB</w:t>
      </w:r>
      <w:r w:rsidR="004A48F3" w:rsidRPr="00720D9E">
        <w:rPr>
          <w:i/>
          <w:vertAlign w:val="subscript"/>
        </w:rPr>
        <w:t>P,i</w:t>
      </w:r>
      <w:r w:rsidR="004A48F3" w:rsidRPr="00720D9E">
        <w:t xml:space="preserve">  x </w:t>
      </w:r>
      <w:r w:rsidR="004A48F3" w:rsidRPr="00720D9E">
        <w:rPr>
          <w:i/>
          <w:lang w:val="en-GB"/>
        </w:rPr>
        <w:t>C</w:t>
      </w:r>
      <w:r w:rsidR="004A48F3" w:rsidRPr="00720D9E">
        <w:rPr>
          <w:i/>
          <w:vertAlign w:val="subscript"/>
          <w:lang w:val="en-GB"/>
        </w:rPr>
        <w:t>CH4</w:t>
      </w:r>
      <w:r w:rsidR="004A48F3" w:rsidRPr="00720D9E">
        <w:t xml:space="preserve"> + </w:t>
      </w:r>
      <w:r w:rsidR="004A48F3" w:rsidRPr="00720D9E">
        <w:rPr>
          <w:i/>
        </w:rPr>
        <w:t>PGW</w:t>
      </w:r>
      <w:r w:rsidR="004A48F3" w:rsidRPr="00720D9E">
        <w:rPr>
          <w:i/>
          <w:vertAlign w:val="subscript"/>
        </w:rPr>
        <w:t>P,i</w:t>
      </w:r>
      <w:r w:rsidR="004A48F3" w:rsidRPr="00720D9E">
        <w:t xml:space="preserve"> x </w:t>
      </w:r>
      <w:r w:rsidR="004A48F3" w:rsidRPr="00720D9E">
        <w:rPr>
          <w:i/>
          <w:lang w:val="en-GB"/>
        </w:rPr>
        <w:t>C</w:t>
      </w:r>
      <w:r w:rsidR="004A48F3" w:rsidRPr="00720D9E">
        <w:rPr>
          <w:i/>
          <w:vertAlign w:val="subscript"/>
          <w:lang w:val="en-GB"/>
        </w:rPr>
        <w:t>CH4</w:t>
      </w:r>
      <w:r w:rsidR="00720E6E" w:rsidRPr="00720D9E">
        <w:rPr>
          <w:lang w:val="en-GB"/>
        </w:rPr>
        <w:t xml:space="preserve"> -</w:t>
      </w:r>
      <w:r w:rsidR="00720E6E" w:rsidRPr="00720D9E">
        <w:t xml:space="preserve"> </w:t>
      </w:r>
      <w:r w:rsidR="00720E6E" w:rsidRPr="00720D9E">
        <w:rPr>
          <w:i/>
        </w:rPr>
        <w:t>MG</w:t>
      </w:r>
      <w:r w:rsidR="00720E6E" w:rsidRPr="00720D9E">
        <w:rPr>
          <w:i/>
          <w:vertAlign w:val="subscript"/>
        </w:rPr>
        <w:t>SUPP,i</w:t>
      </w:r>
      <w:r w:rsidR="00720E6E" w:rsidRPr="00720D9E">
        <w:t xml:space="preserve"> x </w:t>
      </w:r>
      <w:r w:rsidR="00720E6E" w:rsidRPr="00720D9E">
        <w:rPr>
          <w:i/>
          <w:lang w:val="en-GB"/>
        </w:rPr>
        <w:t>C</w:t>
      </w:r>
      <w:r w:rsidR="00720E6E" w:rsidRPr="00720D9E">
        <w:rPr>
          <w:i/>
          <w:vertAlign w:val="subscript"/>
          <w:lang w:val="en-GB"/>
        </w:rPr>
        <w:t>CH4MG</w:t>
      </w:r>
      <w:r w:rsidR="004A48F3" w:rsidRPr="00720D9E">
        <w:t>) x 0.0423 x 0.000454</w:t>
      </w:r>
    </w:p>
    <w:p w:rsidR="004A48F3" w:rsidRPr="00720D9E" w:rsidRDefault="00C01509" w:rsidP="00626455">
      <w:pPr>
        <w:pBdr>
          <w:top w:val="single" w:sz="4" w:space="1" w:color="auto"/>
          <w:left w:val="single" w:sz="4" w:space="4" w:color="auto"/>
          <w:bottom w:val="single" w:sz="4" w:space="1" w:color="auto"/>
          <w:right w:val="single" w:sz="4" w:space="4" w:color="auto"/>
        </w:pBdr>
        <w:tabs>
          <w:tab w:val="left" w:pos="810"/>
        </w:tabs>
        <w:rPr>
          <w:i/>
        </w:rPr>
      </w:pPr>
      <w:r w:rsidRPr="00720D9E">
        <w:rPr>
          <w:i/>
        </w:rPr>
        <w:t>Where,</w:t>
      </w:r>
    </w:p>
    <w:p w:rsidR="004A48F3" w:rsidRPr="00720D9E" w:rsidRDefault="00C01509" w:rsidP="004A48F3">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Pr="00720D9E">
        <w:rPr>
          <w:i/>
          <w:vertAlign w:val="subscript"/>
        </w:rPr>
        <w:t>P,all</w:t>
      </w:r>
      <w:r w:rsidRPr="00720D9E">
        <w:rPr>
          <w:i/>
        </w:rPr>
        <w:t>,</w:t>
      </w:r>
      <w:r w:rsidRPr="00720D9E">
        <w:rPr>
          <w:i/>
          <w:vertAlign w:val="subscript"/>
        </w:rPr>
        <w:t>i</w:t>
      </w:r>
      <w:r w:rsidR="004A48F3" w:rsidRPr="00720D9E">
        <w:tab/>
        <w:t>=</w:t>
      </w:r>
      <w:r w:rsidR="004A48F3" w:rsidRPr="00720D9E">
        <w:tab/>
        <w:t xml:space="preserve">Volume of MG from pre-mining surface wells captured and destroyed by qualifying and non-qualifying devices through use i during the reporting period.  For qualifying devices, </w:t>
      </w:r>
      <w:r w:rsidR="00947FA8" w:rsidRPr="00720D9E">
        <w:t xml:space="preserve">all MG, whether from a mined through well or not </w:t>
      </w:r>
      <w:r w:rsidR="004A48F3" w:rsidRPr="00720D9E">
        <w:t>must be quantified (scf)</w:t>
      </w:r>
    </w:p>
    <w:p w:rsidR="004A48F3" w:rsidRPr="00720D9E" w:rsidRDefault="004A48F3" w:rsidP="004A48F3">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Pr="00720D9E">
        <w:rPr>
          <w:i/>
          <w:vertAlign w:val="subscript"/>
        </w:rPr>
        <w:t>P,i</w:t>
      </w:r>
      <w:r w:rsidRPr="00720D9E">
        <w:tab/>
        <w:t>=</w:t>
      </w:r>
      <w:r w:rsidRPr="00720D9E">
        <w:tab/>
        <w:t>Volume of MG from pre-mining in-mine boreholes captured and destroyed by qualifying and non-qualifying devices through use i during the reporting period (scf)</w:t>
      </w:r>
    </w:p>
    <w:p w:rsidR="004A48F3" w:rsidRPr="00720D9E" w:rsidRDefault="004A48F3" w:rsidP="004A48F3">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PGW</w:t>
      </w:r>
      <w:r w:rsidRPr="00720D9E">
        <w:rPr>
          <w:i/>
          <w:vertAlign w:val="subscript"/>
        </w:rPr>
        <w:t>P,i</w:t>
      </w:r>
      <w:r w:rsidRPr="00720D9E">
        <w:tab/>
        <w:t>=</w:t>
      </w:r>
      <w:r w:rsidRPr="00720D9E">
        <w:tab/>
        <w:t>Volume of MG from post-mining gob wells captured and destroyed by qualifying and non-qualifying devices through use i during the reporting period (scf)</w:t>
      </w:r>
    </w:p>
    <w:p w:rsidR="004A48F3" w:rsidRPr="00720D9E" w:rsidRDefault="004A48F3" w:rsidP="004A48F3">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/scf)</w:t>
      </w:r>
    </w:p>
    <w:p w:rsidR="00720E6E" w:rsidRPr="00720D9E" w:rsidRDefault="00720E6E" w:rsidP="00720E6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MG</w:t>
      </w:r>
      <w:r w:rsidRPr="00720D9E">
        <w:rPr>
          <w:i/>
          <w:vertAlign w:val="subscript"/>
        </w:rPr>
        <w:t>SUPP,i</w:t>
      </w:r>
      <w:r w:rsidRPr="00720D9E">
        <w:rPr>
          <w:i/>
          <w:vertAlign w:val="subscript"/>
        </w:rPr>
        <w:tab/>
      </w:r>
      <w:r w:rsidRPr="00720D9E">
        <w:t>=</w:t>
      </w:r>
      <w:r w:rsidRPr="00720D9E">
        <w:tab/>
        <w:t>Volume of mine methane extracted from a methane drainage system and combusted with VAM (scf)</w:t>
      </w:r>
    </w:p>
    <w:p w:rsidR="00720E6E" w:rsidRPr="00720D9E" w:rsidRDefault="00720E6E" w:rsidP="00720E6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lang w:val="en-GB"/>
        </w:rPr>
        <w:t>C</w:t>
      </w:r>
      <w:r w:rsidRPr="00720D9E">
        <w:rPr>
          <w:i/>
          <w:vertAlign w:val="subscript"/>
          <w:lang w:val="en-GB"/>
        </w:rPr>
        <w:t>CH4MG</w:t>
      </w:r>
      <w:r w:rsidRPr="00720D9E">
        <w:rPr>
          <w:lang w:val="en-GB"/>
        </w:rPr>
        <w:tab/>
        <w:t>=</w:t>
      </w:r>
      <w:r w:rsidRPr="00720D9E">
        <w:rPr>
          <w:lang w:val="en-GB"/>
        </w:rPr>
        <w:tab/>
        <w:t>Measured methane concentration of captured mine gas (scf CH</w:t>
      </w:r>
      <w:r w:rsidRPr="00720D9E">
        <w:rPr>
          <w:vertAlign w:val="subscript"/>
          <w:lang w:val="en-GB"/>
        </w:rPr>
        <w:t>4</w:t>
      </w:r>
      <w:r w:rsidRPr="00720D9E">
        <w:rPr>
          <w:lang w:val="en-GB"/>
        </w:rPr>
        <w:t>/scf)</w:t>
      </w:r>
    </w:p>
    <w:p w:rsidR="004A48F3" w:rsidRPr="00720D9E" w:rsidRDefault="004A48F3" w:rsidP="004A48F3">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626455" w:rsidRPr="00720D9E" w:rsidRDefault="004A48F3" w:rsidP="00C0150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AD5699" w:rsidRPr="00720D9E" w:rsidRDefault="00AD5699" w:rsidP="00AD5699">
      <w:pPr>
        <w:pStyle w:val="ListParagraph"/>
        <w:numPr>
          <w:ilvl w:val="0"/>
          <w:numId w:val="31"/>
        </w:numPr>
        <w:ind w:hanging="720"/>
      </w:pPr>
      <w:r w:rsidRPr="00720D9E">
        <w:t>Project emissions from uncombusted methane (PE</w:t>
      </w:r>
      <w:r w:rsidRPr="00720D9E">
        <w:rPr>
          <w:vertAlign w:val="subscript"/>
        </w:rPr>
        <w:t>UM</w:t>
      </w:r>
      <w:r w:rsidRPr="00720D9E">
        <w:t>) must be quantified using Equation 5.2</w:t>
      </w:r>
      <w:r>
        <w:t>0</w:t>
      </w:r>
      <w:r w:rsidRPr="00720D9E">
        <w:t xml:space="preserve">. </w:t>
      </w:r>
    </w:p>
    <w:p w:rsidR="00AD5699" w:rsidRPr="00720D9E" w:rsidRDefault="00AD5699" w:rsidP="00AD5699">
      <w:pPr>
        <w:pStyle w:val="ListParagraph"/>
        <w:numPr>
          <w:ilvl w:val="0"/>
          <w:numId w:val="31"/>
        </w:numPr>
        <w:ind w:hanging="720"/>
      </w:pPr>
      <w:r w:rsidRPr="00720D9E">
        <w:t>Offset Project Operators and Authorized Project Designees may choose to use default methane destruction efficiencies (DE</w:t>
      </w:r>
      <w:r w:rsidRPr="00720D9E">
        <w:rPr>
          <w:vertAlign w:val="subscript"/>
        </w:rPr>
        <w:t>i</w:t>
      </w:r>
      <w:r w:rsidRPr="00720D9E">
        <w:t>) provided in Appendix B or site-specific methane destruction efficiencies.  Site-specific methane destruction efficiencies must be determined using an ARB approved methodology.</w:t>
      </w:r>
    </w:p>
    <w:p w:rsidR="00AD5699" w:rsidRPr="00720D9E" w:rsidRDefault="00AD5699" w:rsidP="00AD5699">
      <w:pPr>
        <w:pStyle w:val="Heading4"/>
        <w:pBdr>
          <w:top w:val="single" w:sz="4" w:space="1" w:color="auto"/>
          <w:left w:val="single" w:sz="4" w:space="4" w:color="auto"/>
          <w:bottom w:val="single" w:sz="4" w:space="1" w:color="auto"/>
          <w:right w:val="single" w:sz="4" w:space="4" w:color="auto"/>
        </w:pBdr>
      </w:pPr>
      <w:r w:rsidRPr="00720D9E">
        <w:t>Equation 5.2</w:t>
      </w:r>
      <w:r>
        <w:t>0</w:t>
      </w:r>
      <w:r w:rsidRPr="00720D9E">
        <w:t>: Uncombusted Methane Emissions</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vertAlign w:val="subscript"/>
        </w:rPr>
      </w:pPr>
      <w:r w:rsidRPr="00720D9E">
        <w:rPr>
          <w:i/>
        </w:rPr>
        <w:t>PE</w:t>
      </w:r>
      <w:r w:rsidRPr="00720D9E">
        <w:rPr>
          <w:i/>
          <w:vertAlign w:val="subscript"/>
        </w:rPr>
        <w:t>UM</w:t>
      </w:r>
      <w:r w:rsidRPr="00720D9E">
        <w:t xml:space="preserve"> = </w:t>
      </w:r>
      <w:r w:rsidRPr="00720D9E">
        <w:rPr>
          <w:i/>
          <w:position w:val="-28"/>
        </w:rPr>
        <w:object w:dxaOrig="480" w:dyaOrig="540">
          <v:shape id="_x0000_i1038" type="#_x0000_t75" style="width:22pt;height:29pt" o:ole="">
            <v:imagedata r:id="rId18" o:title=""/>
          </v:shape>
          <o:OLEObject Type="Embed" ProgID="Equation.3" ShapeID="_x0000_i1038" DrawAspect="Content" ObjectID="_1437988691" r:id="rId32"/>
        </w:object>
      </w:r>
      <w:r w:rsidRPr="00720D9E">
        <w:rPr>
          <w:i/>
        </w:rPr>
        <w:t>MM</w:t>
      </w:r>
      <w:r w:rsidRPr="00720D9E">
        <w:rPr>
          <w:i/>
          <w:vertAlign w:val="subscript"/>
        </w:rPr>
        <w:t>i</w:t>
      </w:r>
      <w:r w:rsidRPr="00720D9E">
        <w:t xml:space="preserve"> x (1 -</w:t>
      </w:r>
      <w:r w:rsidRPr="00720D9E">
        <w:rPr>
          <w:i/>
        </w:rPr>
        <w:t xml:space="preserve"> DE</w:t>
      </w:r>
      <w:r w:rsidRPr="00720D9E">
        <w:rPr>
          <w:i/>
          <w:vertAlign w:val="subscript"/>
        </w:rPr>
        <w:t>i</w:t>
      </w:r>
      <w:r w:rsidRPr="00720D9E">
        <w:t xml:space="preserve"> ) x </w:t>
      </w:r>
      <w:r w:rsidRPr="00720D9E">
        <w:rPr>
          <w:i/>
        </w:rPr>
        <w:t>GWP</w:t>
      </w:r>
      <w:r w:rsidRPr="00720D9E">
        <w:rPr>
          <w:i/>
          <w:vertAlign w:val="subscript"/>
        </w:rPr>
        <w:t>CH4</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Where,</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UM</w:t>
      </w:r>
      <w:r w:rsidRPr="00720D9E">
        <w:tab/>
        <w:t>=</w:t>
      </w:r>
      <w:r w:rsidRPr="00720D9E">
        <w:tab/>
        <w:t>Project emissions from uncombusted methane during the reporting period (tCO</w:t>
      </w:r>
      <w:r w:rsidRPr="00720D9E">
        <w:rPr>
          <w:vertAlign w:val="subscript"/>
        </w:rPr>
        <w:t>2</w:t>
      </w:r>
      <w:r w:rsidRPr="00720D9E">
        <w:t>e)</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 xml:space="preserve">Use of methane (flaring, power generation, heat generation, production of transportation fuel, etc.) by all qualifying and non-qualifying devices </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MM</w:t>
      </w:r>
      <w:r w:rsidRPr="00720D9E">
        <w:rPr>
          <w:i/>
          <w:vertAlign w:val="subscript"/>
        </w:rPr>
        <w:t>i</w:t>
      </w:r>
      <w:r w:rsidRPr="00720D9E">
        <w:rPr>
          <w:i/>
          <w:vertAlign w:val="subscript"/>
        </w:rPr>
        <w:tab/>
      </w:r>
      <w:r w:rsidRPr="00720D9E">
        <w:t>=</w:t>
      </w:r>
      <w:r w:rsidRPr="00720D9E">
        <w:tab/>
        <w:t>Methane measured sent to use i during the reporting period (tCH</w:t>
      </w:r>
      <w:r w:rsidRPr="00720D9E">
        <w:rPr>
          <w:vertAlign w:val="subscript"/>
        </w:rPr>
        <w:t>4</w:t>
      </w:r>
      <w:r w:rsidRPr="00720D9E">
        <w:t>)</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DE</w:t>
      </w:r>
      <w:r w:rsidRPr="00720D9E">
        <w:rPr>
          <w:i/>
          <w:vertAlign w:val="subscript"/>
        </w:rPr>
        <w:t>i</w:t>
      </w:r>
      <w:r w:rsidRPr="00720D9E">
        <w:tab/>
        <w:t>=</w:t>
      </w:r>
      <w:r w:rsidRPr="00720D9E">
        <w:tab/>
        <w:t xml:space="preserve">Efficiency of methane destruction device </w:t>
      </w:r>
      <w:r>
        <w:t>i,</w:t>
      </w:r>
      <w:r w:rsidRPr="00720D9E">
        <w:t xml:space="preserve"> either site-specific or from Appendix B</w:t>
      </w:r>
      <w:r>
        <w:t xml:space="preserve"> </w:t>
      </w:r>
      <w:r w:rsidRPr="00720D9E">
        <w:t>(%)</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GWP</w:t>
      </w:r>
      <w:r w:rsidRPr="00720D9E">
        <w:rPr>
          <w:i/>
          <w:vertAlign w:val="subscript"/>
        </w:rPr>
        <w:t xml:space="preserve"> CH4</w:t>
      </w:r>
      <w:r w:rsidRPr="00720D9E">
        <w:rPr>
          <w:i/>
          <w:vertAlign w:val="subscript"/>
        </w:rPr>
        <w:tab/>
      </w:r>
      <w:r w:rsidRPr="00720D9E">
        <w:rPr>
          <w:i/>
        </w:rPr>
        <w:t>=</w:t>
      </w:r>
      <w:r w:rsidRPr="00720D9E">
        <w:rPr>
          <w:i/>
          <w:vertAlign w:val="subscript"/>
        </w:rPr>
        <w:tab/>
      </w:r>
      <w:r w:rsidRPr="00720D9E">
        <w:t>Global warming potential of methane (tCO</w:t>
      </w:r>
      <w:r w:rsidRPr="00720D9E">
        <w:rPr>
          <w:vertAlign w:val="subscript"/>
        </w:rPr>
        <w:t>2</w:t>
      </w:r>
      <w:r w:rsidRPr="00720D9E">
        <w:t>e/tCH</w:t>
      </w:r>
      <w:r w:rsidRPr="00720D9E">
        <w:rPr>
          <w:vertAlign w:val="subscript"/>
        </w:rPr>
        <w:t>4</w:t>
      </w:r>
      <w:r w:rsidRPr="00720D9E">
        <w:t>)</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With:</w:t>
      </w:r>
    </w:p>
    <w:p w:rsidR="00AD5699" w:rsidRPr="00720D9E" w:rsidRDefault="00AD5699" w:rsidP="00AD5699">
      <w:pPr>
        <w:pBdr>
          <w:top w:val="single" w:sz="4" w:space="1" w:color="auto"/>
          <w:left w:val="single" w:sz="4" w:space="4" w:color="auto"/>
          <w:bottom w:val="single" w:sz="4" w:space="1" w:color="auto"/>
          <w:right w:val="single" w:sz="4" w:space="4" w:color="auto"/>
        </w:pBdr>
        <w:ind w:left="720" w:hanging="720"/>
      </w:pPr>
      <w:r w:rsidRPr="00720D9E">
        <w:rPr>
          <w:i/>
        </w:rPr>
        <w:t>MM</w:t>
      </w:r>
      <w:r w:rsidRPr="00720D9E">
        <w:rPr>
          <w:i/>
          <w:vertAlign w:val="subscript"/>
        </w:rPr>
        <w:t>i</w:t>
      </w:r>
      <w:r w:rsidRPr="00720D9E">
        <w:t xml:space="preserve">  =</w:t>
      </w:r>
      <w:r w:rsidRPr="00720D9E">
        <w:rPr>
          <w:i/>
          <w:position w:val="-28"/>
        </w:rPr>
        <w:object w:dxaOrig="480" w:dyaOrig="540">
          <v:shape id="_x0000_i1039" type="#_x0000_t75" style="width:22pt;height:29pt" o:ole="">
            <v:imagedata r:id="rId18" o:title=""/>
          </v:shape>
          <o:OLEObject Type="Embed" ProgID="Equation.3" ShapeID="_x0000_i1039" DrawAspect="Content" ObjectID="_1437988692" r:id="rId33"/>
        </w:object>
      </w:r>
      <w:r w:rsidRPr="00720D9E">
        <w:t>(</w:t>
      </w:r>
      <w:r w:rsidRPr="00720D9E">
        <w:rPr>
          <w:i/>
        </w:rPr>
        <w:t>PSW</w:t>
      </w:r>
      <w:r w:rsidRPr="00720D9E">
        <w:rPr>
          <w:i/>
          <w:vertAlign w:val="subscript"/>
        </w:rPr>
        <w:t>P,all</w:t>
      </w:r>
      <w:r w:rsidRPr="00720D9E">
        <w:rPr>
          <w:i/>
        </w:rPr>
        <w:t>,</w:t>
      </w:r>
      <w:r w:rsidRPr="00720D9E">
        <w:rPr>
          <w:i/>
          <w:vertAlign w:val="subscript"/>
        </w:rPr>
        <w:t>i</w:t>
      </w:r>
      <w:r w:rsidRPr="00720D9E">
        <w:t xml:space="preserve">  x </w:t>
      </w:r>
      <w:r w:rsidRPr="00720D9E">
        <w:rPr>
          <w:i/>
          <w:lang w:val="en-GB"/>
        </w:rPr>
        <w:t>C</w:t>
      </w:r>
      <w:r w:rsidRPr="00720D9E">
        <w:rPr>
          <w:i/>
          <w:vertAlign w:val="subscript"/>
          <w:lang w:val="en-GB"/>
        </w:rPr>
        <w:t>CH4</w:t>
      </w:r>
      <w:r w:rsidRPr="00720D9E">
        <w:t xml:space="preserve"> + </w:t>
      </w:r>
      <w:r w:rsidRPr="00720D9E">
        <w:rPr>
          <w:i/>
        </w:rPr>
        <w:t>PIB</w:t>
      </w:r>
      <w:r w:rsidRPr="00720D9E">
        <w:rPr>
          <w:i/>
          <w:vertAlign w:val="subscript"/>
        </w:rPr>
        <w:t>P,i</w:t>
      </w:r>
      <w:r w:rsidRPr="00720D9E">
        <w:t xml:space="preserve">  x </w:t>
      </w:r>
      <w:r w:rsidRPr="00720D9E">
        <w:rPr>
          <w:i/>
          <w:lang w:val="en-GB"/>
        </w:rPr>
        <w:t>C</w:t>
      </w:r>
      <w:r w:rsidRPr="00720D9E">
        <w:rPr>
          <w:i/>
          <w:vertAlign w:val="subscript"/>
          <w:lang w:val="en-GB"/>
        </w:rPr>
        <w:t>CH4</w:t>
      </w:r>
      <w:r w:rsidRPr="00720D9E">
        <w:t xml:space="preserve"> + </w:t>
      </w:r>
      <w:r w:rsidRPr="00720D9E">
        <w:rPr>
          <w:i/>
        </w:rPr>
        <w:t>PGW</w:t>
      </w:r>
      <w:r w:rsidRPr="00720D9E">
        <w:rPr>
          <w:i/>
          <w:vertAlign w:val="subscript"/>
        </w:rPr>
        <w:t>P,i</w:t>
      </w:r>
      <w:r w:rsidRPr="00720D9E">
        <w:t xml:space="preserve"> x </w:t>
      </w:r>
      <w:r w:rsidRPr="00720D9E">
        <w:rPr>
          <w:i/>
          <w:lang w:val="en-GB"/>
        </w:rPr>
        <w:t>C</w:t>
      </w:r>
      <w:r w:rsidRPr="00720D9E">
        <w:rPr>
          <w:i/>
          <w:vertAlign w:val="subscript"/>
          <w:lang w:val="en-GB"/>
        </w:rPr>
        <w:t>CH4</w:t>
      </w:r>
      <w:r w:rsidRPr="00720D9E">
        <w:rPr>
          <w:lang w:val="en-GB"/>
        </w:rPr>
        <w:t xml:space="preserve"> -</w:t>
      </w:r>
      <w:r w:rsidRPr="00720D9E">
        <w:t xml:space="preserve"> </w:t>
      </w:r>
      <w:r w:rsidRPr="00720D9E">
        <w:rPr>
          <w:i/>
        </w:rPr>
        <w:t>MG</w:t>
      </w:r>
      <w:r w:rsidRPr="00720D9E">
        <w:rPr>
          <w:i/>
          <w:vertAlign w:val="subscript"/>
        </w:rPr>
        <w:t>SUPP,i</w:t>
      </w:r>
      <w:r w:rsidRPr="00720D9E">
        <w:t xml:space="preserve"> x </w:t>
      </w:r>
      <w:r w:rsidRPr="00720D9E">
        <w:rPr>
          <w:i/>
          <w:lang w:val="en-GB"/>
        </w:rPr>
        <w:t>C</w:t>
      </w:r>
      <w:r w:rsidRPr="00720D9E">
        <w:rPr>
          <w:i/>
          <w:vertAlign w:val="subscript"/>
          <w:lang w:val="en-GB"/>
        </w:rPr>
        <w:t>CH4MG</w:t>
      </w:r>
      <w:r w:rsidRPr="00720D9E">
        <w:t>) x 0.0423 x 0.000454</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810"/>
        </w:tabs>
        <w:rPr>
          <w:i/>
        </w:rPr>
      </w:pPr>
      <w:r w:rsidRPr="00720D9E">
        <w:rPr>
          <w:i/>
        </w:rPr>
        <w:t>Where,</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Pr="00720D9E">
        <w:rPr>
          <w:i/>
          <w:vertAlign w:val="subscript"/>
        </w:rPr>
        <w:t>P,all</w:t>
      </w:r>
      <w:r w:rsidRPr="00720D9E">
        <w:rPr>
          <w:i/>
        </w:rPr>
        <w:t>,</w:t>
      </w:r>
      <w:r w:rsidRPr="00720D9E">
        <w:rPr>
          <w:i/>
          <w:vertAlign w:val="subscript"/>
        </w:rPr>
        <w:t>i</w:t>
      </w:r>
      <w:r w:rsidRPr="00720D9E">
        <w:tab/>
        <w:t>=</w:t>
      </w:r>
      <w:r w:rsidRPr="00720D9E">
        <w:tab/>
        <w:t>Volume of MG from pre-mining surface wells sent to qualifying and non-qualifying devices for destruction through use i during the reporting period.  For qualifying devices, all MG, whether from a mined through well or not must be quantified (scf)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PIB</w:t>
      </w:r>
      <w:r w:rsidRPr="00720D9E">
        <w:rPr>
          <w:i/>
          <w:vertAlign w:val="subscript"/>
        </w:rPr>
        <w:t>P,i</w:t>
      </w:r>
      <w:r w:rsidRPr="00720D9E">
        <w:tab/>
        <w:t>=</w:t>
      </w:r>
      <w:r w:rsidRPr="00720D9E">
        <w:tab/>
        <w:t>Volume of MG from pre-mining in-mine boreholes sent to qualifying and non-qualifying devices for destruction through use i during the reporting period (scf)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PGW</w:t>
      </w:r>
      <w:r w:rsidRPr="00720D9E">
        <w:rPr>
          <w:i/>
          <w:vertAlign w:val="subscript"/>
        </w:rPr>
        <w:t>P,i</w:t>
      </w:r>
      <w:r w:rsidRPr="00720D9E">
        <w:tab/>
        <w:t>=</w:t>
      </w:r>
      <w:r w:rsidRPr="00720D9E">
        <w:tab/>
        <w:t>Volume of MG from post-mining gob wells sent to qualifying and non-qualifying devices for destruction through use i during the reporting period (scf)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MG</w:t>
      </w:r>
      <w:r w:rsidRPr="00720D9E">
        <w:rPr>
          <w:i/>
          <w:vertAlign w:val="subscript"/>
        </w:rPr>
        <w:t>SUPP,i</w:t>
      </w:r>
      <w:r w:rsidRPr="00720D9E">
        <w:rPr>
          <w:i/>
          <w:vertAlign w:val="subscript"/>
        </w:rPr>
        <w:tab/>
      </w:r>
      <w:r w:rsidRPr="00720D9E">
        <w:t>=</w:t>
      </w:r>
      <w:r w:rsidRPr="00720D9E">
        <w:tab/>
        <w:t>Volume of mine methane extracted from a methane drainage system and sent to destruction device with VAM(scf)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lang w:val="en-GB"/>
        </w:rPr>
        <w:t>C</w:t>
      </w:r>
      <w:r w:rsidRPr="00720D9E">
        <w:rPr>
          <w:i/>
          <w:vertAlign w:val="subscript"/>
          <w:lang w:val="en-GB"/>
        </w:rPr>
        <w:t>CH4MG</w:t>
      </w:r>
      <w:r w:rsidRPr="00720D9E">
        <w:rPr>
          <w:lang w:val="en-GB"/>
        </w:rPr>
        <w:tab/>
        <w:t>=</w:t>
      </w:r>
      <w:r w:rsidRPr="00720D9E">
        <w:rPr>
          <w:lang w:val="en-GB"/>
        </w:rPr>
        <w:tab/>
        <w:t>Measured methane concentration of captured mine gas (scf CH</w:t>
      </w:r>
      <w:r w:rsidRPr="00720D9E">
        <w:rPr>
          <w:vertAlign w:val="subscript"/>
          <w:lang w:val="en-GB"/>
        </w:rPr>
        <w:t>4</w:t>
      </w:r>
      <w:r w:rsidRPr="00720D9E">
        <w:rPr>
          <w:lang w:val="en-GB"/>
        </w:rPr>
        <w:t>/scf)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vertAlign w:val="subscript"/>
        </w:rPr>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C926F7" w:rsidRPr="00720D9E" w:rsidRDefault="00C926F7" w:rsidP="00C926F7">
      <w:pPr>
        <w:pStyle w:val="ListParagraph"/>
        <w:numPr>
          <w:ilvl w:val="0"/>
          <w:numId w:val="31"/>
        </w:numPr>
        <w:ind w:hanging="720"/>
      </w:pPr>
      <w:r w:rsidRPr="00720D9E">
        <w:t xml:space="preserve">If gas flow metering equipment does not internally correct for temperature and pressure, use </w:t>
      </w:r>
      <w:r w:rsidR="004842C4" w:rsidRPr="00720D9E">
        <w:t>Equation 5.</w:t>
      </w:r>
      <w:r w:rsidR="008E55FC" w:rsidRPr="00720D9E">
        <w:t>2</w:t>
      </w:r>
      <w:r w:rsidR="00AD5699">
        <w:t>1</w:t>
      </w:r>
      <w:r w:rsidRPr="00720D9E">
        <w:t xml:space="preserve"> to determine the amount of mine </w:t>
      </w:r>
      <w:r w:rsidR="00C01509" w:rsidRPr="00720D9E">
        <w:t>gas</w:t>
      </w:r>
      <w:r w:rsidRPr="00720D9E">
        <w:t xml:space="preserve"> sent to </w:t>
      </w:r>
      <w:r w:rsidR="00D646AD" w:rsidRPr="00720D9E">
        <w:t xml:space="preserve">each </w:t>
      </w:r>
      <w:r w:rsidRPr="00720D9E">
        <w:t xml:space="preserve">qualifying and non-qualifying device during the reporting period. </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8E55FC" w:rsidRPr="00720D9E">
        <w:t>2</w:t>
      </w:r>
      <w:r w:rsidR="00AD5699">
        <w:t>1</w:t>
      </w:r>
      <w:r w:rsidR="00C926F7" w:rsidRPr="00720D9E">
        <w:t>: MG Corrected for Temperature and Pressure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810"/>
        </w:tabs>
      </w:pPr>
      <w:r w:rsidRPr="00720D9E">
        <w:rPr>
          <w:i/>
        </w:rPr>
        <w:t>MG</w:t>
      </w:r>
      <w:r w:rsidRPr="00720D9E">
        <w:rPr>
          <w:i/>
          <w:vertAlign w:val="subscript"/>
        </w:rPr>
        <w:t>corrected,i,y</w:t>
      </w:r>
      <w:r w:rsidRPr="00720D9E">
        <w:t xml:space="preserve"> = </w:t>
      </w:r>
      <w:r w:rsidRPr="00720D9E">
        <w:rPr>
          <w:i/>
        </w:rPr>
        <w:t>MG</w:t>
      </w:r>
      <w:r w:rsidRPr="00720D9E">
        <w:rPr>
          <w:i/>
          <w:vertAlign w:val="subscript"/>
        </w:rPr>
        <w:t>meas,i,y</w:t>
      </w:r>
      <w:r w:rsidRPr="00720D9E">
        <w:t xml:space="preserve"> x </w:t>
      </w:r>
      <w:r w:rsidRPr="00720D9E">
        <w:rPr>
          <w:position w:val="-32"/>
        </w:rPr>
        <w:object w:dxaOrig="620" w:dyaOrig="700">
          <v:shape id="_x0000_i1040" type="#_x0000_t75" style="width:29pt;height:36pt" o:ole="">
            <v:imagedata r:id="rId34" o:title=""/>
          </v:shape>
          <o:OLEObject Type="Embed" ProgID="Equation.3" ShapeID="_x0000_i1040" DrawAspect="Content" ObjectID="_1437988693" r:id="rId35"/>
        </w:object>
      </w:r>
      <w:r w:rsidRPr="00720D9E">
        <w:t xml:space="preserve"> x </w:t>
      </w:r>
      <w:r w:rsidRPr="00720D9E">
        <w:rPr>
          <w:position w:val="-24"/>
        </w:rPr>
        <w:object w:dxaOrig="639" w:dyaOrig="660">
          <v:shape id="_x0000_i1041" type="#_x0000_t75" style="width:36pt;height:36pt" o:ole="">
            <v:imagedata r:id="rId36" o:title=""/>
          </v:shape>
          <o:OLEObject Type="Embed" ProgID="Equation.3" ShapeID="_x0000_i1041" DrawAspect="Content" ObjectID="_1437988694" r:id="rId37"/>
        </w:objec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MG</w:t>
      </w:r>
      <w:r w:rsidRPr="00720D9E">
        <w:rPr>
          <w:i/>
          <w:vertAlign w:val="subscript"/>
        </w:rPr>
        <w:t>corrected,i,y</w:t>
      </w:r>
      <w:r w:rsidRPr="00720D9E">
        <w:tab/>
        <w:t>=</w:t>
      </w:r>
      <w:r w:rsidRPr="00720D9E">
        <w:tab/>
      </w:r>
      <w:r w:rsidR="00B53A53" w:rsidRPr="00720D9E">
        <w:t>C</w:t>
      </w:r>
      <w:r w:rsidRPr="00720D9E">
        <w:t xml:space="preserve">orrected </w:t>
      </w:r>
      <w:r w:rsidR="00B53A53" w:rsidRPr="00720D9E">
        <w:t xml:space="preserve">flow rate or total </w:t>
      </w:r>
      <w:r w:rsidRPr="00720D9E">
        <w:t xml:space="preserve">volume of MG collected </w:t>
      </w:r>
      <w:r w:rsidR="00C01509" w:rsidRPr="00720D9E">
        <w:t>for the</w:t>
      </w:r>
      <w:r w:rsidRPr="00720D9E">
        <w:t xml:space="preserve"> time interval y at utilization type i, adjusted to 60°F and 1</w:t>
      </w:r>
      <w:r w:rsidR="00C01509" w:rsidRPr="00720D9E">
        <w:t xml:space="preserve"> </w:t>
      </w:r>
      <w:r w:rsidRPr="00720D9E">
        <w:t>atm (scf</w:t>
      </w:r>
      <w:r w:rsidR="00C01509" w:rsidRPr="00720D9E">
        <w:t>/unit of time</w:t>
      </w:r>
      <w:r w:rsidRPr="00720D9E">
        <w:t>)</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MG</w:t>
      </w:r>
      <w:r w:rsidRPr="00720D9E">
        <w:rPr>
          <w:i/>
          <w:vertAlign w:val="subscript"/>
        </w:rPr>
        <w:t>meas,i,y</w:t>
      </w:r>
      <w:r w:rsidRPr="00720D9E">
        <w:tab/>
        <w:t>=</w:t>
      </w:r>
      <w:r w:rsidRPr="00720D9E">
        <w:tab/>
        <w:t xml:space="preserve">Measured </w:t>
      </w:r>
      <w:r w:rsidR="00B53A53" w:rsidRPr="00720D9E">
        <w:t xml:space="preserve">flow rate or total </w:t>
      </w:r>
      <w:r w:rsidRPr="00720D9E">
        <w:t>volume of MG collected for the time interval y at utilization type i (scf/unit of time)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T</w:t>
      </w:r>
      <w:r w:rsidRPr="00720D9E">
        <w:rPr>
          <w:i/>
          <w:vertAlign w:val="subscript"/>
        </w:rPr>
        <w:t>MG,y</w:t>
      </w:r>
      <w:r w:rsidRPr="00720D9E">
        <w:rPr>
          <w:i/>
        </w:rPr>
        <w:tab/>
      </w:r>
      <w:r w:rsidRPr="00720D9E">
        <w:t>=</w:t>
      </w:r>
      <w:r w:rsidRPr="00720D9E">
        <w:tab/>
        <w:t>Measured temperature of the MG for the time interval y, °R=°F+460 (°R)</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w:t>
      </w:r>
      <w:r w:rsidRPr="00720D9E">
        <w:rPr>
          <w:i/>
          <w:vertAlign w:val="subscript"/>
        </w:rPr>
        <w:t>MG,y</w:t>
      </w:r>
      <w:r w:rsidRPr="00720D9E">
        <w:rPr>
          <w:i/>
        </w:rPr>
        <w:tab/>
        <w:t>=</w:t>
      </w:r>
      <w:r w:rsidRPr="00720D9E">
        <w:rPr>
          <w:i/>
        </w:rPr>
        <w:tab/>
      </w:r>
      <w:r w:rsidRPr="00720D9E">
        <w:t>Measured pressure of the MG for the time interval y (atm)</w:t>
      </w:r>
    </w:p>
    <w:p w:rsidR="00C926F7" w:rsidRPr="00720D9E" w:rsidRDefault="00C926F7" w:rsidP="00C926F7">
      <w:pPr>
        <w:pStyle w:val="Heading2"/>
      </w:pPr>
      <w:bookmarkStart w:id="40" w:name="_Toc364243214"/>
      <w:r w:rsidRPr="00720D9E">
        <w:t xml:space="preserve">§ </w:t>
      </w:r>
      <w:r w:rsidR="00645452" w:rsidRPr="00720D9E">
        <w:t>5.3</w:t>
      </w:r>
      <w:r w:rsidRPr="00720D9E">
        <w:t xml:space="preserve">. Active Surface Mine Methane Drainage </w:t>
      </w:r>
      <w:r w:rsidR="00052E6D" w:rsidRPr="00720D9E">
        <w:t>Activities</w:t>
      </w:r>
      <w:r w:rsidRPr="00720D9E">
        <w:t>.</w:t>
      </w:r>
      <w:bookmarkEnd w:id="40"/>
    </w:p>
    <w:p w:rsidR="00C926F7" w:rsidRPr="00720D9E" w:rsidRDefault="00C926F7" w:rsidP="00C926F7">
      <w:pPr>
        <w:pStyle w:val="ListParagraph"/>
        <w:numPr>
          <w:ilvl w:val="0"/>
          <w:numId w:val="32"/>
        </w:numPr>
        <w:ind w:hanging="720"/>
      </w:pPr>
      <w:r w:rsidRPr="00720D9E">
        <w:t xml:space="preserve">GHG emission reductions for a reporting period (ER) must be quantified by subtracting the project emissions for that reporting period (PE) from the baseline emissions for that reporting period (BE) using </w:t>
      </w:r>
      <w:r w:rsidR="004842C4" w:rsidRPr="00720D9E">
        <w:t>Equation 5.</w:t>
      </w:r>
      <w:r w:rsidRPr="00720D9E">
        <w:t>2</w:t>
      </w:r>
      <w:r w:rsidR="008111CD" w:rsidRPr="00720D9E">
        <w:t>2</w:t>
      </w:r>
      <w:r w:rsidRPr="00720D9E">
        <w:t>.</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2</w:t>
      </w:r>
      <w:r w:rsidR="008111CD" w:rsidRPr="00720D9E">
        <w:t>2</w:t>
      </w:r>
      <w:r w:rsidR="00C926F7" w:rsidRPr="00720D9E">
        <w:t>: GHG Emission Reductions</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ER = BE – PE</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lastRenderedPageBreak/>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ER</w:t>
      </w:r>
      <w:r w:rsidRPr="00720D9E">
        <w:tab/>
        <w:t>=</w:t>
      </w:r>
      <w:r w:rsidRPr="00720D9E">
        <w:tab/>
        <w:t>Emission reductions achieved by the project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tab/>
        <w:t>=</w:t>
      </w:r>
      <w:r w:rsidRPr="00720D9E">
        <w:tab/>
        <w:t>Baseline emissions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tab/>
        <w:t>=</w:t>
      </w:r>
      <w:r w:rsidRPr="00720D9E">
        <w:tab/>
        <w:t>Project emissions during the reporting period (tCO</w:t>
      </w:r>
      <w:r w:rsidRPr="00720D9E">
        <w:rPr>
          <w:vertAlign w:val="subscript"/>
        </w:rPr>
        <w:t>2</w:t>
      </w:r>
      <w:r w:rsidRPr="00720D9E">
        <w:t>e)</w:t>
      </w:r>
    </w:p>
    <w:p w:rsidR="00C926F7" w:rsidRPr="00720D9E" w:rsidRDefault="00C926F7" w:rsidP="00C926F7">
      <w:pPr>
        <w:pStyle w:val="Heading3"/>
      </w:pPr>
      <w:bookmarkStart w:id="41" w:name="_Toc364243215"/>
      <w:r w:rsidRPr="00720D9E">
        <w:t xml:space="preserve">§ </w:t>
      </w:r>
      <w:r w:rsidR="00645452" w:rsidRPr="00720D9E">
        <w:t>5.3</w:t>
      </w:r>
      <w:r w:rsidRPr="00720D9E">
        <w:t>.1</w:t>
      </w:r>
      <w:r w:rsidR="00645452" w:rsidRPr="00720D9E">
        <w:t>.</w:t>
      </w:r>
      <w:r w:rsidRPr="00720D9E">
        <w:t xml:space="preserve"> Quantifying Baseline Emissions.</w:t>
      </w:r>
      <w:bookmarkEnd w:id="41"/>
    </w:p>
    <w:p w:rsidR="00C926F7" w:rsidRPr="00720D9E" w:rsidRDefault="00C926F7" w:rsidP="00D805E6">
      <w:pPr>
        <w:pStyle w:val="ListParagraph"/>
        <w:numPr>
          <w:ilvl w:val="0"/>
          <w:numId w:val="33"/>
        </w:numPr>
        <w:ind w:hanging="720"/>
      </w:pPr>
      <w:r w:rsidRPr="00720D9E">
        <w:t xml:space="preserve">Baseline emissions for a reporting period (BE) must be estimated by summing the baseline emissions for all SSRs identified as included in the baseline in Table </w:t>
      </w:r>
      <w:r w:rsidR="008111CD" w:rsidRPr="00720D9E">
        <w:t>4</w:t>
      </w:r>
      <w:r w:rsidRPr="00720D9E">
        <w:t xml:space="preserve">.3 and using </w:t>
      </w:r>
      <w:r w:rsidR="004842C4" w:rsidRPr="00720D9E">
        <w:t>Equation 5.</w:t>
      </w:r>
      <w:r w:rsidRPr="00720D9E">
        <w:t>2</w:t>
      </w:r>
      <w:r w:rsidR="008111CD" w:rsidRPr="00720D9E">
        <w:t>3</w:t>
      </w:r>
      <w:r w:rsidRPr="00720D9E">
        <w:t>.</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2</w:t>
      </w:r>
      <w:r w:rsidR="008111CD" w:rsidRPr="00720D9E">
        <w:t>3</w:t>
      </w:r>
      <w:r w:rsidR="00C926F7" w:rsidRPr="00720D9E">
        <w:t>: Baseline Emissions</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BE = BE</w:t>
      </w:r>
      <w:r w:rsidR="00765739" w:rsidRPr="00720D9E">
        <w:rPr>
          <w:i/>
          <w:vertAlign w:val="subscript"/>
        </w:rPr>
        <w:t>MD</w:t>
      </w:r>
      <w:r w:rsidRPr="00720D9E">
        <w:rPr>
          <w:i/>
        </w:rPr>
        <w:t xml:space="preserve"> + BE</w:t>
      </w:r>
      <w:r w:rsidR="00765739" w:rsidRPr="00720D9E">
        <w:rPr>
          <w:i/>
          <w:vertAlign w:val="subscript"/>
        </w:rPr>
        <w:t>MR</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tab/>
        <w:t>=</w:t>
      </w:r>
      <w:r w:rsidRPr="00720D9E">
        <w:tab/>
        <w:t>Baseline emissions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00765739" w:rsidRPr="00720D9E">
        <w:rPr>
          <w:i/>
          <w:vertAlign w:val="subscript"/>
        </w:rPr>
        <w:t>MD</w:t>
      </w:r>
      <w:r w:rsidRPr="00720D9E">
        <w:tab/>
        <w:t>=</w:t>
      </w:r>
      <w:r w:rsidRPr="00720D9E">
        <w:tab/>
        <w:t>Baseline emissions from destruction of methane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00765739" w:rsidRPr="00720D9E">
        <w:rPr>
          <w:i/>
          <w:vertAlign w:val="subscript"/>
        </w:rPr>
        <w:t>MR</w:t>
      </w:r>
      <w:r w:rsidRPr="00720D9E">
        <w:tab/>
        <w:t>=</w:t>
      </w:r>
      <w:r w:rsidRPr="00720D9E">
        <w:tab/>
        <w:t>Baseline emissions from release of methane into the atmosphere avoided by the project during the reporting period (tCO</w:t>
      </w:r>
      <w:r w:rsidRPr="00720D9E">
        <w:rPr>
          <w:vertAlign w:val="subscript"/>
        </w:rPr>
        <w:t>2</w:t>
      </w:r>
      <w:r w:rsidRPr="00720D9E">
        <w:t>e)</w:t>
      </w:r>
    </w:p>
    <w:p w:rsidR="00C926F7" w:rsidRPr="00720D9E" w:rsidRDefault="00C926F7" w:rsidP="00D805E6">
      <w:pPr>
        <w:pStyle w:val="ListParagraph"/>
        <w:numPr>
          <w:ilvl w:val="0"/>
          <w:numId w:val="33"/>
        </w:numPr>
        <w:ind w:hanging="720"/>
      </w:pPr>
      <w:r w:rsidRPr="00720D9E">
        <w:t>Baseline emissions from the destruction of SMM (BE</w:t>
      </w:r>
      <w:r w:rsidRPr="00720D9E">
        <w:rPr>
          <w:vertAlign w:val="subscript"/>
        </w:rPr>
        <w:t>MD</w:t>
      </w:r>
      <w:r w:rsidRPr="00720D9E">
        <w:t>) must b</w:t>
      </w:r>
      <w:r w:rsidR="00401E34" w:rsidRPr="00720D9E">
        <w:t xml:space="preserve">e quantified using </w:t>
      </w:r>
      <w:r w:rsidR="004842C4" w:rsidRPr="00720D9E">
        <w:t>Equation 5.</w:t>
      </w:r>
      <w:r w:rsidR="00401E34" w:rsidRPr="00720D9E">
        <w:t>2</w:t>
      </w:r>
      <w:r w:rsidR="008111CD" w:rsidRPr="00720D9E">
        <w:t>4</w:t>
      </w:r>
      <w:r w:rsidRPr="00720D9E">
        <w:t xml:space="preserve">. </w:t>
      </w:r>
    </w:p>
    <w:p w:rsidR="008111CD" w:rsidRPr="00720D9E" w:rsidRDefault="008111CD" w:rsidP="008111CD">
      <w:pPr>
        <w:pStyle w:val="ListParagraph"/>
        <w:numPr>
          <w:ilvl w:val="0"/>
          <w:numId w:val="33"/>
        </w:numPr>
        <w:ind w:hanging="720"/>
      </w:pPr>
      <w:r w:rsidRPr="00720D9E">
        <w:t>BE</w:t>
      </w:r>
      <w:r w:rsidRPr="00720D9E">
        <w:rPr>
          <w:vertAlign w:val="subscript"/>
        </w:rPr>
        <w:t>MD</w:t>
      </w:r>
      <w:r w:rsidRPr="00720D9E">
        <w:t xml:space="preserve"> must include the estimated CO</w:t>
      </w:r>
      <w:r w:rsidRPr="00720D9E">
        <w:rPr>
          <w:vertAlign w:val="subscript"/>
        </w:rPr>
        <w:t>2</w:t>
      </w:r>
      <w:r w:rsidRPr="00720D9E">
        <w:t xml:space="preserve"> emissions from the destruction of SMM in non-qualifying devices.</w:t>
      </w:r>
    </w:p>
    <w:p w:rsidR="00B92FC5" w:rsidRPr="00720D9E" w:rsidRDefault="00B92FC5" w:rsidP="00B92FC5">
      <w:pPr>
        <w:pStyle w:val="ListParagraph"/>
        <w:numPr>
          <w:ilvl w:val="0"/>
          <w:numId w:val="33"/>
        </w:numPr>
        <w:ind w:hanging="720"/>
      </w:pPr>
      <w:r w:rsidRPr="00720D9E">
        <w:t xml:space="preserve">Mine gas (MG) can originate from five distinct sources for active surface mine methane drainage activities: pre-mining surface wells, pre-mining in-mine boreholes, existing coal bed methane (CBM) wells that would otherwise be shut-in and abandoned as a result of encroaching mining, abandoned wells that are re-activated, and converted dewatering wells.  </w:t>
      </w:r>
      <w:r w:rsidR="00F41F5F" w:rsidRPr="00720D9E">
        <w:t>MG from these sources must be measured and accounted for individually per the equations in this section.</w:t>
      </w:r>
    </w:p>
    <w:p w:rsidR="00052E6D" w:rsidRPr="00720D9E" w:rsidRDefault="00052E6D" w:rsidP="00052E6D">
      <w:pPr>
        <w:pStyle w:val="ListParagraph"/>
        <w:numPr>
          <w:ilvl w:val="0"/>
          <w:numId w:val="33"/>
        </w:numPr>
        <w:ind w:hanging="720"/>
      </w:pPr>
      <w:r w:rsidRPr="00720D9E">
        <w:t>For each eligible methane source, the volume of M</w:t>
      </w:r>
      <w:r w:rsidR="00B92FC5" w:rsidRPr="00720D9E">
        <w:t>G</w:t>
      </w:r>
      <w:r w:rsidRPr="00720D9E">
        <w:t xml:space="preserve"> destroyed in the baseline </w:t>
      </w:r>
      <w:r w:rsidR="00765739" w:rsidRPr="00720D9E">
        <w:t xml:space="preserve">must </w:t>
      </w:r>
      <w:r w:rsidRPr="00720D9E">
        <w:t>be the determined by calculating and comparing:</w:t>
      </w:r>
    </w:p>
    <w:p w:rsidR="00DF752C" w:rsidRPr="00720D9E" w:rsidRDefault="00DF752C" w:rsidP="003638CE">
      <w:pPr>
        <w:pStyle w:val="ListParagraph"/>
        <w:numPr>
          <w:ilvl w:val="1"/>
          <w:numId w:val="52"/>
        </w:numPr>
        <w:ind w:hanging="720"/>
      </w:pPr>
      <w:r w:rsidRPr="00720D9E">
        <w:t xml:space="preserve">The volume of </w:t>
      </w:r>
      <w:r w:rsidR="00B92FC5" w:rsidRPr="00720D9E">
        <w:t>MG</w:t>
      </w:r>
      <w:r w:rsidRPr="00720D9E">
        <w:t xml:space="preserve"> destroyed by non-qualifying devices during the reporting period</w:t>
      </w:r>
      <w:r w:rsidR="00B2365E" w:rsidRPr="00720D9E">
        <w:t xml:space="preserve">, adjusted for temperature and pressure, </w:t>
      </w:r>
      <w:r w:rsidR="00FE2A32" w:rsidRPr="00720D9E">
        <w:t>if applicable</w:t>
      </w:r>
      <w:r w:rsidR="00B2365E" w:rsidRPr="00720D9E">
        <w:t xml:space="preserve">, using </w:t>
      </w:r>
      <w:r w:rsidR="004842C4" w:rsidRPr="00720D9E">
        <w:t>Equation 5.</w:t>
      </w:r>
      <w:r w:rsidR="00B2365E" w:rsidRPr="00720D9E">
        <w:t>3</w:t>
      </w:r>
      <w:r w:rsidR="00AD5699">
        <w:t>5</w:t>
      </w:r>
      <w:r w:rsidRPr="00720D9E">
        <w:t xml:space="preserve">; and </w:t>
      </w:r>
    </w:p>
    <w:p w:rsidR="00DF752C" w:rsidRPr="00720D9E" w:rsidRDefault="00DF752C" w:rsidP="003638CE">
      <w:pPr>
        <w:pStyle w:val="ListParagraph"/>
        <w:numPr>
          <w:ilvl w:val="1"/>
          <w:numId w:val="52"/>
        </w:numPr>
        <w:ind w:hanging="720"/>
      </w:pPr>
      <w:r w:rsidRPr="00720D9E">
        <w:lastRenderedPageBreak/>
        <w:t xml:space="preserve">The volume of </w:t>
      </w:r>
      <w:r w:rsidR="00F41F5F" w:rsidRPr="00720D9E">
        <w:t>MG</w:t>
      </w:r>
      <w:r w:rsidRPr="00720D9E">
        <w:t xml:space="preserve"> destroyed by non-qualifying devices during the three-year period prior to </w:t>
      </w:r>
      <w:r w:rsidR="004447DE" w:rsidRPr="00720D9E">
        <w:t xml:space="preserve">offset </w:t>
      </w:r>
      <w:r w:rsidRPr="00720D9E">
        <w:t>project commencement (or during the length of time the devices are operational, if less than three years),</w:t>
      </w:r>
      <w:r w:rsidR="00B2365E" w:rsidRPr="00720D9E">
        <w:t xml:space="preserve"> adjusted for temperature a</w:t>
      </w:r>
      <w:r w:rsidR="00720E6E" w:rsidRPr="00720D9E">
        <w:t xml:space="preserve">nd pressure, </w:t>
      </w:r>
      <w:r w:rsidR="00FE2A32" w:rsidRPr="00720D9E">
        <w:t>if applicable</w:t>
      </w:r>
      <w:r w:rsidR="00720E6E" w:rsidRPr="00720D9E">
        <w:t xml:space="preserve">, using </w:t>
      </w:r>
      <w:r w:rsidR="004842C4" w:rsidRPr="00720D9E">
        <w:t>Equation 5.</w:t>
      </w:r>
      <w:r w:rsidR="008111CD" w:rsidRPr="00720D9E">
        <w:t>3</w:t>
      </w:r>
      <w:r w:rsidR="00AD5699">
        <w:t>5</w:t>
      </w:r>
      <w:r w:rsidR="00B2365E" w:rsidRPr="00720D9E">
        <w:t xml:space="preserve"> and</w:t>
      </w:r>
      <w:r w:rsidRPr="00720D9E">
        <w:t xml:space="preserve"> averaged according to the length of the reporting period.</w:t>
      </w:r>
    </w:p>
    <w:p w:rsidR="00B92FC5" w:rsidRPr="00720D9E" w:rsidRDefault="00B92FC5" w:rsidP="00B92FC5">
      <w:pPr>
        <w:pStyle w:val="ListParagraph"/>
        <w:numPr>
          <w:ilvl w:val="0"/>
          <w:numId w:val="33"/>
        </w:numPr>
        <w:ind w:hanging="720"/>
      </w:pPr>
      <w:r w:rsidRPr="00720D9E">
        <w:t>For each methane source, t</w:t>
      </w:r>
      <w:r w:rsidR="00DF752C" w:rsidRPr="00720D9E">
        <w:t xml:space="preserve">he larger of the two above quantities must be used in </w:t>
      </w:r>
      <w:r w:rsidR="004842C4" w:rsidRPr="00720D9E">
        <w:t>Equation 5.</w:t>
      </w:r>
      <w:r w:rsidR="008111CD" w:rsidRPr="00720D9E">
        <w:t>24</w:t>
      </w:r>
      <w:r w:rsidR="00DF752C" w:rsidRPr="00720D9E">
        <w:t>.</w:t>
      </w:r>
    </w:p>
    <w:p w:rsidR="008E0C00" w:rsidRPr="00720D9E" w:rsidRDefault="00DF752C" w:rsidP="008E0C00">
      <w:pPr>
        <w:pStyle w:val="ListParagraph"/>
        <w:numPr>
          <w:ilvl w:val="0"/>
          <w:numId w:val="33"/>
        </w:numPr>
        <w:ind w:hanging="720"/>
      </w:pPr>
      <w:r w:rsidRPr="00720D9E">
        <w:t xml:space="preserve">For the purpose of baseline quantification, only non-qualifying devices that were operating during the year prior to </w:t>
      </w:r>
      <w:r w:rsidR="004447DE" w:rsidRPr="00720D9E">
        <w:t xml:space="preserve">offset </w:t>
      </w:r>
      <w:r w:rsidRPr="00720D9E">
        <w:t xml:space="preserve">project commencement should be taken into account. </w:t>
      </w:r>
    </w:p>
    <w:p w:rsidR="008E0C00" w:rsidRPr="00720D9E" w:rsidRDefault="008E0C00" w:rsidP="008E0C00">
      <w:pPr>
        <w:pStyle w:val="ListParagraph"/>
        <w:numPr>
          <w:ilvl w:val="0"/>
          <w:numId w:val="33"/>
        </w:numPr>
        <w:ind w:hanging="720"/>
      </w:pPr>
      <w:r w:rsidRPr="00720D9E">
        <w:t>If there is no destruction of methane in the baseline, then BE</w:t>
      </w:r>
      <w:r w:rsidRPr="00720D9E">
        <w:rPr>
          <w:vertAlign w:val="subscript"/>
        </w:rPr>
        <w:t>MD</w:t>
      </w:r>
      <w:r w:rsidRPr="00720D9E">
        <w:t xml:space="preserve"> = 0.</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2</w:t>
      </w:r>
      <w:r w:rsidR="008111CD" w:rsidRPr="00720D9E">
        <w:t>4</w:t>
      </w:r>
      <w:r w:rsidR="00C926F7" w:rsidRPr="00720D9E">
        <w:t xml:space="preserve">: Baseline Emissions from Destruction of </w:t>
      </w:r>
      <w:r w:rsidR="00AB2672" w:rsidRPr="00720D9E">
        <w:t>Methane</w:t>
      </w:r>
    </w:p>
    <w:p w:rsidR="00B92FC5" w:rsidRPr="00720D9E" w:rsidRDefault="00B92FC5" w:rsidP="00F41F5F">
      <w:pPr>
        <w:pBdr>
          <w:top w:val="single" w:sz="4" w:space="1" w:color="auto"/>
          <w:left w:val="single" w:sz="4" w:space="4" w:color="auto"/>
          <w:bottom w:val="single" w:sz="4" w:space="1" w:color="auto"/>
          <w:right w:val="single" w:sz="4" w:space="4" w:color="auto"/>
        </w:pBdr>
        <w:tabs>
          <w:tab w:val="left" w:pos="810"/>
        </w:tabs>
        <w:ind w:left="900" w:hanging="900"/>
        <w:rPr>
          <w:i/>
        </w:rPr>
      </w:pPr>
      <w:r w:rsidRPr="00720D9E">
        <w:rPr>
          <w:i/>
        </w:rPr>
        <w:t>BE</w:t>
      </w:r>
      <w:r w:rsidRPr="00720D9E">
        <w:rPr>
          <w:i/>
          <w:vertAlign w:val="subscript"/>
        </w:rPr>
        <w:t>MD</w:t>
      </w:r>
      <w:r w:rsidRPr="00720D9E">
        <w:rPr>
          <w:i/>
        </w:rPr>
        <w:t xml:space="preserve"> = </w:t>
      </w:r>
      <w:r w:rsidRPr="00720D9E">
        <w:rPr>
          <w:i/>
          <w:position w:val="-28"/>
        </w:rPr>
        <w:object w:dxaOrig="460" w:dyaOrig="540">
          <v:shape id="_x0000_i1042" type="#_x0000_t75" style="width:22pt;height:29pt" o:ole="">
            <v:imagedata r:id="rId13" o:title=""/>
          </v:shape>
          <o:OLEObject Type="Embed" ProgID="Equation.3" ShapeID="_x0000_i1042" DrawAspect="Content" ObjectID="_1437988695" r:id="rId38"/>
        </w:object>
      </w:r>
      <w:r w:rsidRPr="00720D9E">
        <w:t>(</w:t>
      </w:r>
      <w:r w:rsidRPr="00720D9E">
        <w:rPr>
          <w:i/>
        </w:rPr>
        <w:t>PSW</w:t>
      </w:r>
      <w:r w:rsidRPr="00720D9E">
        <w:rPr>
          <w:i/>
          <w:vertAlign w:val="subscript"/>
        </w:rPr>
        <w:t>B,i</w:t>
      </w:r>
      <w:r w:rsidRPr="00720D9E">
        <w:t xml:space="preserve"> x </w:t>
      </w:r>
      <w:r w:rsidRPr="00720D9E">
        <w:rPr>
          <w:i/>
          <w:lang w:val="en-GB"/>
        </w:rPr>
        <w:t>C</w:t>
      </w:r>
      <w:r w:rsidRPr="00720D9E">
        <w:rPr>
          <w:i/>
          <w:vertAlign w:val="subscript"/>
          <w:lang w:val="en-GB"/>
        </w:rPr>
        <w:t xml:space="preserve">CH4 </w:t>
      </w:r>
      <w:r w:rsidRPr="00720D9E">
        <w:t xml:space="preserve">+ </w:t>
      </w:r>
      <w:r w:rsidRPr="00720D9E">
        <w:rPr>
          <w:i/>
        </w:rPr>
        <w:t>PIB</w:t>
      </w:r>
      <w:r w:rsidRPr="00720D9E">
        <w:rPr>
          <w:i/>
          <w:vertAlign w:val="subscript"/>
        </w:rPr>
        <w:t>B,i</w:t>
      </w:r>
      <w:r w:rsidRPr="00720D9E">
        <w:t xml:space="preserve"> x </w:t>
      </w:r>
      <w:r w:rsidRPr="00720D9E">
        <w:rPr>
          <w:i/>
          <w:lang w:val="en-GB"/>
        </w:rPr>
        <w:t>C</w:t>
      </w:r>
      <w:r w:rsidRPr="00720D9E">
        <w:rPr>
          <w:i/>
          <w:vertAlign w:val="subscript"/>
          <w:lang w:val="en-GB"/>
        </w:rPr>
        <w:t xml:space="preserve">CH 4 </w:t>
      </w:r>
      <w:r w:rsidRPr="00720D9E">
        <w:t>+</w:t>
      </w:r>
      <w:r w:rsidRPr="00720D9E">
        <w:rPr>
          <w:i/>
        </w:rPr>
        <w:t xml:space="preserve"> </w:t>
      </w:r>
      <w:r w:rsidR="00F41F5F" w:rsidRPr="00720D9E">
        <w:rPr>
          <w:i/>
        </w:rPr>
        <w:t>ECW</w:t>
      </w:r>
      <w:r w:rsidRPr="00720D9E">
        <w:rPr>
          <w:i/>
          <w:vertAlign w:val="subscript"/>
        </w:rPr>
        <w:t>B,i</w:t>
      </w:r>
      <w:r w:rsidRPr="00720D9E">
        <w:t xml:space="preserve"> x </w:t>
      </w:r>
      <w:r w:rsidRPr="00720D9E">
        <w:rPr>
          <w:i/>
          <w:lang w:val="en-GB"/>
        </w:rPr>
        <w:t>C</w:t>
      </w:r>
      <w:r w:rsidRPr="00720D9E">
        <w:rPr>
          <w:i/>
          <w:vertAlign w:val="subscript"/>
          <w:lang w:val="en-GB"/>
        </w:rPr>
        <w:t>CH4</w:t>
      </w:r>
      <w:r w:rsidR="00F41F5F" w:rsidRPr="00720D9E">
        <w:rPr>
          <w:lang w:val="en-GB"/>
        </w:rPr>
        <w:t xml:space="preserve"> + </w:t>
      </w:r>
      <w:r w:rsidR="00F41F5F" w:rsidRPr="00720D9E">
        <w:rPr>
          <w:i/>
        </w:rPr>
        <w:t>AWR</w:t>
      </w:r>
      <w:r w:rsidR="00F41F5F" w:rsidRPr="00720D9E">
        <w:rPr>
          <w:i/>
          <w:vertAlign w:val="subscript"/>
        </w:rPr>
        <w:t>B,i</w:t>
      </w:r>
      <w:r w:rsidR="00F41F5F" w:rsidRPr="00720D9E">
        <w:t xml:space="preserve"> </w:t>
      </w:r>
      <w:r w:rsidR="008778CE" w:rsidRPr="00720D9E">
        <w:t xml:space="preserve">x </w:t>
      </w:r>
      <w:r w:rsidR="008778CE" w:rsidRPr="00720D9E">
        <w:rPr>
          <w:i/>
          <w:lang w:val="en-GB"/>
        </w:rPr>
        <w:t>C</w:t>
      </w:r>
      <w:r w:rsidR="008778CE" w:rsidRPr="00720D9E">
        <w:rPr>
          <w:i/>
          <w:vertAlign w:val="subscript"/>
          <w:lang w:val="en-GB"/>
        </w:rPr>
        <w:t>CH4</w:t>
      </w:r>
      <w:r w:rsidR="008778CE" w:rsidRPr="00720D9E">
        <w:rPr>
          <w:lang w:val="en-GB"/>
        </w:rPr>
        <w:t xml:space="preserve"> </w:t>
      </w:r>
      <w:r w:rsidR="00F41F5F" w:rsidRPr="00720D9E">
        <w:t>+ CDW</w:t>
      </w:r>
      <w:r w:rsidR="00F41F5F" w:rsidRPr="00720D9E">
        <w:rPr>
          <w:i/>
          <w:vertAlign w:val="subscript"/>
        </w:rPr>
        <w:t>B,i</w:t>
      </w:r>
      <w:r w:rsidR="008778CE" w:rsidRPr="00720D9E">
        <w:t xml:space="preserve"> x </w:t>
      </w:r>
      <w:r w:rsidR="008778CE" w:rsidRPr="00720D9E">
        <w:rPr>
          <w:i/>
          <w:lang w:val="en-GB"/>
        </w:rPr>
        <w:t>C</w:t>
      </w:r>
      <w:r w:rsidR="008778CE" w:rsidRPr="00720D9E">
        <w:rPr>
          <w:i/>
          <w:vertAlign w:val="subscript"/>
          <w:lang w:val="en-GB"/>
        </w:rPr>
        <w:t>CH4</w:t>
      </w:r>
      <w:r w:rsidRPr="00720D9E">
        <w:t xml:space="preserve">) x 0.0423 x 0.000454 x </w:t>
      </w:r>
      <w:r w:rsidRPr="00720D9E">
        <w:rPr>
          <w:i/>
        </w:rPr>
        <w:t>CEF</w:t>
      </w:r>
      <w:r w:rsidRPr="00720D9E">
        <w:rPr>
          <w:i/>
          <w:vertAlign w:val="subscript"/>
        </w:rPr>
        <w:t>CH4</w:t>
      </w:r>
    </w:p>
    <w:p w:rsidR="00B92FC5" w:rsidRPr="00720D9E" w:rsidRDefault="00B92FC5" w:rsidP="00B92FC5">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B92FC5" w:rsidRPr="00720D9E" w:rsidRDefault="00B92FC5" w:rsidP="00B92FC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rPr>
          <w:i/>
          <w:vertAlign w:val="subscript"/>
        </w:rPr>
        <w:t>MD</w:t>
      </w:r>
      <w:r w:rsidRPr="00720D9E">
        <w:tab/>
        <w:t>=</w:t>
      </w:r>
      <w:r w:rsidRPr="00720D9E">
        <w:tab/>
        <w:t>Baseline emissions from destruction of methane during the reporting period (tCO</w:t>
      </w:r>
      <w:r w:rsidRPr="00720D9E">
        <w:rPr>
          <w:vertAlign w:val="subscript"/>
        </w:rPr>
        <w:t>2</w:t>
      </w:r>
      <w:r w:rsidRPr="00720D9E">
        <w:t>e)</w:t>
      </w:r>
    </w:p>
    <w:p w:rsidR="0058626D" w:rsidRPr="00720D9E" w:rsidRDefault="00B92FC5" w:rsidP="00B92FC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r>
      <w:r w:rsidR="0058626D" w:rsidRPr="00720D9E">
        <w:t>Use of methane (flaring, power generation, heat generation,</w:t>
      </w:r>
      <w:r w:rsidR="000D6176" w:rsidRPr="00720D9E">
        <w:t xml:space="preserve"> production of transportation fuel,</w:t>
      </w:r>
      <w:r w:rsidR="0058626D" w:rsidRPr="00720D9E">
        <w:t xml:space="preserve"> injection into natural gas pipeline, etc.) </w:t>
      </w:r>
    </w:p>
    <w:p w:rsidR="00B92FC5" w:rsidRPr="00720D9E" w:rsidRDefault="00B92FC5" w:rsidP="00B92FC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Pr="00720D9E">
        <w:rPr>
          <w:i/>
          <w:vertAlign w:val="subscript"/>
        </w:rPr>
        <w:t>B,i</w:t>
      </w:r>
      <w:r w:rsidRPr="00720D9E">
        <w:tab/>
        <w:t>=</w:t>
      </w:r>
      <w:r w:rsidRPr="00720D9E">
        <w:tab/>
        <w:t xml:space="preserve">Volume of MG from pre-mining surface wells that would have been </w:t>
      </w:r>
      <w:r w:rsidR="00740F07" w:rsidRPr="00720D9E">
        <w:t>sent to non-qualifying devices for destruction through</w:t>
      </w:r>
      <w:r w:rsidRPr="00720D9E">
        <w:t xml:space="preserve"> use i during the reporting period in the baseline scenario (scf)</w:t>
      </w:r>
    </w:p>
    <w:p w:rsidR="00B92FC5" w:rsidRPr="00720D9E" w:rsidRDefault="00B92FC5" w:rsidP="00B92FC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Pr="00720D9E">
        <w:rPr>
          <w:i/>
          <w:vertAlign w:val="subscript"/>
        </w:rPr>
        <w:t>B,i</w:t>
      </w:r>
      <w:r w:rsidRPr="00720D9E">
        <w:tab/>
        <w:t>=</w:t>
      </w:r>
      <w:r w:rsidRPr="00720D9E">
        <w:tab/>
        <w:t xml:space="preserve">Volume of MG from pre-mining in-mine boreholes that would have been </w:t>
      </w:r>
      <w:r w:rsidR="00740F07" w:rsidRPr="00720D9E">
        <w:t>sent to non-qualifying devices for destruction through</w:t>
      </w:r>
      <w:r w:rsidRPr="00720D9E">
        <w:t xml:space="preserve"> use i during the reporting period in the baseline scenario (scf)</w:t>
      </w:r>
    </w:p>
    <w:p w:rsidR="00B92FC5" w:rsidRPr="00720D9E" w:rsidRDefault="00F41F5F" w:rsidP="00B92FC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ECW</w:t>
      </w:r>
      <w:r w:rsidR="00B92FC5" w:rsidRPr="00720D9E">
        <w:rPr>
          <w:i/>
          <w:vertAlign w:val="subscript"/>
        </w:rPr>
        <w:t>B,i</w:t>
      </w:r>
      <w:r w:rsidR="00B92FC5" w:rsidRPr="00720D9E">
        <w:tab/>
        <w:t>=</w:t>
      </w:r>
      <w:r w:rsidR="00B92FC5" w:rsidRPr="00720D9E">
        <w:tab/>
        <w:t xml:space="preserve">Volume of </w:t>
      </w:r>
      <w:r w:rsidRPr="00720D9E">
        <w:t>M</w:t>
      </w:r>
      <w:r w:rsidR="00B92FC5" w:rsidRPr="00720D9E">
        <w:t xml:space="preserve">G from </w:t>
      </w:r>
      <w:r w:rsidR="000707D8" w:rsidRPr="00720D9E">
        <w:t>existing coalbed methane</w:t>
      </w:r>
      <w:r w:rsidR="00B92FC5" w:rsidRPr="00720D9E">
        <w:t xml:space="preserve"> wells </w:t>
      </w:r>
      <w:r w:rsidR="000707D8" w:rsidRPr="00720D9E">
        <w:t>that would otherwise be shut-in and abandoned as a result of</w:t>
      </w:r>
      <w:r w:rsidR="00053B9D" w:rsidRPr="00720D9E">
        <w:t xml:space="preserve"> encroaching mining</w:t>
      </w:r>
      <w:r w:rsidR="000707D8" w:rsidRPr="00720D9E">
        <w:t xml:space="preserve"> </w:t>
      </w:r>
      <w:r w:rsidR="00B92FC5" w:rsidRPr="00720D9E">
        <w:t xml:space="preserve">that would have been </w:t>
      </w:r>
      <w:r w:rsidR="00740F07" w:rsidRPr="00720D9E">
        <w:t>sent to non-qualifying devices for destruction through</w:t>
      </w:r>
      <w:r w:rsidR="00B92FC5" w:rsidRPr="00720D9E">
        <w:t xml:space="preserve"> use i during the reporting period in the baseline scenario (scf)</w:t>
      </w:r>
    </w:p>
    <w:p w:rsidR="00F41F5F" w:rsidRPr="00720D9E" w:rsidRDefault="00F41F5F" w:rsidP="00F41F5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AWR</w:t>
      </w:r>
      <w:r w:rsidRPr="00720D9E">
        <w:rPr>
          <w:i/>
          <w:vertAlign w:val="subscript"/>
        </w:rPr>
        <w:t>B,i</w:t>
      </w:r>
      <w:r w:rsidRPr="00720D9E">
        <w:tab/>
        <w:t>=</w:t>
      </w:r>
      <w:r w:rsidRPr="00720D9E">
        <w:tab/>
        <w:t xml:space="preserve">Volume of MG from </w:t>
      </w:r>
      <w:r w:rsidR="00053B9D" w:rsidRPr="00720D9E">
        <w:t>abandoned wells that are reactivated</w:t>
      </w:r>
      <w:r w:rsidRPr="00720D9E">
        <w:t xml:space="preserve"> that would have been </w:t>
      </w:r>
      <w:r w:rsidR="00740F07" w:rsidRPr="00720D9E">
        <w:t>sent to non-qualifying devices for destruction through</w:t>
      </w:r>
      <w:r w:rsidRPr="00720D9E">
        <w:t xml:space="preserve"> use i during the reporting period in the baseline scenario (scf)</w:t>
      </w:r>
    </w:p>
    <w:p w:rsidR="00F41F5F" w:rsidRPr="00720D9E" w:rsidRDefault="00F41F5F" w:rsidP="00F41F5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CDW</w:t>
      </w:r>
      <w:r w:rsidRPr="00720D9E">
        <w:rPr>
          <w:i/>
          <w:vertAlign w:val="subscript"/>
        </w:rPr>
        <w:t>B,i</w:t>
      </w:r>
      <w:r w:rsidRPr="00720D9E">
        <w:tab/>
        <w:t>=</w:t>
      </w:r>
      <w:r w:rsidRPr="00720D9E">
        <w:tab/>
        <w:t xml:space="preserve">Volume of MG from </w:t>
      </w:r>
      <w:r w:rsidR="00053B9D" w:rsidRPr="00720D9E">
        <w:t xml:space="preserve">converted dewatering </w:t>
      </w:r>
      <w:r w:rsidRPr="00720D9E">
        <w:t xml:space="preserve">wells that would have been </w:t>
      </w:r>
      <w:r w:rsidR="00740F07" w:rsidRPr="00720D9E">
        <w:t>sent to non-qualifying devices for destruction through</w:t>
      </w:r>
      <w:r w:rsidRPr="00720D9E">
        <w:t xml:space="preserve"> use i during the reporting period in the baseline scenario (scf)</w:t>
      </w:r>
    </w:p>
    <w:p w:rsidR="00B92FC5" w:rsidRPr="00720D9E" w:rsidRDefault="00B92FC5" w:rsidP="00B92FC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 xml:space="preserve">/scf) </w:t>
      </w:r>
    </w:p>
    <w:p w:rsidR="00B92FC5" w:rsidRPr="00720D9E" w:rsidRDefault="00B92FC5" w:rsidP="00B92FC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B92FC5" w:rsidRPr="00720D9E" w:rsidRDefault="00B92FC5" w:rsidP="00B92FC5">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B92FC5" w:rsidRPr="00720D9E" w:rsidRDefault="00B92FC5"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CH4</w:t>
      </w:r>
      <w:r w:rsidRPr="00720D9E">
        <w:tab/>
        <w:t>=</w:t>
      </w:r>
      <w:r w:rsidRPr="00720D9E">
        <w:tab/>
        <w:t>CO</w:t>
      </w:r>
      <w:r w:rsidRPr="00720D9E">
        <w:rPr>
          <w:vertAlign w:val="subscript"/>
        </w:rPr>
        <w:t>2</w:t>
      </w:r>
      <w:r w:rsidRPr="00720D9E">
        <w:t xml:space="preserve"> emission factor for combusted methane (2.75 tCO</w:t>
      </w:r>
      <w:r w:rsidRPr="00720D9E">
        <w:rPr>
          <w:vertAlign w:val="subscript"/>
        </w:rPr>
        <w:t>2</w:t>
      </w:r>
      <w:r w:rsidRPr="00720D9E">
        <w:t>e/tCH</w:t>
      </w:r>
      <w:r w:rsidRPr="00720D9E">
        <w:rPr>
          <w:vertAlign w:val="subscript"/>
        </w:rPr>
        <w:t>4</w:t>
      </w:r>
      <w:r w:rsidRPr="00720D9E">
        <w:t>)</w:t>
      </w:r>
    </w:p>
    <w:p w:rsidR="00C926F7" w:rsidRPr="00720D9E" w:rsidRDefault="00C926F7" w:rsidP="00D805E6">
      <w:pPr>
        <w:pStyle w:val="ListParagraph"/>
        <w:numPr>
          <w:ilvl w:val="0"/>
          <w:numId w:val="33"/>
        </w:numPr>
        <w:ind w:hanging="720"/>
      </w:pPr>
      <w:r w:rsidRPr="00720D9E">
        <w:t>Baseline emissions from the release of methane (BE</w:t>
      </w:r>
      <w:r w:rsidR="00F41F5F" w:rsidRPr="00720D9E">
        <w:rPr>
          <w:vertAlign w:val="subscript"/>
        </w:rPr>
        <w:t>MR</w:t>
      </w:r>
      <w:r w:rsidRPr="00720D9E">
        <w:t xml:space="preserve">) must be quantified using </w:t>
      </w:r>
      <w:r w:rsidR="004842C4" w:rsidRPr="00720D9E">
        <w:t>Equation 5.</w:t>
      </w:r>
      <w:r w:rsidRPr="00720D9E">
        <w:t>2</w:t>
      </w:r>
      <w:r w:rsidR="00740F07" w:rsidRPr="00720D9E">
        <w:t>5</w:t>
      </w:r>
      <w:r w:rsidRPr="00720D9E">
        <w:t>.</w:t>
      </w:r>
    </w:p>
    <w:p w:rsidR="00C926F7" w:rsidRPr="00720D9E" w:rsidRDefault="00C926F7" w:rsidP="00D805E6">
      <w:pPr>
        <w:pStyle w:val="ListParagraph"/>
        <w:numPr>
          <w:ilvl w:val="0"/>
          <w:numId w:val="33"/>
        </w:numPr>
        <w:ind w:hanging="720"/>
      </w:pPr>
      <w:r w:rsidRPr="00720D9E">
        <w:t>BE</w:t>
      </w:r>
      <w:r w:rsidR="00F41F5F" w:rsidRPr="00720D9E">
        <w:rPr>
          <w:vertAlign w:val="subscript"/>
        </w:rPr>
        <w:t>MR</w:t>
      </w:r>
      <w:r w:rsidRPr="00720D9E">
        <w:t xml:space="preserve"> must account for the total amount of methane actually destroyed by all qualifying and non-qualifying devices.</w:t>
      </w:r>
    </w:p>
    <w:p w:rsidR="00C926F7" w:rsidRPr="00720D9E" w:rsidRDefault="00C926F7" w:rsidP="00D805E6">
      <w:pPr>
        <w:pStyle w:val="ListParagraph"/>
        <w:numPr>
          <w:ilvl w:val="0"/>
          <w:numId w:val="33"/>
        </w:numPr>
        <w:ind w:hanging="720"/>
      </w:pPr>
      <w:r w:rsidRPr="00720D9E">
        <w:t>Emissions from the release of methane are only accounted for in the baseline during the reporting period(s) in which the emissions would have occurred (i.e.</w:t>
      </w:r>
      <w:r w:rsidR="00BD11A9" w:rsidRPr="00720D9E">
        <w:t>,</w:t>
      </w:r>
      <w:r w:rsidRPr="00720D9E">
        <w:t xml:space="preserve"> when the well </w:t>
      </w:r>
      <w:r w:rsidR="00BD11A9" w:rsidRPr="00720D9E">
        <w:t xml:space="preserve">is </w:t>
      </w:r>
      <w:r w:rsidRPr="00720D9E">
        <w:t xml:space="preserve">mined through).  </w:t>
      </w:r>
      <w:r w:rsidR="00395466" w:rsidRPr="00720D9E">
        <w:t xml:space="preserve">With the exception of pre-mining in-mine boreholes, all other methane sources must demonstrate that the well is mined through.  </w:t>
      </w:r>
      <w:r w:rsidRPr="00720D9E">
        <w:t>For the purposes of this protocol, a well at an active surface mine is considered mined through when either of the following occurs:</w:t>
      </w:r>
    </w:p>
    <w:p w:rsidR="0061110D" w:rsidRPr="00720D9E" w:rsidRDefault="0061110D" w:rsidP="0061110D">
      <w:pPr>
        <w:pStyle w:val="ListParagraph"/>
        <w:numPr>
          <w:ilvl w:val="1"/>
          <w:numId w:val="33"/>
        </w:numPr>
        <w:ind w:hanging="720"/>
      </w:pPr>
      <w:r w:rsidRPr="00720D9E">
        <w:t xml:space="preserve">The well is physically bisected by surface mining activities, such as excavation of overburden, drilling and blasting, </w:t>
      </w:r>
      <w:r w:rsidR="00BD11A9" w:rsidRPr="00720D9E">
        <w:t xml:space="preserve">and </w:t>
      </w:r>
      <w:r w:rsidRPr="00720D9E">
        <w:t>removal of the coal.</w:t>
      </w:r>
    </w:p>
    <w:p w:rsidR="0061110D" w:rsidRPr="00720D9E" w:rsidRDefault="0061110D" w:rsidP="0061110D">
      <w:pPr>
        <w:pStyle w:val="ListParagraph"/>
        <w:numPr>
          <w:ilvl w:val="1"/>
          <w:numId w:val="33"/>
        </w:numPr>
        <w:ind w:hanging="720"/>
      </w:pPr>
      <w:r w:rsidRPr="00720D9E">
        <w:t>The</w:t>
      </w:r>
      <w:r w:rsidRPr="00720D9E">
        <w:rPr>
          <w:lang w:val="en-GB"/>
        </w:rPr>
        <w:t xml:space="preserve"> well produces elevated amounts of atmospheric gases (the percent concentration of nitrogen in mine gas increases by five compared to baseline levels).  A full gas analysis using a gas chromatograph must be completed by an ISO 17025 accredited lab.  To ensure that elevated nitrogen levels are the result of a well being mined through and not the result of a leak in the well, the gas analysis must show that oxygen levels did not increase by the same proportion as the nitrogen levels.</w:t>
      </w:r>
    </w:p>
    <w:p w:rsidR="000707D8" w:rsidRPr="00720D9E" w:rsidRDefault="0061110D" w:rsidP="00395466">
      <w:pPr>
        <w:pStyle w:val="ListParagraph"/>
        <w:numPr>
          <w:ilvl w:val="0"/>
          <w:numId w:val="33"/>
        </w:numPr>
        <w:ind w:hanging="720"/>
      </w:pPr>
      <w:r w:rsidRPr="00720D9E">
        <w:t xml:space="preserve">If using the first option to </w:t>
      </w:r>
      <w:r w:rsidR="00395466" w:rsidRPr="00720D9E">
        <w:t>demonstrate that</w:t>
      </w:r>
      <w:r w:rsidRPr="00720D9E">
        <w:t xml:space="preserve"> a well is mined through, an up-to-date mine plan must be used to identify which wells were mined through and therefore eligible for baseline quantification in any given reporting period.  </w:t>
      </w:r>
    </w:p>
    <w:p w:rsidR="0061110D" w:rsidRPr="00720D9E" w:rsidRDefault="0061110D" w:rsidP="00395466">
      <w:pPr>
        <w:pStyle w:val="ListParagraph"/>
        <w:numPr>
          <w:ilvl w:val="0"/>
          <w:numId w:val="33"/>
        </w:numPr>
        <w:ind w:hanging="720"/>
      </w:pPr>
      <w:r w:rsidRPr="00720D9E">
        <w:t xml:space="preserve">If the mine plan calls for mining past rather than through a borehole, SMM from that borehole is eligible for quantification in the baseline when the linear distance </w:t>
      </w:r>
      <w:r w:rsidRPr="00720D9E">
        <w:lastRenderedPageBreak/>
        <w:t>between the endpoint of the borehole and the working face that will pass nearest the endpoint of the borehole has reached an absolute minimum.</w:t>
      </w:r>
    </w:p>
    <w:p w:rsidR="00A8210F" w:rsidRPr="00720D9E" w:rsidRDefault="00A8210F" w:rsidP="00A8210F">
      <w:pPr>
        <w:pStyle w:val="ListParagraph"/>
        <w:numPr>
          <w:ilvl w:val="0"/>
          <w:numId w:val="33"/>
        </w:numPr>
        <w:ind w:hanging="720"/>
      </w:pPr>
      <w:r w:rsidRPr="00720D9E">
        <w:t>SMM that is still vented in the project scenario is not accounted for in the project emissions or baseline emissions, since it is vented in both scenarios.</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2</w:t>
      </w:r>
      <w:r w:rsidR="00740F07" w:rsidRPr="00720D9E">
        <w:t>5</w:t>
      </w:r>
      <w:r w:rsidR="00C926F7" w:rsidRPr="00720D9E">
        <w:t>: Baseline Em</w:t>
      </w:r>
      <w:r w:rsidR="00395466" w:rsidRPr="00720D9E">
        <w:t>issions from Release of Methane</w:t>
      </w:r>
    </w:p>
    <w:p w:rsidR="00395466" w:rsidRPr="00720D9E" w:rsidRDefault="00395466" w:rsidP="00395466">
      <w:pPr>
        <w:pBdr>
          <w:top w:val="single" w:sz="4" w:space="1" w:color="auto"/>
          <w:left w:val="single" w:sz="4" w:space="4" w:color="auto"/>
          <w:bottom w:val="single" w:sz="4" w:space="1" w:color="auto"/>
          <w:right w:val="single" w:sz="4" w:space="4" w:color="auto"/>
        </w:pBdr>
        <w:tabs>
          <w:tab w:val="left" w:pos="900"/>
        </w:tabs>
        <w:ind w:left="900" w:hanging="900"/>
      </w:pPr>
      <w:r w:rsidRPr="00720D9E">
        <w:rPr>
          <w:i/>
        </w:rPr>
        <w:t>BE</w:t>
      </w:r>
      <w:r w:rsidRPr="00720D9E">
        <w:rPr>
          <w:i/>
          <w:vertAlign w:val="subscript"/>
        </w:rPr>
        <w:t>MR</w:t>
      </w:r>
      <w:r w:rsidRPr="00720D9E">
        <w:t xml:space="preserve"> = </w:t>
      </w:r>
      <w:r w:rsidRPr="00720D9E">
        <w:rPr>
          <w:i/>
          <w:position w:val="-28"/>
        </w:rPr>
        <w:object w:dxaOrig="480" w:dyaOrig="540">
          <v:shape id="_x0000_i1043" type="#_x0000_t75" style="width:22pt;height:29pt" o:ole="">
            <v:imagedata r:id="rId18" o:title=""/>
          </v:shape>
          <o:OLEObject Type="Embed" ProgID="Equation.3" ShapeID="_x0000_i1043" DrawAspect="Content" ObjectID="_1437988696" r:id="rId39"/>
        </w:object>
      </w:r>
      <w:r w:rsidR="00146CED" w:rsidRPr="00720D9E">
        <w:t xml:space="preserve">[ </w:t>
      </w:r>
      <w:r w:rsidRPr="00720D9E">
        <w:t>(</w:t>
      </w:r>
      <w:r w:rsidRPr="00720D9E">
        <w:rPr>
          <w:i/>
        </w:rPr>
        <w:t>PSW</w:t>
      </w:r>
      <w:r w:rsidRPr="00720D9E">
        <w:rPr>
          <w:i/>
          <w:vertAlign w:val="subscript"/>
        </w:rPr>
        <w:t>P,i</w:t>
      </w:r>
      <w:r w:rsidRPr="00720D9E">
        <w:t xml:space="preserve"> - </w:t>
      </w:r>
      <w:r w:rsidRPr="00720D9E">
        <w:rPr>
          <w:i/>
        </w:rPr>
        <w:t>PSW</w:t>
      </w:r>
      <w:r w:rsidRPr="00720D9E">
        <w:rPr>
          <w:i/>
          <w:vertAlign w:val="subscript"/>
        </w:rPr>
        <w:t>B,i</w:t>
      </w:r>
      <w:r w:rsidRPr="00720D9E">
        <w:t xml:space="preserve">) x </w:t>
      </w:r>
      <w:r w:rsidRPr="00720D9E">
        <w:rPr>
          <w:i/>
          <w:lang w:val="en-GB"/>
        </w:rPr>
        <w:t>C</w:t>
      </w:r>
      <w:r w:rsidRPr="00720D9E">
        <w:rPr>
          <w:i/>
          <w:vertAlign w:val="subscript"/>
          <w:lang w:val="en-GB"/>
        </w:rPr>
        <w:t>CH4</w:t>
      </w:r>
      <w:r w:rsidRPr="00720D9E">
        <w:t xml:space="preserve"> + (</w:t>
      </w:r>
      <w:r w:rsidRPr="00720D9E">
        <w:rPr>
          <w:i/>
        </w:rPr>
        <w:t>PIB</w:t>
      </w:r>
      <w:r w:rsidRPr="00720D9E">
        <w:rPr>
          <w:i/>
          <w:vertAlign w:val="subscript"/>
        </w:rPr>
        <w:t>P,i</w:t>
      </w:r>
      <w:r w:rsidRPr="00720D9E">
        <w:t xml:space="preserve"> - </w:t>
      </w:r>
      <w:r w:rsidRPr="00720D9E">
        <w:rPr>
          <w:i/>
        </w:rPr>
        <w:t>PIB</w:t>
      </w:r>
      <w:r w:rsidRPr="00720D9E">
        <w:rPr>
          <w:i/>
          <w:vertAlign w:val="subscript"/>
        </w:rPr>
        <w:t>B,i</w:t>
      </w:r>
      <w:r w:rsidRPr="00720D9E">
        <w:t xml:space="preserve">) x </w:t>
      </w:r>
      <w:r w:rsidRPr="00720D9E">
        <w:rPr>
          <w:i/>
          <w:lang w:val="en-GB"/>
        </w:rPr>
        <w:t>C</w:t>
      </w:r>
      <w:r w:rsidRPr="00720D9E">
        <w:rPr>
          <w:i/>
          <w:vertAlign w:val="subscript"/>
          <w:lang w:val="en-GB"/>
        </w:rPr>
        <w:t>CH4</w:t>
      </w:r>
      <w:r w:rsidRPr="00720D9E">
        <w:t xml:space="preserve"> + (</w:t>
      </w:r>
      <w:r w:rsidRPr="00720D9E">
        <w:rPr>
          <w:i/>
        </w:rPr>
        <w:t>ECW</w:t>
      </w:r>
      <w:r w:rsidRPr="00720D9E">
        <w:rPr>
          <w:i/>
          <w:vertAlign w:val="subscript"/>
        </w:rPr>
        <w:t>P,i</w:t>
      </w:r>
      <w:r w:rsidRPr="00720D9E">
        <w:t xml:space="preserve"> - </w:t>
      </w:r>
      <w:r w:rsidRPr="00720D9E">
        <w:rPr>
          <w:i/>
        </w:rPr>
        <w:t>ECW</w:t>
      </w:r>
      <w:r w:rsidRPr="00720D9E">
        <w:rPr>
          <w:i/>
          <w:vertAlign w:val="subscript"/>
        </w:rPr>
        <w:t>B,i</w:t>
      </w:r>
      <w:r w:rsidRPr="00720D9E">
        <w:t xml:space="preserve">) x </w:t>
      </w:r>
      <w:r w:rsidRPr="00720D9E">
        <w:rPr>
          <w:i/>
          <w:lang w:val="en-GB"/>
        </w:rPr>
        <w:t>C</w:t>
      </w:r>
      <w:r w:rsidRPr="00720D9E">
        <w:rPr>
          <w:i/>
          <w:vertAlign w:val="subscript"/>
          <w:lang w:val="en-GB"/>
        </w:rPr>
        <w:t xml:space="preserve">CH4 </w:t>
      </w:r>
      <w:r w:rsidRPr="00720D9E">
        <w:rPr>
          <w:lang w:val="en-GB"/>
        </w:rPr>
        <w:t xml:space="preserve">+ </w:t>
      </w:r>
      <w:r w:rsidRPr="00720D9E">
        <w:t>(</w:t>
      </w:r>
      <w:r w:rsidRPr="00720D9E">
        <w:rPr>
          <w:i/>
        </w:rPr>
        <w:t>AWR</w:t>
      </w:r>
      <w:r w:rsidRPr="00720D9E">
        <w:rPr>
          <w:i/>
          <w:vertAlign w:val="subscript"/>
        </w:rPr>
        <w:t>P,i</w:t>
      </w:r>
      <w:r w:rsidRPr="00720D9E">
        <w:t xml:space="preserve"> - </w:t>
      </w:r>
      <w:r w:rsidRPr="00720D9E">
        <w:rPr>
          <w:i/>
        </w:rPr>
        <w:t>AWR</w:t>
      </w:r>
      <w:r w:rsidRPr="00720D9E">
        <w:rPr>
          <w:i/>
          <w:vertAlign w:val="subscript"/>
        </w:rPr>
        <w:t>B,i</w:t>
      </w:r>
      <w:r w:rsidRPr="00720D9E">
        <w:t xml:space="preserve">) x </w:t>
      </w:r>
      <w:r w:rsidRPr="00720D9E">
        <w:rPr>
          <w:i/>
          <w:lang w:val="en-GB"/>
        </w:rPr>
        <w:t>C</w:t>
      </w:r>
      <w:r w:rsidRPr="00720D9E">
        <w:rPr>
          <w:i/>
          <w:vertAlign w:val="subscript"/>
          <w:lang w:val="en-GB"/>
        </w:rPr>
        <w:t>CH4</w:t>
      </w:r>
      <w:r w:rsidRPr="00720D9E">
        <w:t xml:space="preserve"> + (</w:t>
      </w:r>
      <w:r w:rsidRPr="00720D9E">
        <w:rPr>
          <w:i/>
        </w:rPr>
        <w:t>CDW</w:t>
      </w:r>
      <w:r w:rsidRPr="00720D9E">
        <w:rPr>
          <w:i/>
          <w:vertAlign w:val="subscript"/>
        </w:rPr>
        <w:t>P,i</w:t>
      </w:r>
      <w:r w:rsidRPr="00720D9E">
        <w:t xml:space="preserve"> - </w:t>
      </w:r>
      <w:r w:rsidRPr="00720D9E">
        <w:rPr>
          <w:i/>
        </w:rPr>
        <w:t>CDW</w:t>
      </w:r>
      <w:r w:rsidRPr="00720D9E">
        <w:rPr>
          <w:i/>
          <w:vertAlign w:val="subscript"/>
        </w:rPr>
        <w:t>B,i</w:t>
      </w:r>
      <w:r w:rsidRPr="00720D9E">
        <w:t xml:space="preserve">) x </w:t>
      </w:r>
      <w:r w:rsidRPr="00720D9E">
        <w:rPr>
          <w:i/>
          <w:lang w:val="en-GB"/>
        </w:rPr>
        <w:t>C</w:t>
      </w:r>
      <w:r w:rsidRPr="00720D9E">
        <w:rPr>
          <w:i/>
          <w:vertAlign w:val="subscript"/>
          <w:lang w:val="en-GB"/>
        </w:rPr>
        <w:t xml:space="preserve">CH4 </w:t>
      </w:r>
      <w:r w:rsidRPr="00720D9E">
        <w:t>] x 0.0423 x 0.000454</w:t>
      </w:r>
      <w:r w:rsidRPr="00720D9E">
        <w:rPr>
          <w:i/>
          <w:vertAlign w:val="subscript"/>
        </w:rPr>
        <w:t xml:space="preserve"> </w:t>
      </w:r>
      <w:r w:rsidRPr="00720D9E">
        <w:t>x</w:t>
      </w:r>
      <w:r w:rsidRPr="00720D9E">
        <w:rPr>
          <w:i/>
        </w:rPr>
        <w:t xml:space="preserve"> GWP</w:t>
      </w:r>
      <w:r w:rsidRPr="00720D9E">
        <w:rPr>
          <w:i/>
          <w:vertAlign w:val="subscript"/>
        </w:rPr>
        <w:t>CH4</w:t>
      </w:r>
      <w:r w:rsidRPr="00720D9E">
        <w:rPr>
          <w:i/>
        </w:rPr>
        <w:t xml:space="preserv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810"/>
        </w:tabs>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rPr>
          <w:i/>
          <w:vertAlign w:val="subscript"/>
        </w:rPr>
        <w:t>MR</w:t>
      </w:r>
      <w:r w:rsidRPr="00720D9E">
        <w:tab/>
        <w:t>=</w:t>
      </w:r>
      <w:r w:rsidRPr="00720D9E">
        <w:tab/>
        <w:t>Baseline emissions from release of methane into the atmosphere avoided by the project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r>
      <w:r w:rsidR="0058626D" w:rsidRPr="00720D9E">
        <w:t>Use of methane (flaring, power generation, heat generation,</w:t>
      </w:r>
      <w:r w:rsidR="000D6176" w:rsidRPr="00720D9E">
        <w:t xml:space="preserve"> production of transportation fuel,</w:t>
      </w:r>
      <w:r w:rsidR="0058626D" w:rsidRPr="00720D9E">
        <w:t xml:space="preserve"> injection into natural gas pipeline, etc.) by all qualifying and non-qualifying devices</w:t>
      </w:r>
    </w:p>
    <w:p w:rsidR="000707D8" w:rsidRPr="00720D9E" w:rsidRDefault="000707D8" w:rsidP="000707D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Pr="00720D9E">
        <w:rPr>
          <w:i/>
          <w:vertAlign w:val="subscript"/>
        </w:rPr>
        <w:t>P,i</w:t>
      </w:r>
      <w:r w:rsidRPr="00720D9E">
        <w:tab/>
        <w:t>=</w:t>
      </w:r>
      <w:r w:rsidRPr="00720D9E">
        <w:tab/>
        <w:t xml:space="preserve">Volume of MG from pre-mining surface wells </w:t>
      </w:r>
      <w:r w:rsidR="00740F07" w:rsidRPr="00720D9E">
        <w:t xml:space="preserve">sent to </w:t>
      </w:r>
      <w:r w:rsidRPr="00720D9E">
        <w:t>qualifying and non-qualifying devices</w:t>
      </w:r>
      <w:r w:rsidR="00740F07" w:rsidRPr="00720D9E">
        <w:t xml:space="preserve"> for destruction</w:t>
      </w:r>
      <w:r w:rsidRPr="00720D9E">
        <w:t xml:space="preserve"> through use i during the reporting period.  For qualifying devices, only the eligible amount per </w:t>
      </w:r>
      <w:r w:rsidR="004842C4" w:rsidRPr="00720D9E">
        <w:t>Equation 5.</w:t>
      </w:r>
      <w:r w:rsidRPr="00720D9E">
        <w:t>2</w:t>
      </w:r>
      <w:r w:rsidR="00740F07" w:rsidRPr="00720D9E">
        <w:t>6</w:t>
      </w:r>
      <w:r w:rsidRPr="00720D9E">
        <w:t xml:space="preserve"> in accordance with sections </w:t>
      </w:r>
      <w:r w:rsidR="00F53DCB" w:rsidRPr="00720D9E">
        <w:t>5.3</w:t>
      </w:r>
      <w:r w:rsidRPr="00720D9E">
        <w:t>.1(</w:t>
      </w:r>
      <w:r w:rsidR="00F77CCE" w:rsidRPr="00720D9E">
        <w:t>k</w:t>
      </w:r>
      <w:r w:rsidRPr="00720D9E">
        <w:t>)</w:t>
      </w:r>
      <w:r w:rsidR="00F77CCE" w:rsidRPr="00720D9E">
        <w:t>, (l),</w:t>
      </w:r>
      <w:r w:rsidRPr="00720D9E">
        <w:t xml:space="preserve"> and (</w:t>
      </w:r>
      <w:r w:rsidR="00F77CCE" w:rsidRPr="00720D9E">
        <w:t>m</w:t>
      </w:r>
      <w:r w:rsidRPr="00720D9E">
        <w:t>) must be quantified (scf)</w:t>
      </w:r>
    </w:p>
    <w:p w:rsidR="000707D8" w:rsidRPr="00720D9E" w:rsidRDefault="000707D8" w:rsidP="000707D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Pr="00720D9E">
        <w:rPr>
          <w:i/>
          <w:vertAlign w:val="subscript"/>
        </w:rPr>
        <w:t>B,i</w:t>
      </w:r>
      <w:r w:rsidRPr="00720D9E">
        <w:tab/>
        <w:t>=</w:t>
      </w:r>
      <w:r w:rsidRPr="00720D9E">
        <w:tab/>
        <w:t xml:space="preserve">Volume of MG from pre-mining surface wells that would have been </w:t>
      </w:r>
      <w:r w:rsidR="00740F07" w:rsidRPr="00720D9E">
        <w:t>sent to non-qualifying devices for destruction through</w:t>
      </w:r>
      <w:r w:rsidRPr="00720D9E">
        <w:t xml:space="preserve"> use i during the reporting period in the baseline scenario (scf)</w:t>
      </w:r>
    </w:p>
    <w:p w:rsidR="000707D8" w:rsidRPr="00720D9E" w:rsidRDefault="000707D8" w:rsidP="000707D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Pr="00720D9E">
        <w:rPr>
          <w:i/>
          <w:vertAlign w:val="subscript"/>
        </w:rPr>
        <w:t>P,i</w:t>
      </w:r>
      <w:r w:rsidRPr="00720D9E">
        <w:tab/>
        <w:t>=</w:t>
      </w:r>
      <w:r w:rsidRPr="00720D9E">
        <w:tab/>
        <w:t xml:space="preserve">Volume of MG from pre-mining in-mine boreholes </w:t>
      </w:r>
      <w:r w:rsidR="00740F07" w:rsidRPr="00720D9E">
        <w:t>sent to</w:t>
      </w:r>
      <w:r w:rsidRPr="00720D9E">
        <w:t xml:space="preserve"> qualifying and non-qualifying devices</w:t>
      </w:r>
      <w:r w:rsidR="00740F07" w:rsidRPr="00720D9E">
        <w:t xml:space="preserve"> for destruction</w:t>
      </w:r>
      <w:r w:rsidRPr="00720D9E">
        <w:t xml:space="preserve"> through use i during the reporting period (scf)</w:t>
      </w:r>
    </w:p>
    <w:p w:rsidR="000707D8" w:rsidRPr="00720D9E" w:rsidRDefault="000707D8" w:rsidP="000707D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Pr="00720D9E">
        <w:rPr>
          <w:i/>
          <w:vertAlign w:val="subscript"/>
        </w:rPr>
        <w:t>B,i</w:t>
      </w:r>
      <w:r w:rsidRPr="00720D9E">
        <w:tab/>
        <w:t>=</w:t>
      </w:r>
      <w:r w:rsidRPr="00720D9E">
        <w:tab/>
        <w:t xml:space="preserve">Volume of MG from pre-mining surface wells that would have been </w:t>
      </w:r>
      <w:r w:rsidR="00740F07" w:rsidRPr="00720D9E">
        <w:t>sent to non-qualifying devices for destruction through</w:t>
      </w:r>
      <w:r w:rsidRPr="00720D9E">
        <w:t xml:space="preserve"> use i during the reporting period in the baseline scenario (scf)</w:t>
      </w:r>
    </w:p>
    <w:p w:rsidR="000707D8" w:rsidRPr="00720D9E" w:rsidRDefault="000707D8" w:rsidP="000707D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ECW</w:t>
      </w:r>
      <w:r w:rsidRPr="00720D9E">
        <w:rPr>
          <w:i/>
          <w:vertAlign w:val="subscript"/>
        </w:rPr>
        <w:t>P,i</w:t>
      </w:r>
      <w:r w:rsidRPr="00720D9E">
        <w:tab/>
        <w:t>=</w:t>
      </w:r>
      <w:r w:rsidRPr="00720D9E">
        <w:tab/>
      </w:r>
      <w:r w:rsidR="00053B9D" w:rsidRPr="00720D9E">
        <w:t xml:space="preserve">Volume of MG from existing coal bed methane wells that would otherwise be shut-in and abandoned as a result of encroaching mining </w:t>
      </w:r>
      <w:r w:rsidR="00740F07" w:rsidRPr="00720D9E">
        <w:t>sent to</w:t>
      </w:r>
      <w:r w:rsidRPr="00720D9E">
        <w:t xml:space="preserve"> qualifying and non-qualifying devices </w:t>
      </w:r>
      <w:r w:rsidR="00740F07" w:rsidRPr="00720D9E">
        <w:t xml:space="preserve">for destruction </w:t>
      </w:r>
      <w:r w:rsidRPr="00720D9E">
        <w:t xml:space="preserve">through use i during the reporting period.  For qualifying devices, only the eligible amount per </w:t>
      </w:r>
      <w:r w:rsidR="004842C4" w:rsidRPr="00720D9E">
        <w:t>Equation 5.</w:t>
      </w:r>
      <w:r w:rsidRPr="00720D9E">
        <w:t>2</w:t>
      </w:r>
      <w:r w:rsidR="00C964F9" w:rsidRPr="00720D9E">
        <w:t>7</w:t>
      </w:r>
      <w:r w:rsidRPr="00720D9E">
        <w:t xml:space="preserve"> in accordance with </w:t>
      </w:r>
      <w:r w:rsidR="00F53DCB" w:rsidRPr="00720D9E">
        <w:t>sections 5.3</w:t>
      </w:r>
      <w:r w:rsidR="00F77CCE" w:rsidRPr="00720D9E">
        <w:t xml:space="preserve">.1(k), (l), and (m) </w:t>
      </w:r>
      <w:r w:rsidRPr="00720D9E">
        <w:t>must be quantified (scf)</w:t>
      </w:r>
    </w:p>
    <w:p w:rsidR="000707D8" w:rsidRPr="00720D9E" w:rsidRDefault="000707D8" w:rsidP="000707D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ECW</w:t>
      </w:r>
      <w:r w:rsidRPr="00720D9E">
        <w:rPr>
          <w:i/>
          <w:vertAlign w:val="subscript"/>
        </w:rPr>
        <w:t>B,i</w:t>
      </w:r>
      <w:r w:rsidRPr="00720D9E">
        <w:tab/>
        <w:t>=</w:t>
      </w:r>
      <w:r w:rsidRPr="00720D9E">
        <w:tab/>
      </w:r>
      <w:r w:rsidR="00053B9D" w:rsidRPr="00720D9E">
        <w:t xml:space="preserve">Volume of MG from existing coal bed methane wells that would otherwise be shut-in and abandoned as a result of encroaching mining </w:t>
      </w:r>
      <w:r w:rsidR="00053B9D" w:rsidRPr="00720D9E">
        <w:lastRenderedPageBreak/>
        <w:t xml:space="preserve">that would have been </w:t>
      </w:r>
      <w:r w:rsidR="00740F07" w:rsidRPr="00720D9E">
        <w:t>sent to non-qualifying devices for destruction through</w:t>
      </w:r>
      <w:r w:rsidR="00053B9D" w:rsidRPr="00720D9E">
        <w:t xml:space="preserve"> use i during the reporting period in the baseline scenario (scf)</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AWR</w:t>
      </w:r>
      <w:r w:rsidRPr="00720D9E">
        <w:rPr>
          <w:i/>
          <w:vertAlign w:val="subscript"/>
        </w:rPr>
        <w:t>P,i</w:t>
      </w:r>
      <w:r w:rsidRPr="00720D9E">
        <w:tab/>
        <w:t>=</w:t>
      </w:r>
      <w:r w:rsidRPr="00720D9E">
        <w:tab/>
        <w:t xml:space="preserve">Volume of MG from abandoned wells that are reactivated </w:t>
      </w:r>
      <w:r w:rsidR="00740F07" w:rsidRPr="00720D9E">
        <w:t>sent to</w:t>
      </w:r>
      <w:r w:rsidRPr="00720D9E">
        <w:t xml:space="preserve"> qualifying and non-qualifying devices</w:t>
      </w:r>
      <w:r w:rsidR="00740F07" w:rsidRPr="00720D9E">
        <w:t xml:space="preserve"> for destruction</w:t>
      </w:r>
      <w:r w:rsidRPr="00720D9E">
        <w:t xml:space="preserve"> through use i during the reporting period.  For qualifying devices, only the eligible amount per </w:t>
      </w:r>
      <w:r w:rsidR="004842C4" w:rsidRPr="00720D9E">
        <w:t>Equation 5.</w:t>
      </w:r>
      <w:r w:rsidRPr="00720D9E">
        <w:t>2</w:t>
      </w:r>
      <w:r w:rsidR="00C964F9" w:rsidRPr="00720D9E">
        <w:t>8</w:t>
      </w:r>
      <w:r w:rsidRPr="00720D9E">
        <w:t xml:space="preserve"> in accordance with </w:t>
      </w:r>
      <w:r w:rsidR="00F77CCE" w:rsidRPr="00720D9E">
        <w:t xml:space="preserve">sections </w:t>
      </w:r>
      <w:r w:rsidR="00F53DCB" w:rsidRPr="00720D9E">
        <w:t>5.3</w:t>
      </w:r>
      <w:r w:rsidR="00F77CCE" w:rsidRPr="00720D9E">
        <w:t xml:space="preserve">.1(k), (l), and (m) </w:t>
      </w:r>
      <w:r w:rsidRPr="00720D9E">
        <w:t>must be quantified (scf)</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AWR</w:t>
      </w:r>
      <w:r w:rsidRPr="00720D9E">
        <w:rPr>
          <w:i/>
          <w:vertAlign w:val="subscript"/>
        </w:rPr>
        <w:t>B,i</w:t>
      </w:r>
      <w:r w:rsidRPr="00720D9E">
        <w:tab/>
        <w:t>=</w:t>
      </w:r>
      <w:r w:rsidRPr="00720D9E">
        <w:tab/>
        <w:t xml:space="preserve">Volume of MG from abandoned wells that are reactivated that would have been </w:t>
      </w:r>
      <w:r w:rsidR="00C964F9" w:rsidRPr="00720D9E">
        <w:t>sent to non-qualifying devices for destruction through</w:t>
      </w:r>
      <w:r w:rsidRPr="00720D9E">
        <w:t xml:space="preserve"> use i during the reporting period in the baseline scenario (scf)</w:t>
      </w:r>
    </w:p>
    <w:p w:rsidR="00347978" w:rsidRPr="00720D9E" w:rsidRDefault="00347978"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CDW</w:t>
      </w:r>
      <w:r w:rsidRPr="00720D9E">
        <w:rPr>
          <w:i/>
          <w:vertAlign w:val="subscript"/>
        </w:rPr>
        <w:t>P,i</w:t>
      </w:r>
      <w:r w:rsidRPr="00720D9E">
        <w:rPr>
          <w:i/>
          <w:vertAlign w:val="subscript"/>
        </w:rPr>
        <w:tab/>
      </w:r>
      <w:r w:rsidRPr="00720D9E">
        <w:t>=</w:t>
      </w:r>
      <w:r w:rsidRPr="00720D9E">
        <w:tab/>
        <w:t xml:space="preserve">Volume of MG from converted dewatering wells </w:t>
      </w:r>
      <w:r w:rsidR="00C964F9" w:rsidRPr="00720D9E">
        <w:t>sent to</w:t>
      </w:r>
      <w:r w:rsidRPr="00720D9E">
        <w:t xml:space="preserve"> qualifying and non-qualifying devices </w:t>
      </w:r>
      <w:r w:rsidR="00C964F9" w:rsidRPr="00720D9E">
        <w:t xml:space="preserve">for destruction </w:t>
      </w:r>
      <w:r w:rsidRPr="00720D9E">
        <w:t xml:space="preserve">through use i during the reporting period.  For qualifying devices, only the eligible amount per </w:t>
      </w:r>
      <w:r w:rsidR="004842C4" w:rsidRPr="00720D9E">
        <w:t>Equation 5.</w:t>
      </w:r>
      <w:r w:rsidRPr="00720D9E">
        <w:t>2</w:t>
      </w:r>
      <w:r w:rsidR="00C964F9" w:rsidRPr="00720D9E">
        <w:t>9</w:t>
      </w:r>
      <w:r w:rsidRPr="00720D9E">
        <w:t xml:space="preserve"> in accordance with </w:t>
      </w:r>
      <w:r w:rsidR="00F77CCE" w:rsidRPr="00720D9E">
        <w:t xml:space="preserve">sections </w:t>
      </w:r>
      <w:r w:rsidR="00F53DCB" w:rsidRPr="00720D9E">
        <w:t>5.3</w:t>
      </w:r>
      <w:r w:rsidR="00F77CCE" w:rsidRPr="00720D9E">
        <w:t xml:space="preserve">.1(k), (l), and (m) </w:t>
      </w:r>
      <w:r w:rsidRPr="00720D9E">
        <w:t>must be quantified (scf)</w:t>
      </w:r>
    </w:p>
    <w:p w:rsidR="00347978" w:rsidRPr="00720D9E" w:rsidRDefault="00347978"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CDW</w:t>
      </w:r>
      <w:r w:rsidRPr="00720D9E">
        <w:rPr>
          <w:i/>
          <w:vertAlign w:val="subscript"/>
        </w:rPr>
        <w:t>B,i</w:t>
      </w:r>
      <w:r w:rsidRPr="00720D9E">
        <w:rPr>
          <w:i/>
          <w:vertAlign w:val="subscript"/>
        </w:rPr>
        <w:tab/>
      </w:r>
      <w:r w:rsidRPr="00720D9E">
        <w:t>=</w:t>
      </w:r>
      <w:r w:rsidRPr="00720D9E">
        <w:tab/>
        <w:t xml:space="preserve">Volume of MG from converted dewatering wells that would have been </w:t>
      </w:r>
      <w:r w:rsidR="00C964F9" w:rsidRPr="00720D9E">
        <w:t>sent to non-qualifying devices for destruction through</w:t>
      </w:r>
      <w:r w:rsidRPr="00720D9E">
        <w:t xml:space="preserve"> use i during the reporting period in the baseline scenario (scf)</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 xml:space="preserve">/scf) </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GWP</w:t>
      </w:r>
      <w:r w:rsidRPr="00720D9E">
        <w:rPr>
          <w:i/>
          <w:vertAlign w:val="subscript"/>
        </w:rPr>
        <w:t>CH4</w:t>
      </w:r>
      <w:r w:rsidRPr="00720D9E">
        <w:rPr>
          <w:i/>
        </w:rPr>
        <w:tab/>
      </w:r>
      <w:r w:rsidRPr="00720D9E">
        <w:t>=</w:t>
      </w:r>
      <w:r w:rsidRPr="00720D9E">
        <w:tab/>
        <w:t>Global warming potential of methane (tCO</w:t>
      </w:r>
      <w:r w:rsidRPr="00720D9E">
        <w:rPr>
          <w:vertAlign w:val="subscript"/>
        </w:rPr>
        <w:t>2</w:t>
      </w:r>
      <w:r w:rsidRPr="00720D9E">
        <w:t>e/tCH</w:t>
      </w:r>
      <w:r w:rsidRPr="00720D9E">
        <w:rPr>
          <w:vertAlign w:val="subscript"/>
        </w:rPr>
        <w:t>4</w:t>
      </w:r>
      <w:r w:rsidRPr="00720D9E">
        <w:t>)</w:t>
      </w:r>
    </w:p>
    <w:p w:rsidR="00395466" w:rsidRPr="00720D9E" w:rsidRDefault="00395466" w:rsidP="0039546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p>
    <w:p w:rsidR="00395466" w:rsidRPr="00720D9E" w:rsidRDefault="00395466" w:rsidP="0039546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 xml:space="preserve">With, </w:t>
      </w:r>
    </w:p>
    <w:p w:rsidR="00395466" w:rsidRPr="00720D9E" w:rsidRDefault="00395466" w:rsidP="0039546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vertAlign w:val="subscript"/>
        </w:rPr>
      </w:pPr>
      <w:r w:rsidRPr="00720D9E">
        <w:rPr>
          <w:i/>
        </w:rPr>
        <w:t>PSW</w:t>
      </w:r>
      <w:r w:rsidRPr="00720D9E">
        <w:rPr>
          <w:i/>
          <w:vertAlign w:val="subscript"/>
        </w:rPr>
        <w:t>P,i</w:t>
      </w:r>
      <w:r w:rsidRPr="00720D9E">
        <w:t xml:space="preserve"> = </w:t>
      </w:r>
      <w:r w:rsidRPr="00720D9E">
        <w:rPr>
          <w:i/>
        </w:rPr>
        <w:t>PSWe</w:t>
      </w:r>
      <w:r w:rsidRPr="00720D9E">
        <w:rPr>
          <w:i/>
          <w:vertAlign w:val="subscript"/>
        </w:rPr>
        <w:t>i</w:t>
      </w:r>
      <w:r w:rsidRPr="00720D9E">
        <w:t xml:space="preserve"> + </w:t>
      </w:r>
      <w:r w:rsidRPr="00720D9E">
        <w:rPr>
          <w:i/>
        </w:rPr>
        <w:t>PSWnqd</w:t>
      </w:r>
      <w:r w:rsidRPr="00720D9E">
        <w:rPr>
          <w:i/>
          <w:vertAlign w:val="subscript"/>
        </w:rPr>
        <w:t>i</w:t>
      </w:r>
    </w:p>
    <w:p w:rsidR="00395466" w:rsidRPr="00720D9E" w:rsidRDefault="00395466" w:rsidP="0039546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rPr>
          <w:i/>
        </w:rPr>
        <w:t>Where,</w:t>
      </w:r>
    </w:p>
    <w:p w:rsidR="00395466" w:rsidRPr="00720D9E" w:rsidRDefault="00395466" w:rsidP="00395466">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PSWe</w:t>
      </w:r>
      <w:r w:rsidRPr="00720D9E">
        <w:rPr>
          <w:i/>
          <w:vertAlign w:val="subscript"/>
        </w:rPr>
        <w:t>i</w:t>
      </w:r>
      <w:r w:rsidRPr="00720D9E">
        <w:tab/>
        <w:t>=</w:t>
      </w:r>
      <w:r w:rsidRPr="00720D9E">
        <w:tab/>
        <w:t xml:space="preserve">Volume of MG from pre-mining surface wells </w:t>
      </w:r>
      <w:r w:rsidR="00C964F9" w:rsidRPr="00720D9E">
        <w:t>sent to</w:t>
      </w:r>
      <w:r w:rsidRPr="00720D9E">
        <w:t xml:space="preserve"> qualifying devices </w:t>
      </w:r>
      <w:r w:rsidR="00C964F9" w:rsidRPr="00720D9E">
        <w:t xml:space="preserve">for destruction </w:t>
      </w:r>
      <w:r w:rsidRPr="00720D9E">
        <w:t xml:space="preserve">through use i that is eligible for quantification  in the reporting period. Quantified using </w:t>
      </w:r>
      <w:r w:rsidR="004842C4" w:rsidRPr="00720D9E">
        <w:t>Equation 5.</w:t>
      </w:r>
      <w:r w:rsidR="00053B9D" w:rsidRPr="00720D9E">
        <w:t>2</w:t>
      </w:r>
      <w:r w:rsidR="00C964F9" w:rsidRPr="00720D9E">
        <w:t>6</w:t>
      </w:r>
      <w:r w:rsidRPr="00720D9E">
        <w:t>. (scf)</w:t>
      </w:r>
    </w:p>
    <w:p w:rsidR="00395466" w:rsidRPr="00720D9E" w:rsidRDefault="00395466" w:rsidP="00395466">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PSWnqd</w:t>
      </w:r>
      <w:r w:rsidRPr="00720D9E">
        <w:rPr>
          <w:i/>
          <w:vertAlign w:val="subscript"/>
        </w:rPr>
        <w:t>i</w:t>
      </w:r>
      <w:r w:rsidRPr="00720D9E">
        <w:rPr>
          <w:i/>
          <w:vertAlign w:val="subscript"/>
        </w:rPr>
        <w:tab/>
      </w:r>
      <w:r w:rsidRPr="00720D9E">
        <w:t>=</w:t>
      </w:r>
      <w:r w:rsidRPr="00720D9E">
        <w:tab/>
        <w:t xml:space="preserve">Volume of MG from pre-mining surface wells </w:t>
      </w:r>
      <w:r w:rsidR="00C964F9" w:rsidRPr="00720D9E">
        <w:t>sent to</w:t>
      </w:r>
      <w:r w:rsidRPr="00720D9E">
        <w:t xml:space="preserve"> non-qualifying devices </w:t>
      </w:r>
      <w:r w:rsidR="00C964F9" w:rsidRPr="00720D9E">
        <w:t xml:space="preserve">for destruction </w:t>
      </w:r>
      <w:r w:rsidRPr="00720D9E">
        <w:t>through use i during the reporting period (scf)</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 xml:space="preserve">And, </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vertAlign w:val="subscript"/>
        </w:rPr>
      </w:pPr>
      <w:r w:rsidRPr="00720D9E">
        <w:rPr>
          <w:i/>
        </w:rPr>
        <w:t>ECW</w:t>
      </w:r>
      <w:r w:rsidRPr="00720D9E">
        <w:rPr>
          <w:i/>
          <w:vertAlign w:val="subscript"/>
        </w:rPr>
        <w:t>P,i</w:t>
      </w:r>
      <w:r w:rsidRPr="00720D9E">
        <w:t xml:space="preserve"> = </w:t>
      </w:r>
      <w:r w:rsidRPr="00720D9E">
        <w:rPr>
          <w:i/>
        </w:rPr>
        <w:t>ECWe</w:t>
      </w:r>
      <w:r w:rsidRPr="00720D9E">
        <w:rPr>
          <w:i/>
          <w:vertAlign w:val="subscript"/>
        </w:rPr>
        <w:t>i</w:t>
      </w:r>
      <w:r w:rsidRPr="00720D9E">
        <w:t xml:space="preserve"> + </w:t>
      </w:r>
      <w:r w:rsidRPr="00720D9E">
        <w:rPr>
          <w:i/>
        </w:rPr>
        <w:t>ECWnqd</w:t>
      </w:r>
      <w:r w:rsidRPr="00720D9E">
        <w:rPr>
          <w:i/>
          <w:vertAlign w:val="subscript"/>
        </w:rPr>
        <w:t>i</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rPr>
          <w:i/>
        </w:rPr>
        <w:t>Where,</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lastRenderedPageBreak/>
        <w:t>ECWe</w:t>
      </w:r>
      <w:r w:rsidRPr="00720D9E">
        <w:rPr>
          <w:i/>
          <w:vertAlign w:val="subscript"/>
        </w:rPr>
        <w:t>i</w:t>
      </w:r>
      <w:r w:rsidRPr="00720D9E">
        <w:tab/>
        <w:t>=</w:t>
      </w:r>
      <w:r w:rsidRPr="00720D9E">
        <w:tab/>
        <w:t xml:space="preserve">Volume of MG from existing coal bed methane wells that would otherwise be shut-in and abandoned as a result of encroaching mining </w:t>
      </w:r>
      <w:r w:rsidR="00C964F9" w:rsidRPr="00720D9E">
        <w:t>sent to</w:t>
      </w:r>
      <w:r w:rsidRPr="00720D9E">
        <w:t xml:space="preserve"> qualifying devices </w:t>
      </w:r>
      <w:r w:rsidR="00C964F9" w:rsidRPr="00720D9E">
        <w:t xml:space="preserve">for destruction </w:t>
      </w:r>
      <w:r w:rsidRPr="00720D9E">
        <w:t xml:space="preserve">through use i that is eligible for quantification  in the reporting period. Quantified using </w:t>
      </w:r>
      <w:r w:rsidR="004842C4" w:rsidRPr="00720D9E">
        <w:t>Equation 5.</w:t>
      </w:r>
      <w:r w:rsidRPr="00720D9E">
        <w:t>2</w:t>
      </w:r>
      <w:r w:rsidR="00C964F9" w:rsidRPr="00720D9E">
        <w:t>7</w:t>
      </w:r>
      <w:r w:rsidRPr="00720D9E">
        <w:t>. (scf)</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ECWnqd</w:t>
      </w:r>
      <w:r w:rsidRPr="00720D9E">
        <w:rPr>
          <w:i/>
          <w:vertAlign w:val="subscript"/>
        </w:rPr>
        <w:t>i</w:t>
      </w:r>
      <w:r w:rsidRPr="00720D9E">
        <w:rPr>
          <w:i/>
          <w:vertAlign w:val="subscript"/>
        </w:rPr>
        <w:tab/>
      </w:r>
      <w:r w:rsidRPr="00720D9E">
        <w:t>=</w:t>
      </w:r>
      <w:r w:rsidRPr="00720D9E">
        <w:tab/>
        <w:t xml:space="preserve">Volume of MG from existing coal bed methane wells that would otherwise be shut-in and abandoned as a result of encroaching mining </w:t>
      </w:r>
      <w:r w:rsidR="00C964F9" w:rsidRPr="00720D9E">
        <w:t>sent to</w:t>
      </w:r>
      <w:r w:rsidRPr="00720D9E">
        <w:t xml:space="preserve"> non-qualifying devices</w:t>
      </w:r>
      <w:r w:rsidR="00F34C2E" w:rsidRPr="00720D9E">
        <w:t xml:space="preserve"> for destruction</w:t>
      </w:r>
      <w:r w:rsidRPr="00720D9E">
        <w:t xml:space="preserve"> through use i during the reporting period (scf)</w:t>
      </w:r>
    </w:p>
    <w:p w:rsidR="00395466" w:rsidRPr="00720D9E" w:rsidRDefault="00395466" w:rsidP="00DA7C36">
      <w:pPr>
        <w:pBdr>
          <w:top w:val="single" w:sz="4" w:space="1" w:color="auto"/>
          <w:left w:val="single" w:sz="4" w:space="4" w:color="auto"/>
          <w:bottom w:val="single" w:sz="4" w:space="1" w:color="auto"/>
          <w:right w:val="single" w:sz="4" w:space="4" w:color="auto"/>
        </w:pBdr>
        <w:tabs>
          <w:tab w:val="left" w:pos="1440"/>
        </w:tabs>
        <w:ind w:left="1800" w:hanging="1800"/>
      </w:pP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 xml:space="preserve">And, </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vertAlign w:val="subscript"/>
        </w:rPr>
      </w:pPr>
      <w:r w:rsidRPr="00720D9E">
        <w:rPr>
          <w:i/>
        </w:rPr>
        <w:t>AWR</w:t>
      </w:r>
      <w:r w:rsidRPr="00720D9E">
        <w:rPr>
          <w:i/>
          <w:vertAlign w:val="subscript"/>
        </w:rPr>
        <w:t>P,i</w:t>
      </w:r>
      <w:r w:rsidRPr="00720D9E">
        <w:t xml:space="preserve"> = </w:t>
      </w:r>
      <w:r w:rsidRPr="00720D9E">
        <w:rPr>
          <w:i/>
        </w:rPr>
        <w:t>AWRe</w:t>
      </w:r>
      <w:r w:rsidRPr="00720D9E">
        <w:rPr>
          <w:i/>
          <w:vertAlign w:val="subscript"/>
        </w:rPr>
        <w:t>i</w:t>
      </w:r>
      <w:r w:rsidRPr="00720D9E">
        <w:t xml:space="preserve"> + </w:t>
      </w:r>
      <w:r w:rsidRPr="00720D9E">
        <w:rPr>
          <w:i/>
        </w:rPr>
        <w:t>AWRnqd</w:t>
      </w:r>
      <w:r w:rsidRPr="00720D9E">
        <w:rPr>
          <w:i/>
          <w:vertAlign w:val="subscript"/>
        </w:rPr>
        <w:t>i</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rPr>
          <w:i/>
        </w:rPr>
        <w:t>Where,</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AWRe</w:t>
      </w:r>
      <w:r w:rsidRPr="00720D9E">
        <w:rPr>
          <w:i/>
          <w:vertAlign w:val="subscript"/>
        </w:rPr>
        <w:t>i</w:t>
      </w:r>
      <w:r w:rsidRPr="00720D9E">
        <w:tab/>
        <w:t>=</w:t>
      </w:r>
      <w:r w:rsidRPr="00720D9E">
        <w:tab/>
        <w:t xml:space="preserve">Volume of MG from abandoned wells that are reactivated </w:t>
      </w:r>
      <w:r w:rsidR="00F34C2E" w:rsidRPr="00720D9E">
        <w:t>sent to</w:t>
      </w:r>
      <w:r w:rsidRPr="00720D9E">
        <w:t xml:space="preserve"> qualifying devices</w:t>
      </w:r>
      <w:r w:rsidR="00F34C2E" w:rsidRPr="00720D9E">
        <w:t xml:space="preserve"> for destruction</w:t>
      </w:r>
      <w:r w:rsidRPr="00720D9E">
        <w:t xml:space="preserve"> through use i that is eligible for quantification  in the reporting period. Quantified using </w:t>
      </w:r>
      <w:r w:rsidR="004842C4" w:rsidRPr="00720D9E">
        <w:t>Equation 5.</w:t>
      </w:r>
      <w:r w:rsidRPr="00720D9E">
        <w:t>2</w:t>
      </w:r>
      <w:r w:rsidR="00F34C2E" w:rsidRPr="00720D9E">
        <w:t>8</w:t>
      </w:r>
      <w:r w:rsidRPr="00720D9E">
        <w:t>. (scf)</w:t>
      </w:r>
    </w:p>
    <w:p w:rsidR="00053B9D" w:rsidRPr="00720D9E" w:rsidRDefault="00053B9D" w:rsidP="00053B9D">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AWRnqd</w:t>
      </w:r>
      <w:r w:rsidRPr="00720D9E">
        <w:rPr>
          <w:i/>
          <w:vertAlign w:val="subscript"/>
        </w:rPr>
        <w:t>i</w:t>
      </w:r>
      <w:r w:rsidRPr="00720D9E">
        <w:rPr>
          <w:i/>
          <w:vertAlign w:val="subscript"/>
        </w:rPr>
        <w:tab/>
      </w:r>
      <w:r w:rsidRPr="00720D9E">
        <w:t>=</w:t>
      </w:r>
      <w:r w:rsidRPr="00720D9E">
        <w:tab/>
        <w:t xml:space="preserve">Volume of MG from abandoned wells that are reactivated </w:t>
      </w:r>
      <w:r w:rsidR="00F34C2E" w:rsidRPr="00720D9E">
        <w:t>sent to</w:t>
      </w:r>
      <w:r w:rsidRPr="00720D9E">
        <w:t xml:space="preserve"> non-qualifying devices</w:t>
      </w:r>
      <w:r w:rsidR="00F34C2E" w:rsidRPr="00720D9E">
        <w:t xml:space="preserve"> for destruction</w:t>
      </w:r>
      <w:r w:rsidRPr="00720D9E">
        <w:t xml:space="preserve"> through use i during the reporting period (scf)</w:t>
      </w:r>
    </w:p>
    <w:p w:rsidR="00347978" w:rsidRPr="00720D9E" w:rsidRDefault="00347978" w:rsidP="00053B9D">
      <w:pPr>
        <w:pBdr>
          <w:top w:val="single" w:sz="4" w:space="1" w:color="auto"/>
          <w:left w:val="single" w:sz="4" w:space="4" w:color="auto"/>
          <w:bottom w:val="single" w:sz="4" w:space="1" w:color="auto"/>
          <w:right w:val="single" w:sz="4" w:space="4" w:color="auto"/>
        </w:pBdr>
        <w:tabs>
          <w:tab w:val="left" w:pos="1440"/>
        </w:tabs>
        <w:ind w:left="1800" w:hanging="1800"/>
      </w:pPr>
    </w:p>
    <w:p w:rsidR="00347978" w:rsidRPr="00720D9E" w:rsidRDefault="00347978" w:rsidP="00053B9D">
      <w:pPr>
        <w:pBdr>
          <w:top w:val="single" w:sz="4" w:space="1" w:color="auto"/>
          <w:left w:val="single" w:sz="4" w:space="4" w:color="auto"/>
          <w:bottom w:val="single" w:sz="4" w:space="1" w:color="auto"/>
          <w:right w:val="single" w:sz="4" w:space="4" w:color="auto"/>
        </w:pBdr>
        <w:tabs>
          <w:tab w:val="left" w:pos="1440"/>
        </w:tabs>
        <w:ind w:left="1800" w:hanging="1800"/>
      </w:pPr>
      <w:r w:rsidRPr="00720D9E">
        <w:t>And,</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ind w:left="1800" w:hanging="1800"/>
        <w:rPr>
          <w:i/>
          <w:vertAlign w:val="subscript"/>
        </w:rPr>
      </w:pPr>
      <w:r w:rsidRPr="00720D9E">
        <w:rPr>
          <w:i/>
        </w:rPr>
        <w:t>CDW</w:t>
      </w:r>
      <w:r w:rsidRPr="00720D9E">
        <w:rPr>
          <w:i/>
          <w:vertAlign w:val="subscript"/>
        </w:rPr>
        <w:t xml:space="preserve">P,i  </w:t>
      </w:r>
      <w:r w:rsidRPr="00720D9E">
        <w:t xml:space="preserve">= </w:t>
      </w:r>
      <w:r w:rsidRPr="00720D9E">
        <w:rPr>
          <w:i/>
        </w:rPr>
        <w:t>CDWe</w:t>
      </w:r>
      <w:r w:rsidRPr="00720D9E">
        <w:rPr>
          <w:i/>
          <w:vertAlign w:val="subscript"/>
        </w:rPr>
        <w:t>i</w:t>
      </w:r>
      <w:r w:rsidRPr="00720D9E">
        <w:t xml:space="preserve"> + </w:t>
      </w:r>
      <w:r w:rsidRPr="00720D9E">
        <w:rPr>
          <w:i/>
        </w:rPr>
        <w:t>CDWnqd</w:t>
      </w:r>
      <w:r w:rsidRPr="00720D9E">
        <w:rPr>
          <w:i/>
          <w:vertAlign w:val="subscript"/>
        </w:rPr>
        <w:t>i</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rPr>
          <w:i/>
        </w:rPr>
        <w:t>Where,</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CDWe</w:t>
      </w:r>
      <w:r w:rsidRPr="00720D9E">
        <w:rPr>
          <w:i/>
          <w:vertAlign w:val="subscript"/>
        </w:rPr>
        <w:t>i</w:t>
      </w:r>
      <w:r w:rsidRPr="00720D9E">
        <w:tab/>
        <w:t>=</w:t>
      </w:r>
      <w:r w:rsidRPr="00720D9E">
        <w:tab/>
        <w:t xml:space="preserve">Volume of MG from converted dewatering wells </w:t>
      </w:r>
      <w:r w:rsidR="00F34C2E" w:rsidRPr="00720D9E">
        <w:t>sent to</w:t>
      </w:r>
      <w:r w:rsidRPr="00720D9E">
        <w:t xml:space="preserve"> qualifying devices</w:t>
      </w:r>
      <w:r w:rsidR="00F34C2E" w:rsidRPr="00720D9E">
        <w:t xml:space="preserve"> for destruction</w:t>
      </w:r>
      <w:r w:rsidRPr="00720D9E">
        <w:t xml:space="preserve"> through use i that is eligible for quantification  in the reporting period. Quantified using </w:t>
      </w:r>
      <w:r w:rsidR="004842C4" w:rsidRPr="00720D9E">
        <w:t>Equation 5.</w:t>
      </w:r>
      <w:r w:rsidRPr="00720D9E">
        <w:t>2</w:t>
      </w:r>
      <w:r w:rsidR="00F34C2E" w:rsidRPr="00720D9E">
        <w:t>9</w:t>
      </w:r>
      <w:r w:rsidRPr="00720D9E">
        <w:t>. (scf)</w:t>
      </w:r>
    </w:p>
    <w:p w:rsidR="00D768A1" w:rsidRPr="00720D9E" w:rsidRDefault="00347978" w:rsidP="00C55513">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CDWnqd</w:t>
      </w:r>
      <w:r w:rsidRPr="00720D9E">
        <w:rPr>
          <w:i/>
          <w:vertAlign w:val="subscript"/>
        </w:rPr>
        <w:t>i</w:t>
      </w:r>
      <w:r w:rsidRPr="00720D9E">
        <w:rPr>
          <w:i/>
          <w:vertAlign w:val="subscript"/>
        </w:rPr>
        <w:tab/>
      </w:r>
      <w:r w:rsidRPr="00720D9E">
        <w:t>=</w:t>
      </w:r>
      <w:r w:rsidRPr="00720D9E">
        <w:tab/>
        <w:t xml:space="preserve">Volume of MG from converted dewatering wells </w:t>
      </w:r>
      <w:r w:rsidR="00F34C2E" w:rsidRPr="00720D9E">
        <w:t>sent to</w:t>
      </w:r>
      <w:r w:rsidRPr="00720D9E">
        <w:t xml:space="preserve"> non-qualifying devices</w:t>
      </w:r>
      <w:r w:rsidR="00F34C2E" w:rsidRPr="00720D9E">
        <w:t xml:space="preserve"> for destruction</w:t>
      </w:r>
      <w:r w:rsidRPr="00720D9E">
        <w:t xml:space="preserve"> through use i during the reporting period (scf)</w:t>
      </w:r>
    </w:p>
    <w:p w:rsidR="00C926F7" w:rsidRPr="00720D9E" w:rsidRDefault="00C926F7" w:rsidP="00D805E6">
      <w:pPr>
        <w:pStyle w:val="ListParagraph"/>
        <w:numPr>
          <w:ilvl w:val="0"/>
          <w:numId w:val="33"/>
        </w:numPr>
        <w:ind w:hanging="720"/>
      </w:pPr>
      <w:r w:rsidRPr="00720D9E">
        <w:t xml:space="preserve">The eligible amount of </w:t>
      </w:r>
      <w:r w:rsidR="0014182A" w:rsidRPr="00720D9E">
        <w:t>MG</w:t>
      </w:r>
      <w:r w:rsidRPr="00720D9E">
        <w:t xml:space="preserve"> destroyed by qualifying devices </w:t>
      </w:r>
      <w:r w:rsidR="00523499" w:rsidRPr="00720D9E">
        <w:t>must</w:t>
      </w:r>
      <w:r w:rsidRPr="00720D9E">
        <w:t xml:space="preserve"> be </w:t>
      </w:r>
      <w:r w:rsidR="00401E34" w:rsidRPr="00720D9E">
        <w:t>determined by using Equation</w:t>
      </w:r>
      <w:r w:rsidR="0014182A" w:rsidRPr="00720D9E">
        <w:t>s</w:t>
      </w:r>
      <w:r w:rsidR="00401E34" w:rsidRPr="00720D9E">
        <w:t xml:space="preserve"> </w:t>
      </w:r>
      <w:r w:rsidR="00BD11A9" w:rsidRPr="00720D9E">
        <w:t>5</w:t>
      </w:r>
      <w:r w:rsidR="00401E34" w:rsidRPr="00720D9E">
        <w:t>.</w:t>
      </w:r>
      <w:r w:rsidR="0014182A" w:rsidRPr="00720D9E">
        <w:t>2</w:t>
      </w:r>
      <w:r w:rsidR="00F34C2E" w:rsidRPr="00720D9E">
        <w:t>6</w:t>
      </w:r>
      <w:r w:rsidR="0014182A" w:rsidRPr="00720D9E">
        <w:t xml:space="preserve">, </w:t>
      </w:r>
      <w:r w:rsidR="00BD11A9" w:rsidRPr="00720D9E">
        <w:t>5</w:t>
      </w:r>
      <w:r w:rsidR="0014182A" w:rsidRPr="00720D9E">
        <w:t>.2</w:t>
      </w:r>
      <w:r w:rsidR="00F34C2E" w:rsidRPr="00720D9E">
        <w:t>7</w:t>
      </w:r>
      <w:r w:rsidR="00347978" w:rsidRPr="00720D9E">
        <w:t>,</w:t>
      </w:r>
      <w:r w:rsidR="0014182A" w:rsidRPr="00720D9E">
        <w:t xml:space="preserve"> </w:t>
      </w:r>
      <w:r w:rsidR="00BD11A9" w:rsidRPr="00720D9E">
        <w:t>5</w:t>
      </w:r>
      <w:r w:rsidR="0014182A" w:rsidRPr="00720D9E">
        <w:t>.2</w:t>
      </w:r>
      <w:r w:rsidR="00F34C2E" w:rsidRPr="00720D9E">
        <w:t>8</w:t>
      </w:r>
      <w:r w:rsidR="00347978" w:rsidRPr="00720D9E">
        <w:t xml:space="preserve"> and </w:t>
      </w:r>
      <w:r w:rsidR="00BD11A9" w:rsidRPr="00720D9E">
        <w:t>5</w:t>
      </w:r>
      <w:r w:rsidR="00347978" w:rsidRPr="00720D9E">
        <w:t>.2</w:t>
      </w:r>
      <w:r w:rsidR="00F34C2E" w:rsidRPr="00720D9E">
        <w:t>9</w:t>
      </w:r>
      <w:r w:rsidR="0014182A" w:rsidRPr="00720D9E">
        <w:t>.</w:t>
      </w:r>
    </w:p>
    <w:p w:rsidR="0014182A" w:rsidRPr="00720D9E" w:rsidRDefault="004842C4" w:rsidP="0014182A">
      <w:pPr>
        <w:pStyle w:val="Heading4"/>
        <w:pBdr>
          <w:top w:val="single" w:sz="4" w:space="1" w:color="auto"/>
          <w:left w:val="single" w:sz="4" w:space="4" w:color="auto"/>
          <w:bottom w:val="single" w:sz="4" w:space="1" w:color="auto"/>
          <w:right w:val="single" w:sz="4" w:space="4" w:color="auto"/>
        </w:pBdr>
      </w:pPr>
      <w:r w:rsidRPr="00720D9E">
        <w:lastRenderedPageBreak/>
        <w:t>Equation 5.</w:t>
      </w:r>
      <w:r w:rsidR="0014182A" w:rsidRPr="00720D9E">
        <w:t>2</w:t>
      </w:r>
      <w:r w:rsidR="00C964F9" w:rsidRPr="00720D9E">
        <w:t>6</w:t>
      </w:r>
      <w:r w:rsidR="0014182A" w:rsidRPr="00720D9E">
        <w:t>: Eligible MG from Pre-mining Surface Wells</w:t>
      </w:r>
    </w:p>
    <w:p w:rsidR="0014182A" w:rsidRPr="00720D9E" w:rsidRDefault="0014182A" w:rsidP="0014182A">
      <w:pPr>
        <w:pBdr>
          <w:top w:val="single" w:sz="4" w:space="1" w:color="auto"/>
          <w:left w:val="single" w:sz="4" w:space="4" w:color="auto"/>
          <w:bottom w:val="single" w:sz="4" w:space="1" w:color="auto"/>
          <w:right w:val="single" w:sz="4" w:space="4" w:color="auto"/>
        </w:pBdr>
        <w:rPr>
          <w:i/>
          <w:vertAlign w:val="subscript"/>
        </w:rPr>
      </w:pPr>
      <w:r w:rsidRPr="00720D9E">
        <w:rPr>
          <w:i/>
        </w:rPr>
        <w:t>PSWe</w:t>
      </w:r>
      <w:r w:rsidRPr="00720D9E">
        <w:rPr>
          <w:i/>
          <w:vertAlign w:val="subscript"/>
        </w:rPr>
        <w:t>i</w:t>
      </w:r>
      <w:r w:rsidRPr="00720D9E">
        <w:t xml:space="preserve"> = </w:t>
      </w:r>
      <w:r w:rsidRPr="00720D9E">
        <w:rPr>
          <w:i/>
        </w:rPr>
        <w:t>PSWe</w:t>
      </w:r>
      <w:r w:rsidRPr="00720D9E">
        <w:rPr>
          <w:i/>
          <w:vertAlign w:val="subscript"/>
        </w:rPr>
        <w:t>pre,i</w:t>
      </w:r>
      <w:r w:rsidRPr="00720D9E">
        <w:t xml:space="preserve"> + </w:t>
      </w:r>
      <w:r w:rsidRPr="00720D9E">
        <w:rPr>
          <w:i/>
        </w:rPr>
        <w:t>PSWe</w:t>
      </w:r>
      <w:r w:rsidRPr="00720D9E">
        <w:rPr>
          <w:i/>
          <w:vertAlign w:val="subscript"/>
        </w:rPr>
        <w:t>post,i</w:t>
      </w:r>
    </w:p>
    <w:p w:rsidR="0014182A" w:rsidRPr="00720D9E" w:rsidRDefault="0014182A" w:rsidP="0014182A">
      <w:pPr>
        <w:pBdr>
          <w:top w:val="single" w:sz="4" w:space="1" w:color="auto"/>
          <w:left w:val="single" w:sz="4" w:space="4" w:color="auto"/>
          <w:bottom w:val="single" w:sz="4" w:space="1" w:color="auto"/>
          <w:right w:val="single" w:sz="4" w:space="4" w:color="auto"/>
        </w:pBdr>
        <w:rPr>
          <w:i/>
        </w:rPr>
      </w:pPr>
      <w:r w:rsidRPr="00720D9E">
        <w:rPr>
          <w:i/>
        </w:rPr>
        <w:t>Where,</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PSWe</w:t>
      </w:r>
      <w:r w:rsidRPr="00720D9E">
        <w:rPr>
          <w:i/>
          <w:vertAlign w:val="subscript"/>
        </w:rPr>
        <w:t>i</w:t>
      </w:r>
      <w:r w:rsidRPr="00720D9E">
        <w:tab/>
        <w:t>=</w:t>
      </w:r>
      <w:r w:rsidRPr="00720D9E">
        <w:tab/>
        <w:t xml:space="preserve">Volume of MG from pre-mining surface wells </w:t>
      </w:r>
      <w:r w:rsidR="00F34C2E" w:rsidRPr="00720D9E">
        <w:t>sent to</w:t>
      </w:r>
      <w:r w:rsidRPr="00720D9E">
        <w:t xml:space="preserve"> qualifying devices</w:t>
      </w:r>
      <w:r w:rsidR="00F34C2E" w:rsidRPr="00720D9E">
        <w:t xml:space="preserve"> for destruction</w:t>
      </w:r>
      <w:r w:rsidRPr="00720D9E">
        <w:t xml:space="preserve"> through use i that is eligible for quantification  in the reporting period using </w:t>
      </w:r>
      <w:r w:rsidR="004842C4" w:rsidRPr="00720D9E">
        <w:t>Equation 5.</w:t>
      </w:r>
      <w:r w:rsidRPr="00720D9E">
        <w:t>2</w:t>
      </w:r>
      <w:r w:rsidR="00F34C2E" w:rsidRPr="00720D9E">
        <w:t>5</w:t>
      </w:r>
      <w:r w:rsidRPr="00720D9E">
        <w:t xml:space="preserve"> (scf)</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i</w:t>
      </w:r>
      <w:r w:rsidRPr="00720D9E">
        <w:tab/>
        <w:t>=</w:t>
      </w:r>
      <w:r w:rsidRPr="00720D9E">
        <w:tab/>
      </w:r>
      <w:r w:rsidR="0058626D" w:rsidRPr="00720D9E">
        <w:t>Use of methane (flaring, power generation, heat generation,</w:t>
      </w:r>
      <w:r w:rsidR="000D6176" w:rsidRPr="00720D9E">
        <w:t xml:space="preserve"> production of transportation fuel,</w:t>
      </w:r>
      <w:r w:rsidR="0058626D" w:rsidRPr="00720D9E">
        <w:t xml:space="preserve"> injection into natural gas pipeline, etc.) by all qualifying devices</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PSWe</w:t>
      </w:r>
      <w:r w:rsidRPr="00720D9E">
        <w:rPr>
          <w:i/>
          <w:vertAlign w:val="subscript"/>
        </w:rPr>
        <w:t>pre,i</w:t>
      </w:r>
      <w:r w:rsidRPr="00720D9E">
        <w:tab/>
        <w:t>=</w:t>
      </w:r>
      <w:r w:rsidRPr="00720D9E">
        <w:tab/>
        <w:t xml:space="preserve">Volume of MG </w:t>
      </w:r>
      <w:r w:rsidR="00F34C2E" w:rsidRPr="00720D9E">
        <w:t>sent to</w:t>
      </w:r>
      <w:r w:rsidRPr="00720D9E">
        <w:t xml:space="preserve"> qualifying destruction devices, from the </w:t>
      </w:r>
      <w:r w:rsidR="004447DE" w:rsidRPr="00720D9E">
        <w:t xml:space="preserve">offset </w:t>
      </w:r>
      <w:r w:rsidRPr="00720D9E">
        <w:t>project commencement date through the end of the current reporting period, captured from pre-mining surface wells that were mined through during the current reporting period (scf)</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PSWe</w:t>
      </w:r>
      <w:r w:rsidRPr="00720D9E">
        <w:rPr>
          <w:i/>
          <w:vertAlign w:val="subscript"/>
        </w:rPr>
        <w:t>post,i</w:t>
      </w:r>
      <w:r w:rsidRPr="00720D9E">
        <w:tab/>
        <w:t>=</w:t>
      </w:r>
      <w:r w:rsidRPr="00720D9E">
        <w:tab/>
        <w:t xml:space="preserve">Volume of MG </w:t>
      </w:r>
      <w:r w:rsidR="00F34C2E" w:rsidRPr="00720D9E">
        <w:t>sent to</w:t>
      </w:r>
      <w:r w:rsidRPr="00720D9E">
        <w:t xml:space="preserve"> qualifying destruction devices in the current reporting period captured from pre-mining surface wells that were mined through during earlier reporting periods (scf)</w:t>
      </w:r>
    </w:p>
    <w:p w:rsidR="0014182A" w:rsidRPr="00720D9E" w:rsidRDefault="0014182A" w:rsidP="0014182A"/>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14182A" w:rsidRPr="00720D9E">
        <w:t>2</w:t>
      </w:r>
      <w:r w:rsidR="00C964F9" w:rsidRPr="00720D9E">
        <w:t>7</w:t>
      </w:r>
      <w:r w:rsidR="00C926F7" w:rsidRPr="00720D9E">
        <w:t xml:space="preserve">: Eligible </w:t>
      </w:r>
      <w:r w:rsidR="0014182A" w:rsidRPr="00720D9E">
        <w:t xml:space="preserve">MG from Existing Coal Bed Methane Wells </w:t>
      </w:r>
      <w:r w:rsidR="00347978" w:rsidRPr="00720D9E">
        <w:t>t</w:t>
      </w:r>
      <w:r w:rsidR="0014182A" w:rsidRPr="00720D9E">
        <w:t>hat Would Otherwise Be Shut-in and Abandoned as a Result of Encroaching Mining</w:t>
      </w:r>
    </w:p>
    <w:p w:rsidR="0014182A" w:rsidRPr="00720D9E" w:rsidRDefault="0014182A" w:rsidP="0014182A">
      <w:pPr>
        <w:pBdr>
          <w:top w:val="single" w:sz="4" w:space="1" w:color="auto"/>
          <w:left w:val="single" w:sz="4" w:space="4" w:color="auto"/>
          <w:bottom w:val="single" w:sz="4" w:space="1" w:color="auto"/>
          <w:right w:val="single" w:sz="4" w:space="4" w:color="auto"/>
        </w:pBdr>
        <w:rPr>
          <w:i/>
          <w:vertAlign w:val="subscript"/>
        </w:rPr>
      </w:pPr>
      <w:r w:rsidRPr="00720D9E">
        <w:rPr>
          <w:i/>
        </w:rPr>
        <w:t>ECWe</w:t>
      </w:r>
      <w:r w:rsidRPr="00720D9E">
        <w:rPr>
          <w:i/>
          <w:vertAlign w:val="subscript"/>
        </w:rPr>
        <w:t>i</w:t>
      </w:r>
      <w:r w:rsidRPr="00720D9E">
        <w:t xml:space="preserve"> = </w:t>
      </w:r>
      <w:r w:rsidRPr="00720D9E">
        <w:rPr>
          <w:i/>
        </w:rPr>
        <w:t>ECWe</w:t>
      </w:r>
      <w:r w:rsidRPr="00720D9E">
        <w:rPr>
          <w:i/>
          <w:vertAlign w:val="subscript"/>
        </w:rPr>
        <w:t>pre,i</w:t>
      </w:r>
      <w:r w:rsidRPr="00720D9E">
        <w:t xml:space="preserve"> + </w:t>
      </w:r>
      <w:r w:rsidRPr="00720D9E">
        <w:rPr>
          <w:i/>
        </w:rPr>
        <w:t>ECWe</w:t>
      </w:r>
      <w:r w:rsidRPr="00720D9E">
        <w:rPr>
          <w:i/>
          <w:vertAlign w:val="subscript"/>
        </w:rPr>
        <w:t>post,i</w:t>
      </w:r>
    </w:p>
    <w:p w:rsidR="0014182A" w:rsidRPr="00720D9E" w:rsidRDefault="0014182A" w:rsidP="0014182A">
      <w:pPr>
        <w:pBdr>
          <w:top w:val="single" w:sz="4" w:space="1" w:color="auto"/>
          <w:left w:val="single" w:sz="4" w:space="4" w:color="auto"/>
          <w:bottom w:val="single" w:sz="4" w:space="1" w:color="auto"/>
          <w:right w:val="single" w:sz="4" w:space="4" w:color="auto"/>
        </w:pBdr>
        <w:rPr>
          <w:i/>
        </w:rPr>
      </w:pPr>
      <w:r w:rsidRPr="00720D9E">
        <w:rPr>
          <w:i/>
        </w:rPr>
        <w:t>Where,</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ECWe</w:t>
      </w:r>
      <w:r w:rsidRPr="00720D9E">
        <w:rPr>
          <w:i/>
          <w:vertAlign w:val="subscript"/>
        </w:rPr>
        <w:t>i</w:t>
      </w:r>
      <w:r w:rsidRPr="00720D9E">
        <w:tab/>
        <w:t>=</w:t>
      </w:r>
      <w:r w:rsidRPr="00720D9E">
        <w:tab/>
        <w:t xml:space="preserve">Volume of MG from existing coal bed methane wells that would otherwise be shut-in and abandoned as a result of encroaching mining </w:t>
      </w:r>
      <w:r w:rsidR="00F34C2E" w:rsidRPr="00720D9E">
        <w:t>sent to</w:t>
      </w:r>
      <w:r w:rsidRPr="00720D9E">
        <w:t xml:space="preserve"> qualifying devices </w:t>
      </w:r>
      <w:r w:rsidR="00F34C2E" w:rsidRPr="00720D9E">
        <w:t xml:space="preserve">for destruction </w:t>
      </w:r>
      <w:r w:rsidRPr="00720D9E">
        <w:t xml:space="preserve">through use i that is eligible for quantification  in the reporting period using </w:t>
      </w:r>
      <w:r w:rsidR="004842C4" w:rsidRPr="00720D9E">
        <w:t>Equation 5.</w:t>
      </w:r>
      <w:r w:rsidRPr="00720D9E">
        <w:t>2</w:t>
      </w:r>
      <w:r w:rsidR="00F34C2E" w:rsidRPr="00720D9E">
        <w:t>5</w:t>
      </w:r>
      <w:r w:rsidRPr="00720D9E">
        <w:t xml:space="preserve"> (scf)</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i</w:t>
      </w:r>
      <w:r w:rsidRPr="00720D9E">
        <w:tab/>
        <w:t>=</w:t>
      </w:r>
      <w:r w:rsidRPr="00720D9E">
        <w:tab/>
      </w:r>
      <w:r w:rsidR="0058626D" w:rsidRPr="00720D9E">
        <w:t>Use of methane (flaring, power generation, heat generation,</w:t>
      </w:r>
      <w:r w:rsidR="00B7684E" w:rsidRPr="00720D9E">
        <w:t xml:space="preserve"> production of transportation fuel,</w:t>
      </w:r>
      <w:r w:rsidR="0058626D" w:rsidRPr="00720D9E">
        <w:t xml:space="preserve"> injection into natural gas pipeline, etc.) by all qualifying devices</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ECWe</w:t>
      </w:r>
      <w:r w:rsidRPr="00720D9E">
        <w:rPr>
          <w:i/>
          <w:vertAlign w:val="subscript"/>
        </w:rPr>
        <w:t>pre,i</w:t>
      </w:r>
      <w:r w:rsidRPr="00720D9E">
        <w:tab/>
        <w:t>=</w:t>
      </w:r>
      <w:r w:rsidRPr="00720D9E">
        <w:tab/>
        <w:t xml:space="preserve">Volume of MG </w:t>
      </w:r>
      <w:r w:rsidR="00F34C2E" w:rsidRPr="00720D9E">
        <w:t>sent to</w:t>
      </w:r>
      <w:r w:rsidRPr="00720D9E">
        <w:t xml:space="preserve"> qualifying destruction devices, from the </w:t>
      </w:r>
      <w:r w:rsidR="004447DE" w:rsidRPr="00720D9E">
        <w:t xml:space="preserve">offset </w:t>
      </w:r>
      <w:r w:rsidRPr="00720D9E">
        <w:t xml:space="preserve">project commencement date through the end of the current reporting </w:t>
      </w:r>
      <w:r w:rsidRPr="00720D9E">
        <w:lastRenderedPageBreak/>
        <w:t>period, captured from existing coal bed methane wells that would otherwise be shut-in and abandoned as a result of encroaching mining that were mined through during the current reporting period (scf)</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ECWe</w:t>
      </w:r>
      <w:r w:rsidRPr="00720D9E">
        <w:rPr>
          <w:i/>
          <w:vertAlign w:val="subscript"/>
        </w:rPr>
        <w:t>post,i</w:t>
      </w:r>
      <w:r w:rsidRPr="00720D9E">
        <w:tab/>
        <w:t>=</w:t>
      </w:r>
      <w:r w:rsidRPr="00720D9E">
        <w:tab/>
        <w:t xml:space="preserve">Volume of MG </w:t>
      </w:r>
      <w:r w:rsidR="00F34C2E" w:rsidRPr="00720D9E">
        <w:t>sent to</w:t>
      </w:r>
      <w:r w:rsidRPr="00720D9E">
        <w:t xml:space="preserve"> qualifying destruction devices in the current reporting period captured from existing coal bed methane wells that would otherwise be shut-in and abandoned as a result of encroaching mining that were mined through during earlier reporting periods (scf)</w:t>
      </w:r>
    </w:p>
    <w:p w:rsidR="0014182A" w:rsidRPr="00720D9E" w:rsidRDefault="0014182A" w:rsidP="0014182A">
      <w:pPr>
        <w:pStyle w:val="ListParagraph"/>
      </w:pPr>
    </w:p>
    <w:p w:rsidR="0014182A" w:rsidRPr="00720D9E" w:rsidRDefault="004842C4" w:rsidP="0014182A">
      <w:pPr>
        <w:pStyle w:val="Heading4"/>
        <w:pBdr>
          <w:top w:val="single" w:sz="4" w:space="1" w:color="auto"/>
          <w:left w:val="single" w:sz="4" w:space="4" w:color="auto"/>
          <w:bottom w:val="single" w:sz="4" w:space="1" w:color="auto"/>
          <w:right w:val="single" w:sz="4" w:space="4" w:color="auto"/>
        </w:pBdr>
      </w:pPr>
      <w:r w:rsidRPr="00720D9E">
        <w:t>Equation 5.</w:t>
      </w:r>
      <w:r w:rsidR="0014182A" w:rsidRPr="00720D9E">
        <w:t>2</w:t>
      </w:r>
      <w:r w:rsidR="00C964F9" w:rsidRPr="00720D9E">
        <w:t>8</w:t>
      </w:r>
      <w:r w:rsidR="0014182A" w:rsidRPr="00720D9E">
        <w:t xml:space="preserve">: Eligible MG from Abandoned Wells that are </w:t>
      </w:r>
      <w:r w:rsidR="00347978" w:rsidRPr="00720D9E">
        <w:t>Reactivated</w:t>
      </w:r>
    </w:p>
    <w:p w:rsidR="0014182A" w:rsidRPr="00720D9E" w:rsidRDefault="0014182A" w:rsidP="0014182A">
      <w:pPr>
        <w:pBdr>
          <w:top w:val="single" w:sz="4" w:space="1" w:color="auto"/>
          <w:left w:val="single" w:sz="4" w:space="4" w:color="auto"/>
          <w:bottom w:val="single" w:sz="4" w:space="1" w:color="auto"/>
          <w:right w:val="single" w:sz="4" w:space="4" w:color="auto"/>
        </w:pBdr>
        <w:rPr>
          <w:i/>
          <w:vertAlign w:val="subscript"/>
        </w:rPr>
      </w:pPr>
      <w:r w:rsidRPr="00720D9E">
        <w:rPr>
          <w:i/>
        </w:rPr>
        <w:t>AWRe</w:t>
      </w:r>
      <w:r w:rsidRPr="00720D9E">
        <w:rPr>
          <w:i/>
          <w:vertAlign w:val="subscript"/>
        </w:rPr>
        <w:t>i</w:t>
      </w:r>
      <w:r w:rsidRPr="00720D9E">
        <w:t xml:space="preserve"> = </w:t>
      </w:r>
      <w:r w:rsidRPr="00720D9E">
        <w:rPr>
          <w:i/>
        </w:rPr>
        <w:t>AWEe</w:t>
      </w:r>
      <w:r w:rsidRPr="00720D9E">
        <w:rPr>
          <w:i/>
          <w:vertAlign w:val="subscript"/>
        </w:rPr>
        <w:t>pre,i</w:t>
      </w:r>
      <w:r w:rsidRPr="00720D9E">
        <w:t xml:space="preserve"> + </w:t>
      </w:r>
      <w:r w:rsidRPr="00720D9E">
        <w:rPr>
          <w:i/>
        </w:rPr>
        <w:t>AWRe</w:t>
      </w:r>
      <w:r w:rsidRPr="00720D9E">
        <w:rPr>
          <w:i/>
          <w:vertAlign w:val="subscript"/>
        </w:rPr>
        <w:t>post,i</w:t>
      </w:r>
    </w:p>
    <w:p w:rsidR="0014182A" w:rsidRPr="00720D9E" w:rsidRDefault="0014182A" w:rsidP="0014182A">
      <w:pPr>
        <w:pBdr>
          <w:top w:val="single" w:sz="4" w:space="1" w:color="auto"/>
          <w:left w:val="single" w:sz="4" w:space="4" w:color="auto"/>
          <w:bottom w:val="single" w:sz="4" w:space="1" w:color="auto"/>
          <w:right w:val="single" w:sz="4" w:space="4" w:color="auto"/>
        </w:pBdr>
        <w:rPr>
          <w:i/>
        </w:rPr>
      </w:pPr>
      <w:r w:rsidRPr="00720D9E">
        <w:rPr>
          <w:i/>
        </w:rPr>
        <w:t>Where,</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AWRe</w:t>
      </w:r>
      <w:r w:rsidRPr="00720D9E">
        <w:rPr>
          <w:i/>
          <w:vertAlign w:val="subscript"/>
        </w:rPr>
        <w:t>i</w:t>
      </w:r>
      <w:r w:rsidRPr="00720D9E">
        <w:tab/>
        <w:t>=</w:t>
      </w:r>
      <w:r w:rsidRPr="00720D9E">
        <w:tab/>
        <w:t xml:space="preserve">Volume of MG from </w:t>
      </w:r>
      <w:r w:rsidR="00347978" w:rsidRPr="00720D9E">
        <w:t xml:space="preserve">abandoned wells that are reactivated </w:t>
      </w:r>
      <w:r w:rsidR="00F34C2E" w:rsidRPr="00720D9E">
        <w:t>sent to</w:t>
      </w:r>
      <w:r w:rsidRPr="00720D9E">
        <w:t xml:space="preserve"> qualifying devices</w:t>
      </w:r>
      <w:r w:rsidR="00F34C2E" w:rsidRPr="00720D9E">
        <w:t xml:space="preserve"> for destruction</w:t>
      </w:r>
      <w:r w:rsidRPr="00720D9E">
        <w:t xml:space="preserve"> through use i that is eligible for quantification  in the reporting period using </w:t>
      </w:r>
      <w:r w:rsidR="004842C4" w:rsidRPr="00720D9E">
        <w:t>Equation 5.</w:t>
      </w:r>
      <w:r w:rsidRPr="00720D9E">
        <w:t>2</w:t>
      </w:r>
      <w:r w:rsidR="00F34C2E" w:rsidRPr="00720D9E">
        <w:t>5</w:t>
      </w:r>
      <w:r w:rsidRPr="00720D9E">
        <w:t xml:space="preserve"> (scf)</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i</w:t>
      </w:r>
      <w:r w:rsidRPr="00720D9E">
        <w:tab/>
        <w:t>=</w:t>
      </w:r>
      <w:r w:rsidRPr="00720D9E">
        <w:tab/>
      </w:r>
      <w:r w:rsidR="0058626D" w:rsidRPr="00720D9E">
        <w:t>Use of methane (flaring, power generation, heat generation,</w:t>
      </w:r>
      <w:r w:rsidR="000D6176" w:rsidRPr="00720D9E">
        <w:t xml:space="preserve"> production of transportation fuel,</w:t>
      </w:r>
      <w:r w:rsidR="0058626D" w:rsidRPr="00720D9E">
        <w:t xml:space="preserve"> injection into natural gas pipeline, etc.) by all qualifying devices</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AWRe</w:t>
      </w:r>
      <w:r w:rsidRPr="00720D9E">
        <w:rPr>
          <w:i/>
          <w:vertAlign w:val="subscript"/>
        </w:rPr>
        <w:t>pre,i</w:t>
      </w:r>
      <w:r w:rsidRPr="00720D9E">
        <w:tab/>
        <w:t>=</w:t>
      </w:r>
      <w:r w:rsidRPr="00720D9E">
        <w:tab/>
        <w:t xml:space="preserve">Volume of MG </w:t>
      </w:r>
      <w:r w:rsidR="00F34C2E" w:rsidRPr="00720D9E">
        <w:t>sent to</w:t>
      </w:r>
      <w:r w:rsidRPr="00720D9E">
        <w:t xml:space="preserve"> qualifying destruction devices, from the </w:t>
      </w:r>
      <w:r w:rsidR="004447DE" w:rsidRPr="00720D9E">
        <w:t xml:space="preserve">offset </w:t>
      </w:r>
      <w:r w:rsidRPr="00720D9E">
        <w:t xml:space="preserve">project commencement date through the end of the current reporting period, captured from </w:t>
      </w:r>
      <w:r w:rsidR="00347978" w:rsidRPr="00720D9E">
        <w:t xml:space="preserve">abandoned wells that are reactivated </w:t>
      </w:r>
      <w:r w:rsidRPr="00720D9E">
        <w:t>that were mined through during the current reporting period (scf)</w:t>
      </w:r>
    </w:p>
    <w:p w:rsidR="0014182A" w:rsidRPr="00720D9E" w:rsidRDefault="0014182A" w:rsidP="0014182A">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AWRe</w:t>
      </w:r>
      <w:r w:rsidRPr="00720D9E">
        <w:rPr>
          <w:i/>
          <w:vertAlign w:val="subscript"/>
        </w:rPr>
        <w:t>post,i</w:t>
      </w:r>
      <w:r w:rsidRPr="00720D9E">
        <w:tab/>
        <w:t>=</w:t>
      </w:r>
      <w:r w:rsidRPr="00720D9E">
        <w:tab/>
        <w:t xml:space="preserve">Volume of MG </w:t>
      </w:r>
      <w:r w:rsidR="00F34C2E" w:rsidRPr="00720D9E">
        <w:t>sent to</w:t>
      </w:r>
      <w:r w:rsidRPr="00720D9E">
        <w:t xml:space="preserve"> qualifying destruction devices in the current reporting period captured from </w:t>
      </w:r>
      <w:r w:rsidR="00347978" w:rsidRPr="00720D9E">
        <w:t xml:space="preserve">abandoned wells that are reactivated </w:t>
      </w:r>
      <w:r w:rsidRPr="00720D9E">
        <w:t>that were mined through during earlier reporting periods (scf)</w:t>
      </w:r>
    </w:p>
    <w:p w:rsidR="0014182A" w:rsidRPr="00720D9E" w:rsidRDefault="0014182A" w:rsidP="0014182A">
      <w:pPr>
        <w:pStyle w:val="ListParagraph"/>
      </w:pPr>
    </w:p>
    <w:p w:rsidR="00347978" w:rsidRPr="00720D9E" w:rsidRDefault="004842C4" w:rsidP="00347978">
      <w:pPr>
        <w:pStyle w:val="Heading4"/>
        <w:pBdr>
          <w:top w:val="single" w:sz="4" w:space="1" w:color="auto"/>
          <w:left w:val="single" w:sz="4" w:space="4" w:color="auto"/>
          <w:bottom w:val="single" w:sz="4" w:space="1" w:color="auto"/>
          <w:right w:val="single" w:sz="4" w:space="4" w:color="auto"/>
        </w:pBdr>
      </w:pPr>
      <w:r w:rsidRPr="00720D9E">
        <w:t>Equation 5.</w:t>
      </w:r>
      <w:r w:rsidR="00347978" w:rsidRPr="00720D9E">
        <w:t>2</w:t>
      </w:r>
      <w:r w:rsidR="00C964F9" w:rsidRPr="00720D9E">
        <w:t>9</w:t>
      </w:r>
      <w:r w:rsidR="00347978" w:rsidRPr="00720D9E">
        <w:t xml:space="preserve">: Eligible MG from </w:t>
      </w:r>
      <w:r w:rsidR="00C964F9" w:rsidRPr="00720D9E">
        <w:t>Converted Dewatering</w:t>
      </w:r>
      <w:r w:rsidR="00347978" w:rsidRPr="00720D9E">
        <w:t xml:space="preserve"> Wells that are Reactivated</w:t>
      </w:r>
    </w:p>
    <w:p w:rsidR="00347978" w:rsidRPr="00720D9E" w:rsidRDefault="00347978" w:rsidP="00347978">
      <w:pPr>
        <w:pBdr>
          <w:top w:val="single" w:sz="4" w:space="1" w:color="auto"/>
          <w:left w:val="single" w:sz="4" w:space="4" w:color="auto"/>
          <w:bottom w:val="single" w:sz="4" w:space="1" w:color="auto"/>
          <w:right w:val="single" w:sz="4" w:space="4" w:color="auto"/>
        </w:pBdr>
        <w:rPr>
          <w:i/>
          <w:vertAlign w:val="subscript"/>
        </w:rPr>
      </w:pPr>
      <w:r w:rsidRPr="00720D9E">
        <w:rPr>
          <w:i/>
        </w:rPr>
        <w:t>CDWe</w:t>
      </w:r>
      <w:r w:rsidRPr="00720D9E">
        <w:rPr>
          <w:i/>
          <w:vertAlign w:val="subscript"/>
        </w:rPr>
        <w:t>i</w:t>
      </w:r>
      <w:r w:rsidRPr="00720D9E">
        <w:t xml:space="preserve"> = </w:t>
      </w:r>
      <w:r w:rsidRPr="00720D9E">
        <w:rPr>
          <w:i/>
        </w:rPr>
        <w:t>CDWe</w:t>
      </w:r>
      <w:r w:rsidRPr="00720D9E">
        <w:rPr>
          <w:i/>
          <w:vertAlign w:val="subscript"/>
        </w:rPr>
        <w:t>pre,i</w:t>
      </w:r>
      <w:r w:rsidRPr="00720D9E">
        <w:t xml:space="preserve"> + </w:t>
      </w:r>
      <w:r w:rsidRPr="00720D9E">
        <w:rPr>
          <w:i/>
        </w:rPr>
        <w:t>CDWe</w:t>
      </w:r>
      <w:r w:rsidRPr="00720D9E">
        <w:rPr>
          <w:i/>
          <w:vertAlign w:val="subscript"/>
        </w:rPr>
        <w:t>post,i</w:t>
      </w:r>
    </w:p>
    <w:p w:rsidR="00347978" w:rsidRPr="00720D9E" w:rsidRDefault="00347978" w:rsidP="00347978">
      <w:pPr>
        <w:pBdr>
          <w:top w:val="single" w:sz="4" w:space="1" w:color="auto"/>
          <w:left w:val="single" w:sz="4" w:space="4" w:color="auto"/>
          <w:bottom w:val="single" w:sz="4" w:space="1" w:color="auto"/>
          <w:right w:val="single" w:sz="4" w:space="4" w:color="auto"/>
        </w:pBdr>
        <w:rPr>
          <w:i/>
        </w:rPr>
      </w:pPr>
      <w:r w:rsidRPr="00720D9E">
        <w:rPr>
          <w:i/>
        </w:rPr>
        <w:t>Where,</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lastRenderedPageBreak/>
        <w:t>CDWe</w:t>
      </w:r>
      <w:r w:rsidRPr="00720D9E">
        <w:rPr>
          <w:i/>
          <w:vertAlign w:val="subscript"/>
        </w:rPr>
        <w:t>i</w:t>
      </w:r>
      <w:r w:rsidRPr="00720D9E">
        <w:tab/>
        <w:t>=</w:t>
      </w:r>
      <w:r w:rsidRPr="00720D9E">
        <w:tab/>
        <w:t xml:space="preserve">Volume of MG from converted dewatering wells </w:t>
      </w:r>
      <w:r w:rsidR="00F34C2E" w:rsidRPr="00720D9E">
        <w:t>sent to</w:t>
      </w:r>
      <w:r w:rsidRPr="00720D9E">
        <w:t xml:space="preserve"> qualifying devices </w:t>
      </w:r>
      <w:r w:rsidR="00F34C2E" w:rsidRPr="00720D9E">
        <w:t xml:space="preserve">for destruction </w:t>
      </w:r>
      <w:r w:rsidRPr="00720D9E">
        <w:t xml:space="preserve">through use i that is eligible for quantification  in the reporting period using </w:t>
      </w:r>
      <w:r w:rsidR="004842C4" w:rsidRPr="00720D9E">
        <w:t>Equation 5.</w:t>
      </w:r>
      <w:r w:rsidRPr="00720D9E">
        <w:t>2</w:t>
      </w:r>
      <w:r w:rsidR="00F34C2E" w:rsidRPr="00720D9E">
        <w:t>5</w:t>
      </w:r>
      <w:r w:rsidRPr="00720D9E">
        <w:t xml:space="preserve"> (scf)</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i</w:t>
      </w:r>
      <w:r w:rsidRPr="00720D9E">
        <w:tab/>
        <w:t>=</w:t>
      </w:r>
      <w:r w:rsidRPr="00720D9E">
        <w:tab/>
      </w:r>
      <w:r w:rsidR="0058626D" w:rsidRPr="00720D9E">
        <w:t>Use of methane (flaring, power generation, heat generation,</w:t>
      </w:r>
      <w:r w:rsidR="000D6176" w:rsidRPr="00720D9E">
        <w:t xml:space="preserve"> production of transportation fuel,</w:t>
      </w:r>
      <w:r w:rsidR="0058626D" w:rsidRPr="00720D9E">
        <w:t xml:space="preserve"> injection into natural gas pipeline, etc.) by all qualifying devices</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CDWe</w:t>
      </w:r>
      <w:r w:rsidRPr="00720D9E">
        <w:rPr>
          <w:i/>
          <w:vertAlign w:val="subscript"/>
        </w:rPr>
        <w:t>pre,i</w:t>
      </w:r>
      <w:r w:rsidRPr="00720D9E">
        <w:tab/>
        <w:t>=</w:t>
      </w:r>
      <w:r w:rsidRPr="00720D9E">
        <w:tab/>
        <w:t xml:space="preserve">Volume of MG </w:t>
      </w:r>
      <w:r w:rsidR="00F34C2E" w:rsidRPr="00720D9E">
        <w:t>sent to</w:t>
      </w:r>
      <w:r w:rsidRPr="00720D9E">
        <w:t xml:space="preserve"> qualifying destruction devices, from the </w:t>
      </w:r>
      <w:r w:rsidR="004447DE" w:rsidRPr="00720D9E">
        <w:t xml:space="preserve">offset </w:t>
      </w:r>
      <w:r w:rsidRPr="00720D9E">
        <w:t>project commencement date through the end of the current reporting period, captured from converted dewatering wells that were mined through during the current reporting period (scf)</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ind w:left="1800" w:hanging="1800"/>
      </w:pPr>
      <w:r w:rsidRPr="00720D9E">
        <w:rPr>
          <w:i/>
        </w:rPr>
        <w:t>CDWe</w:t>
      </w:r>
      <w:r w:rsidRPr="00720D9E">
        <w:rPr>
          <w:i/>
          <w:vertAlign w:val="subscript"/>
        </w:rPr>
        <w:t>post,i</w:t>
      </w:r>
      <w:r w:rsidRPr="00720D9E">
        <w:tab/>
        <w:t>=</w:t>
      </w:r>
      <w:r w:rsidRPr="00720D9E">
        <w:tab/>
        <w:t xml:space="preserve">Volume of MG </w:t>
      </w:r>
      <w:r w:rsidR="00F34C2E" w:rsidRPr="00720D9E">
        <w:t>sent to</w:t>
      </w:r>
      <w:r w:rsidRPr="00720D9E">
        <w:t xml:space="preserve"> qualifying destruction devices in the current reporting period captured from converted dewatering wells that were mined through during earlier reporting periods (scf)</w:t>
      </w:r>
    </w:p>
    <w:p w:rsidR="00C926F7" w:rsidRPr="00720D9E" w:rsidRDefault="00C926F7" w:rsidP="00C926F7">
      <w:pPr>
        <w:pStyle w:val="Heading3"/>
      </w:pPr>
      <w:bookmarkStart w:id="42" w:name="_Toc364243216"/>
      <w:r w:rsidRPr="00720D9E">
        <w:t xml:space="preserve">§ </w:t>
      </w:r>
      <w:r w:rsidR="00645452" w:rsidRPr="00720D9E">
        <w:t>5.3</w:t>
      </w:r>
      <w:r w:rsidRPr="00720D9E">
        <w:t>.2 Quantifying Project Emissions.</w:t>
      </w:r>
      <w:bookmarkEnd w:id="42"/>
    </w:p>
    <w:p w:rsidR="00C926F7" w:rsidRPr="00720D9E" w:rsidRDefault="00C926F7" w:rsidP="00D805E6">
      <w:pPr>
        <w:pStyle w:val="ListParagraph"/>
        <w:numPr>
          <w:ilvl w:val="0"/>
          <w:numId w:val="35"/>
        </w:numPr>
        <w:ind w:hanging="720"/>
      </w:pPr>
      <w:r w:rsidRPr="00720D9E">
        <w:t>Project emissions mus</w:t>
      </w:r>
      <w:r w:rsidR="00952263" w:rsidRPr="00720D9E">
        <w:t xml:space="preserve">t be quantified on an annual </w:t>
      </w:r>
      <w:r w:rsidRPr="00720D9E">
        <w:t xml:space="preserve">basis. </w:t>
      </w:r>
    </w:p>
    <w:p w:rsidR="00C926F7" w:rsidRPr="00720D9E" w:rsidRDefault="00C926F7" w:rsidP="00D805E6">
      <w:pPr>
        <w:pStyle w:val="ListParagraph"/>
        <w:numPr>
          <w:ilvl w:val="0"/>
          <w:numId w:val="35"/>
        </w:numPr>
        <w:ind w:hanging="720"/>
      </w:pPr>
      <w:r w:rsidRPr="00720D9E">
        <w:t xml:space="preserve">Project emissions for a reporting period (PE) must be quantified by summing the emissions for all SSRs identified as included in the project in Table </w:t>
      </w:r>
      <w:r w:rsidR="00F34C2E" w:rsidRPr="00720D9E">
        <w:t>4</w:t>
      </w:r>
      <w:r w:rsidRPr="00720D9E">
        <w:t xml:space="preserve">.3 and using </w:t>
      </w:r>
      <w:r w:rsidR="004842C4" w:rsidRPr="00720D9E">
        <w:t>Equation 5.</w:t>
      </w:r>
      <w:r w:rsidR="00F34C2E" w:rsidRPr="00720D9E">
        <w:t>30</w:t>
      </w:r>
      <w:r w:rsidRPr="00720D9E">
        <w:t>.</w:t>
      </w:r>
    </w:p>
    <w:p w:rsidR="00F34C2E" w:rsidRPr="00720D9E" w:rsidRDefault="00F34C2E" w:rsidP="00F34C2E">
      <w:pPr>
        <w:pStyle w:val="ListParagraph"/>
        <w:numPr>
          <w:ilvl w:val="0"/>
          <w:numId w:val="35"/>
        </w:numPr>
        <w:ind w:hanging="720"/>
      </w:pPr>
      <w:r w:rsidRPr="00720D9E">
        <w:t>SMM that is still vented in the project scenario is not accounted for in the project emissions or baseline emissions, since it is vented in both scenarios.</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F34C2E" w:rsidRPr="00720D9E">
        <w:t>30</w:t>
      </w:r>
      <w:r w:rsidR="00C926F7" w:rsidRPr="00720D9E">
        <w:t>: Project Emissions</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PE = PE</w:t>
      </w:r>
      <w:r w:rsidRPr="00720D9E">
        <w:rPr>
          <w:i/>
          <w:vertAlign w:val="subscript"/>
        </w:rPr>
        <w:t>EC</w:t>
      </w:r>
      <w:r w:rsidRPr="00720D9E">
        <w:rPr>
          <w:i/>
        </w:rPr>
        <w:t xml:space="preserve"> + PE</w:t>
      </w:r>
      <w:r w:rsidRPr="00720D9E">
        <w:rPr>
          <w:i/>
          <w:vertAlign w:val="subscript"/>
        </w:rPr>
        <w:t>MD</w:t>
      </w:r>
      <w:r w:rsidRPr="00720D9E">
        <w:rPr>
          <w:i/>
        </w:rPr>
        <w:t xml:space="preserve"> </w:t>
      </w:r>
      <w:r w:rsidR="00A8210F" w:rsidRPr="00720D9E">
        <w:rPr>
          <w:i/>
        </w:rPr>
        <w:t>+</w:t>
      </w:r>
      <w:r w:rsidR="00347978" w:rsidRPr="00720D9E">
        <w:rPr>
          <w:i/>
        </w:rPr>
        <w:t xml:space="preserve"> </w:t>
      </w:r>
      <w:r w:rsidRPr="00720D9E">
        <w:rPr>
          <w:i/>
        </w:rPr>
        <w:t xml:space="preserve"> PE</w:t>
      </w:r>
      <w:r w:rsidRPr="00720D9E">
        <w:rPr>
          <w:i/>
          <w:vertAlign w:val="subscript"/>
        </w:rPr>
        <w:t>UM</w:t>
      </w:r>
    </w:p>
    <w:p w:rsidR="00C926F7" w:rsidRPr="00720D9E" w:rsidRDefault="00C926F7" w:rsidP="00C926F7">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tab/>
        <w:t>=</w:t>
      </w:r>
      <w:r w:rsidRPr="00720D9E">
        <w:tab/>
        <w:t>Project emissions during the reporting period (tCO</w:t>
      </w:r>
      <w:r w:rsidRPr="00720D9E">
        <w:rPr>
          <w:vertAlign w:val="subscript"/>
        </w:rPr>
        <w:t>2</w:t>
      </w:r>
      <w:r w:rsidRPr="00720D9E">
        <w:t>e)</w:t>
      </w:r>
    </w:p>
    <w:p w:rsidR="00C926F7" w:rsidRPr="00720D9E" w:rsidRDefault="00C926F7"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EC</w:t>
      </w:r>
      <w:r w:rsidRPr="00720D9E">
        <w:rPr>
          <w:i/>
          <w:vertAlign w:val="subscript"/>
        </w:rPr>
        <w:tab/>
      </w:r>
      <w:r w:rsidRPr="00720D9E">
        <w:t>=</w:t>
      </w:r>
      <w:r w:rsidRPr="00720D9E">
        <w:tab/>
        <w:t>Project emissions from energy consumed to capture and destroy methane during the reporting period (tCO</w:t>
      </w:r>
      <w:r w:rsidRPr="00720D9E">
        <w:rPr>
          <w:vertAlign w:val="subscript"/>
        </w:rPr>
        <w:t>2</w:t>
      </w:r>
      <w:r w:rsidRPr="00720D9E">
        <w:t>e)</w:t>
      </w:r>
    </w:p>
    <w:p w:rsidR="00016217" w:rsidRPr="00720D9E" w:rsidRDefault="00C926F7" w:rsidP="0001621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00347978" w:rsidRPr="00720D9E">
        <w:rPr>
          <w:i/>
          <w:vertAlign w:val="subscript"/>
        </w:rPr>
        <w:t>MD</w:t>
      </w:r>
      <w:r w:rsidRPr="00720D9E">
        <w:tab/>
        <w:t>=</w:t>
      </w:r>
      <w:r w:rsidRPr="00720D9E">
        <w:tab/>
        <w:t>Project emissions from destruction of methane during the reporting period (tCO</w:t>
      </w:r>
      <w:r w:rsidRPr="00720D9E">
        <w:rPr>
          <w:vertAlign w:val="subscript"/>
        </w:rPr>
        <w:t>2</w:t>
      </w:r>
      <w:r w:rsidR="00016217" w:rsidRPr="00720D9E">
        <w:t>e)</w:t>
      </w:r>
    </w:p>
    <w:p w:rsidR="00C926F7" w:rsidRPr="00720D9E" w:rsidRDefault="00C926F7" w:rsidP="0001621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00F34C2E" w:rsidRPr="00720D9E">
        <w:rPr>
          <w:i/>
          <w:vertAlign w:val="subscript"/>
        </w:rPr>
        <w:t>UM</w:t>
      </w:r>
      <w:r w:rsidRPr="00720D9E">
        <w:tab/>
        <w:t>=</w:t>
      </w:r>
      <w:r w:rsidRPr="00720D9E">
        <w:tab/>
        <w:t>Project emissions from uncombusted methane during the reporting period (tCO</w:t>
      </w:r>
      <w:r w:rsidRPr="00720D9E">
        <w:rPr>
          <w:vertAlign w:val="subscript"/>
        </w:rPr>
        <w:t>2</w:t>
      </w:r>
      <w:r w:rsidRPr="00720D9E">
        <w:t xml:space="preserve">e) </w:t>
      </w:r>
    </w:p>
    <w:p w:rsidR="00016217" w:rsidRPr="00720D9E" w:rsidRDefault="00016217" w:rsidP="00D805E6">
      <w:pPr>
        <w:pStyle w:val="ListParagraph"/>
        <w:numPr>
          <w:ilvl w:val="0"/>
          <w:numId w:val="35"/>
        </w:numPr>
        <w:ind w:hanging="720"/>
      </w:pPr>
      <w:r w:rsidRPr="00720D9E">
        <w:lastRenderedPageBreak/>
        <w:t>If the project uses fossil fuel or grid electricity to power additional equipment required for project activities, the resulting CO</w:t>
      </w:r>
      <w:r w:rsidRPr="00720D9E">
        <w:rPr>
          <w:vertAlign w:val="subscript"/>
        </w:rPr>
        <w:t>2</w:t>
      </w:r>
      <w:r w:rsidRPr="00720D9E">
        <w:t xml:space="preserve"> emissions from the energy consumed to capture and destroy methane (PE</w:t>
      </w:r>
      <w:r w:rsidRPr="00720D9E">
        <w:rPr>
          <w:vertAlign w:val="subscript"/>
        </w:rPr>
        <w:t>EC</w:t>
      </w:r>
      <w:r w:rsidRPr="00720D9E">
        <w:t xml:space="preserve">) must be quantified using </w:t>
      </w:r>
      <w:r w:rsidR="004842C4" w:rsidRPr="00720D9E">
        <w:t>Equation 5.</w:t>
      </w:r>
      <w:r w:rsidR="00F34C2E" w:rsidRPr="00720D9E">
        <w:t>31</w:t>
      </w:r>
      <w:r w:rsidRPr="00720D9E">
        <w:t>.</w:t>
      </w:r>
    </w:p>
    <w:p w:rsidR="0037214C" w:rsidRPr="00720D9E" w:rsidRDefault="00C926F7" w:rsidP="00D805E6">
      <w:pPr>
        <w:pStyle w:val="ListParagraph"/>
        <w:numPr>
          <w:ilvl w:val="0"/>
          <w:numId w:val="35"/>
        </w:numPr>
        <w:ind w:hanging="720"/>
      </w:pPr>
      <w:r w:rsidRPr="00720D9E">
        <w:t xml:space="preserve">If the total electricity generated by project activities is greater than the additional electricity consumed for the capture and destruction of methane, then the </w:t>
      </w:r>
      <w:r w:rsidRPr="00720D9E">
        <w:rPr>
          <w:i/>
        </w:rPr>
        <w:t>CONS</w:t>
      </w:r>
      <w:r w:rsidR="00347978" w:rsidRPr="00720D9E">
        <w:rPr>
          <w:i/>
          <w:vertAlign w:val="subscript"/>
        </w:rPr>
        <w:t>ELEC</w:t>
      </w:r>
      <w:r w:rsidRPr="00720D9E">
        <w:rPr>
          <w:i/>
        </w:rPr>
        <w:t xml:space="preserve"> </w:t>
      </w:r>
      <w:r w:rsidRPr="00720D9E">
        <w:t>term may be omitted from</w:t>
      </w:r>
      <w:r w:rsidRPr="00720D9E">
        <w:rPr>
          <w:i/>
        </w:rPr>
        <w:t xml:space="preserve"> </w:t>
      </w:r>
      <w:r w:rsidR="004842C4" w:rsidRPr="00720D9E">
        <w:t>Equation 5</w:t>
      </w:r>
      <w:r w:rsidR="00F34C2E" w:rsidRPr="00720D9E">
        <w:t>.31</w:t>
      </w:r>
      <w:r w:rsidRPr="00720D9E">
        <w:t>.</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01096C" w:rsidRPr="00720D9E">
        <w:t>31</w:t>
      </w:r>
      <w:r w:rsidR="00C926F7" w:rsidRPr="00720D9E">
        <w:t>: Project Emissions from Energy Consumed to Capture and Destroy Methane</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810"/>
        </w:tabs>
        <w:rPr>
          <w:i/>
        </w:rPr>
      </w:pPr>
      <w:r w:rsidRPr="00720D9E">
        <w:rPr>
          <w:i/>
        </w:rPr>
        <w:t>PE</w:t>
      </w:r>
      <w:r w:rsidRPr="00720D9E">
        <w:rPr>
          <w:i/>
          <w:vertAlign w:val="subscript"/>
        </w:rPr>
        <w:t>EC</w:t>
      </w:r>
      <w:r w:rsidRPr="00720D9E">
        <w:rPr>
          <w:i/>
        </w:rPr>
        <w:t xml:space="preserve"> = (CONS</w:t>
      </w:r>
      <w:r w:rsidRPr="00720D9E">
        <w:rPr>
          <w:i/>
          <w:vertAlign w:val="subscript"/>
        </w:rPr>
        <w:t>ELEC</w:t>
      </w:r>
      <w:r w:rsidRPr="00720D9E">
        <w:t xml:space="preserve"> x </w:t>
      </w:r>
      <w:r w:rsidRPr="00720D9E">
        <w:rPr>
          <w:i/>
        </w:rPr>
        <w:t>CEF</w:t>
      </w:r>
      <w:r w:rsidRPr="00720D9E">
        <w:rPr>
          <w:i/>
          <w:vertAlign w:val="subscript"/>
        </w:rPr>
        <w:t>ELEC</w:t>
      </w:r>
      <w:r w:rsidRPr="00720D9E">
        <w:rPr>
          <w:i/>
        </w:rPr>
        <w:t xml:space="preserve">) + </w:t>
      </w:r>
      <w:r w:rsidRPr="00720D9E">
        <w:rPr>
          <w:position w:val="-24"/>
        </w:rPr>
        <w:object w:dxaOrig="4380" w:dyaOrig="620">
          <v:shape id="_x0000_i1044" type="#_x0000_t75" style="width:223pt;height:29pt" o:ole="">
            <v:imagedata r:id="rId27" o:title=""/>
          </v:shape>
          <o:OLEObject Type="Embed" ProgID="Equation.3" ShapeID="_x0000_i1044" DrawAspect="Content" ObjectID="_1437988697" r:id="rId40"/>
        </w:object>
      </w:r>
    </w:p>
    <w:p w:rsidR="00347978" w:rsidRPr="00720D9E" w:rsidRDefault="00347978" w:rsidP="00347978">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EC</w:t>
      </w:r>
      <w:r w:rsidRPr="00720D9E">
        <w:rPr>
          <w:i/>
          <w:vertAlign w:val="subscript"/>
        </w:rPr>
        <w:tab/>
      </w:r>
      <w:r w:rsidRPr="00720D9E">
        <w:t>=</w:t>
      </w:r>
      <w:r w:rsidRPr="00720D9E">
        <w:tab/>
        <w:t>Project emissions from energy consumed to capture and destroy methane during the reporting period (tCO</w:t>
      </w:r>
      <w:r w:rsidRPr="00720D9E">
        <w:rPr>
          <w:vertAlign w:val="subscript"/>
        </w:rPr>
        <w:t>2</w:t>
      </w:r>
      <w:r w:rsidRPr="00720D9E">
        <w:t>e)</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ELEC</w:t>
      </w:r>
      <w:r w:rsidRPr="00720D9E">
        <w:rPr>
          <w:i/>
          <w:vertAlign w:val="subscript"/>
        </w:rPr>
        <w:tab/>
      </w:r>
      <w:r w:rsidRPr="00720D9E">
        <w:t>=</w:t>
      </w:r>
      <w:r w:rsidRPr="00720D9E">
        <w:tab/>
        <w:t>Additional electricity consumption for the capture and destruction of methane during the reporting period (MWh)</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ELEC</w:t>
      </w:r>
      <w:r w:rsidRPr="00720D9E">
        <w:rPr>
          <w:i/>
          <w:vertAlign w:val="subscript"/>
        </w:rPr>
        <w:tab/>
      </w:r>
      <w:r w:rsidRPr="00720D9E">
        <w:t>=</w:t>
      </w:r>
      <w:r w:rsidRPr="00720D9E">
        <w:tab/>
        <w:t>CO</w:t>
      </w:r>
      <w:r w:rsidRPr="00720D9E">
        <w:rPr>
          <w:vertAlign w:val="subscript"/>
        </w:rPr>
        <w:t>2</w:t>
      </w:r>
      <w:r w:rsidRPr="00720D9E">
        <w:t xml:space="preserve"> emission factor of electricity used </w:t>
      </w:r>
      <w:r w:rsidR="004F2D63" w:rsidRPr="00720D9E">
        <w:t>from Appendix A</w:t>
      </w:r>
      <w:r w:rsidR="004F2D63">
        <w:t xml:space="preserve"> </w:t>
      </w:r>
      <w:r w:rsidRPr="00720D9E">
        <w:t>(tCO</w:t>
      </w:r>
      <w:r w:rsidRPr="00720D9E">
        <w:rPr>
          <w:vertAlign w:val="subscript"/>
        </w:rPr>
        <w:t>2</w:t>
      </w:r>
      <w:r w:rsidRPr="00720D9E">
        <w:t>e/MWh)</w:t>
      </w:r>
      <w:r w:rsidR="00F34C2E" w:rsidRPr="00720D9E">
        <w:t xml:space="preserve"> </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HEAT</w:t>
      </w:r>
      <w:r w:rsidRPr="00720D9E">
        <w:rPr>
          <w:i/>
          <w:vertAlign w:val="subscript"/>
        </w:rPr>
        <w:tab/>
      </w:r>
      <w:r w:rsidRPr="00720D9E">
        <w:t>=</w:t>
      </w:r>
      <w:r w:rsidRPr="00720D9E">
        <w:tab/>
        <w:t>Additional heat consumption for the capture and destruction of methane during the reporting period (volume)</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HEAT</w:t>
      </w:r>
      <w:r w:rsidRPr="00720D9E">
        <w:rPr>
          <w:i/>
          <w:vertAlign w:val="subscript"/>
        </w:rPr>
        <w:tab/>
      </w:r>
      <w:r w:rsidRPr="00720D9E">
        <w:t>=</w:t>
      </w:r>
      <w:r w:rsidRPr="00720D9E">
        <w:tab/>
        <w:t>CO</w:t>
      </w:r>
      <w:r w:rsidRPr="00720D9E">
        <w:rPr>
          <w:vertAlign w:val="subscript"/>
        </w:rPr>
        <w:t>2</w:t>
      </w:r>
      <w:r w:rsidRPr="00720D9E">
        <w:t xml:space="preserve"> emission factor of heat used </w:t>
      </w:r>
      <w:r w:rsidR="004F2D63" w:rsidRPr="00720D9E">
        <w:t>from Appendix A</w:t>
      </w:r>
      <w:r w:rsidR="004F2D63">
        <w:t xml:space="preserve"> </w:t>
      </w:r>
      <w:r w:rsidRPr="00720D9E">
        <w:t>(kg CO</w:t>
      </w:r>
      <w:r w:rsidRPr="00720D9E">
        <w:rPr>
          <w:vertAlign w:val="subscript"/>
        </w:rPr>
        <w:t>2</w:t>
      </w:r>
      <w:r w:rsidRPr="00720D9E">
        <w:t>/volume)</w:t>
      </w:r>
      <w:r w:rsidR="00F34C2E" w:rsidRPr="00720D9E">
        <w:t xml:space="preserve"> </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FF</w:t>
      </w:r>
      <w:r w:rsidRPr="00720D9E">
        <w:tab/>
        <w:t>=</w:t>
      </w:r>
      <w:r w:rsidRPr="00720D9E">
        <w:tab/>
        <w:t>Additional fossil fuel consumption for the capture and destruction of methane during the reporting period (volume)</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FF</w:t>
      </w:r>
      <w:r w:rsidRPr="00720D9E">
        <w:rPr>
          <w:i/>
          <w:vertAlign w:val="subscript"/>
        </w:rPr>
        <w:tab/>
      </w:r>
      <w:r w:rsidRPr="00720D9E">
        <w:t>=</w:t>
      </w:r>
      <w:r w:rsidRPr="00720D9E">
        <w:tab/>
        <w:t>CO</w:t>
      </w:r>
      <w:r w:rsidRPr="00720D9E">
        <w:rPr>
          <w:vertAlign w:val="subscript"/>
        </w:rPr>
        <w:t>2</w:t>
      </w:r>
      <w:r w:rsidRPr="00720D9E">
        <w:t xml:space="preserve"> emission factor of fossil fuel used </w:t>
      </w:r>
      <w:r w:rsidR="004F2D63" w:rsidRPr="00720D9E">
        <w:t>from Appendix A</w:t>
      </w:r>
      <w:r w:rsidR="004F2D63">
        <w:t xml:space="preserve"> </w:t>
      </w:r>
      <w:r w:rsidRPr="00720D9E">
        <w:t>(kg CO</w:t>
      </w:r>
      <w:r w:rsidRPr="00720D9E">
        <w:rPr>
          <w:vertAlign w:val="subscript"/>
        </w:rPr>
        <w:t>2</w:t>
      </w:r>
      <w:r w:rsidRPr="00720D9E">
        <w:t>/volume)</w:t>
      </w:r>
      <w:r w:rsidR="00F34C2E" w:rsidRPr="00720D9E">
        <w:t xml:space="preserve"> </w:t>
      </w:r>
    </w:p>
    <w:p w:rsidR="00347978" w:rsidRPr="00720D9E" w:rsidRDefault="00347978" w:rsidP="00C926F7">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1/1000</w:t>
      </w:r>
      <w:r w:rsidRPr="00720D9E">
        <w:tab/>
        <w:t>=</w:t>
      </w:r>
      <w:r w:rsidRPr="00720D9E">
        <w:tab/>
        <w:t>Conversion of kg to metric tons</w:t>
      </w:r>
    </w:p>
    <w:p w:rsidR="00C926F7" w:rsidRPr="00720D9E" w:rsidRDefault="00C926F7" w:rsidP="00D805E6">
      <w:pPr>
        <w:pStyle w:val="ListParagraph"/>
        <w:numPr>
          <w:ilvl w:val="0"/>
          <w:numId w:val="35"/>
        </w:numPr>
        <w:ind w:hanging="720"/>
      </w:pPr>
      <w:r w:rsidRPr="00720D9E">
        <w:t>Project emissions from the destruction of methane (PE</w:t>
      </w:r>
      <w:r w:rsidRPr="00720D9E">
        <w:rPr>
          <w:vertAlign w:val="subscript"/>
        </w:rPr>
        <w:t>MD</w:t>
      </w:r>
      <w:r w:rsidRPr="00720D9E">
        <w:t xml:space="preserve">) must be quantified using Equations </w:t>
      </w:r>
      <w:r w:rsidR="00BD11A9" w:rsidRPr="00720D9E">
        <w:t>5</w:t>
      </w:r>
      <w:r w:rsidRPr="00720D9E">
        <w:t>.3</w:t>
      </w:r>
      <w:r w:rsidR="0001096C" w:rsidRPr="00720D9E">
        <w:t>2</w:t>
      </w:r>
      <w:r w:rsidRPr="00720D9E">
        <w:t xml:space="preserve"> and </w:t>
      </w:r>
      <w:r w:rsidR="00BD11A9" w:rsidRPr="00720D9E">
        <w:t>5</w:t>
      </w:r>
      <w:r w:rsidRPr="00720D9E">
        <w:t>.3</w:t>
      </w:r>
      <w:r w:rsidR="0001096C" w:rsidRPr="00720D9E">
        <w:t>3</w:t>
      </w:r>
      <w:r w:rsidRPr="00720D9E">
        <w:t xml:space="preserve">. </w:t>
      </w:r>
    </w:p>
    <w:p w:rsidR="00C926F7" w:rsidRPr="00720D9E" w:rsidRDefault="00C926F7" w:rsidP="00D805E6">
      <w:pPr>
        <w:pStyle w:val="ListParagraph"/>
        <w:numPr>
          <w:ilvl w:val="0"/>
          <w:numId w:val="35"/>
        </w:numPr>
        <w:ind w:hanging="720"/>
      </w:pPr>
      <w:r w:rsidRPr="00720D9E">
        <w:t>Project emissions must include the CO</w:t>
      </w:r>
      <w:r w:rsidRPr="00720D9E">
        <w:rPr>
          <w:vertAlign w:val="subscript"/>
        </w:rPr>
        <w:t>2</w:t>
      </w:r>
      <w:r w:rsidRPr="00720D9E">
        <w:t xml:space="preserve"> emissions resulting from the destruction of SMM that took place during the reporting period regardless of whether or not the well is mined through by the end of the reporting period.</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3</w:t>
      </w:r>
      <w:r w:rsidR="0001096C" w:rsidRPr="00720D9E">
        <w:t>2</w:t>
      </w:r>
      <w:r w:rsidR="00C926F7" w:rsidRPr="00720D9E">
        <w:t>: Project Emissions from Destruction of SMM</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810"/>
        </w:tabs>
        <w:rPr>
          <w:i/>
        </w:rPr>
      </w:pPr>
      <w:r w:rsidRPr="00720D9E">
        <w:rPr>
          <w:i/>
        </w:rPr>
        <w:t>PE</w:t>
      </w:r>
      <w:r w:rsidRPr="00720D9E">
        <w:rPr>
          <w:i/>
          <w:vertAlign w:val="subscript"/>
        </w:rPr>
        <w:t>MD</w:t>
      </w:r>
      <w:r w:rsidRPr="00720D9E">
        <w:rPr>
          <w:i/>
        </w:rPr>
        <w:t xml:space="preserve"> = </w:t>
      </w:r>
      <w:r w:rsidRPr="00720D9E">
        <w:rPr>
          <w:i/>
          <w:position w:val="-28"/>
        </w:rPr>
        <w:object w:dxaOrig="480" w:dyaOrig="540">
          <v:shape id="_x0000_i1045" type="#_x0000_t75" style="width:22pt;height:29pt" o:ole="">
            <v:imagedata r:id="rId18" o:title=""/>
          </v:shape>
          <o:OLEObject Type="Embed" ProgID="Equation.3" ShapeID="_x0000_i1045" DrawAspect="Content" ObjectID="_1437988698" r:id="rId41"/>
        </w:object>
      </w:r>
      <w:r w:rsidRPr="00720D9E">
        <w:rPr>
          <w:i/>
        </w:rPr>
        <w:t>MD</w:t>
      </w:r>
      <w:r w:rsidRPr="00720D9E">
        <w:rPr>
          <w:i/>
          <w:vertAlign w:val="subscript"/>
        </w:rPr>
        <w:t xml:space="preserve">i </w:t>
      </w:r>
      <w:r w:rsidRPr="00720D9E">
        <w:rPr>
          <w:vertAlign w:val="subscript"/>
        </w:rPr>
        <w:t xml:space="preserve"> </w:t>
      </w:r>
      <w:r w:rsidRPr="00720D9E">
        <w:t xml:space="preserve">x </w:t>
      </w:r>
      <w:r w:rsidRPr="00720D9E">
        <w:rPr>
          <w:i/>
        </w:rPr>
        <w:t>CEF</w:t>
      </w:r>
      <w:r w:rsidRPr="00720D9E">
        <w:rPr>
          <w:i/>
          <w:vertAlign w:val="subscript"/>
        </w:rPr>
        <w:t>CH4</w:t>
      </w:r>
    </w:p>
    <w:p w:rsidR="00347978" w:rsidRPr="00720D9E" w:rsidRDefault="00347978" w:rsidP="00347978">
      <w:pPr>
        <w:pBdr>
          <w:top w:val="single" w:sz="4" w:space="1" w:color="auto"/>
          <w:left w:val="single" w:sz="4" w:space="4" w:color="auto"/>
          <w:bottom w:val="single" w:sz="4" w:space="1" w:color="auto"/>
          <w:right w:val="single" w:sz="4" w:space="4" w:color="auto"/>
        </w:pBdr>
        <w:spacing w:after="120" w:line="240" w:lineRule="auto"/>
        <w:rPr>
          <w:i/>
        </w:rPr>
      </w:pPr>
      <w:r w:rsidRPr="00720D9E">
        <w:rPr>
          <w:i/>
        </w:rPr>
        <w:lastRenderedPageBreak/>
        <w:t xml:space="preserve">Where, </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MD</w:t>
      </w:r>
      <w:r w:rsidRPr="00720D9E">
        <w:tab/>
        <w:t>=</w:t>
      </w:r>
      <w:r w:rsidRPr="00720D9E">
        <w:tab/>
        <w:t>Project emissions from destruction of methane during the reporting period (tCO</w:t>
      </w:r>
      <w:r w:rsidRPr="00720D9E">
        <w:rPr>
          <w:vertAlign w:val="subscript"/>
        </w:rPr>
        <w:t>2</w:t>
      </w:r>
      <w:r w:rsidRPr="00720D9E">
        <w:t>e)</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(flaring, power generation, heat generation,</w:t>
      </w:r>
      <w:r w:rsidR="000D6176" w:rsidRPr="00720D9E">
        <w:t xml:space="preserve"> production of transportation fuel,</w:t>
      </w:r>
      <w:r w:rsidRPr="00720D9E">
        <w:t xml:space="preserve"> injection into natural gas pipeline, etc.) by all qualifying and non-qualifying devices</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Pr="00720D9E">
        <w:rPr>
          <w:i/>
          <w:vertAlign w:val="subscript"/>
        </w:rPr>
        <w:t>,i</w:t>
      </w:r>
      <w:r w:rsidRPr="00720D9E">
        <w:tab/>
        <w:t>=</w:t>
      </w:r>
      <w:r w:rsidRPr="00720D9E">
        <w:tab/>
        <w:t>Methane destroyed by use i during the reporting period (tCH</w:t>
      </w:r>
      <w:r w:rsidRPr="00720D9E">
        <w:rPr>
          <w:vertAlign w:val="subscript"/>
        </w:rPr>
        <w:t>4</w:t>
      </w:r>
      <w:r w:rsidRPr="00720D9E">
        <w:t>)</w:t>
      </w:r>
    </w:p>
    <w:p w:rsidR="00347978" w:rsidRPr="00720D9E" w:rsidRDefault="00347978" w:rsidP="0034797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CH4</w:t>
      </w:r>
      <w:r w:rsidRPr="00720D9E">
        <w:tab/>
        <w:t>=</w:t>
      </w:r>
      <w:r w:rsidRPr="00720D9E">
        <w:tab/>
        <w:t>CO</w:t>
      </w:r>
      <w:r w:rsidRPr="00720D9E">
        <w:rPr>
          <w:vertAlign w:val="subscript"/>
        </w:rPr>
        <w:t>2</w:t>
      </w:r>
      <w:r w:rsidRPr="00720D9E">
        <w:t xml:space="preserve"> emission factor for combusted methane (2.75 tCO</w:t>
      </w:r>
      <w:r w:rsidRPr="00720D9E">
        <w:rPr>
          <w:vertAlign w:val="subscript"/>
        </w:rPr>
        <w:t>2</w:t>
      </w:r>
      <w:r w:rsidRPr="00720D9E">
        <w:t>e/tCH</w:t>
      </w:r>
      <w:r w:rsidRPr="00720D9E">
        <w:rPr>
          <w:vertAlign w:val="subscript"/>
        </w:rPr>
        <w:t>4</w:t>
      </w:r>
      <w:r w:rsidRPr="00720D9E">
        <w:t>)</w:t>
      </w:r>
    </w:p>
    <w:p w:rsidR="00C926F7" w:rsidRPr="00720D9E" w:rsidRDefault="00C926F7" w:rsidP="00D805E6">
      <w:pPr>
        <w:pStyle w:val="ListParagraph"/>
        <w:numPr>
          <w:ilvl w:val="0"/>
          <w:numId w:val="35"/>
        </w:numPr>
        <w:ind w:hanging="720"/>
      </w:pPr>
      <w:r w:rsidRPr="00720D9E">
        <w:t>The amount of mine methane destroyed (MD</w:t>
      </w:r>
      <w:r w:rsidR="0058626D" w:rsidRPr="00720D9E">
        <w:rPr>
          <w:vertAlign w:val="subscript"/>
        </w:rPr>
        <w:t>i</w:t>
      </w:r>
      <w:r w:rsidRPr="00720D9E">
        <w:rPr>
          <w:vertAlign w:val="subscript"/>
        </w:rPr>
        <w:t xml:space="preserve"> </w:t>
      </w:r>
      <w:r w:rsidRPr="00720D9E">
        <w:t xml:space="preserve">) must be quantified using </w:t>
      </w:r>
      <w:r w:rsidR="004842C4" w:rsidRPr="00720D9E">
        <w:t>Equation 5.</w:t>
      </w:r>
      <w:r w:rsidRPr="00720D9E">
        <w:t>3</w:t>
      </w:r>
      <w:r w:rsidR="0001096C" w:rsidRPr="00720D9E">
        <w:t>3</w:t>
      </w:r>
      <w:r w:rsidRPr="00720D9E">
        <w:t>.</w:t>
      </w:r>
    </w:p>
    <w:p w:rsidR="00C926F7" w:rsidRPr="00720D9E" w:rsidRDefault="00BD11A9" w:rsidP="00D805E6">
      <w:pPr>
        <w:pStyle w:val="ListParagraph"/>
        <w:numPr>
          <w:ilvl w:val="0"/>
          <w:numId w:val="35"/>
        </w:numPr>
        <w:ind w:hanging="720"/>
      </w:pPr>
      <w:r w:rsidRPr="00720D9E">
        <w:t>Offset Project Operators and Authorized Project Designees</w:t>
      </w:r>
      <w:r w:rsidR="00C926F7" w:rsidRPr="00720D9E">
        <w:t xml:space="preserve"> may choose to use default methane destruction efficiencies (DE</w:t>
      </w:r>
      <w:r w:rsidR="00C926F7" w:rsidRPr="00720D9E">
        <w:rPr>
          <w:vertAlign w:val="subscript"/>
        </w:rPr>
        <w:t>i</w:t>
      </w:r>
      <w:r w:rsidR="00C926F7" w:rsidRPr="00720D9E">
        <w:t xml:space="preserve">) provided in Appendix </w:t>
      </w:r>
      <w:r w:rsidR="00333004" w:rsidRPr="00720D9E">
        <w:t>B</w:t>
      </w:r>
      <w:r w:rsidR="00C926F7" w:rsidRPr="00720D9E">
        <w:t xml:space="preserve"> or site-specific methane destruction efficiencies. Site-specific methane destruction efficiencies must be determined </w:t>
      </w:r>
      <w:r w:rsidR="0058626D" w:rsidRPr="00720D9E">
        <w:t>using an ARB approved methodology.</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3</w:t>
      </w:r>
      <w:r w:rsidR="0001096C" w:rsidRPr="00720D9E">
        <w:t>3</w:t>
      </w:r>
      <w:r w:rsidR="00C926F7" w:rsidRPr="00720D9E">
        <w:t>: Methane Destroyed</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810"/>
        </w:tabs>
        <w:rPr>
          <w:i/>
          <w:vertAlign w:val="subscript"/>
        </w:rPr>
      </w:pPr>
      <w:r w:rsidRPr="00720D9E">
        <w:rPr>
          <w:i/>
        </w:rPr>
        <w:t>MD</w:t>
      </w:r>
      <w:r w:rsidRPr="00720D9E">
        <w:rPr>
          <w:i/>
          <w:vertAlign w:val="subscript"/>
        </w:rPr>
        <w:t xml:space="preserve">i </w:t>
      </w:r>
      <w:r w:rsidRPr="00720D9E">
        <w:rPr>
          <w:vertAlign w:val="subscript"/>
        </w:rPr>
        <w:t xml:space="preserve"> </w:t>
      </w:r>
      <w:r w:rsidRPr="00720D9E">
        <w:t xml:space="preserve">= </w:t>
      </w:r>
      <w:r w:rsidRPr="00720D9E">
        <w:rPr>
          <w:i/>
          <w:position w:val="-28"/>
        </w:rPr>
        <w:object w:dxaOrig="480" w:dyaOrig="540">
          <v:shape id="_x0000_i1046" type="#_x0000_t75" style="width:22pt;height:29pt" o:ole="">
            <v:imagedata r:id="rId18" o:title=""/>
          </v:shape>
          <o:OLEObject Type="Embed" ProgID="Equation.3" ShapeID="_x0000_i1046" DrawAspect="Content" ObjectID="_1437988699" r:id="rId42"/>
        </w:object>
      </w:r>
      <w:r w:rsidRPr="00720D9E">
        <w:rPr>
          <w:i/>
        </w:rPr>
        <w:t>MM</w:t>
      </w:r>
      <w:r w:rsidRPr="00720D9E">
        <w:rPr>
          <w:i/>
          <w:vertAlign w:val="subscript"/>
        </w:rPr>
        <w:t>i</w:t>
      </w:r>
      <w:r w:rsidRPr="00720D9E">
        <w:t xml:space="preserve"> x </w:t>
      </w:r>
      <w:r w:rsidRPr="00720D9E">
        <w:rPr>
          <w:i/>
        </w:rPr>
        <w:t>DE</w:t>
      </w:r>
      <w:r w:rsidRPr="00720D9E">
        <w:rPr>
          <w:i/>
          <w:vertAlign w:val="subscript"/>
        </w:rPr>
        <w:t>i</w:t>
      </w:r>
    </w:p>
    <w:p w:rsidR="0058626D" w:rsidRPr="00720D9E" w:rsidRDefault="0058626D" w:rsidP="0058626D">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Pr="00720D9E">
        <w:rPr>
          <w:i/>
          <w:vertAlign w:val="subscript"/>
        </w:rPr>
        <w:t>,i</w:t>
      </w:r>
      <w:r w:rsidRPr="00720D9E">
        <w:tab/>
        <w:t>=</w:t>
      </w:r>
      <w:r w:rsidRPr="00720D9E">
        <w:tab/>
        <w:t>Methane destroyed by use i during the reporting period (tCH</w:t>
      </w:r>
      <w:r w:rsidRPr="00720D9E">
        <w:rPr>
          <w:vertAlign w:val="subscript"/>
        </w:rPr>
        <w:t>4</w:t>
      </w:r>
      <w:r w:rsidRPr="00720D9E">
        <w:t>)</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(flaring, power generation, heat generation,</w:t>
      </w:r>
      <w:r w:rsidR="000D6176" w:rsidRPr="00720D9E">
        <w:t xml:space="preserve"> production of transportation fuel, injection into natural gas pipeline,</w:t>
      </w:r>
      <w:r w:rsidRPr="00720D9E">
        <w:t xml:space="preserve"> etc.) by all qualifying and non-qualifying devices </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MM</w:t>
      </w:r>
      <w:r w:rsidRPr="00720D9E">
        <w:rPr>
          <w:i/>
          <w:vertAlign w:val="subscript"/>
        </w:rPr>
        <w:t>i</w:t>
      </w:r>
      <w:r w:rsidRPr="00720D9E">
        <w:rPr>
          <w:i/>
          <w:vertAlign w:val="subscript"/>
        </w:rPr>
        <w:tab/>
      </w:r>
      <w:r w:rsidRPr="00720D9E">
        <w:t>=</w:t>
      </w:r>
      <w:r w:rsidRPr="00720D9E">
        <w:tab/>
        <w:t xml:space="preserve">Methane measured sent to use i during the reporting period corrected to standard conditions, </w:t>
      </w:r>
      <w:r w:rsidR="00851EE5" w:rsidRPr="00720D9E">
        <w:t>if applicable</w:t>
      </w:r>
      <w:r w:rsidRPr="00720D9E">
        <w:t>, for pressure and temperature (tCH</w:t>
      </w:r>
      <w:r w:rsidRPr="00720D9E">
        <w:rPr>
          <w:vertAlign w:val="subscript"/>
        </w:rPr>
        <w:t>4</w:t>
      </w:r>
      <w:r w:rsidRPr="00720D9E">
        <w:t>)</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DE</w:t>
      </w:r>
      <w:r w:rsidRPr="00720D9E">
        <w:rPr>
          <w:i/>
          <w:vertAlign w:val="subscript"/>
        </w:rPr>
        <w:t>i</w:t>
      </w:r>
      <w:r w:rsidRPr="00720D9E">
        <w:tab/>
        <w:t>=</w:t>
      </w:r>
      <w:r w:rsidRPr="00720D9E">
        <w:tab/>
        <w:t xml:space="preserve">Efficiency of </w:t>
      </w:r>
      <w:r w:rsidR="004F2D63">
        <w:t>methane destruction device i</w:t>
      </w:r>
      <w:r w:rsidR="00847275" w:rsidRPr="00720D9E">
        <w:t>,</w:t>
      </w:r>
      <w:r w:rsidR="00CD6031" w:rsidRPr="00720D9E">
        <w:t xml:space="preserve"> </w:t>
      </w:r>
      <w:r w:rsidR="0001096C" w:rsidRPr="00720D9E">
        <w:t>either site-specific or from Appendix B</w:t>
      </w:r>
      <w:r w:rsidR="004F2D63">
        <w:t xml:space="preserve"> </w:t>
      </w:r>
      <w:r w:rsidR="004F2D63" w:rsidRPr="00720D9E">
        <w:t>(%)</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pP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With:</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810"/>
        </w:tabs>
        <w:ind w:left="810" w:hanging="810"/>
      </w:pPr>
      <w:r w:rsidRPr="00720D9E">
        <w:rPr>
          <w:i/>
        </w:rPr>
        <w:t>MM</w:t>
      </w:r>
      <w:r w:rsidRPr="00720D9E">
        <w:rPr>
          <w:i/>
          <w:vertAlign w:val="subscript"/>
        </w:rPr>
        <w:t>i</w:t>
      </w:r>
      <w:r w:rsidRPr="00720D9E">
        <w:t xml:space="preserve">  =</w:t>
      </w:r>
      <w:r w:rsidRPr="00720D9E">
        <w:rPr>
          <w:i/>
          <w:position w:val="-28"/>
        </w:rPr>
        <w:object w:dxaOrig="480" w:dyaOrig="540">
          <v:shape id="_x0000_i1047" type="#_x0000_t75" style="width:22pt;height:29pt" o:ole="">
            <v:imagedata r:id="rId18" o:title=""/>
          </v:shape>
          <o:OLEObject Type="Embed" ProgID="Equation.3" ShapeID="_x0000_i1047" DrawAspect="Content" ObjectID="_1437988700" r:id="rId43"/>
        </w:object>
      </w:r>
      <w:r w:rsidRPr="00720D9E">
        <w:t>(</w:t>
      </w:r>
      <w:r w:rsidRPr="00720D9E">
        <w:rPr>
          <w:i/>
        </w:rPr>
        <w:t>PSW</w:t>
      </w:r>
      <w:r w:rsidRPr="00720D9E">
        <w:rPr>
          <w:i/>
          <w:vertAlign w:val="subscript"/>
        </w:rPr>
        <w:t>P,all</w:t>
      </w:r>
      <w:r w:rsidRPr="00720D9E">
        <w:rPr>
          <w:i/>
        </w:rPr>
        <w:t>,</w:t>
      </w:r>
      <w:r w:rsidRPr="00720D9E">
        <w:rPr>
          <w:i/>
          <w:vertAlign w:val="subscript"/>
        </w:rPr>
        <w:t>i</w:t>
      </w:r>
      <w:r w:rsidRPr="00720D9E">
        <w:t xml:space="preserve">  x </w:t>
      </w:r>
      <w:r w:rsidRPr="00720D9E">
        <w:rPr>
          <w:i/>
          <w:lang w:val="en-GB"/>
        </w:rPr>
        <w:t>C</w:t>
      </w:r>
      <w:r w:rsidRPr="00720D9E">
        <w:rPr>
          <w:i/>
          <w:vertAlign w:val="subscript"/>
          <w:lang w:val="en-GB"/>
        </w:rPr>
        <w:t>CH4</w:t>
      </w:r>
      <w:r w:rsidRPr="00720D9E">
        <w:t xml:space="preserve"> + </w:t>
      </w:r>
      <w:r w:rsidRPr="00720D9E">
        <w:rPr>
          <w:i/>
        </w:rPr>
        <w:t>PIB</w:t>
      </w:r>
      <w:r w:rsidRPr="00720D9E">
        <w:rPr>
          <w:i/>
          <w:vertAlign w:val="subscript"/>
        </w:rPr>
        <w:t>P,i</w:t>
      </w:r>
      <w:r w:rsidRPr="00720D9E">
        <w:t xml:space="preserve">  x </w:t>
      </w:r>
      <w:r w:rsidRPr="00720D9E">
        <w:rPr>
          <w:i/>
          <w:lang w:val="en-GB"/>
        </w:rPr>
        <w:t>C</w:t>
      </w:r>
      <w:r w:rsidRPr="00720D9E">
        <w:rPr>
          <w:i/>
          <w:vertAlign w:val="subscript"/>
          <w:lang w:val="en-GB"/>
        </w:rPr>
        <w:t>CH4</w:t>
      </w:r>
      <w:r w:rsidRPr="00720D9E">
        <w:t xml:space="preserve"> + </w:t>
      </w:r>
      <w:r w:rsidRPr="00720D9E">
        <w:rPr>
          <w:i/>
        </w:rPr>
        <w:t>ECW</w:t>
      </w:r>
      <w:r w:rsidRPr="00720D9E">
        <w:rPr>
          <w:i/>
          <w:vertAlign w:val="subscript"/>
        </w:rPr>
        <w:t xml:space="preserve"> P,all</w:t>
      </w:r>
      <w:r w:rsidRPr="00720D9E">
        <w:rPr>
          <w:i/>
        </w:rPr>
        <w:t>,</w:t>
      </w:r>
      <w:r w:rsidRPr="00720D9E">
        <w:rPr>
          <w:i/>
          <w:vertAlign w:val="subscript"/>
        </w:rPr>
        <w:t>i</w:t>
      </w:r>
      <w:r w:rsidRPr="00720D9E">
        <w:t xml:space="preserve"> x </w:t>
      </w:r>
      <w:r w:rsidRPr="00720D9E">
        <w:rPr>
          <w:i/>
          <w:lang w:val="en-GB"/>
        </w:rPr>
        <w:t>C</w:t>
      </w:r>
      <w:r w:rsidRPr="00720D9E">
        <w:rPr>
          <w:i/>
          <w:vertAlign w:val="subscript"/>
          <w:lang w:val="en-GB"/>
        </w:rPr>
        <w:t>CH4</w:t>
      </w:r>
      <w:r w:rsidRPr="00720D9E">
        <w:rPr>
          <w:lang w:val="en-GB"/>
        </w:rPr>
        <w:t xml:space="preserve"> x</w:t>
      </w:r>
      <w:r w:rsidRPr="00720D9E">
        <w:rPr>
          <w:i/>
          <w:vertAlign w:val="subscript"/>
          <w:lang w:val="en-GB"/>
        </w:rPr>
        <w:t xml:space="preserve"> </w:t>
      </w:r>
      <w:r w:rsidRPr="00720D9E">
        <w:rPr>
          <w:i/>
        </w:rPr>
        <w:t>AWR</w:t>
      </w:r>
      <w:r w:rsidRPr="00720D9E">
        <w:rPr>
          <w:i/>
          <w:vertAlign w:val="subscript"/>
        </w:rPr>
        <w:t xml:space="preserve"> P,all</w:t>
      </w:r>
      <w:r w:rsidRPr="00720D9E">
        <w:rPr>
          <w:i/>
        </w:rPr>
        <w:t>,</w:t>
      </w:r>
      <w:r w:rsidRPr="00720D9E">
        <w:rPr>
          <w:i/>
          <w:vertAlign w:val="subscript"/>
        </w:rPr>
        <w:t>i</w:t>
      </w:r>
      <w:r w:rsidRPr="00720D9E">
        <w:t xml:space="preserve"> x</w:t>
      </w:r>
      <w:r w:rsidRPr="00720D9E">
        <w:rPr>
          <w:i/>
          <w:lang w:val="en-GB"/>
        </w:rPr>
        <w:t xml:space="preserve"> C</w:t>
      </w:r>
      <w:r w:rsidRPr="00720D9E">
        <w:rPr>
          <w:i/>
          <w:vertAlign w:val="subscript"/>
          <w:lang w:val="en-GB"/>
        </w:rPr>
        <w:t>CH4</w:t>
      </w:r>
      <w:r w:rsidRPr="00720D9E">
        <w:rPr>
          <w:lang w:val="en-GB"/>
        </w:rPr>
        <w:t xml:space="preserve"> x</w:t>
      </w:r>
      <w:r w:rsidRPr="00720D9E">
        <w:t xml:space="preserve"> </w:t>
      </w:r>
      <w:r w:rsidRPr="00720D9E">
        <w:rPr>
          <w:i/>
        </w:rPr>
        <w:t>CDW</w:t>
      </w:r>
      <w:r w:rsidRPr="00720D9E">
        <w:rPr>
          <w:i/>
          <w:vertAlign w:val="subscript"/>
        </w:rPr>
        <w:t>P,</w:t>
      </w:r>
      <w:r w:rsidR="0031196E" w:rsidRPr="00720D9E">
        <w:rPr>
          <w:i/>
          <w:vertAlign w:val="subscript"/>
        </w:rPr>
        <w:t>all,</w:t>
      </w:r>
      <w:r w:rsidRPr="00720D9E">
        <w:rPr>
          <w:i/>
          <w:vertAlign w:val="subscript"/>
        </w:rPr>
        <w:t>i</w:t>
      </w:r>
      <w:r w:rsidR="008778CE" w:rsidRPr="00720D9E">
        <w:rPr>
          <w:i/>
          <w:vertAlign w:val="subscript"/>
        </w:rPr>
        <w:t>,</w:t>
      </w:r>
      <w:r w:rsidRPr="00720D9E">
        <w:rPr>
          <w:i/>
          <w:lang w:val="en-GB"/>
        </w:rPr>
        <w:t xml:space="preserve"> </w:t>
      </w:r>
      <w:r w:rsidRPr="00720D9E">
        <w:rPr>
          <w:lang w:val="en-GB"/>
        </w:rPr>
        <w:t xml:space="preserve">x </w:t>
      </w:r>
      <w:r w:rsidRPr="00720D9E">
        <w:rPr>
          <w:i/>
          <w:lang w:val="en-GB"/>
        </w:rPr>
        <w:t>C</w:t>
      </w:r>
      <w:r w:rsidRPr="00720D9E">
        <w:rPr>
          <w:i/>
          <w:vertAlign w:val="subscript"/>
          <w:lang w:val="en-GB"/>
        </w:rPr>
        <w:t>CH4</w:t>
      </w:r>
      <w:r w:rsidRPr="00720D9E">
        <w:t>) x 0.0423 x 0.000454</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810"/>
        </w:tabs>
        <w:rPr>
          <w:i/>
        </w:rPr>
      </w:pPr>
      <w:r w:rsidRPr="00720D9E">
        <w:rPr>
          <w:i/>
        </w:rPr>
        <w:t>Where,</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PSW</w:t>
      </w:r>
      <w:r w:rsidRPr="00720D9E">
        <w:rPr>
          <w:i/>
          <w:vertAlign w:val="subscript"/>
        </w:rPr>
        <w:t>P,all</w:t>
      </w:r>
      <w:r w:rsidRPr="00720D9E">
        <w:rPr>
          <w:i/>
        </w:rPr>
        <w:t>,</w:t>
      </w:r>
      <w:r w:rsidRPr="00720D9E">
        <w:rPr>
          <w:i/>
          <w:vertAlign w:val="subscript"/>
        </w:rPr>
        <w:t>i</w:t>
      </w:r>
      <w:r w:rsidRPr="00720D9E">
        <w:tab/>
        <w:t>=</w:t>
      </w:r>
      <w:r w:rsidRPr="00720D9E">
        <w:tab/>
        <w:t xml:space="preserve">Volume of MG from pre-mining surface wells </w:t>
      </w:r>
      <w:r w:rsidR="0001096C" w:rsidRPr="00720D9E">
        <w:t>sent to</w:t>
      </w:r>
      <w:r w:rsidRPr="00720D9E">
        <w:t xml:space="preserve"> qualifying and non-qualifying devices </w:t>
      </w:r>
      <w:r w:rsidR="0001096C" w:rsidRPr="00720D9E">
        <w:t xml:space="preserve">for destruction </w:t>
      </w:r>
      <w:r w:rsidRPr="00720D9E">
        <w:t>through use i during the reporting period.  For qualifying devices, all MG, whether from a mined through well or not</w:t>
      </w:r>
      <w:r w:rsidR="0031196E" w:rsidRPr="00720D9E">
        <w:t>,</w:t>
      </w:r>
      <w:r w:rsidRPr="00720D9E">
        <w:t xml:space="preserve"> must be quantified (scf)</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Pr="00720D9E">
        <w:rPr>
          <w:i/>
          <w:vertAlign w:val="subscript"/>
        </w:rPr>
        <w:t>P,i</w:t>
      </w:r>
      <w:r w:rsidRPr="00720D9E">
        <w:tab/>
        <w:t>=</w:t>
      </w:r>
      <w:r w:rsidRPr="00720D9E">
        <w:tab/>
        <w:t xml:space="preserve">Volume of MG from pre-mining in-mine boreholes </w:t>
      </w:r>
      <w:r w:rsidR="0001096C" w:rsidRPr="00720D9E">
        <w:t>sent to</w:t>
      </w:r>
      <w:r w:rsidRPr="00720D9E">
        <w:t xml:space="preserve"> qualifying and non-qualifying devices</w:t>
      </w:r>
      <w:r w:rsidR="0001096C" w:rsidRPr="00720D9E">
        <w:t xml:space="preserve"> for destruction</w:t>
      </w:r>
      <w:r w:rsidRPr="00720D9E">
        <w:t xml:space="preserve"> through use i during the reporting period (scf)</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ECW</w:t>
      </w:r>
      <w:r w:rsidRPr="00720D9E">
        <w:rPr>
          <w:i/>
          <w:vertAlign w:val="subscript"/>
        </w:rPr>
        <w:t>P</w:t>
      </w:r>
      <w:r w:rsidR="0031196E" w:rsidRPr="00720D9E">
        <w:rPr>
          <w:i/>
          <w:vertAlign w:val="subscript"/>
        </w:rPr>
        <w:t>,all</w:t>
      </w:r>
      <w:r w:rsidRPr="00720D9E">
        <w:rPr>
          <w:i/>
          <w:vertAlign w:val="subscript"/>
        </w:rPr>
        <w:t>,i</w:t>
      </w:r>
      <w:r w:rsidRPr="00720D9E">
        <w:tab/>
        <w:t>=</w:t>
      </w:r>
      <w:r w:rsidRPr="00720D9E">
        <w:tab/>
        <w:t xml:space="preserve">Volume of MG from existing coal bed methane wells that would otherwise be shut-in and abandoned as a result of encroaching mining </w:t>
      </w:r>
      <w:r w:rsidR="0001096C" w:rsidRPr="00720D9E">
        <w:t>sent to</w:t>
      </w:r>
      <w:r w:rsidRPr="00720D9E">
        <w:t xml:space="preserve"> qualifying and non-qualifying devices </w:t>
      </w:r>
      <w:r w:rsidR="0001096C" w:rsidRPr="00720D9E">
        <w:t xml:space="preserve">for destruction </w:t>
      </w:r>
      <w:r w:rsidRPr="00720D9E">
        <w:t>through use i during the reporting period.  For qualifying devices, all MG, whether from a mined through well or not</w:t>
      </w:r>
      <w:r w:rsidR="0031196E" w:rsidRPr="00720D9E">
        <w:t>,</w:t>
      </w:r>
      <w:r w:rsidRPr="00720D9E">
        <w:t xml:space="preserve"> must be quantified (scf)</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AWR</w:t>
      </w:r>
      <w:r w:rsidRPr="00720D9E">
        <w:rPr>
          <w:i/>
          <w:vertAlign w:val="subscript"/>
        </w:rPr>
        <w:t>P</w:t>
      </w:r>
      <w:r w:rsidR="0031196E" w:rsidRPr="00720D9E">
        <w:rPr>
          <w:i/>
          <w:vertAlign w:val="subscript"/>
        </w:rPr>
        <w:t>,all</w:t>
      </w:r>
      <w:r w:rsidRPr="00720D9E">
        <w:rPr>
          <w:i/>
          <w:vertAlign w:val="subscript"/>
        </w:rPr>
        <w:t>,i</w:t>
      </w:r>
      <w:r w:rsidRPr="00720D9E">
        <w:tab/>
        <w:t>=</w:t>
      </w:r>
      <w:r w:rsidRPr="00720D9E">
        <w:tab/>
        <w:t xml:space="preserve">Volume of MG from abandoned wells that are reactivated </w:t>
      </w:r>
      <w:r w:rsidR="0001096C" w:rsidRPr="00720D9E">
        <w:t>sent to</w:t>
      </w:r>
      <w:r w:rsidRPr="00720D9E">
        <w:t xml:space="preserve"> qualifying and non-qualifying devices</w:t>
      </w:r>
      <w:r w:rsidR="0001096C" w:rsidRPr="00720D9E">
        <w:t xml:space="preserve"> for destruction</w:t>
      </w:r>
      <w:r w:rsidRPr="00720D9E">
        <w:t xml:space="preserve"> through use i during the reporting period.  For qualifying devices, all MG, whether from a mined through well or not</w:t>
      </w:r>
      <w:r w:rsidR="0031196E" w:rsidRPr="00720D9E">
        <w:t>,</w:t>
      </w:r>
      <w:r w:rsidRPr="00720D9E">
        <w:t xml:space="preserve"> must be quantified (scf)</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CDW</w:t>
      </w:r>
      <w:r w:rsidRPr="00720D9E">
        <w:rPr>
          <w:i/>
          <w:vertAlign w:val="subscript"/>
        </w:rPr>
        <w:t>P</w:t>
      </w:r>
      <w:r w:rsidR="0031196E" w:rsidRPr="00720D9E">
        <w:rPr>
          <w:i/>
          <w:vertAlign w:val="subscript"/>
        </w:rPr>
        <w:t>,all</w:t>
      </w:r>
      <w:r w:rsidRPr="00720D9E">
        <w:rPr>
          <w:i/>
          <w:vertAlign w:val="subscript"/>
        </w:rPr>
        <w:t>,i</w:t>
      </w:r>
      <w:r w:rsidRPr="00720D9E">
        <w:rPr>
          <w:i/>
          <w:vertAlign w:val="subscript"/>
        </w:rPr>
        <w:tab/>
      </w:r>
      <w:r w:rsidRPr="00720D9E">
        <w:t>=</w:t>
      </w:r>
      <w:r w:rsidRPr="00720D9E">
        <w:tab/>
        <w:t xml:space="preserve">Volume of MG from converted dewatering wells </w:t>
      </w:r>
      <w:r w:rsidR="0001096C" w:rsidRPr="00720D9E">
        <w:t>sent to</w:t>
      </w:r>
      <w:r w:rsidRPr="00720D9E">
        <w:t xml:space="preserve"> qualifying and non-qualifying devices </w:t>
      </w:r>
      <w:r w:rsidR="0001096C" w:rsidRPr="00720D9E">
        <w:t xml:space="preserve">for destruction </w:t>
      </w:r>
      <w:r w:rsidRPr="00720D9E">
        <w:t xml:space="preserve">through use i during the reporting period.  </w:t>
      </w:r>
      <w:r w:rsidR="00424AEB" w:rsidRPr="00720D9E">
        <w:t>For qualifying devices, all MG, whether from a mined through well or not</w:t>
      </w:r>
      <w:r w:rsidR="0031196E" w:rsidRPr="00720D9E">
        <w:t>,</w:t>
      </w:r>
      <w:r w:rsidR="00424AEB" w:rsidRPr="00720D9E">
        <w:t xml:space="preserve"> must be quantified (scf)</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/scf)</w:t>
      </w:r>
    </w:p>
    <w:p w:rsidR="0058626D" w:rsidRPr="00720D9E" w:rsidRDefault="0058626D" w:rsidP="0058626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58626D" w:rsidRPr="00720D9E" w:rsidRDefault="0058626D" w:rsidP="00424AEB">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AD5699" w:rsidRPr="00720D9E" w:rsidRDefault="00AD5699" w:rsidP="00AD5699">
      <w:pPr>
        <w:pStyle w:val="ListParagraph"/>
        <w:numPr>
          <w:ilvl w:val="0"/>
          <w:numId w:val="35"/>
        </w:numPr>
        <w:ind w:hanging="720"/>
      </w:pPr>
      <w:r w:rsidRPr="00720D9E">
        <w:t>Project emissions from uncombusted methane (PE</w:t>
      </w:r>
      <w:r w:rsidRPr="00720D9E">
        <w:rPr>
          <w:vertAlign w:val="subscript"/>
        </w:rPr>
        <w:t>UM</w:t>
      </w:r>
      <w:r w:rsidRPr="00720D9E">
        <w:t>) must be quantified using Equation 5.3</w:t>
      </w:r>
      <w:r>
        <w:t>4</w:t>
      </w:r>
      <w:r w:rsidRPr="00720D9E">
        <w:t xml:space="preserve">. </w:t>
      </w:r>
    </w:p>
    <w:p w:rsidR="00AD5699" w:rsidRPr="00720D9E" w:rsidRDefault="00AD5699" w:rsidP="00AD5699">
      <w:pPr>
        <w:pStyle w:val="ListParagraph"/>
        <w:numPr>
          <w:ilvl w:val="0"/>
          <w:numId w:val="35"/>
        </w:numPr>
        <w:ind w:hanging="720"/>
      </w:pPr>
      <w:r w:rsidRPr="00720D9E">
        <w:t>Offset Project Operators and Authorized Project Designees may choose to use default methane destruction efficiencies (DE</w:t>
      </w:r>
      <w:r w:rsidRPr="00720D9E">
        <w:rPr>
          <w:vertAlign w:val="subscript"/>
        </w:rPr>
        <w:t>i</w:t>
      </w:r>
      <w:r w:rsidRPr="00720D9E">
        <w:t>) provided in Appendix B or site-specific methane destruction efficiencies. Site-specific methane destruction efficiencies must be determined using an ARB approved methodology.</w:t>
      </w:r>
    </w:p>
    <w:p w:rsidR="00AD5699" w:rsidRPr="00720D9E" w:rsidRDefault="00AD5699" w:rsidP="00AD5699">
      <w:pPr>
        <w:pStyle w:val="Heading4"/>
        <w:pBdr>
          <w:top w:val="single" w:sz="4" w:space="1" w:color="auto"/>
          <w:left w:val="single" w:sz="4" w:space="4" w:color="auto"/>
          <w:bottom w:val="single" w:sz="4" w:space="1" w:color="auto"/>
          <w:right w:val="single" w:sz="4" w:space="4" w:color="auto"/>
        </w:pBdr>
      </w:pPr>
      <w:r w:rsidRPr="00720D9E">
        <w:t>Equation 5.3</w:t>
      </w:r>
      <w:r>
        <w:t>4</w:t>
      </w:r>
      <w:r w:rsidRPr="00720D9E">
        <w:t>: Uncombusted Methane Emissions</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vertAlign w:val="subscript"/>
        </w:rPr>
      </w:pPr>
      <w:r w:rsidRPr="00720D9E">
        <w:rPr>
          <w:i/>
        </w:rPr>
        <w:t>PE</w:t>
      </w:r>
      <w:r>
        <w:rPr>
          <w:i/>
          <w:vertAlign w:val="subscript"/>
        </w:rPr>
        <w:t>UM</w:t>
      </w:r>
      <w:r w:rsidRPr="00720D9E">
        <w:t xml:space="preserve"> = </w:t>
      </w:r>
      <w:r w:rsidRPr="00720D9E">
        <w:rPr>
          <w:i/>
          <w:position w:val="-28"/>
        </w:rPr>
        <w:object w:dxaOrig="480" w:dyaOrig="540">
          <v:shape id="_x0000_i1048" type="#_x0000_t75" style="width:22pt;height:29pt" o:ole="">
            <v:imagedata r:id="rId18" o:title=""/>
          </v:shape>
          <o:OLEObject Type="Embed" ProgID="Equation.3" ShapeID="_x0000_i1048" DrawAspect="Content" ObjectID="_1437988701" r:id="rId44"/>
        </w:object>
      </w:r>
      <w:r w:rsidRPr="00720D9E">
        <w:rPr>
          <w:i/>
        </w:rPr>
        <w:t>MM</w:t>
      </w:r>
      <w:r>
        <w:rPr>
          <w:i/>
          <w:vertAlign w:val="subscript"/>
        </w:rPr>
        <w:t>i</w:t>
      </w:r>
      <w:r w:rsidRPr="00720D9E">
        <w:t xml:space="preserve"> x (1 -</w:t>
      </w:r>
      <w:r w:rsidRPr="00720D9E">
        <w:rPr>
          <w:i/>
        </w:rPr>
        <w:t xml:space="preserve"> DE</w:t>
      </w:r>
      <w:r w:rsidRPr="00720D9E">
        <w:rPr>
          <w:i/>
          <w:vertAlign w:val="subscript"/>
        </w:rPr>
        <w:t>i</w:t>
      </w:r>
      <w:r w:rsidRPr="00720D9E">
        <w:t xml:space="preserve"> ) x </w:t>
      </w:r>
      <w:r w:rsidRPr="00720D9E">
        <w:rPr>
          <w:i/>
        </w:rPr>
        <w:t>GWP</w:t>
      </w:r>
      <w:r w:rsidRPr="00720D9E">
        <w:rPr>
          <w:i/>
          <w:vertAlign w:val="subscript"/>
        </w:rPr>
        <w:t>CH4</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Where,</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Pr>
          <w:i/>
          <w:vertAlign w:val="subscript"/>
        </w:rPr>
        <w:t>UM</w:t>
      </w:r>
      <w:r w:rsidRPr="00720D9E">
        <w:tab/>
        <w:t>=</w:t>
      </w:r>
      <w:r w:rsidRPr="00720D9E">
        <w:tab/>
        <w:t>Project emissions from uncombusted methane during the reporting period (tCO</w:t>
      </w:r>
      <w:r w:rsidRPr="00720D9E">
        <w:rPr>
          <w:vertAlign w:val="subscript"/>
        </w:rPr>
        <w:t>2</w:t>
      </w:r>
      <w:r w:rsidRPr="00720D9E">
        <w:t>e)</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i</w:t>
      </w:r>
      <w:r w:rsidRPr="00720D9E">
        <w:tab/>
        <w:t>=</w:t>
      </w:r>
      <w:r w:rsidRPr="00720D9E">
        <w:tab/>
        <w:t xml:space="preserve">Use of methane (flaring, power generation, heat generation, production of transportation fuel, injection into natural gas pipeline, etc.) by all qualifying and non-qualifying devices </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MM</w:t>
      </w:r>
      <w:r w:rsidRPr="00720D9E">
        <w:rPr>
          <w:i/>
          <w:vertAlign w:val="subscript"/>
        </w:rPr>
        <w:t>i</w:t>
      </w:r>
      <w:r w:rsidRPr="00720D9E">
        <w:rPr>
          <w:i/>
          <w:vertAlign w:val="subscript"/>
        </w:rPr>
        <w:tab/>
      </w:r>
      <w:r w:rsidRPr="00720D9E">
        <w:t>=</w:t>
      </w:r>
      <w:r w:rsidRPr="00720D9E">
        <w:tab/>
        <w:t>Methane measured sent to use i during the reporting period (tCH</w:t>
      </w:r>
      <w:r w:rsidRPr="00720D9E">
        <w:rPr>
          <w:vertAlign w:val="subscript"/>
        </w:rPr>
        <w:t>4</w:t>
      </w:r>
      <w:r w:rsidRPr="00720D9E">
        <w:t>)</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DE</w:t>
      </w:r>
      <w:r w:rsidRPr="00720D9E">
        <w:rPr>
          <w:i/>
          <w:vertAlign w:val="subscript"/>
        </w:rPr>
        <w:t>i</w:t>
      </w:r>
      <w:r w:rsidRPr="00720D9E">
        <w:tab/>
        <w:t>=</w:t>
      </w:r>
      <w:r w:rsidRPr="00720D9E">
        <w:tab/>
        <w:t>Efficiency of methane destruction device i</w:t>
      </w:r>
      <w:r>
        <w:t>,</w:t>
      </w:r>
      <w:r w:rsidRPr="00720D9E">
        <w:t xml:space="preserve"> either site-specific or from Appendix B</w:t>
      </w:r>
      <w:r>
        <w:t xml:space="preserve"> </w:t>
      </w:r>
      <w:r w:rsidRPr="00720D9E">
        <w:t>(%)</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GWP</w:t>
      </w:r>
      <w:r w:rsidRPr="00720D9E">
        <w:rPr>
          <w:i/>
          <w:vertAlign w:val="subscript"/>
        </w:rPr>
        <w:t>CH4</w:t>
      </w:r>
      <w:r w:rsidRPr="00720D9E">
        <w:rPr>
          <w:i/>
        </w:rPr>
        <w:tab/>
      </w:r>
      <w:r w:rsidRPr="00720D9E">
        <w:t>=</w:t>
      </w:r>
      <w:r w:rsidRPr="00720D9E">
        <w:tab/>
        <w:t>Global warming potential of methane (tCO</w:t>
      </w:r>
      <w:r w:rsidRPr="00720D9E">
        <w:rPr>
          <w:vertAlign w:val="subscript"/>
        </w:rPr>
        <w:t>2</w:t>
      </w:r>
      <w:r w:rsidRPr="00720D9E">
        <w:t>e/tCH</w:t>
      </w:r>
      <w:r w:rsidRPr="00720D9E">
        <w:rPr>
          <w:vertAlign w:val="subscript"/>
        </w:rPr>
        <w:t>4</w:t>
      </w:r>
      <w:r w:rsidRPr="00720D9E">
        <w:t>)</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With,</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810"/>
        </w:tabs>
        <w:ind w:left="810" w:hanging="810"/>
      </w:pPr>
      <w:r w:rsidRPr="00720D9E">
        <w:rPr>
          <w:i/>
        </w:rPr>
        <w:t>MM</w:t>
      </w:r>
      <w:r w:rsidRPr="00720D9E">
        <w:rPr>
          <w:i/>
          <w:vertAlign w:val="subscript"/>
        </w:rPr>
        <w:t>i</w:t>
      </w:r>
      <w:r w:rsidRPr="00720D9E">
        <w:t xml:space="preserve">  =</w:t>
      </w:r>
      <w:r w:rsidRPr="00720D9E">
        <w:rPr>
          <w:i/>
          <w:position w:val="-28"/>
        </w:rPr>
        <w:object w:dxaOrig="480" w:dyaOrig="540">
          <v:shape id="_x0000_i1049" type="#_x0000_t75" style="width:22pt;height:29pt" o:ole="">
            <v:imagedata r:id="rId18" o:title=""/>
          </v:shape>
          <o:OLEObject Type="Embed" ProgID="Equation.3" ShapeID="_x0000_i1049" DrawAspect="Content" ObjectID="_1437988702" r:id="rId45"/>
        </w:object>
      </w:r>
      <w:r w:rsidRPr="00720D9E">
        <w:t xml:space="preserve"> (</w:t>
      </w:r>
      <w:r w:rsidRPr="00720D9E">
        <w:rPr>
          <w:i/>
        </w:rPr>
        <w:t>PSW</w:t>
      </w:r>
      <w:r w:rsidRPr="00720D9E">
        <w:rPr>
          <w:i/>
          <w:vertAlign w:val="subscript"/>
        </w:rPr>
        <w:t>P,all</w:t>
      </w:r>
      <w:r w:rsidRPr="00720D9E">
        <w:rPr>
          <w:i/>
        </w:rPr>
        <w:t>,</w:t>
      </w:r>
      <w:r w:rsidRPr="00720D9E">
        <w:rPr>
          <w:i/>
          <w:vertAlign w:val="subscript"/>
        </w:rPr>
        <w:t>i</w:t>
      </w:r>
      <w:r w:rsidRPr="00720D9E">
        <w:t xml:space="preserve">  x </w:t>
      </w:r>
      <w:r w:rsidRPr="00720D9E">
        <w:rPr>
          <w:i/>
          <w:lang w:val="en-GB"/>
        </w:rPr>
        <w:t>C</w:t>
      </w:r>
      <w:r w:rsidRPr="00720D9E">
        <w:rPr>
          <w:i/>
          <w:vertAlign w:val="subscript"/>
          <w:lang w:val="en-GB"/>
        </w:rPr>
        <w:t>CH4</w:t>
      </w:r>
      <w:r w:rsidRPr="00720D9E">
        <w:t xml:space="preserve"> + </w:t>
      </w:r>
      <w:r w:rsidRPr="00720D9E">
        <w:rPr>
          <w:i/>
        </w:rPr>
        <w:t>PIB</w:t>
      </w:r>
      <w:r w:rsidRPr="00720D9E">
        <w:rPr>
          <w:i/>
          <w:vertAlign w:val="subscript"/>
        </w:rPr>
        <w:t>P,i</w:t>
      </w:r>
      <w:r w:rsidRPr="00720D9E">
        <w:t xml:space="preserve">  x </w:t>
      </w:r>
      <w:r w:rsidRPr="00720D9E">
        <w:rPr>
          <w:i/>
          <w:lang w:val="en-GB"/>
        </w:rPr>
        <w:t>C</w:t>
      </w:r>
      <w:r w:rsidRPr="00720D9E">
        <w:rPr>
          <w:i/>
          <w:vertAlign w:val="subscript"/>
          <w:lang w:val="en-GB"/>
        </w:rPr>
        <w:t>CH4</w:t>
      </w:r>
      <w:r w:rsidRPr="00720D9E">
        <w:t xml:space="preserve"> + </w:t>
      </w:r>
      <w:r w:rsidRPr="00720D9E">
        <w:rPr>
          <w:i/>
        </w:rPr>
        <w:t>ECW</w:t>
      </w:r>
      <w:r w:rsidRPr="00720D9E">
        <w:rPr>
          <w:i/>
          <w:vertAlign w:val="subscript"/>
        </w:rPr>
        <w:t xml:space="preserve"> P,all</w:t>
      </w:r>
      <w:r w:rsidRPr="00720D9E">
        <w:rPr>
          <w:i/>
        </w:rPr>
        <w:t>,</w:t>
      </w:r>
      <w:r w:rsidRPr="00720D9E">
        <w:rPr>
          <w:i/>
          <w:vertAlign w:val="subscript"/>
        </w:rPr>
        <w:t>i</w:t>
      </w:r>
      <w:r w:rsidRPr="00720D9E">
        <w:t xml:space="preserve"> x </w:t>
      </w:r>
      <w:r w:rsidRPr="00720D9E">
        <w:rPr>
          <w:i/>
          <w:lang w:val="en-GB"/>
        </w:rPr>
        <w:t>C</w:t>
      </w:r>
      <w:r w:rsidRPr="00720D9E">
        <w:rPr>
          <w:i/>
          <w:vertAlign w:val="subscript"/>
          <w:lang w:val="en-GB"/>
        </w:rPr>
        <w:t>CH4</w:t>
      </w:r>
      <w:r w:rsidRPr="00720D9E">
        <w:rPr>
          <w:lang w:val="en-GB"/>
        </w:rPr>
        <w:t xml:space="preserve"> x</w:t>
      </w:r>
      <w:r w:rsidRPr="00720D9E">
        <w:rPr>
          <w:i/>
          <w:vertAlign w:val="subscript"/>
          <w:lang w:val="en-GB"/>
        </w:rPr>
        <w:t xml:space="preserve"> </w:t>
      </w:r>
      <w:r w:rsidRPr="00720D9E">
        <w:rPr>
          <w:i/>
        </w:rPr>
        <w:t>AWR</w:t>
      </w:r>
      <w:r w:rsidRPr="00720D9E">
        <w:rPr>
          <w:i/>
          <w:vertAlign w:val="subscript"/>
        </w:rPr>
        <w:t xml:space="preserve"> P,all</w:t>
      </w:r>
      <w:r w:rsidRPr="00720D9E">
        <w:rPr>
          <w:i/>
        </w:rPr>
        <w:t>,</w:t>
      </w:r>
      <w:r w:rsidRPr="00720D9E">
        <w:rPr>
          <w:i/>
          <w:vertAlign w:val="subscript"/>
        </w:rPr>
        <w:t>i</w:t>
      </w:r>
      <w:r w:rsidRPr="00720D9E">
        <w:t xml:space="preserve"> x</w:t>
      </w:r>
      <w:r w:rsidRPr="00720D9E">
        <w:rPr>
          <w:i/>
          <w:lang w:val="en-GB"/>
        </w:rPr>
        <w:t xml:space="preserve"> C</w:t>
      </w:r>
      <w:r w:rsidRPr="00720D9E">
        <w:rPr>
          <w:i/>
          <w:vertAlign w:val="subscript"/>
          <w:lang w:val="en-GB"/>
        </w:rPr>
        <w:t>CH4</w:t>
      </w:r>
      <w:r w:rsidRPr="00720D9E">
        <w:rPr>
          <w:lang w:val="en-GB"/>
        </w:rPr>
        <w:t xml:space="preserve"> x</w:t>
      </w:r>
      <w:r w:rsidRPr="00720D9E">
        <w:t xml:space="preserve"> </w:t>
      </w:r>
      <w:r w:rsidRPr="00720D9E">
        <w:rPr>
          <w:i/>
        </w:rPr>
        <w:t>CDW</w:t>
      </w:r>
      <w:r w:rsidRPr="00720D9E">
        <w:rPr>
          <w:i/>
          <w:vertAlign w:val="subscript"/>
        </w:rPr>
        <w:t>P,all,i,</w:t>
      </w:r>
      <w:r w:rsidRPr="00720D9E">
        <w:rPr>
          <w:i/>
          <w:lang w:val="en-GB"/>
        </w:rPr>
        <w:t xml:space="preserve"> </w:t>
      </w:r>
      <w:r w:rsidRPr="00720D9E">
        <w:rPr>
          <w:lang w:val="en-GB"/>
        </w:rPr>
        <w:t xml:space="preserve">x </w:t>
      </w:r>
      <w:r w:rsidRPr="00720D9E">
        <w:rPr>
          <w:i/>
          <w:lang w:val="en-GB"/>
        </w:rPr>
        <w:t>C</w:t>
      </w:r>
      <w:r w:rsidRPr="00720D9E">
        <w:rPr>
          <w:i/>
          <w:vertAlign w:val="subscript"/>
          <w:lang w:val="en-GB"/>
        </w:rPr>
        <w:t>CH4</w:t>
      </w:r>
      <w:r w:rsidRPr="00720D9E">
        <w:t>) x 0.0423 x 0.000454</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810"/>
        </w:tabs>
        <w:rPr>
          <w:i/>
        </w:rPr>
      </w:pPr>
      <w:r w:rsidRPr="00720D9E">
        <w:rPr>
          <w:i/>
        </w:rPr>
        <w:t>Where,</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Pr="00720D9E">
        <w:rPr>
          <w:i/>
          <w:vertAlign w:val="subscript"/>
        </w:rPr>
        <w:t>P,all</w:t>
      </w:r>
      <w:r w:rsidRPr="00720D9E">
        <w:rPr>
          <w:i/>
        </w:rPr>
        <w:t>,</w:t>
      </w:r>
      <w:r w:rsidRPr="00720D9E">
        <w:rPr>
          <w:i/>
          <w:vertAlign w:val="subscript"/>
        </w:rPr>
        <w:t>i</w:t>
      </w:r>
      <w:r w:rsidRPr="00720D9E">
        <w:tab/>
        <w:t>=</w:t>
      </w:r>
      <w:r w:rsidRPr="00720D9E">
        <w:tab/>
        <w:t>Volume of MG from pre-mining surface wells sent to qualifying and non-qualifying devices for destruction through use i during the reporting period.  For qualifying devices, all MG, whether from a mined through well or not, must be quantified (scf)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Pr="00720D9E">
        <w:rPr>
          <w:i/>
          <w:vertAlign w:val="subscript"/>
        </w:rPr>
        <w:t>P,i</w:t>
      </w:r>
      <w:r w:rsidRPr="00720D9E">
        <w:tab/>
        <w:t>=</w:t>
      </w:r>
      <w:r w:rsidRPr="00720D9E">
        <w:tab/>
        <w:t>Volume of MG from pre-mining in-mine boreholes sent to qualifying and non-qualifying devices for destruction through use i during the reporting period (scf)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ECW</w:t>
      </w:r>
      <w:r w:rsidRPr="00720D9E">
        <w:rPr>
          <w:i/>
          <w:vertAlign w:val="subscript"/>
        </w:rPr>
        <w:t>P,all,i</w:t>
      </w:r>
      <w:r w:rsidRPr="00720D9E">
        <w:tab/>
        <w:t>=</w:t>
      </w:r>
      <w:r w:rsidRPr="00720D9E">
        <w:tab/>
        <w:t>Volume of MG from existing coal bed methane wells that would otherwise be shut-in and abandoned as a result of encroaching mining sent to qualifying and non-qualifying devices for destruction through use i during the reporting period.  For qualifying devices, all MG, whether from a mined through well or not, must be quantified (scf)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AWR</w:t>
      </w:r>
      <w:r w:rsidRPr="00720D9E">
        <w:rPr>
          <w:i/>
          <w:vertAlign w:val="subscript"/>
        </w:rPr>
        <w:t>P,all,i</w:t>
      </w:r>
      <w:r w:rsidRPr="00720D9E">
        <w:tab/>
        <w:t>=</w:t>
      </w:r>
      <w:r w:rsidRPr="00720D9E">
        <w:tab/>
        <w:t>Volume of MG from abandoned wells that are reactivated sent to qualifying and non-qualifying devices for destruction through use i during the reporting period.  For qualifying devices, all MG, whether from a mined through well or not, must be quantified (scf)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CDW</w:t>
      </w:r>
      <w:r w:rsidRPr="00720D9E">
        <w:rPr>
          <w:i/>
          <w:vertAlign w:val="subscript"/>
        </w:rPr>
        <w:t>P,all,i</w:t>
      </w:r>
      <w:r w:rsidRPr="00720D9E">
        <w:rPr>
          <w:i/>
          <w:vertAlign w:val="subscript"/>
        </w:rPr>
        <w:tab/>
      </w:r>
      <w:r w:rsidRPr="00720D9E">
        <w:t>=</w:t>
      </w:r>
      <w:r w:rsidRPr="00720D9E">
        <w:tab/>
        <w:t>Volume of MG from converted dewatering wells sent to qualifying and non-qualifying devices for destruction through use i during the reporting period.  For qualifying devices, all MG, whether from a mined through well or not, must be quantified (scf)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/scf)</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AD5699" w:rsidRPr="00720D9E" w:rsidRDefault="00AD5699" w:rsidP="00AD569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424AEB" w:rsidRPr="00720D9E" w:rsidRDefault="00424AEB" w:rsidP="00424AEB">
      <w:pPr>
        <w:pStyle w:val="ListParagraph"/>
        <w:numPr>
          <w:ilvl w:val="0"/>
          <w:numId w:val="35"/>
        </w:numPr>
        <w:ind w:hanging="720"/>
      </w:pPr>
      <w:r w:rsidRPr="00720D9E">
        <w:lastRenderedPageBreak/>
        <w:t xml:space="preserve">If gas flow metering equipment does not internally correct for temperature and pressure, use </w:t>
      </w:r>
      <w:r w:rsidR="004842C4" w:rsidRPr="00720D9E">
        <w:t>Equation 5.</w:t>
      </w:r>
      <w:r w:rsidRPr="00720D9E">
        <w:t>3</w:t>
      </w:r>
      <w:r w:rsidR="00AD5699">
        <w:t>5</w:t>
      </w:r>
      <w:r w:rsidRPr="00720D9E">
        <w:t xml:space="preserve"> to determine the amount of mine gas sent to </w:t>
      </w:r>
      <w:r w:rsidR="00063084" w:rsidRPr="00720D9E">
        <w:t xml:space="preserve">each </w:t>
      </w:r>
      <w:r w:rsidRPr="00720D9E">
        <w:t xml:space="preserve">qualifying and non-qualifying device during the reporting period. </w:t>
      </w:r>
    </w:p>
    <w:p w:rsidR="00C926F7" w:rsidRPr="00720D9E" w:rsidRDefault="004842C4" w:rsidP="00C926F7">
      <w:pPr>
        <w:pStyle w:val="Heading4"/>
        <w:pBdr>
          <w:top w:val="single" w:sz="4" w:space="1" w:color="auto"/>
          <w:left w:val="single" w:sz="4" w:space="4" w:color="auto"/>
          <w:bottom w:val="single" w:sz="4" w:space="1" w:color="auto"/>
          <w:right w:val="single" w:sz="4" w:space="4" w:color="auto"/>
        </w:pBdr>
      </w:pPr>
      <w:r w:rsidRPr="00720D9E">
        <w:t>Equation 5.</w:t>
      </w:r>
      <w:r w:rsidR="00C926F7" w:rsidRPr="00720D9E">
        <w:t>3</w:t>
      </w:r>
      <w:r w:rsidR="00AD5699">
        <w:t>5</w:t>
      </w:r>
      <w:r w:rsidR="00C926F7" w:rsidRPr="00720D9E">
        <w:t>: MG Corrected for Temperature and Pressure</w:t>
      </w:r>
    </w:p>
    <w:p w:rsidR="00424AEB" w:rsidRPr="00720D9E" w:rsidRDefault="00424AEB" w:rsidP="00424AEB">
      <w:pPr>
        <w:pBdr>
          <w:top w:val="single" w:sz="4" w:space="1" w:color="auto"/>
          <w:left w:val="single" w:sz="4" w:space="4" w:color="auto"/>
          <w:bottom w:val="single" w:sz="4" w:space="1" w:color="auto"/>
          <w:right w:val="single" w:sz="4" w:space="4" w:color="auto"/>
        </w:pBdr>
        <w:tabs>
          <w:tab w:val="left" w:pos="810"/>
        </w:tabs>
      </w:pPr>
      <w:r w:rsidRPr="00720D9E">
        <w:rPr>
          <w:i/>
        </w:rPr>
        <w:t>MG</w:t>
      </w:r>
      <w:r w:rsidRPr="00720D9E">
        <w:rPr>
          <w:i/>
          <w:vertAlign w:val="subscript"/>
        </w:rPr>
        <w:t>corrected,i,y</w:t>
      </w:r>
      <w:r w:rsidRPr="00720D9E">
        <w:t xml:space="preserve"> = </w:t>
      </w:r>
      <w:r w:rsidRPr="00720D9E">
        <w:rPr>
          <w:i/>
        </w:rPr>
        <w:t>MG</w:t>
      </w:r>
      <w:r w:rsidRPr="00720D9E">
        <w:rPr>
          <w:i/>
          <w:vertAlign w:val="subscript"/>
        </w:rPr>
        <w:t>meas,i,y</w:t>
      </w:r>
      <w:r w:rsidRPr="00720D9E">
        <w:t xml:space="preserve"> x </w:t>
      </w:r>
      <w:r w:rsidRPr="00720D9E">
        <w:rPr>
          <w:position w:val="-32"/>
        </w:rPr>
        <w:object w:dxaOrig="620" w:dyaOrig="700">
          <v:shape id="_x0000_i1050" type="#_x0000_t75" style="width:29pt;height:36pt" o:ole="">
            <v:imagedata r:id="rId34" o:title=""/>
          </v:shape>
          <o:OLEObject Type="Embed" ProgID="Equation.3" ShapeID="_x0000_i1050" DrawAspect="Content" ObjectID="_1437988703" r:id="rId46"/>
        </w:object>
      </w:r>
      <w:r w:rsidRPr="00720D9E">
        <w:t xml:space="preserve"> x </w:t>
      </w:r>
      <w:r w:rsidRPr="00720D9E">
        <w:rPr>
          <w:position w:val="-24"/>
        </w:rPr>
        <w:object w:dxaOrig="639" w:dyaOrig="660">
          <v:shape id="_x0000_i1051" type="#_x0000_t75" style="width:36pt;height:36pt" o:ole="">
            <v:imagedata r:id="rId36" o:title=""/>
          </v:shape>
          <o:OLEObject Type="Embed" ProgID="Equation.3" ShapeID="_x0000_i1051" DrawAspect="Content" ObjectID="_1437988704" r:id="rId47"/>
        </w:object>
      </w:r>
    </w:p>
    <w:p w:rsidR="00424AEB" w:rsidRPr="00720D9E" w:rsidRDefault="00424AEB" w:rsidP="00424AEB">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424AEB" w:rsidRPr="00720D9E" w:rsidRDefault="00424AEB" w:rsidP="00424AEB">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MG</w:t>
      </w:r>
      <w:r w:rsidRPr="00720D9E">
        <w:rPr>
          <w:i/>
          <w:vertAlign w:val="subscript"/>
        </w:rPr>
        <w:t>corrected,i,y</w:t>
      </w:r>
      <w:r w:rsidRPr="00720D9E">
        <w:tab/>
        <w:t>=</w:t>
      </w:r>
      <w:r w:rsidRPr="00720D9E">
        <w:tab/>
      </w:r>
      <w:r w:rsidR="00B53A53" w:rsidRPr="00720D9E">
        <w:t>C</w:t>
      </w:r>
      <w:r w:rsidRPr="00720D9E">
        <w:t xml:space="preserve">orrected </w:t>
      </w:r>
      <w:r w:rsidR="00B53A53" w:rsidRPr="00720D9E">
        <w:t xml:space="preserve">flow rate or total </w:t>
      </w:r>
      <w:r w:rsidRPr="00720D9E">
        <w:t>volume of MG collected for the time interval y at utilization type i, adjusted to 60°F and 1 atm (scf/unit of time)</w:t>
      </w:r>
    </w:p>
    <w:p w:rsidR="00424AEB" w:rsidRPr="00720D9E" w:rsidRDefault="00424AEB" w:rsidP="00424AEB">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MG</w:t>
      </w:r>
      <w:r w:rsidRPr="00720D9E">
        <w:rPr>
          <w:i/>
          <w:vertAlign w:val="subscript"/>
        </w:rPr>
        <w:t>meas,i,y</w:t>
      </w:r>
      <w:r w:rsidRPr="00720D9E">
        <w:tab/>
        <w:t>=</w:t>
      </w:r>
      <w:r w:rsidRPr="00720D9E">
        <w:tab/>
        <w:t xml:space="preserve">Measured </w:t>
      </w:r>
      <w:r w:rsidR="00B53A53" w:rsidRPr="00720D9E">
        <w:t xml:space="preserve">flow rate or total </w:t>
      </w:r>
      <w:r w:rsidRPr="00720D9E">
        <w:t>volume of MG collected for the time interval y at utilization type i (scf/unit of time)</w:t>
      </w:r>
    </w:p>
    <w:p w:rsidR="00424AEB" w:rsidRPr="00720D9E" w:rsidRDefault="00424AEB" w:rsidP="00424AEB">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T</w:t>
      </w:r>
      <w:r w:rsidRPr="00720D9E">
        <w:rPr>
          <w:i/>
          <w:vertAlign w:val="subscript"/>
        </w:rPr>
        <w:t>MG,y</w:t>
      </w:r>
      <w:r w:rsidRPr="00720D9E">
        <w:rPr>
          <w:i/>
        </w:rPr>
        <w:tab/>
      </w:r>
      <w:r w:rsidRPr="00720D9E">
        <w:t>=</w:t>
      </w:r>
      <w:r w:rsidRPr="00720D9E">
        <w:tab/>
        <w:t>Measured temperature of the MG for the time interval y, °R=°F+460 (°R)</w:t>
      </w:r>
    </w:p>
    <w:p w:rsidR="00424AEB" w:rsidRPr="00720D9E" w:rsidRDefault="00424AEB" w:rsidP="00424AEB">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w:t>
      </w:r>
      <w:r w:rsidRPr="00720D9E">
        <w:rPr>
          <w:i/>
          <w:vertAlign w:val="subscript"/>
        </w:rPr>
        <w:t>MG,y</w:t>
      </w:r>
      <w:r w:rsidRPr="00720D9E">
        <w:rPr>
          <w:i/>
        </w:rPr>
        <w:tab/>
        <w:t>=</w:t>
      </w:r>
      <w:r w:rsidRPr="00720D9E">
        <w:rPr>
          <w:i/>
        </w:rPr>
        <w:tab/>
      </w:r>
      <w:r w:rsidRPr="00720D9E">
        <w:t>Measured pressure of the MG for the time interval y (atm)</w:t>
      </w:r>
    </w:p>
    <w:p w:rsidR="00C926F7" w:rsidRPr="00720D9E" w:rsidRDefault="00C926F7" w:rsidP="00C926F7">
      <w:pPr>
        <w:pStyle w:val="Heading2"/>
      </w:pPr>
      <w:bookmarkStart w:id="43" w:name="_Toc364243217"/>
      <w:r w:rsidRPr="00720D9E">
        <w:t xml:space="preserve">§ </w:t>
      </w:r>
      <w:r w:rsidR="00645452" w:rsidRPr="00720D9E">
        <w:t>5.4</w:t>
      </w:r>
      <w:r w:rsidRPr="00720D9E">
        <w:t xml:space="preserve">. Abandoned Underground Mine Methane Recovery </w:t>
      </w:r>
      <w:r w:rsidR="004D228E" w:rsidRPr="00720D9E">
        <w:t>Activities</w:t>
      </w:r>
      <w:r w:rsidRPr="00720D9E">
        <w:t>.</w:t>
      </w:r>
      <w:bookmarkEnd w:id="43"/>
    </w:p>
    <w:p w:rsidR="00AD49AE" w:rsidRPr="00720D9E" w:rsidRDefault="00063084" w:rsidP="00AD49AE">
      <w:pPr>
        <w:pStyle w:val="ListParagraph"/>
        <w:numPr>
          <w:ilvl w:val="0"/>
          <w:numId w:val="57"/>
        </w:numPr>
        <w:ind w:left="720" w:hanging="720"/>
      </w:pPr>
      <w:r w:rsidRPr="00720D9E">
        <w:t xml:space="preserve">GHG emission reductions for a reporting period (ER) must be quantified by subtracting the project emissions for that reporting period (PE) from the baseline emissions for that reporting period (BE) </w:t>
      </w:r>
      <w:r w:rsidR="00AD49AE" w:rsidRPr="00720D9E">
        <w:t xml:space="preserve">and applying an uncertainty deduction (UD) </w:t>
      </w:r>
      <w:r w:rsidRPr="00720D9E">
        <w:t xml:space="preserve">using </w:t>
      </w:r>
      <w:r w:rsidR="004842C4" w:rsidRPr="00720D9E">
        <w:t>Equation 5.</w:t>
      </w:r>
      <w:r w:rsidRPr="00720D9E">
        <w:t>3</w:t>
      </w:r>
      <w:r w:rsidR="006312DA" w:rsidRPr="00720D9E">
        <w:t>6</w:t>
      </w:r>
      <w:r w:rsidRPr="00720D9E">
        <w:t>.</w:t>
      </w:r>
    </w:p>
    <w:p w:rsidR="00063084" w:rsidRPr="00720D9E" w:rsidRDefault="004842C4" w:rsidP="00063084">
      <w:pPr>
        <w:pStyle w:val="Heading4"/>
        <w:pBdr>
          <w:top w:val="single" w:sz="4" w:space="1" w:color="auto"/>
          <w:left w:val="single" w:sz="4" w:space="4" w:color="auto"/>
          <w:bottom w:val="single" w:sz="4" w:space="1" w:color="auto"/>
          <w:right w:val="single" w:sz="4" w:space="4" w:color="auto"/>
        </w:pBdr>
      </w:pPr>
      <w:r w:rsidRPr="00720D9E">
        <w:t>Equation 5.</w:t>
      </w:r>
      <w:r w:rsidR="00D3755A" w:rsidRPr="00720D9E">
        <w:t>3</w:t>
      </w:r>
      <w:r w:rsidR="006312DA" w:rsidRPr="00720D9E">
        <w:t>6</w:t>
      </w:r>
      <w:r w:rsidR="00063084" w:rsidRPr="00720D9E">
        <w:t>: GHG Emission Reductions</w:t>
      </w:r>
    </w:p>
    <w:p w:rsidR="00063084" w:rsidRPr="00720D9E" w:rsidRDefault="00063084" w:rsidP="00063084">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ER = </w:t>
      </w:r>
      <w:r w:rsidR="00AD49AE" w:rsidRPr="00720D9E">
        <w:rPr>
          <w:i/>
        </w:rPr>
        <w:t>(</w:t>
      </w:r>
      <w:r w:rsidRPr="00720D9E">
        <w:rPr>
          <w:i/>
        </w:rPr>
        <w:t>BE – PE</w:t>
      </w:r>
      <w:r w:rsidR="00AD49AE" w:rsidRPr="00720D9E">
        <w:rPr>
          <w:i/>
        </w:rPr>
        <w:t>)</w:t>
      </w:r>
      <w:r w:rsidR="00AD49AE" w:rsidRPr="00720D9E">
        <w:t xml:space="preserve"> x</w:t>
      </w:r>
      <w:r w:rsidR="00AD49AE" w:rsidRPr="00720D9E">
        <w:rPr>
          <w:i/>
        </w:rPr>
        <w:t xml:space="preserve"> UD</w:t>
      </w:r>
    </w:p>
    <w:p w:rsidR="00063084" w:rsidRPr="00720D9E" w:rsidRDefault="00063084" w:rsidP="00063084">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063084" w:rsidRPr="00720D9E" w:rsidRDefault="00063084" w:rsidP="00063084">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ER</w:t>
      </w:r>
      <w:r w:rsidRPr="00720D9E">
        <w:tab/>
        <w:t>=</w:t>
      </w:r>
      <w:r w:rsidRPr="00720D9E">
        <w:tab/>
        <w:t>Emission reductions achieved by the project during the reporting period (tCO</w:t>
      </w:r>
      <w:r w:rsidRPr="00720D9E">
        <w:rPr>
          <w:vertAlign w:val="subscript"/>
        </w:rPr>
        <w:t>2</w:t>
      </w:r>
      <w:r w:rsidRPr="00720D9E">
        <w:t>e)</w:t>
      </w:r>
    </w:p>
    <w:p w:rsidR="00063084" w:rsidRPr="00720D9E" w:rsidRDefault="00063084" w:rsidP="00063084">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tab/>
        <w:t>=</w:t>
      </w:r>
      <w:r w:rsidRPr="00720D9E">
        <w:tab/>
        <w:t>Baseline emissions during the reporting period (tCO</w:t>
      </w:r>
      <w:r w:rsidRPr="00720D9E">
        <w:rPr>
          <w:vertAlign w:val="subscript"/>
        </w:rPr>
        <w:t>2</w:t>
      </w:r>
      <w:r w:rsidRPr="00720D9E">
        <w:t>e)</w:t>
      </w:r>
    </w:p>
    <w:p w:rsidR="00063084" w:rsidRPr="00720D9E" w:rsidRDefault="00063084" w:rsidP="00063084">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tab/>
        <w:t>=</w:t>
      </w:r>
      <w:r w:rsidRPr="00720D9E">
        <w:tab/>
        <w:t>Project emissions during the reporting period (tCO</w:t>
      </w:r>
      <w:r w:rsidRPr="00720D9E">
        <w:rPr>
          <w:vertAlign w:val="subscript"/>
        </w:rPr>
        <w:t>2</w:t>
      </w:r>
      <w:r w:rsidRPr="00720D9E">
        <w:t>e)</w:t>
      </w:r>
    </w:p>
    <w:p w:rsidR="00AD49AE" w:rsidRPr="00720D9E" w:rsidRDefault="00AD49AE" w:rsidP="00063084">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UD</w:t>
      </w:r>
      <w:r w:rsidRPr="00720D9E">
        <w:rPr>
          <w:i/>
        </w:rPr>
        <w:tab/>
      </w:r>
      <w:r w:rsidRPr="00720D9E">
        <w:t>=</w:t>
      </w:r>
      <w:r w:rsidRPr="00720D9E">
        <w:tab/>
        <w:t xml:space="preserve">Uncertainty deduction; UD = 0.8 if using default hyperbolic decline curve coefficients, UD = 1 if using hyperbolic decline curve coefficients derived from measured data from pre-existing </w:t>
      </w:r>
      <w:r w:rsidR="00D8234F" w:rsidRPr="00720D9E">
        <w:t>wells</w:t>
      </w:r>
      <w:r w:rsidRPr="00720D9E">
        <w:t xml:space="preserve"> or boreholes open to the atmosphere</w:t>
      </w:r>
    </w:p>
    <w:p w:rsidR="00063084" w:rsidRPr="00720D9E" w:rsidRDefault="00063084" w:rsidP="00063084">
      <w:pPr>
        <w:pStyle w:val="Heading3"/>
      </w:pPr>
      <w:bookmarkStart w:id="44" w:name="_Toc364243218"/>
      <w:r w:rsidRPr="00720D9E">
        <w:lastRenderedPageBreak/>
        <w:t xml:space="preserve">§ </w:t>
      </w:r>
      <w:r w:rsidR="00645452" w:rsidRPr="00720D9E">
        <w:t>5.4</w:t>
      </w:r>
      <w:r w:rsidRPr="00720D9E">
        <w:t>.1 Quantifying Baseline Emissions.</w:t>
      </w:r>
      <w:bookmarkEnd w:id="44"/>
    </w:p>
    <w:p w:rsidR="00063084" w:rsidRPr="00720D9E" w:rsidRDefault="00063084" w:rsidP="00346D98">
      <w:pPr>
        <w:pStyle w:val="ListParagraph"/>
        <w:numPr>
          <w:ilvl w:val="0"/>
          <w:numId w:val="63"/>
        </w:numPr>
        <w:ind w:left="720" w:hanging="720"/>
      </w:pPr>
      <w:r w:rsidRPr="00720D9E">
        <w:t xml:space="preserve">Baseline emissions for a reporting period (BE) must be estimated by summing the baseline emissions for all SSRs identified as included in the baseline in Table </w:t>
      </w:r>
      <w:r w:rsidR="006312DA" w:rsidRPr="00720D9E">
        <w:t>4</w:t>
      </w:r>
      <w:r w:rsidRPr="00720D9E">
        <w:t>.</w:t>
      </w:r>
      <w:r w:rsidR="00F0059E" w:rsidRPr="00720D9E">
        <w:t xml:space="preserve">4 and using </w:t>
      </w:r>
      <w:r w:rsidR="004842C4" w:rsidRPr="00720D9E">
        <w:t>Equation 5.</w:t>
      </w:r>
      <w:r w:rsidR="00F0059E" w:rsidRPr="00720D9E">
        <w:t>3</w:t>
      </w:r>
      <w:r w:rsidR="006312DA" w:rsidRPr="00720D9E">
        <w:t>7</w:t>
      </w:r>
      <w:r w:rsidRPr="00720D9E">
        <w:t>.</w:t>
      </w:r>
    </w:p>
    <w:p w:rsidR="00C9779A" w:rsidRPr="00720D9E" w:rsidRDefault="00C9779A" w:rsidP="00346D98">
      <w:pPr>
        <w:pStyle w:val="ListParagraph"/>
        <w:numPr>
          <w:ilvl w:val="0"/>
          <w:numId w:val="63"/>
        </w:numPr>
        <w:ind w:left="720" w:hanging="720"/>
      </w:pPr>
      <w:r w:rsidRPr="00720D9E">
        <w:t xml:space="preserve">The emission reductions in any given reporting period must be equal to or less than the baseline emissions for that reporting period. </w:t>
      </w:r>
    </w:p>
    <w:p w:rsidR="00063084" w:rsidRPr="00720D9E" w:rsidRDefault="004842C4" w:rsidP="00063084">
      <w:pPr>
        <w:pStyle w:val="Heading4"/>
        <w:pBdr>
          <w:top w:val="single" w:sz="4" w:space="1" w:color="auto"/>
          <w:left w:val="single" w:sz="4" w:space="4" w:color="auto"/>
          <w:bottom w:val="single" w:sz="4" w:space="1" w:color="auto"/>
          <w:right w:val="single" w:sz="4" w:space="4" w:color="auto"/>
        </w:pBdr>
      </w:pPr>
      <w:r w:rsidRPr="00720D9E">
        <w:t>Equation 5.</w:t>
      </w:r>
      <w:r w:rsidR="00F0059E" w:rsidRPr="00720D9E">
        <w:t>3</w:t>
      </w:r>
      <w:r w:rsidR="006312DA" w:rsidRPr="00720D9E">
        <w:t>7</w:t>
      </w:r>
      <w:r w:rsidR="00063084" w:rsidRPr="00720D9E">
        <w:t>: Baseline Emissions</w:t>
      </w:r>
    </w:p>
    <w:p w:rsidR="00063084" w:rsidRPr="00720D9E" w:rsidRDefault="00063084" w:rsidP="00063084">
      <w:pPr>
        <w:pBdr>
          <w:top w:val="single" w:sz="4" w:space="1" w:color="auto"/>
          <w:left w:val="single" w:sz="4" w:space="4" w:color="auto"/>
          <w:bottom w:val="single" w:sz="4" w:space="1" w:color="auto"/>
          <w:right w:val="single" w:sz="4" w:space="4" w:color="auto"/>
        </w:pBdr>
        <w:spacing w:after="120" w:line="240" w:lineRule="auto"/>
        <w:rPr>
          <w:i/>
        </w:rPr>
      </w:pPr>
      <w:r w:rsidRPr="00720D9E">
        <w:rPr>
          <w:i/>
        </w:rPr>
        <w:t>BE = BE</w:t>
      </w:r>
      <w:r w:rsidRPr="00720D9E">
        <w:rPr>
          <w:i/>
          <w:vertAlign w:val="subscript"/>
        </w:rPr>
        <w:t>MD</w:t>
      </w:r>
      <w:r w:rsidRPr="00720D9E">
        <w:rPr>
          <w:i/>
        </w:rPr>
        <w:t xml:space="preserve"> + BE</w:t>
      </w:r>
      <w:r w:rsidRPr="00720D9E">
        <w:rPr>
          <w:i/>
          <w:vertAlign w:val="subscript"/>
        </w:rPr>
        <w:t>MR</w:t>
      </w:r>
    </w:p>
    <w:p w:rsidR="00063084" w:rsidRPr="00720D9E" w:rsidRDefault="00063084" w:rsidP="00063084">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063084" w:rsidRPr="00720D9E" w:rsidRDefault="00063084" w:rsidP="00063084">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tab/>
        <w:t>=</w:t>
      </w:r>
      <w:r w:rsidRPr="00720D9E">
        <w:tab/>
        <w:t>Baseline emissions during the reporting period (tCO</w:t>
      </w:r>
      <w:r w:rsidRPr="00720D9E">
        <w:rPr>
          <w:vertAlign w:val="subscript"/>
        </w:rPr>
        <w:t>2</w:t>
      </w:r>
      <w:r w:rsidRPr="00720D9E">
        <w:t>e)</w:t>
      </w:r>
    </w:p>
    <w:p w:rsidR="00063084" w:rsidRPr="00720D9E" w:rsidRDefault="00063084" w:rsidP="00063084">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rPr>
          <w:i/>
          <w:vertAlign w:val="subscript"/>
        </w:rPr>
        <w:t>MD</w:t>
      </w:r>
      <w:r w:rsidRPr="00720D9E">
        <w:tab/>
        <w:t>=</w:t>
      </w:r>
      <w:r w:rsidRPr="00720D9E">
        <w:tab/>
        <w:t>Baseline emissions from destruction of methane during the reporting period (tCO</w:t>
      </w:r>
      <w:r w:rsidRPr="00720D9E">
        <w:rPr>
          <w:vertAlign w:val="subscript"/>
        </w:rPr>
        <w:t>2</w:t>
      </w:r>
      <w:r w:rsidRPr="00720D9E">
        <w:t>e)</w:t>
      </w:r>
    </w:p>
    <w:p w:rsidR="00063084" w:rsidRPr="00720D9E" w:rsidRDefault="00063084" w:rsidP="00B01033">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rPr>
          <w:i/>
          <w:vertAlign w:val="subscript"/>
        </w:rPr>
        <w:t>MR</w:t>
      </w:r>
      <w:r w:rsidRPr="00720D9E">
        <w:tab/>
        <w:t>=</w:t>
      </w:r>
      <w:r w:rsidRPr="00720D9E">
        <w:tab/>
        <w:t>Baseline emissions from release of methane into the atmosphere avoided by the project during the reporting period (tCO</w:t>
      </w:r>
      <w:r w:rsidRPr="00720D9E">
        <w:rPr>
          <w:vertAlign w:val="subscript"/>
        </w:rPr>
        <w:t>2</w:t>
      </w:r>
      <w:r w:rsidRPr="00720D9E">
        <w:t>e)</w:t>
      </w:r>
    </w:p>
    <w:p w:rsidR="0018337E" w:rsidRPr="00720D9E" w:rsidRDefault="0018337E" w:rsidP="00346D98">
      <w:pPr>
        <w:pStyle w:val="ListParagraph"/>
        <w:numPr>
          <w:ilvl w:val="0"/>
          <w:numId w:val="63"/>
        </w:numPr>
        <w:ind w:left="720" w:hanging="720"/>
      </w:pPr>
      <w:r w:rsidRPr="00720D9E">
        <w:t>Baseline emissions from the destruction of AMM (BE</w:t>
      </w:r>
      <w:r w:rsidRPr="00720D9E">
        <w:rPr>
          <w:vertAlign w:val="subscript"/>
        </w:rPr>
        <w:t>MD</w:t>
      </w:r>
      <w:r w:rsidRPr="00720D9E">
        <w:t>) must be quantified using Equation</w:t>
      </w:r>
      <w:r w:rsidR="00631B8D" w:rsidRPr="00720D9E">
        <w:t>s</w:t>
      </w:r>
      <w:r w:rsidRPr="00720D9E">
        <w:t xml:space="preserve"> </w:t>
      </w:r>
      <w:r w:rsidR="00BD11A9" w:rsidRPr="00720D9E">
        <w:t>5</w:t>
      </w:r>
      <w:r w:rsidRPr="00720D9E">
        <w:t>.3</w:t>
      </w:r>
      <w:r w:rsidR="006312DA" w:rsidRPr="00720D9E">
        <w:t>8</w:t>
      </w:r>
      <w:r w:rsidR="00631B8D" w:rsidRPr="00720D9E">
        <w:t xml:space="preserve"> and </w:t>
      </w:r>
      <w:r w:rsidR="00BD11A9" w:rsidRPr="00720D9E">
        <w:t>5</w:t>
      </w:r>
      <w:r w:rsidR="00631B8D" w:rsidRPr="00720D9E">
        <w:t>.3</w:t>
      </w:r>
      <w:r w:rsidR="006312DA" w:rsidRPr="00720D9E">
        <w:t>9</w:t>
      </w:r>
      <w:r w:rsidRPr="00720D9E">
        <w:t xml:space="preserve">. </w:t>
      </w:r>
    </w:p>
    <w:p w:rsidR="006312DA" w:rsidRPr="00720D9E" w:rsidRDefault="006312DA" w:rsidP="006312DA">
      <w:pPr>
        <w:pStyle w:val="ListParagraph"/>
        <w:numPr>
          <w:ilvl w:val="0"/>
          <w:numId w:val="63"/>
        </w:numPr>
        <w:ind w:left="720" w:hanging="720"/>
      </w:pPr>
      <w:r w:rsidRPr="00720D9E">
        <w:t>BE</w:t>
      </w:r>
      <w:r w:rsidRPr="00720D9E">
        <w:rPr>
          <w:vertAlign w:val="subscript"/>
        </w:rPr>
        <w:t>MD</w:t>
      </w:r>
      <w:r w:rsidRPr="00720D9E">
        <w:t xml:space="preserve"> must include the estimated CO</w:t>
      </w:r>
      <w:r w:rsidRPr="00720D9E">
        <w:rPr>
          <w:vertAlign w:val="subscript"/>
        </w:rPr>
        <w:t>2</w:t>
      </w:r>
      <w:r w:rsidRPr="00720D9E">
        <w:t xml:space="preserve"> emissions from the destruction of AMM in non-qualifying devices.</w:t>
      </w:r>
    </w:p>
    <w:p w:rsidR="0018337E" w:rsidRPr="00720D9E" w:rsidRDefault="0018337E" w:rsidP="00346D98">
      <w:pPr>
        <w:pStyle w:val="ListParagraph"/>
        <w:numPr>
          <w:ilvl w:val="0"/>
          <w:numId w:val="63"/>
        </w:numPr>
        <w:ind w:left="720" w:hanging="720"/>
      </w:pPr>
      <w:r w:rsidRPr="00720D9E">
        <w:t xml:space="preserve">Mine gas (MG) can originate from four distinct sources for abandoned underground mine methane recovery activities: </w:t>
      </w:r>
      <w:r w:rsidR="00A175D8" w:rsidRPr="00720D9E">
        <w:t xml:space="preserve">pre-mining surface wells drilled into the mine </w:t>
      </w:r>
      <w:r w:rsidR="006312DA" w:rsidRPr="00720D9E">
        <w:t xml:space="preserve">during active mining operations, </w:t>
      </w:r>
      <w:r w:rsidRPr="00720D9E">
        <w:t>pre-mining in-mine boreholes</w:t>
      </w:r>
      <w:r w:rsidR="00A175D8" w:rsidRPr="00720D9E">
        <w:t xml:space="preserve"> drilled into the mine during act</w:t>
      </w:r>
      <w:r w:rsidR="006312DA" w:rsidRPr="00720D9E">
        <w:t xml:space="preserve">ive mining operations, </w:t>
      </w:r>
      <w:r w:rsidRPr="00720D9E">
        <w:t xml:space="preserve">post-mining gob wells drilled into the mine </w:t>
      </w:r>
      <w:r w:rsidR="00A175D8" w:rsidRPr="00720D9E">
        <w:t>during active mining operations</w:t>
      </w:r>
      <w:r w:rsidR="006312DA" w:rsidRPr="00720D9E">
        <w:t xml:space="preserve">, </w:t>
      </w:r>
      <w:r w:rsidR="00A175D8" w:rsidRPr="00720D9E">
        <w:t xml:space="preserve">and </w:t>
      </w:r>
      <w:r w:rsidRPr="00720D9E">
        <w:t xml:space="preserve">newly drilled surface wells. </w:t>
      </w:r>
      <w:r w:rsidR="006312DA" w:rsidRPr="00720D9E">
        <w:t xml:space="preserve"> </w:t>
      </w:r>
      <w:r w:rsidRPr="00720D9E">
        <w:t>MG from these sources must be measured and accounted for individually per the equations in this section.</w:t>
      </w:r>
    </w:p>
    <w:p w:rsidR="0018337E" w:rsidRPr="00720D9E" w:rsidRDefault="0018337E" w:rsidP="00346D98">
      <w:pPr>
        <w:pStyle w:val="ListParagraph"/>
        <w:numPr>
          <w:ilvl w:val="0"/>
          <w:numId w:val="63"/>
        </w:numPr>
        <w:ind w:left="720" w:hanging="720"/>
      </w:pPr>
      <w:r w:rsidRPr="00720D9E">
        <w:t xml:space="preserve">For each eligible methane source, the volume of </w:t>
      </w:r>
      <w:r w:rsidR="009F7E85" w:rsidRPr="00720D9E">
        <w:t>MG</w:t>
      </w:r>
      <w:r w:rsidRPr="00720D9E">
        <w:t xml:space="preserve"> destroyed in the baseline must be the determined by calculating and comparing:</w:t>
      </w:r>
    </w:p>
    <w:p w:rsidR="0018337E" w:rsidRPr="00720D9E" w:rsidRDefault="0018337E" w:rsidP="00346D98">
      <w:pPr>
        <w:pStyle w:val="ListParagraph"/>
        <w:numPr>
          <w:ilvl w:val="1"/>
          <w:numId w:val="63"/>
        </w:numPr>
        <w:ind w:hanging="720"/>
      </w:pPr>
      <w:r w:rsidRPr="00720D9E">
        <w:t xml:space="preserve">The volume of MG </w:t>
      </w:r>
      <w:r w:rsidR="00CC61DF" w:rsidRPr="00720D9E">
        <w:t xml:space="preserve">captured and </w:t>
      </w:r>
      <w:r w:rsidRPr="00720D9E">
        <w:t xml:space="preserve">destroyed by non-qualifying devices during the reporting period, adjusted for temperature and pressure, </w:t>
      </w:r>
      <w:r w:rsidR="00FE2A32" w:rsidRPr="00720D9E">
        <w:t>if applicable</w:t>
      </w:r>
      <w:r w:rsidRPr="00720D9E">
        <w:t xml:space="preserve">, using </w:t>
      </w:r>
      <w:r w:rsidR="004842C4" w:rsidRPr="00720D9E">
        <w:t>Equation 5.</w:t>
      </w:r>
      <w:r w:rsidR="006312DA" w:rsidRPr="00720D9E">
        <w:t>4</w:t>
      </w:r>
      <w:r w:rsidR="00753C5E">
        <w:t>8</w:t>
      </w:r>
      <w:r w:rsidRPr="00720D9E">
        <w:t xml:space="preserve">; and </w:t>
      </w:r>
    </w:p>
    <w:p w:rsidR="0018337E" w:rsidRPr="00720D9E" w:rsidRDefault="0018337E" w:rsidP="00346D98">
      <w:pPr>
        <w:pStyle w:val="ListParagraph"/>
        <w:numPr>
          <w:ilvl w:val="1"/>
          <w:numId w:val="63"/>
        </w:numPr>
        <w:ind w:hanging="720"/>
      </w:pPr>
      <w:r w:rsidRPr="00720D9E">
        <w:t xml:space="preserve">The volume of MG </w:t>
      </w:r>
      <w:r w:rsidR="00CC61DF" w:rsidRPr="00720D9E">
        <w:t xml:space="preserve">captured and </w:t>
      </w:r>
      <w:r w:rsidRPr="00720D9E">
        <w:t>destroyed by non-qualifying devices during the three-year period prior to</w:t>
      </w:r>
      <w:r w:rsidR="004447DE" w:rsidRPr="00720D9E">
        <w:t xml:space="preserve"> offset</w:t>
      </w:r>
      <w:r w:rsidRPr="00720D9E">
        <w:t xml:space="preserve"> project commencement (or </w:t>
      </w:r>
      <w:r w:rsidRPr="00720D9E">
        <w:lastRenderedPageBreak/>
        <w:t xml:space="preserve">during the length of time the devices are operational, if less than three years), adjusted for temperature and pressure, </w:t>
      </w:r>
      <w:r w:rsidR="00FE2A32" w:rsidRPr="00720D9E">
        <w:t>if applicable</w:t>
      </w:r>
      <w:r w:rsidRPr="00720D9E">
        <w:t xml:space="preserve">, using </w:t>
      </w:r>
      <w:r w:rsidR="004842C4" w:rsidRPr="00720D9E">
        <w:t>Equation 5.</w:t>
      </w:r>
      <w:r w:rsidR="006312DA" w:rsidRPr="00720D9E">
        <w:t>4</w:t>
      </w:r>
      <w:r w:rsidR="00753C5E">
        <w:t>8</w:t>
      </w:r>
      <w:r w:rsidRPr="00720D9E">
        <w:t xml:space="preserve"> and averaged according to the length of the reporting period.</w:t>
      </w:r>
    </w:p>
    <w:p w:rsidR="0018337E" w:rsidRPr="00720D9E" w:rsidRDefault="0018337E" w:rsidP="00346D98">
      <w:pPr>
        <w:pStyle w:val="ListParagraph"/>
        <w:numPr>
          <w:ilvl w:val="0"/>
          <w:numId w:val="63"/>
        </w:numPr>
        <w:ind w:left="720" w:hanging="720"/>
      </w:pPr>
      <w:r w:rsidRPr="00720D9E">
        <w:t xml:space="preserve">For each methane source, the larger of the two above quantities must be used in </w:t>
      </w:r>
      <w:r w:rsidR="004842C4" w:rsidRPr="00720D9E">
        <w:t>Equation 5.</w:t>
      </w:r>
      <w:r w:rsidR="004A088E" w:rsidRPr="00720D9E">
        <w:t>3</w:t>
      </w:r>
      <w:r w:rsidR="006312DA" w:rsidRPr="00720D9E">
        <w:t>9</w:t>
      </w:r>
      <w:r w:rsidRPr="00720D9E">
        <w:t>.</w:t>
      </w:r>
    </w:p>
    <w:p w:rsidR="0018337E" w:rsidRPr="00720D9E" w:rsidRDefault="0018337E" w:rsidP="00346D98">
      <w:pPr>
        <w:pStyle w:val="ListParagraph"/>
        <w:numPr>
          <w:ilvl w:val="0"/>
          <w:numId w:val="63"/>
        </w:numPr>
        <w:ind w:left="720" w:hanging="720"/>
      </w:pPr>
      <w:r w:rsidRPr="00720D9E">
        <w:t xml:space="preserve">For the purpose of baseline quantification, only non-qualifying devices that were operating during the year prior to </w:t>
      </w:r>
      <w:r w:rsidR="004447DE" w:rsidRPr="00720D9E">
        <w:t xml:space="preserve">offset </w:t>
      </w:r>
      <w:r w:rsidRPr="00720D9E">
        <w:t xml:space="preserve">project commencement should be taken into account. </w:t>
      </w:r>
    </w:p>
    <w:p w:rsidR="008E1658" w:rsidRPr="00720D9E" w:rsidRDefault="008E1658" w:rsidP="00346D98">
      <w:pPr>
        <w:pStyle w:val="ListParagraph"/>
        <w:numPr>
          <w:ilvl w:val="0"/>
          <w:numId w:val="63"/>
        </w:numPr>
        <w:ind w:left="720" w:hanging="720"/>
      </w:pPr>
      <w:r w:rsidRPr="00720D9E">
        <w:t>If there is no destruction of methane in the baseline, then BE</w:t>
      </w:r>
      <w:r w:rsidRPr="00720D9E">
        <w:rPr>
          <w:vertAlign w:val="subscript"/>
        </w:rPr>
        <w:t>MD</w:t>
      </w:r>
      <w:r w:rsidRPr="00720D9E">
        <w:t xml:space="preserve"> = 0.</w:t>
      </w:r>
    </w:p>
    <w:p w:rsidR="0018337E" w:rsidRPr="00720D9E" w:rsidRDefault="004842C4" w:rsidP="0018337E">
      <w:pPr>
        <w:pStyle w:val="Heading4"/>
        <w:pBdr>
          <w:top w:val="single" w:sz="4" w:space="1" w:color="auto"/>
          <w:left w:val="single" w:sz="4" w:space="4" w:color="auto"/>
          <w:bottom w:val="single" w:sz="4" w:space="1" w:color="auto"/>
          <w:right w:val="single" w:sz="4" w:space="4" w:color="auto"/>
        </w:pBdr>
      </w:pPr>
      <w:r w:rsidRPr="00720D9E">
        <w:t>Equation 5.</w:t>
      </w:r>
      <w:r w:rsidR="009F7E85" w:rsidRPr="00720D9E">
        <w:t>3</w:t>
      </w:r>
      <w:r w:rsidR="008E1658" w:rsidRPr="00720D9E">
        <w:t>8</w:t>
      </w:r>
      <w:r w:rsidR="0018337E" w:rsidRPr="00720D9E">
        <w:t>: Baseline Emissions from Destruction of Methane</w:t>
      </w:r>
    </w:p>
    <w:p w:rsidR="0018337E" w:rsidRPr="00720D9E" w:rsidRDefault="0018337E" w:rsidP="009F7E85">
      <w:pPr>
        <w:pBdr>
          <w:top w:val="single" w:sz="4" w:space="1" w:color="auto"/>
          <w:left w:val="single" w:sz="4" w:space="4" w:color="auto"/>
          <w:bottom w:val="single" w:sz="4" w:space="1" w:color="auto"/>
          <w:right w:val="single" w:sz="4" w:space="4" w:color="auto"/>
        </w:pBdr>
        <w:ind w:left="900" w:hanging="900"/>
        <w:rPr>
          <w:i/>
        </w:rPr>
      </w:pPr>
      <w:r w:rsidRPr="00720D9E">
        <w:rPr>
          <w:i/>
        </w:rPr>
        <w:t>BE</w:t>
      </w:r>
      <w:r w:rsidRPr="00720D9E">
        <w:rPr>
          <w:i/>
          <w:vertAlign w:val="subscript"/>
        </w:rPr>
        <w:t>MD</w:t>
      </w:r>
      <w:r w:rsidRPr="00720D9E">
        <w:rPr>
          <w:i/>
        </w:rPr>
        <w:t xml:space="preserve"> = </w:t>
      </w:r>
      <w:r w:rsidR="00DD7726" w:rsidRPr="00720D9E">
        <w:rPr>
          <w:i/>
        </w:rPr>
        <w:t>MD</w:t>
      </w:r>
      <w:r w:rsidR="00DD7726" w:rsidRPr="00720D9E">
        <w:rPr>
          <w:i/>
          <w:vertAlign w:val="subscript"/>
        </w:rPr>
        <w:t>B,i</w:t>
      </w:r>
      <w:r w:rsidR="00DD7726" w:rsidRPr="00720D9E">
        <w:rPr>
          <w:i/>
        </w:rPr>
        <w:t xml:space="preserve"> </w:t>
      </w:r>
      <w:r w:rsidRPr="00720D9E">
        <w:t xml:space="preserve">x </w:t>
      </w:r>
      <w:r w:rsidRPr="00720D9E">
        <w:rPr>
          <w:i/>
        </w:rPr>
        <w:t>CEF</w:t>
      </w:r>
      <w:r w:rsidRPr="00720D9E">
        <w:rPr>
          <w:i/>
          <w:vertAlign w:val="subscript"/>
        </w:rPr>
        <w:t>CH4</w:t>
      </w:r>
    </w:p>
    <w:p w:rsidR="0018337E" w:rsidRPr="00720D9E" w:rsidRDefault="0018337E" w:rsidP="0018337E">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18337E" w:rsidRPr="00720D9E" w:rsidRDefault="0018337E" w:rsidP="0018337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rPr>
          <w:i/>
          <w:vertAlign w:val="subscript"/>
        </w:rPr>
        <w:t>MD</w:t>
      </w:r>
      <w:r w:rsidRPr="00720D9E">
        <w:tab/>
        <w:t>=</w:t>
      </w:r>
      <w:r w:rsidRPr="00720D9E">
        <w:tab/>
        <w:t>Baseline emissions from destruction of methane during the reporting period (tCO</w:t>
      </w:r>
      <w:r w:rsidRPr="00720D9E">
        <w:rPr>
          <w:vertAlign w:val="subscript"/>
        </w:rPr>
        <w:t>2</w:t>
      </w:r>
      <w:r w:rsidRPr="00720D9E">
        <w:t>e)</w:t>
      </w:r>
    </w:p>
    <w:p w:rsidR="0018337E" w:rsidRPr="00720D9E" w:rsidRDefault="0018337E" w:rsidP="0018337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r>
      <w:r w:rsidR="00A64E25" w:rsidRPr="00720D9E">
        <w:t>Use of methane (flaring, power generation, heat generation,</w:t>
      </w:r>
      <w:r w:rsidR="000D6176" w:rsidRPr="00720D9E">
        <w:t xml:space="preserve"> production of transportation fuel,</w:t>
      </w:r>
      <w:r w:rsidR="00A64E25" w:rsidRPr="00720D9E">
        <w:t xml:space="preserve"> injection into natural gas pipeline, etc.)</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Pr="00720D9E">
        <w:rPr>
          <w:i/>
          <w:vertAlign w:val="subscript"/>
        </w:rPr>
        <w:t>B,i</w:t>
      </w:r>
      <w:r w:rsidRPr="00720D9E">
        <w:rPr>
          <w:i/>
          <w:vertAlign w:val="subscript"/>
        </w:rPr>
        <w:tab/>
      </w:r>
      <w:r w:rsidRPr="00720D9E">
        <w:t>=</w:t>
      </w:r>
      <w:r w:rsidRPr="00720D9E">
        <w:tab/>
        <w:t>Methane destroyed by non-qualifying devices through use i during the reporting period</w:t>
      </w:r>
      <w:r w:rsidR="00631B8D" w:rsidRPr="00720D9E">
        <w:t xml:space="preserve"> (tCH</w:t>
      </w:r>
      <w:r w:rsidR="00631B8D" w:rsidRPr="00720D9E">
        <w:rPr>
          <w:vertAlign w:val="subscript"/>
        </w:rPr>
        <w:t>4</w:t>
      </w:r>
      <w:r w:rsidR="00631B8D" w:rsidRPr="00720D9E">
        <w:t>)</w:t>
      </w:r>
    </w:p>
    <w:p w:rsidR="0018337E" w:rsidRPr="00720D9E" w:rsidRDefault="0018337E" w:rsidP="0018337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CH4</w:t>
      </w:r>
      <w:r w:rsidRPr="00720D9E">
        <w:tab/>
        <w:t>=</w:t>
      </w:r>
      <w:r w:rsidRPr="00720D9E">
        <w:tab/>
        <w:t>CO</w:t>
      </w:r>
      <w:r w:rsidRPr="00720D9E">
        <w:rPr>
          <w:vertAlign w:val="subscript"/>
        </w:rPr>
        <w:t>2</w:t>
      </w:r>
      <w:r w:rsidRPr="00720D9E">
        <w:t xml:space="preserve"> emission factor for combusted methane (2.75 tCO</w:t>
      </w:r>
      <w:r w:rsidRPr="00720D9E">
        <w:rPr>
          <w:vertAlign w:val="subscript"/>
        </w:rPr>
        <w:t>2</w:t>
      </w:r>
      <w:r w:rsidRPr="00720D9E">
        <w:t>e/tCH</w:t>
      </w:r>
      <w:r w:rsidRPr="00720D9E">
        <w:rPr>
          <w:vertAlign w:val="subscript"/>
        </w:rPr>
        <w:t>4</w:t>
      </w:r>
      <w:r w:rsidRPr="00720D9E">
        <w:t>)</w:t>
      </w:r>
    </w:p>
    <w:p w:rsidR="00DD7726" w:rsidRPr="00720D9E" w:rsidRDefault="00DD7726" w:rsidP="00346D98">
      <w:pPr>
        <w:pStyle w:val="ListParagraph"/>
        <w:numPr>
          <w:ilvl w:val="0"/>
          <w:numId w:val="63"/>
        </w:numPr>
        <w:ind w:left="720" w:hanging="720"/>
      </w:pPr>
      <w:r w:rsidRPr="00720D9E">
        <w:t>The amount of mine methane destroyed (MD</w:t>
      </w:r>
      <w:r w:rsidR="00631B8D" w:rsidRPr="00720D9E">
        <w:rPr>
          <w:vertAlign w:val="subscript"/>
        </w:rPr>
        <w:t>B</w:t>
      </w:r>
      <w:r w:rsidRPr="00720D9E">
        <w:rPr>
          <w:vertAlign w:val="subscript"/>
        </w:rPr>
        <w:t xml:space="preserve">,i </w:t>
      </w:r>
      <w:r w:rsidRPr="00720D9E">
        <w:t xml:space="preserve">) must be quantified using </w:t>
      </w:r>
      <w:r w:rsidR="004842C4" w:rsidRPr="00720D9E">
        <w:t>Equation 5.</w:t>
      </w:r>
      <w:r w:rsidR="008E1658" w:rsidRPr="00720D9E">
        <w:t>39</w:t>
      </w:r>
      <w:r w:rsidRPr="00720D9E">
        <w:t>.</w:t>
      </w:r>
    </w:p>
    <w:p w:rsidR="00346D98" w:rsidRPr="00720D9E" w:rsidRDefault="00346D98" w:rsidP="00346D98">
      <w:pPr>
        <w:pStyle w:val="ListParagraph"/>
        <w:numPr>
          <w:ilvl w:val="0"/>
          <w:numId w:val="63"/>
        </w:numPr>
        <w:ind w:left="720" w:hanging="720"/>
      </w:pPr>
      <w:r w:rsidRPr="00720D9E">
        <w:t>Offset Project Operators and Authorized Project Designees may choose to use default methane destruction efficiencies (DE</w:t>
      </w:r>
      <w:r w:rsidRPr="00720D9E">
        <w:rPr>
          <w:vertAlign w:val="subscript"/>
        </w:rPr>
        <w:t>i</w:t>
      </w:r>
      <w:r w:rsidRPr="00720D9E">
        <w:t>) provided in Appendix B or site-specific methane destruction efficiencies.  Site-specific methane destruction efficiencies must be determined using an ARB approved methodology.</w:t>
      </w:r>
    </w:p>
    <w:p w:rsidR="00DD7726" w:rsidRPr="00720D9E" w:rsidRDefault="004842C4" w:rsidP="00DD7726">
      <w:pPr>
        <w:pStyle w:val="Heading4"/>
        <w:pBdr>
          <w:top w:val="single" w:sz="4" w:space="1" w:color="auto"/>
          <w:left w:val="single" w:sz="4" w:space="4" w:color="auto"/>
          <w:bottom w:val="single" w:sz="4" w:space="1" w:color="auto"/>
          <w:right w:val="single" w:sz="4" w:space="4" w:color="auto"/>
        </w:pBdr>
      </w:pPr>
      <w:r w:rsidRPr="00720D9E">
        <w:t>Equation 5.</w:t>
      </w:r>
      <w:r w:rsidR="008E1658" w:rsidRPr="00720D9E">
        <w:t>39</w:t>
      </w:r>
      <w:r w:rsidR="00DD7726" w:rsidRPr="00720D9E">
        <w:t>: Methane Destroyed</w:t>
      </w:r>
      <w:r w:rsidR="00631B8D" w:rsidRPr="00720D9E">
        <w:t xml:space="preserve"> in Baseline</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810"/>
        </w:tabs>
        <w:rPr>
          <w:i/>
          <w:vertAlign w:val="subscript"/>
        </w:rPr>
      </w:pPr>
      <w:r w:rsidRPr="00720D9E">
        <w:rPr>
          <w:i/>
        </w:rPr>
        <w:t>MD</w:t>
      </w:r>
      <w:r w:rsidR="00631B8D" w:rsidRPr="00720D9E">
        <w:rPr>
          <w:i/>
          <w:vertAlign w:val="subscript"/>
        </w:rPr>
        <w:t>B</w:t>
      </w:r>
      <w:r w:rsidRPr="00720D9E">
        <w:rPr>
          <w:i/>
          <w:vertAlign w:val="subscript"/>
        </w:rPr>
        <w:t xml:space="preserve">,i </w:t>
      </w:r>
      <w:r w:rsidRPr="00720D9E">
        <w:rPr>
          <w:vertAlign w:val="subscript"/>
        </w:rPr>
        <w:t xml:space="preserve"> </w:t>
      </w:r>
      <w:r w:rsidRPr="00720D9E">
        <w:rPr>
          <w:i/>
          <w:vertAlign w:val="subscript"/>
        </w:rPr>
        <w:t xml:space="preserve"> </w:t>
      </w:r>
      <w:r w:rsidRPr="00720D9E">
        <w:rPr>
          <w:vertAlign w:val="subscript"/>
        </w:rPr>
        <w:t xml:space="preserve"> </w:t>
      </w:r>
      <w:r w:rsidRPr="00720D9E">
        <w:t xml:space="preserve">= </w:t>
      </w:r>
      <w:r w:rsidRPr="00720D9E">
        <w:rPr>
          <w:i/>
          <w:position w:val="-28"/>
        </w:rPr>
        <w:object w:dxaOrig="480" w:dyaOrig="540">
          <v:shape id="_x0000_i1052" type="#_x0000_t75" style="width:22pt;height:29pt" o:ole="">
            <v:imagedata r:id="rId18" o:title=""/>
          </v:shape>
          <o:OLEObject Type="Embed" ProgID="Equation.3" ShapeID="_x0000_i1052" DrawAspect="Content" ObjectID="_1437988705" r:id="rId48"/>
        </w:object>
      </w:r>
      <w:r w:rsidRPr="00720D9E">
        <w:rPr>
          <w:i/>
        </w:rPr>
        <w:t>MM</w:t>
      </w:r>
      <w:r w:rsidR="00631B8D" w:rsidRPr="00720D9E">
        <w:rPr>
          <w:i/>
          <w:vertAlign w:val="subscript"/>
        </w:rPr>
        <w:t>B,</w:t>
      </w:r>
      <w:r w:rsidRPr="00720D9E">
        <w:rPr>
          <w:i/>
          <w:vertAlign w:val="subscript"/>
        </w:rPr>
        <w:t>i</w:t>
      </w:r>
      <w:r w:rsidRPr="00720D9E">
        <w:t xml:space="preserve"> x </w:t>
      </w:r>
      <w:r w:rsidRPr="00720D9E">
        <w:rPr>
          <w:i/>
        </w:rPr>
        <w:t>DE</w:t>
      </w:r>
      <w:r w:rsidRPr="00720D9E">
        <w:rPr>
          <w:i/>
          <w:vertAlign w:val="subscript"/>
        </w:rPr>
        <w:t>i</w:t>
      </w:r>
    </w:p>
    <w:p w:rsidR="00DD7726" w:rsidRPr="00720D9E" w:rsidRDefault="00DD7726" w:rsidP="00DD7726">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DD7726" w:rsidRPr="00720D9E" w:rsidRDefault="00631B8D"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Pr="00720D9E">
        <w:rPr>
          <w:i/>
          <w:vertAlign w:val="subscript"/>
        </w:rPr>
        <w:t>B,i</w:t>
      </w:r>
      <w:r w:rsidR="00DD7726" w:rsidRPr="00720D9E">
        <w:tab/>
        <w:t>=</w:t>
      </w:r>
      <w:r w:rsidR="00DD7726" w:rsidRPr="00720D9E">
        <w:tab/>
        <w:t>Methane destroyed by use i during the reporting period (tCH</w:t>
      </w:r>
      <w:r w:rsidR="00DD7726" w:rsidRPr="00720D9E">
        <w:rPr>
          <w:vertAlign w:val="subscript"/>
        </w:rPr>
        <w:t>4</w:t>
      </w:r>
      <w:r w:rsidR="00DD7726" w:rsidRPr="00720D9E">
        <w:t>)</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i</w:t>
      </w:r>
      <w:r w:rsidRPr="00720D9E">
        <w:tab/>
        <w:t>=</w:t>
      </w:r>
      <w:r w:rsidRPr="00720D9E">
        <w:tab/>
        <w:t>Use of methane (flaring, power genera</w:t>
      </w:r>
      <w:r w:rsidR="00631B8D" w:rsidRPr="00720D9E">
        <w:t>tion, heat generation,</w:t>
      </w:r>
      <w:r w:rsidR="000D6176" w:rsidRPr="00720D9E">
        <w:t xml:space="preserve"> production of transportation fuel, injection into natural gas pipeline,</w:t>
      </w:r>
      <w:r w:rsidR="00631B8D" w:rsidRPr="00720D9E">
        <w:t xml:space="preserve"> etc.) by </w:t>
      </w:r>
      <w:r w:rsidRPr="00720D9E">
        <w:t xml:space="preserve">non-qualifying devices </w:t>
      </w:r>
    </w:p>
    <w:p w:rsidR="00DD7726" w:rsidRPr="00720D9E" w:rsidRDefault="00631B8D"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MM</w:t>
      </w:r>
      <w:r w:rsidRPr="00720D9E">
        <w:rPr>
          <w:i/>
          <w:vertAlign w:val="subscript"/>
        </w:rPr>
        <w:t>B,i</w:t>
      </w:r>
      <w:r w:rsidR="00DD7726" w:rsidRPr="00720D9E">
        <w:rPr>
          <w:i/>
          <w:vertAlign w:val="subscript"/>
        </w:rPr>
        <w:tab/>
      </w:r>
      <w:r w:rsidR="00DD7726" w:rsidRPr="00720D9E">
        <w:t>=</w:t>
      </w:r>
      <w:r w:rsidR="00DD7726" w:rsidRPr="00720D9E">
        <w:tab/>
        <w:t>Methane measured sent to use i during the reporting period corrected to standard conditions, if applicable, for pressure and temperature (tCH</w:t>
      </w:r>
      <w:r w:rsidR="00DD7726" w:rsidRPr="00720D9E">
        <w:rPr>
          <w:vertAlign w:val="subscript"/>
        </w:rPr>
        <w:t>4</w:t>
      </w:r>
      <w:r w:rsidR="00DD7726" w:rsidRPr="00720D9E">
        <w:t>)</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DE</w:t>
      </w:r>
      <w:r w:rsidRPr="00720D9E">
        <w:rPr>
          <w:i/>
          <w:vertAlign w:val="subscript"/>
        </w:rPr>
        <w:t>i</w:t>
      </w:r>
      <w:r w:rsidRPr="00720D9E">
        <w:tab/>
        <w:t>=</w:t>
      </w:r>
      <w:r w:rsidRPr="00720D9E">
        <w:tab/>
        <w:t>Efficiency of methane destruction device i (%)</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pP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With:</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900"/>
        </w:tabs>
        <w:ind w:left="900" w:hanging="900"/>
      </w:pPr>
      <w:r w:rsidRPr="00720D9E">
        <w:rPr>
          <w:i/>
        </w:rPr>
        <w:t>MM</w:t>
      </w:r>
      <w:r w:rsidRPr="00720D9E">
        <w:rPr>
          <w:i/>
          <w:vertAlign w:val="subscript"/>
        </w:rPr>
        <w:t>i</w:t>
      </w:r>
      <w:r w:rsidRPr="00720D9E">
        <w:t xml:space="preserve">  =</w:t>
      </w:r>
      <w:r w:rsidRPr="00720D9E">
        <w:rPr>
          <w:i/>
          <w:position w:val="-28"/>
        </w:rPr>
        <w:object w:dxaOrig="480" w:dyaOrig="540">
          <v:shape id="_x0000_i1053" type="#_x0000_t75" style="width:22pt;height:29pt" o:ole="">
            <v:imagedata r:id="rId18" o:title=""/>
          </v:shape>
          <o:OLEObject Type="Embed" ProgID="Equation.3" ShapeID="_x0000_i1053" DrawAspect="Content" ObjectID="_1437988706" r:id="rId49"/>
        </w:object>
      </w:r>
      <w:r w:rsidR="00631B8D" w:rsidRPr="00720D9E">
        <w:t>(</w:t>
      </w:r>
      <w:r w:rsidR="00631B8D" w:rsidRPr="00720D9E">
        <w:rPr>
          <w:i/>
        </w:rPr>
        <w:t>PSW</w:t>
      </w:r>
      <w:r w:rsidR="00631B8D" w:rsidRPr="00720D9E">
        <w:rPr>
          <w:i/>
          <w:vertAlign w:val="subscript"/>
        </w:rPr>
        <w:t>B,i</w:t>
      </w:r>
      <w:r w:rsidR="00631B8D" w:rsidRPr="00720D9E">
        <w:t xml:space="preserve"> x </w:t>
      </w:r>
      <w:r w:rsidR="00631B8D" w:rsidRPr="00720D9E">
        <w:rPr>
          <w:i/>
          <w:lang w:val="en-GB"/>
        </w:rPr>
        <w:t>C</w:t>
      </w:r>
      <w:r w:rsidR="00631B8D" w:rsidRPr="00720D9E">
        <w:rPr>
          <w:i/>
          <w:vertAlign w:val="subscript"/>
          <w:lang w:val="en-GB"/>
        </w:rPr>
        <w:t xml:space="preserve">CH4 </w:t>
      </w:r>
      <w:r w:rsidR="00631B8D" w:rsidRPr="00720D9E">
        <w:t xml:space="preserve">+ </w:t>
      </w:r>
      <w:r w:rsidR="00631B8D" w:rsidRPr="00720D9E">
        <w:rPr>
          <w:i/>
        </w:rPr>
        <w:t>PIB</w:t>
      </w:r>
      <w:r w:rsidR="00631B8D" w:rsidRPr="00720D9E">
        <w:rPr>
          <w:i/>
          <w:vertAlign w:val="subscript"/>
        </w:rPr>
        <w:t>B,i</w:t>
      </w:r>
      <w:r w:rsidR="00631B8D" w:rsidRPr="00720D9E">
        <w:t xml:space="preserve"> x </w:t>
      </w:r>
      <w:r w:rsidR="00631B8D" w:rsidRPr="00720D9E">
        <w:rPr>
          <w:i/>
          <w:lang w:val="en-GB"/>
        </w:rPr>
        <w:t>C</w:t>
      </w:r>
      <w:r w:rsidR="00631B8D" w:rsidRPr="00720D9E">
        <w:rPr>
          <w:i/>
          <w:vertAlign w:val="subscript"/>
          <w:lang w:val="en-GB"/>
        </w:rPr>
        <w:t xml:space="preserve">CH 4 </w:t>
      </w:r>
      <w:r w:rsidR="00631B8D" w:rsidRPr="00720D9E">
        <w:t>+</w:t>
      </w:r>
      <w:r w:rsidR="00631B8D" w:rsidRPr="00720D9E">
        <w:rPr>
          <w:i/>
        </w:rPr>
        <w:t xml:space="preserve"> PGW</w:t>
      </w:r>
      <w:r w:rsidR="00631B8D" w:rsidRPr="00720D9E">
        <w:rPr>
          <w:i/>
          <w:vertAlign w:val="subscript"/>
        </w:rPr>
        <w:t>B,i</w:t>
      </w:r>
      <w:r w:rsidR="00631B8D" w:rsidRPr="00720D9E">
        <w:t xml:space="preserve"> x </w:t>
      </w:r>
      <w:r w:rsidR="00631B8D" w:rsidRPr="00720D9E">
        <w:rPr>
          <w:i/>
          <w:lang w:val="en-GB"/>
        </w:rPr>
        <w:t>C</w:t>
      </w:r>
      <w:r w:rsidR="00631B8D" w:rsidRPr="00720D9E">
        <w:rPr>
          <w:i/>
          <w:vertAlign w:val="subscript"/>
          <w:lang w:val="en-GB"/>
        </w:rPr>
        <w:t>CH4</w:t>
      </w:r>
      <w:r w:rsidR="00631B8D" w:rsidRPr="00720D9E">
        <w:rPr>
          <w:lang w:val="en-GB"/>
        </w:rPr>
        <w:t xml:space="preserve"> x </w:t>
      </w:r>
      <w:r w:rsidR="00631B8D" w:rsidRPr="00720D9E">
        <w:rPr>
          <w:i/>
          <w:lang w:val="en-GB"/>
        </w:rPr>
        <w:t>NSW</w:t>
      </w:r>
      <w:r w:rsidR="00631B8D" w:rsidRPr="00720D9E">
        <w:rPr>
          <w:i/>
          <w:vertAlign w:val="subscript"/>
          <w:lang w:val="en-GB"/>
        </w:rPr>
        <w:t xml:space="preserve">B,i  </w:t>
      </w:r>
      <w:r w:rsidR="00631B8D" w:rsidRPr="00720D9E">
        <w:t xml:space="preserve">x </w:t>
      </w:r>
      <w:r w:rsidR="00631B8D" w:rsidRPr="00720D9E">
        <w:rPr>
          <w:i/>
          <w:lang w:val="en-GB"/>
        </w:rPr>
        <w:t>C</w:t>
      </w:r>
      <w:r w:rsidR="00631B8D" w:rsidRPr="00720D9E">
        <w:rPr>
          <w:i/>
          <w:vertAlign w:val="subscript"/>
          <w:lang w:val="en-GB"/>
        </w:rPr>
        <w:t>CH4</w:t>
      </w:r>
      <w:r w:rsidR="00631B8D" w:rsidRPr="00720D9E">
        <w:rPr>
          <w:lang w:val="en-GB"/>
        </w:rPr>
        <w:t xml:space="preserve"> </w:t>
      </w:r>
      <w:r w:rsidRPr="00720D9E">
        <w:t>) x 0.0423 x 0.000454</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810"/>
        </w:tabs>
        <w:rPr>
          <w:i/>
        </w:rPr>
      </w:pPr>
      <w:r w:rsidRPr="00720D9E">
        <w:rPr>
          <w:i/>
        </w:rPr>
        <w:t>Where,</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008E1658" w:rsidRPr="00720D9E">
        <w:rPr>
          <w:i/>
          <w:vertAlign w:val="subscript"/>
        </w:rPr>
        <w:t>B</w:t>
      </w:r>
      <w:r w:rsidRPr="00720D9E">
        <w:rPr>
          <w:i/>
          <w:vertAlign w:val="subscript"/>
        </w:rPr>
        <w:t>,i</w:t>
      </w:r>
      <w:r w:rsidRPr="00720D9E">
        <w:tab/>
        <w:t>=</w:t>
      </w:r>
      <w:r w:rsidRPr="00720D9E">
        <w:tab/>
        <w:t xml:space="preserve">Volume of MG from pre-mining surface wells </w:t>
      </w:r>
      <w:r w:rsidR="008E1658" w:rsidRPr="00720D9E">
        <w:t xml:space="preserve">sent to </w:t>
      </w:r>
      <w:r w:rsidRPr="00720D9E">
        <w:t>non-qualifying devices</w:t>
      </w:r>
      <w:r w:rsidR="008E1658" w:rsidRPr="00720D9E">
        <w:t xml:space="preserve"> for destruction</w:t>
      </w:r>
      <w:r w:rsidRPr="00720D9E">
        <w:t xml:space="preserve"> through use </w:t>
      </w:r>
      <w:r w:rsidR="00753C5E">
        <w:t>i during the reporting period (scf)</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008E1658" w:rsidRPr="00720D9E">
        <w:rPr>
          <w:i/>
          <w:vertAlign w:val="subscript"/>
        </w:rPr>
        <w:t>B</w:t>
      </w:r>
      <w:r w:rsidRPr="00720D9E">
        <w:rPr>
          <w:i/>
          <w:vertAlign w:val="subscript"/>
        </w:rPr>
        <w:t>,i</w:t>
      </w:r>
      <w:r w:rsidRPr="00720D9E">
        <w:tab/>
        <w:t>=</w:t>
      </w:r>
      <w:r w:rsidRPr="00720D9E">
        <w:tab/>
        <w:t xml:space="preserve">Volume of MG from pre-mining in-mine boreholes </w:t>
      </w:r>
      <w:r w:rsidR="008E1658" w:rsidRPr="00720D9E">
        <w:t>sent to</w:t>
      </w:r>
      <w:r w:rsidRPr="00720D9E">
        <w:t xml:space="preserve"> non-qualifying devices </w:t>
      </w:r>
      <w:r w:rsidR="008E1658" w:rsidRPr="00720D9E">
        <w:t xml:space="preserve">for destruction </w:t>
      </w:r>
      <w:r w:rsidRPr="00720D9E">
        <w:t>through use i during the reporting period (scf)</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PGW</w:t>
      </w:r>
      <w:r w:rsidR="008E1658" w:rsidRPr="00720D9E">
        <w:rPr>
          <w:i/>
          <w:vertAlign w:val="subscript"/>
        </w:rPr>
        <w:t>B</w:t>
      </w:r>
      <w:r w:rsidRPr="00720D9E">
        <w:rPr>
          <w:i/>
          <w:vertAlign w:val="subscript"/>
        </w:rPr>
        <w:t>,i</w:t>
      </w:r>
      <w:r w:rsidRPr="00720D9E">
        <w:tab/>
        <w:t>=</w:t>
      </w:r>
      <w:r w:rsidRPr="00720D9E">
        <w:tab/>
        <w:t xml:space="preserve">Volume of MG from post-mining gob wells </w:t>
      </w:r>
      <w:r w:rsidR="008E1658" w:rsidRPr="00720D9E">
        <w:t>sent to</w:t>
      </w:r>
      <w:r w:rsidRPr="00720D9E">
        <w:t xml:space="preserve"> non-qualifying devices </w:t>
      </w:r>
      <w:r w:rsidR="008E1658" w:rsidRPr="00720D9E">
        <w:t xml:space="preserve">for destruction </w:t>
      </w:r>
      <w:r w:rsidRPr="00720D9E">
        <w:t>through use i during the reporting period (scf)</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lang w:val="en-GB"/>
        </w:rPr>
        <w:t>NSW</w:t>
      </w:r>
      <w:r w:rsidR="008E1658" w:rsidRPr="00720D9E">
        <w:rPr>
          <w:i/>
          <w:vertAlign w:val="subscript"/>
          <w:lang w:val="en-GB"/>
        </w:rPr>
        <w:t>B</w:t>
      </w:r>
      <w:r w:rsidRPr="00720D9E">
        <w:rPr>
          <w:i/>
          <w:vertAlign w:val="subscript"/>
          <w:lang w:val="en-GB"/>
        </w:rPr>
        <w:t xml:space="preserve">,i  </w:t>
      </w:r>
      <w:r w:rsidRPr="00720D9E">
        <w:rPr>
          <w:i/>
          <w:vertAlign w:val="subscript"/>
          <w:lang w:val="en-GB"/>
        </w:rPr>
        <w:tab/>
      </w:r>
      <w:r w:rsidRPr="00720D9E">
        <w:rPr>
          <w:lang w:val="en-GB"/>
        </w:rPr>
        <w:t>=</w:t>
      </w:r>
      <w:r w:rsidRPr="00720D9E">
        <w:rPr>
          <w:lang w:val="en-GB"/>
        </w:rPr>
        <w:tab/>
        <w:t xml:space="preserve">Volume of MG from newly drilled surface wells </w:t>
      </w:r>
      <w:r w:rsidR="008E1658" w:rsidRPr="00720D9E">
        <w:rPr>
          <w:lang w:val="en-GB"/>
        </w:rPr>
        <w:t>sent to</w:t>
      </w:r>
      <w:r w:rsidRPr="00720D9E">
        <w:rPr>
          <w:lang w:val="en-GB"/>
        </w:rPr>
        <w:t xml:space="preserve"> non-qualifying devices</w:t>
      </w:r>
      <w:r w:rsidR="008E1658" w:rsidRPr="00720D9E">
        <w:rPr>
          <w:lang w:val="en-GB"/>
        </w:rPr>
        <w:t xml:space="preserve"> for destruction</w:t>
      </w:r>
      <w:r w:rsidRPr="00720D9E">
        <w:rPr>
          <w:lang w:val="en-GB"/>
        </w:rPr>
        <w:t xml:space="preserve"> through use i during the reporting period (scf)</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/scf)</w:t>
      </w:r>
    </w:p>
    <w:p w:rsidR="00DD7726" w:rsidRPr="00720D9E" w:rsidRDefault="00DD7726" w:rsidP="00DD7726">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DD7726" w:rsidRPr="00720D9E" w:rsidRDefault="00DD7726" w:rsidP="008E1658">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6D4B81" w:rsidRPr="00720D9E" w:rsidRDefault="0049546C" w:rsidP="00346D98">
      <w:pPr>
        <w:pStyle w:val="ListParagraph"/>
        <w:numPr>
          <w:ilvl w:val="0"/>
          <w:numId w:val="63"/>
        </w:numPr>
        <w:ind w:left="720" w:hanging="720"/>
      </w:pPr>
      <w:r w:rsidRPr="00720D9E">
        <w:t>Baseline emission</w:t>
      </w:r>
      <w:r w:rsidR="008623F5" w:rsidRPr="00720D9E">
        <w:t>s</w:t>
      </w:r>
      <w:r w:rsidRPr="00720D9E">
        <w:t xml:space="preserve"> from the release of methane (BE</w:t>
      </w:r>
      <w:r w:rsidRPr="00720D9E">
        <w:rPr>
          <w:vertAlign w:val="subscript"/>
        </w:rPr>
        <w:t>MR</w:t>
      </w:r>
      <w:r w:rsidRPr="00720D9E">
        <w:t xml:space="preserve">) must be quantified using </w:t>
      </w:r>
      <w:r w:rsidR="008B3259" w:rsidRPr="00720D9E">
        <w:t xml:space="preserve">Equations </w:t>
      </w:r>
      <w:r w:rsidR="00BD11A9" w:rsidRPr="00720D9E">
        <w:t>5</w:t>
      </w:r>
      <w:r w:rsidR="008B3259" w:rsidRPr="00720D9E">
        <w:t>.</w:t>
      </w:r>
      <w:r w:rsidR="008E1658" w:rsidRPr="00720D9E">
        <w:t>40</w:t>
      </w:r>
      <w:r w:rsidR="008B3259" w:rsidRPr="00720D9E">
        <w:t xml:space="preserve"> and </w:t>
      </w:r>
      <w:r w:rsidR="00BD11A9" w:rsidRPr="00720D9E">
        <w:t>5</w:t>
      </w:r>
      <w:r w:rsidR="008B3259" w:rsidRPr="00720D9E">
        <w:t>.</w:t>
      </w:r>
      <w:r w:rsidR="008E1658" w:rsidRPr="00720D9E">
        <w:t>41</w:t>
      </w:r>
      <w:r w:rsidR="008B3259" w:rsidRPr="00720D9E">
        <w:t>.  Calculations include the application of a</w:t>
      </w:r>
      <w:r w:rsidRPr="00720D9E">
        <w:t xml:space="preserve"> </w:t>
      </w:r>
      <w:r w:rsidR="006D4B81" w:rsidRPr="00720D9E">
        <w:t>hyperbolic emissions</w:t>
      </w:r>
      <w:r w:rsidRPr="00720D9E">
        <w:t xml:space="preserve"> rate decline </w:t>
      </w:r>
      <w:r w:rsidR="008B3259" w:rsidRPr="00720D9E">
        <w:t>curve</w:t>
      </w:r>
      <w:r w:rsidRPr="00720D9E">
        <w:t xml:space="preserve">. </w:t>
      </w:r>
      <w:r w:rsidR="006D4B81" w:rsidRPr="00720D9E">
        <w:t xml:space="preserve"> The function is directly related the gassiness of the mine, which is reflective of physical parameters of the coal mine such as the mine size, gas content of the coal, permeability of the coal</w:t>
      </w:r>
      <w:r w:rsidR="005961B6" w:rsidRPr="00720D9E">
        <w:t xml:space="preserve"> to</w:t>
      </w:r>
      <w:r w:rsidR="006D4B81" w:rsidRPr="00720D9E">
        <w:t xml:space="preserve"> the flow of gas.</w:t>
      </w:r>
    </w:p>
    <w:p w:rsidR="006D4B81" w:rsidRPr="00720D9E" w:rsidRDefault="00916356" w:rsidP="00346D98">
      <w:pPr>
        <w:pStyle w:val="ListParagraph"/>
        <w:numPr>
          <w:ilvl w:val="0"/>
          <w:numId w:val="63"/>
        </w:numPr>
        <w:ind w:left="720" w:hanging="720"/>
      </w:pPr>
      <w:r w:rsidRPr="00720D9E">
        <w:t>The decline curve</w:t>
      </w:r>
      <w:r w:rsidR="006D4B81" w:rsidRPr="00720D9E">
        <w:t xml:space="preserve"> estimates the emission rate of an abandoned mine over time by taking into account the </w:t>
      </w:r>
      <w:r w:rsidR="00A01C65" w:rsidRPr="00720D9E">
        <w:t>time elapsed since mine</w:t>
      </w:r>
      <w:r w:rsidR="006D4B81" w:rsidRPr="00720D9E">
        <w:t xml:space="preserve"> closure, the methane emissions at the time of mine closure</w:t>
      </w:r>
      <w:r w:rsidR="00A175D8" w:rsidRPr="00720D9E">
        <w:t xml:space="preserve"> according to MSHA</w:t>
      </w:r>
      <w:r w:rsidR="006D4B81" w:rsidRPr="00720D9E">
        <w:t xml:space="preserve">, and whether the mine </w:t>
      </w:r>
      <w:r w:rsidR="006D4B81" w:rsidRPr="00720D9E">
        <w:lastRenderedPageBreak/>
        <w:t>is sealed or venting.</w:t>
      </w:r>
      <w:r w:rsidR="00A01C65" w:rsidRPr="00720D9E">
        <w:t xml:space="preserve">  </w:t>
      </w:r>
      <w:r w:rsidR="006D4B81" w:rsidRPr="00720D9E">
        <w:t>The decline curve for a given mine is initialized at the date of abandonment and extrapolated through the crediting period.</w:t>
      </w:r>
    </w:p>
    <w:p w:rsidR="00493DC6" w:rsidRPr="00720D9E" w:rsidRDefault="00A01C65" w:rsidP="00346D98">
      <w:pPr>
        <w:pStyle w:val="ListParagraph"/>
        <w:numPr>
          <w:ilvl w:val="0"/>
          <w:numId w:val="63"/>
        </w:numPr>
        <w:ind w:left="720" w:hanging="720"/>
      </w:pPr>
      <w:r w:rsidRPr="00720D9E">
        <w:t>T</w:t>
      </w:r>
      <w:r w:rsidR="00493DC6" w:rsidRPr="00720D9E">
        <w:t>he amount of AMM</w:t>
      </w:r>
      <w:r w:rsidR="008B3259" w:rsidRPr="00720D9E">
        <w:t xml:space="preserve"> released</w:t>
      </w:r>
      <w:r w:rsidR="00493DC6" w:rsidRPr="00720D9E">
        <w:t xml:space="preserve"> (tCH</w:t>
      </w:r>
      <w:r w:rsidR="00493DC6" w:rsidRPr="00720D9E">
        <w:rPr>
          <w:vertAlign w:val="subscript"/>
        </w:rPr>
        <w:t>4</w:t>
      </w:r>
      <w:r w:rsidR="00493DC6" w:rsidRPr="00720D9E">
        <w:t xml:space="preserve">) </w:t>
      </w:r>
      <w:r w:rsidRPr="00720D9E">
        <w:t xml:space="preserve">must be determined by calculating and comparing: </w:t>
      </w:r>
    </w:p>
    <w:p w:rsidR="00C9779A" w:rsidRPr="00720D9E" w:rsidRDefault="00C9779A" w:rsidP="00346D98">
      <w:pPr>
        <w:pStyle w:val="ListParagraph"/>
        <w:numPr>
          <w:ilvl w:val="1"/>
          <w:numId w:val="63"/>
        </w:numPr>
        <w:ind w:hanging="720"/>
      </w:pPr>
      <w:r w:rsidRPr="00720D9E">
        <w:t xml:space="preserve">The emissions of methane for that reporting period calculated by the decline curve using </w:t>
      </w:r>
      <w:r w:rsidR="004842C4" w:rsidRPr="00720D9E">
        <w:t>Equation 5.</w:t>
      </w:r>
      <w:r w:rsidR="008E1658" w:rsidRPr="00720D9E">
        <w:t>41</w:t>
      </w:r>
      <w:r w:rsidRPr="00720D9E">
        <w:t>; and</w:t>
      </w:r>
    </w:p>
    <w:p w:rsidR="00493DC6" w:rsidRPr="00720D9E" w:rsidRDefault="00C9779A" w:rsidP="00346D98">
      <w:pPr>
        <w:pStyle w:val="ListParagraph"/>
        <w:numPr>
          <w:ilvl w:val="1"/>
          <w:numId w:val="63"/>
        </w:numPr>
        <w:ind w:hanging="720"/>
      </w:pPr>
      <w:r w:rsidRPr="00720D9E">
        <w:t>The quantity of methane destroyed by qualifying and non-qualifying devices during that reporting period</w:t>
      </w:r>
      <w:r w:rsidR="005961B6" w:rsidRPr="00720D9E">
        <w:t xml:space="preserve"> calculated using </w:t>
      </w:r>
      <w:r w:rsidR="004842C4" w:rsidRPr="00720D9E">
        <w:t>Equation 5.</w:t>
      </w:r>
      <w:r w:rsidRPr="00720D9E">
        <w:t>4</w:t>
      </w:r>
      <w:r w:rsidR="008E1658" w:rsidRPr="00720D9E">
        <w:t>6</w:t>
      </w:r>
      <w:r w:rsidR="004A088E" w:rsidRPr="00720D9E">
        <w:t>.</w:t>
      </w:r>
    </w:p>
    <w:p w:rsidR="00A01C65" w:rsidRPr="00720D9E" w:rsidRDefault="00A01C65" w:rsidP="00346D98">
      <w:pPr>
        <w:pStyle w:val="ListParagraph"/>
        <w:numPr>
          <w:ilvl w:val="0"/>
          <w:numId w:val="63"/>
        </w:numPr>
        <w:ind w:left="720" w:hanging="720"/>
      </w:pPr>
      <w:r w:rsidRPr="00720D9E">
        <w:t xml:space="preserve">The </w:t>
      </w:r>
      <w:r w:rsidR="008B3259" w:rsidRPr="00720D9E">
        <w:t>lesser</w:t>
      </w:r>
      <w:r w:rsidRPr="00720D9E">
        <w:t xml:space="preserve"> of the two above quantities must be used in </w:t>
      </w:r>
      <w:r w:rsidR="004842C4" w:rsidRPr="00720D9E">
        <w:t>Equation 5.</w:t>
      </w:r>
      <w:r w:rsidR="00E836CF" w:rsidRPr="00720D9E">
        <w:t>40</w:t>
      </w:r>
    </w:p>
    <w:p w:rsidR="00CC4AAE" w:rsidRPr="00720D9E" w:rsidRDefault="00CC4AAE" w:rsidP="00346D98">
      <w:pPr>
        <w:pStyle w:val="ListParagraph"/>
        <w:numPr>
          <w:ilvl w:val="0"/>
          <w:numId w:val="63"/>
        </w:numPr>
        <w:ind w:left="720" w:hanging="720"/>
      </w:pPr>
      <w:r w:rsidRPr="00720D9E">
        <w:t>AMM that is still vented in the project scenario is not accounted for in the project emissions or baseline emissions, since it is vented in both scenarios.</w:t>
      </w:r>
    </w:p>
    <w:p w:rsidR="004871ED" w:rsidRPr="00720D9E" w:rsidRDefault="004842C4" w:rsidP="004871ED">
      <w:pPr>
        <w:pStyle w:val="Heading4"/>
        <w:pBdr>
          <w:top w:val="single" w:sz="4" w:space="1" w:color="auto"/>
          <w:left w:val="single" w:sz="4" w:space="4" w:color="auto"/>
          <w:bottom w:val="single" w:sz="4" w:space="1" w:color="auto"/>
          <w:right w:val="single" w:sz="4" w:space="4" w:color="auto"/>
        </w:pBdr>
      </w:pPr>
      <w:r w:rsidRPr="00720D9E">
        <w:t>Equation 5.</w:t>
      </w:r>
      <w:r w:rsidR="00E836CF" w:rsidRPr="00720D9E">
        <w:t>40</w:t>
      </w:r>
      <w:r w:rsidR="004871ED" w:rsidRPr="00720D9E">
        <w:t>: Baseline Emissions from Release of Methane</w:t>
      </w:r>
    </w:p>
    <w:p w:rsidR="00CC4AAE" w:rsidRPr="00720D9E" w:rsidRDefault="00A175D8" w:rsidP="00A175D8">
      <w:pPr>
        <w:pBdr>
          <w:top w:val="single" w:sz="4" w:space="1" w:color="auto"/>
          <w:left w:val="single" w:sz="4" w:space="4" w:color="auto"/>
          <w:bottom w:val="single" w:sz="4" w:space="1" w:color="auto"/>
          <w:right w:val="single" w:sz="4" w:space="4" w:color="auto"/>
        </w:pBdr>
        <w:tabs>
          <w:tab w:val="left" w:pos="900"/>
        </w:tabs>
        <w:ind w:left="900" w:hanging="900"/>
        <w:rPr>
          <w:i/>
          <w:vertAlign w:val="subscript"/>
        </w:rPr>
      </w:pPr>
      <w:r w:rsidRPr="00720D9E">
        <w:rPr>
          <w:i/>
        </w:rPr>
        <w:t>BE</w:t>
      </w:r>
      <w:r w:rsidRPr="00720D9E">
        <w:rPr>
          <w:i/>
          <w:vertAlign w:val="subscript"/>
        </w:rPr>
        <w:t>MR</w:t>
      </w:r>
      <w:r w:rsidRPr="00720D9E">
        <w:t xml:space="preserve"> =</w:t>
      </w:r>
      <w:r w:rsidR="008C3E11" w:rsidRPr="00720D9E">
        <w:t xml:space="preserve"> [</w:t>
      </w:r>
      <w:r w:rsidRPr="00720D9E">
        <w:rPr>
          <w:i/>
          <w:position w:val="-28"/>
        </w:rPr>
        <w:object w:dxaOrig="480" w:dyaOrig="540">
          <v:shape id="_x0000_i1054" type="#_x0000_t75" style="width:22pt;height:29pt" o:ole="">
            <v:imagedata r:id="rId18" o:title=""/>
          </v:shape>
          <o:OLEObject Type="Embed" ProgID="Equation.3" ShapeID="_x0000_i1054" DrawAspect="Content" ObjectID="_1437988707" r:id="rId50"/>
        </w:object>
      </w:r>
      <w:r w:rsidRPr="00720D9E">
        <w:t>min</w:t>
      </w:r>
      <w:r w:rsidR="00CC4AAE" w:rsidRPr="00720D9E">
        <w:t xml:space="preserve"> (</w:t>
      </w:r>
      <w:r w:rsidR="00146CED" w:rsidRPr="00720D9E">
        <w:rPr>
          <w:i/>
        </w:rPr>
        <w:t>AMM</w:t>
      </w:r>
      <w:r w:rsidR="00146CED" w:rsidRPr="00720D9E">
        <w:rPr>
          <w:i/>
          <w:vertAlign w:val="subscript"/>
        </w:rPr>
        <w:t>DC</w:t>
      </w:r>
      <w:r w:rsidR="008C3E11" w:rsidRPr="00720D9E">
        <w:rPr>
          <w:i/>
          <w:vertAlign w:val="subscript"/>
        </w:rPr>
        <w:t xml:space="preserve">, </w:t>
      </w:r>
      <w:r w:rsidR="008C3E11" w:rsidRPr="00720D9E">
        <w:rPr>
          <w:i/>
        </w:rPr>
        <w:t>MD</w:t>
      </w:r>
      <w:r w:rsidR="008C3E11" w:rsidRPr="00720D9E">
        <w:rPr>
          <w:i/>
          <w:vertAlign w:val="subscript"/>
        </w:rPr>
        <w:t>P,i</w:t>
      </w:r>
      <w:r w:rsidR="00CC4AAE" w:rsidRPr="00720D9E">
        <w:t>)</w:t>
      </w:r>
      <w:r w:rsidR="008C3E11" w:rsidRPr="00720D9E">
        <w:t xml:space="preserve"> </w:t>
      </w:r>
      <w:r w:rsidR="00223CF4" w:rsidRPr="00720D9E">
        <w:t>–</w:t>
      </w:r>
      <w:r w:rsidR="008C3E11" w:rsidRPr="00720D9E">
        <w:t xml:space="preserve"> </w:t>
      </w:r>
      <w:r w:rsidR="00223CF4" w:rsidRPr="00720D9E">
        <w:rPr>
          <w:i/>
        </w:rPr>
        <w:t>MD</w:t>
      </w:r>
      <w:r w:rsidR="00223CF4" w:rsidRPr="00720D9E">
        <w:rPr>
          <w:i/>
          <w:vertAlign w:val="subscript"/>
        </w:rPr>
        <w:t>B,i</w:t>
      </w:r>
      <w:r w:rsidR="008C3E11" w:rsidRPr="00720D9E">
        <w:t>]</w:t>
      </w:r>
      <w:r w:rsidR="00CC4AAE" w:rsidRPr="00720D9E">
        <w:t xml:space="preserve"> x</w:t>
      </w:r>
      <w:r w:rsidR="00CC4AAE" w:rsidRPr="00720D9E">
        <w:rPr>
          <w:i/>
        </w:rPr>
        <w:t xml:space="preserve"> GWP</w:t>
      </w:r>
      <w:r w:rsidR="00CC4AAE" w:rsidRPr="00720D9E">
        <w:rPr>
          <w:i/>
          <w:vertAlign w:val="subscript"/>
        </w:rPr>
        <w:t>CH4</w:t>
      </w:r>
    </w:p>
    <w:p w:rsidR="00CC4AAE" w:rsidRPr="00720D9E" w:rsidRDefault="00CC4AAE" w:rsidP="00A175D8">
      <w:pPr>
        <w:pBdr>
          <w:top w:val="single" w:sz="4" w:space="1" w:color="auto"/>
          <w:left w:val="single" w:sz="4" w:space="4" w:color="auto"/>
          <w:bottom w:val="single" w:sz="4" w:space="1" w:color="auto"/>
          <w:right w:val="single" w:sz="4" w:space="4" w:color="auto"/>
        </w:pBdr>
        <w:tabs>
          <w:tab w:val="left" w:pos="900"/>
        </w:tabs>
        <w:ind w:left="900" w:hanging="900"/>
        <w:rPr>
          <w:i/>
        </w:rPr>
      </w:pPr>
      <w:r w:rsidRPr="00720D9E">
        <w:rPr>
          <w:i/>
        </w:rPr>
        <w:t xml:space="preserve">Where, </w:t>
      </w:r>
    </w:p>
    <w:p w:rsidR="00CC4AAE" w:rsidRPr="00720D9E" w:rsidRDefault="00CC4AAE" w:rsidP="00CC4AA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BE</w:t>
      </w:r>
      <w:r w:rsidRPr="00720D9E">
        <w:rPr>
          <w:i/>
          <w:vertAlign w:val="subscript"/>
        </w:rPr>
        <w:t>MR</w:t>
      </w:r>
      <w:r w:rsidRPr="00720D9E">
        <w:tab/>
        <w:t>=</w:t>
      </w:r>
      <w:r w:rsidRPr="00720D9E">
        <w:tab/>
        <w:t>Baseline emissions from release of methane into the atmosphere avoided by the project during the reporting period (tCO</w:t>
      </w:r>
      <w:r w:rsidRPr="00720D9E">
        <w:rPr>
          <w:vertAlign w:val="subscript"/>
        </w:rPr>
        <w:t>2</w:t>
      </w:r>
      <w:r w:rsidRPr="00720D9E">
        <w:t>e)</w:t>
      </w:r>
    </w:p>
    <w:p w:rsidR="00CC4AAE" w:rsidRPr="00720D9E" w:rsidRDefault="00CC4AAE" w:rsidP="00CC4AA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(flaring, power generation, heat generation,</w:t>
      </w:r>
      <w:r w:rsidR="00A8097E" w:rsidRPr="00720D9E">
        <w:t xml:space="preserve"> production of transportation fuel,</w:t>
      </w:r>
      <w:r w:rsidRPr="00720D9E">
        <w:t xml:space="preserve"> injection into natural gas pipeline, etc.) by all qualifying and non-qualifying devices</w:t>
      </w:r>
    </w:p>
    <w:p w:rsidR="00146CED" w:rsidRPr="00720D9E" w:rsidRDefault="00146CED" w:rsidP="00146CE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AMM</w:t>
      </w:r>
      <w:r w:rsidRPr="00720D9E">
        <w:rPr>
          <w:i/>
          <w:vertAlign w:val="subscript"/>
        </w:rPr>
        <w:t>DC</w:t>
      </w:r>
      <w:r w:rsidRPr="00720D9E">
        <w:tab/>
        <w:t>=</w:t>
      </w:r>
      <w:r w:rsidRPr="00720D9E">
        <w:tab/>
        <w:t>Emissions of methane during the reporting period as calculated by the decline curve</w:t>
      </w:r>
    </w:p>
    <w:p w:rsidR="008C3E11" w:rsidRPr="00720D9E" w:rsidRDefault="008C3E11" w:rsidP="008C3E11">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Pr="00720D9E">
        <w:rPr>
          <w:i/>
          <w:vertAlign w:val="subscript"/>
        </w:rPr>
        <w:t xml:space="preserve">P,i </w:t>
      </w:r>
      <w:r w:rsidRPr="00720D9E">
        <w:rPr>
          <w:vertAlign w:val="subscript"/>
        </w:rPr>
        <w:t xml:space="preserve"> </w:t>
      </w:r>
      <w:r w:rsidRPr="00720D9E">
        <w:tab/>
        <w:t>=</w:t>
      </w:r>
      <w:r w:rsidRPr="00720D9E">
        <w:tab/>
        <w:t xml:space="preserve">Methane </w:t>
      </w:r>
      <w:r w:rsidR="00E836CF" w:rsidRPr="00720D9E">
        <w:t>sent to</w:t>
      </w:r>
      <w:r w:rsidRPr="00720D9E">
        <w:t xml:space="preserve"> </w:t>
      </w:r>
      <w:r w:rsidR="00DD7726" w:rsidRPr="00720D9E">
        <w:t xml:space="preserve">all qualifying and non-qualifying devices </w:t>
      </w:r>
      <w:r w:rsidR="00E836CF" w:rsidRPr="00720D9E">
        <w:t xml:space="preserve">for destruction </w:t>
      </w:r>
      <w:r w:rsidR="00DD7726" w:rsidRPr="00720D9E">
        <w:t xml:space="preserve">through </w:t>
      </w:r>
      <w:r w:rsidRPr="00720D9E">
        <w:t>use i during the reporting period (tCH</w:t>
      </w:r>
      <w:r w:rsidRPr="00720D9E">
        <w:rPr>
          <w:vertAlign w:val="subscript"/>
        </w:rPr>
        <w:t>4</w:t>
      </w:r>
      <w:r w:rsidRPr="00720D9E">
        <w:t>)</w:t>
      </w:r>
    </w:p>
    <w:p w:rsidR="00223CF4" w:rsidRPr="00720D9E" w:rsidRDefault="00223CF4" w:rsidP="008C3E11">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Pr="00720D9E">
        <w:rPr>
          <w:i/>
          <w:vertAlign w:val="subscript"/>
        </w:rPr>
        <w:t>B,i</w:t>
      </w:r>
      <w:r w:rsidR="00DD7726" w:rsidRPr="00720D9E">
        <w:rPr>
          <w:i/>
          <w:vertAlign w:val="subscript"/>
        </w:rPr>
        <w:tab/>
      </w:r>
      <w:r w:rsidR="00DD7726" w:rsidRPr="00720D9E">
        <w:t>=</w:t>
      </w:r>
      <w:r w:rsidR="00DD7726" w:rsidRPr="00720D9E">
        <w:tab/>
        <w:t xml:space="preserve">Methane </w:t>
      </w:r>
      <w:r w:rsidR="00E836CF" w:rsidRPr="00720D9E">
        <w:t>sent to</w:t>
      </w:r>
      <w:r w:rsidR="00DD7726" w:rsidRPr="00720D9E">
        <w:t xml:space="preserve"> non-qualifying devices </w:t>
      </w:r>
      <w:r w:rsidR="00E836CF" w:rsidRPr="00720D9E">
        <w:t xml:space="preserve">for destruction </w:t>
      </w:r>
      <w:r w:rsidR="00DD7726" w:rsidRPr="00720D9E">
        <w:t>through use i during the reporting period</w:t>
      </w:r>
    </w:p>
    <w:p w:rsidR="00146CED" w:rsidRPr="00720D9E" w:rsidRDefault="00146CED" w:rsidP="00146CED">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GWP</w:t>
      </w:r>
      <w:r w:rsidRPr="00720D9E">
        <w:rPr>
          <w:i/>
          <w:vertAlign w:val="subscript"/>
        </w:rPr>
        <w:t>CH4</w:t>
      </w:r>
      <w:r w:rsidRPr="00720D9E">
        <w:rPr>
          <w:i/>
        </w:rPr>
        <w:tab/>
      </w:r>
      <w:r w:rsidRPr="00720D9E">
        <w:t>=</w:t>
      </w:r>
      <w:r w:rsidRPr="00720D9E">
        <w:tab/>
        <w:t>Global warming potential of methane (tCO</w:t>
      </w:r>
      <w:r w:rsidRPr="00720D9E">
        <w:rPr>
          <w:vertAlign w:val="subscript"/>
        </w:rPr>
        <w:t>2</w:t>
      </w:r>
      <w:r w:rsidRPr="00720D9E">
        <w:t>e/tCH</w:t>
      </w:r>
      <w:r w:rsidRPr="00720D9E">
        <w:rPr>
          <w:vertAlign w:val="subscript"/>
        </w:rPr>
        <w:t>4</w:t>
      </w:r>
      <w:r w:rsidRPr="00720D9E">
        <w:t>)</w:t>
      </w:r>
    </w:p>
    <w:p w:rsidR="008B3259" w:rsidRPr="00720D9E" w:rsidRDefault="008B3259" w:rsidP="008B3259">
      <w:pPr>
        <w:pStyle w:val="ListParagraph"/>
      </w:pPr>
    </w:p>
    <w:p w:rsidR="008B3259" w:rsidRPr="00720D9E" w:rsidRDefault="004842C4" w:rsidP="00A8097E">
      <w:pPr>
        <w:pStyle w:val="Heading4"/>
        <w:pBdr>
          <w:top w:val="single" w:sz="4" w:space="1" w:color="auto"/>
          <w:left w:val="single" w:sz="4" w:space="4" w:color="auto"/>
          <w:bottom w:val="single" w:sz="4" w:space="1" w:color="auto"/>
          <w:right w:val="single" w:sz="4" w:space="4" w:color="auto"/>
        </w:pBdr>
        <w:spacing w:line="240" w:lineRule="auto"/>
      </w:pPr>
      <w:r w:rsidRPr="00720D9E">
        <w:t>Equation 5.</w:t>
      </w:r>
      <w:r w:rsidR="00E836CF" w:rsidRPr="00720D9E">
        <w:t>41</w:t>
      </w:r>
      <w:r w:rsidR="008B3259" w:rsidRPr="00720D9E">
        <w:t>: Methane Emissions Derived from the Hyperbolic Emission Rate Decline Curve</w:t>
      </w:r>
    </w:p>
    <w:p w:rsidR="008B3259" w:rsidRPr="00720D9E" w:rsidRDefault="008B3259" w:rsidP="008B325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AMM</w:t>
      </w:r>
      <w:r w:rsidRPr="00720D9E">
        <w:rPr>
          <w:i/>
          <w:vertAlign w:val="subscript"/>
        </w:rPr>
        <w:t>DC</w:t>
      </w:r>
      <w:r w:rsidRPr="00720D9E">
        <w:rPr>
          <w:i/>
          <w:vertAlign w:val="subscript"/>
        </w:rPr>
        <w:tab/>
      </w:r>
      <w:r w:rsidRPr="00720D9E">
        <w:t>=</w:t>
      </w:r>
      <w:r w:rsidRPr="00720D9E">
        <w:tab/>
      </w:r>
      <w:r w:rsidRPr="00720D9E">
        <w:rPr>
          <w:i/>
        </w:rPr>
        <w:t>ER</w:t>
      </w:r>
      <w:r w:rsidRPr="00720D9E">
        <w:rPr>
          <w:i/>
          <w:vertAlign w:val="subscript"/>
        </w:rPr>
        <w:t>AMM,to</w:t>
      </w:r>
      <w:r w:rsidRPr="00720D9E">
        <w:t xml:space="preserve"> x 0.0423 x </w:t>
      </w:r>
      <w:r w:rsidRPr="00720D9E">
        <w:rPr>
          <w:i/>
        </w:rPr>
        <w:t>S</w:t>
      </w:r>
      <w:r w:rsidRPr="00720D9E">
        <w:t xml:space="preserve"> x (1 + </w:t>
      </w:r>
      <w:r w:rsidRPr="00720D9E">
        <w:rPr>
          <w:i/>
        </w:rPr>
        <w:t>b</w:t>
      </w:r>
      <w:r w:rsidRPr="00720D9E">
        <w:t xml:space="preserve"> x </w:t>
      </w:r>
      <w:r w:rsidRPr="00720D9E">
        <w:rPr>
          <w:i/>
        </w:rPr>
        <w:t>D</w:t>
      </w:r>
      <w:r w:rsidRPr="00720D9E">
        <w:rPr>
          <w:i/>
          <w:vertAlign w:val="subscript"/>
        </w:rPr>
        <w:t>i</w:t>
      </w:r>
      <w:r w:rsidRPr="00720D9E">
        <w:t xml:space="preserve"> x </w:t>
      </w:r>
      <w:r w:rsidRPr="00720D9E">
        <w:rPr>
          <w:i/>
        </w:rPr>
        <w:t>t</w:t>
      </w:r>
      <w:r w:rsidRPr="00720D9E">
        <w:t>)</w:t>
      </w:r>
      <w:r w:rsidRPr="00720D9E">
        <w:rPr>
          <w:position w:val="-4"/>
        </w:rPr>
        <w:object w:dxaOrig="380" w:dyaOrig="499">
          <v:shape id="_x0000_i1055" type="#_x0000_t75" style="width:22pt;height:22pt" o:ole="">
            <v:imagedata r:id="rId51" o:title=""/>
          </v:shape>
          <o:OLEObject Type="Embed" ProgID="Equation.3" ShapeID="_x0000_i1055" DrawAspect="Content" ObjectID="_1437988708" r:id="rId52"/>
        </w:object>
      </w:r>
    </w:p>
    <w:p w:rsidR="008B3259" w:rsidRPr="00720D9E" w:rsidRDefault="008B3259" w:rsidP="008B325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rPr>
      </w:pPr>
      <w:r w:rsidRPr="00720D9E">
        <w:rPr>
          <w:i/>
        </w:rPr>
        <w:t>Where,</w:t>
      </w:r>
    </w:p>
    <w:p w:rsidR="008B3259" w:rsidRPr="00720D9E" w:rsidRDefault="008B3259" w:rsidP="008B325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AMM</w:t>
      </w:r>
      <w:r w:rsidRPr="00720D9E">
        <w:rPr>
          <w:i/>
          <w:vertAlign w:val="subscript"/>
        </w:rPr>
        <w:t>DC</w:t>
      </w:r>
      <w:r w:rsidRPr="00720D9E">
        <w:tab/>
        <w:t>=</w:t>
      </w:r>
      <w:r w:rsidRPr="00720D9E">
        <w:tab/>
        <w:t>Emissions of methane from the decline curve during the reporting period (tCH</w:t>
      </w:r>
      <w:r w:rsidRPr="00720D9E">
        <w:rPr>
          <w:vertAlign w:val="subscript"/>
        </w:rPr>
        <w:t>4</w:t>
      </w:r>
      <w:r w:rsidRPr="00720D9E">
        <w:t>)</w:t>
      </w:r>
    </w:p>
    <w:p w:rsidR="008B3259" w:rsidRPr="00720D9E" w:rsidRDefault="008B3259" w:rsidP="008B325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ER</w:t>
      </w:r>
      <w:r w:rsidRPr="00720D9E">
        <w:rPr>
          <w:i/>
          <w:vertAlign w:val="subscript"/>
        </w:rPr>
        <w:t>AMM,to</w:t>
      </w:r>
      <w:r w:rsidRPr="00720D9E">
        <w:tab/>
        <w:t>=</w:t>
      </w:r>
      <w:r w:rsidRPr="00720D9E">
        <w:tab/>
        <w:t>Emission rate of AMM at the time of mine closure (</w:t>
      </w:r>
      <w:r w:rsidR="001E5525" w:rsidRPr="00720D9E">
        <w:t>m</w:t>
      </w:r>
      <w:r w:rsidRPr="00720D9E">
        <w:t>scf/d)</w:t>
      </w:r>
    </w:p>
    <w:p w:rsidR="008B3259" w:rsidRPr="00720D9E" w:rsidRDefault="008B3259" w:rsidP="008B325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S</w:t>
      </w:r>
      <w:r w:rsidRPr="00720D9E">
        <w:tab/>
        <w:t>=</w:t>
      </w:r>
      <w:r w:rsidRPr="00720D9E">
        <w:tab/>
        <w:t>Default effective degree of sealing; S = 1 for venting mines and 0.5 for sealed mines</w:t>
      </w:r>
    </w:p>
    <w:p w:rsidR="008B3259" w:rsidRPr="00720D9E" w:rsidRDefault="008B3259" w:rsidP="008B325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b</w:t>
      </w:r>
      <w:r w:rsidRPr="00720D9E">
        <w:rPr>
          <w:i/>
        </w:rPr>
        <w:tab/>
      </w:r>
      <w:r w:rsidRPr="00720D9E">
        <w:t>=</w:t>
      </w:r>
      <w:r w:rsidRPr="00720D9E">
        <w:tab/>
        <w:t>Dimensionless hyperbolic exponent</w:t>
      </w:r>
    </w:p>
    <w:p w:rsidR="008B3259" w:rsidRPr="00720D9E" w:rsidRDefault="008B3259" w:rsidP="008B325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D</w:t>
      </w:r>
      <w:r w:rsidRPr="00720D9E">
        <w:rPr>
          <w:i/>
          <w:vertAlign w:val="subscript"/>
        </w:rPr>
        <w:t>i</w:t>
      </w:r>
      <w:r w:rsidRPr="00720D9E">
        <w:tab/>
        <w:t>=</w:t>
      </w:r>
      <w:r w:rsidRPr="00720D9E">
        <w:tab/>
        <w:t>Initial decline rate (1/day)</w:t>
      </w:r>
    </w:p>
    <w:p w:rsidR="008B3259" w:rsidRPr="00720D9E" w:rsidRDefault="008B3259" w:rsidP="008B3259">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t</w:t>
      </w:r>
      <w:r w:rsidRPr="00720D9E">
        <w:tab/>
        <w:t>=</w:t>
      </w:r>
      <w:r w:rsidRPr="00720D9E">
        <w:tab/>
        <w:t>Time elapsed from the date of mine closure to midpoint of the reporting period (days)</w:t>
      </w:r>
    </w:p>
    <w:p w:rsidR="008B3259" w:rsidRPr="00720D9E" w:rsidRDefault="008B3259" w:rsidP="008B3259">
      <w:pPr>
        <w:pStyle w:val="ListParagraph"/>
      </w:pPr>
    </w:p>
    <w:p w:rsidR="00A8210F" w:rsidRPr="00720D9E" w:rsidRDefault="006D4B81" w:rsidP="00346D98">
      <w:pPr>
        <w:pStyle w:val="ListParagraph"/>
        <w:numPr>
          <w:ilvl w:val="0"/>
          <w:numId w:val="63"/>
        </w:numPr>
        <w:ind w:left="720" w:hanging="720"/>
      </w:pPr>
      <w:r w:rsidRPr="00720D9E">
        <w:t xml:space="preserve">The decline curve </w:t>
      </w:r>
      <w:r w:rsidR="004871ED" w:rsidRPr="00720D9E">
        <w:t>relies upon</w:t>
      </w:r>
      <w:r w:rsidRPr="00720D9E">
        <w:t xml:space="preserve"> hyperbolic decline curve coeffi</w:t>
      </w:r>
      <w:r w:rsidR="004871ED" w:rsidRPr="00720D9E">
        <w:t xml:space="preserve">cients.  </w:t>
      </w:r>
      <w:r w:rsidR="00BD11A9" w:rsidRPr="00720D9E">
        <w:t xml:space="preserve">Offset Project Operators </w:t>
      </w:r>
      <w:r w:rsidR="00A8210F" w:rsidRPr="00720D9E">
        <w:t xml:space="preserve">or </w:t>
      </w:r>
      <w:r w:rsidR="00BD11A9" w:rsidRPr="00720D9E">
        <w:t>Authorized Project Designees</w:t>
      </w:r>
      <w:r w:rsidR="00A8210F" w:rsidRPr="00720D9E">
        <w:t xml:space="preserve"> may elect to:</w:t>
      </w:r>
    </w:p>
    <w:p w:rsidR="00A8210F" w:rsidRPr="00720D9E" w:rsidRDefault="00A8210F" w:rsidP="00346D98">
      <w:pPr>
        <w:pStyle w:val="ListParagraph"/>
        <w:numPr>
          <w:ilvl w:val="1"/>
          <w:numId w:val="63"/>
        </w:numPr>
        <w:ind w:hanging="720"/>
      </w:pPr>
      <w:r w:rsidRPr="00720D9E">
        <w:t xml:space="preserve">use </w:t>
      </w:r>
      <w:r w:rsidR="004871ED" w:rsidRPr="00720D9E">
        <w:t xml:space="preserve">the default </w:t>
      </w:r>
      <w:r w:rsidR="00AD49AE" w:rsidRPr="00720D9E">
        <w:t xml:space="preserve">hyperbolic decline curve </w:t>
      </w:r>
      <w:r w:rsidR="004871ED" w:rsidRPr="00720D9E">
        <w:t xml:space="preserve">coefficients presented in Table </w:t>
      </w:r>
      <w:r w:rsidR="00BD11A9" w:rsidRPr="00720D9E">
        <w:t>5</w:t>
      </w:r>
      <w:r w:rsidR="00A175D8" w:rsidRPr="00720D9E">
        <w:t>.1</w:t>
      </w:r>
      <w:r w:rsidR="004871ED" w:rsidRPr="00720D9E">
        <w:t xml:space="preserve"> </w:t>
      </w:r>
      <w:r w:rsidRPr="00720D9E">
        <w:t xml:space="preserve">based upon whether the mine is venting or sealed; </w:t>
      </w:r>
      <w:r w:rsidR="004871ED" w:rsidRPr="00720D9E">
        <w:t xml:space="preserve">or </w:t>
      </w:r>
    </w:p>
    <w:p w:rsidR="00A8210F" w:rsidRPr="00720D9E" w:rsidRDefault="00A8210F" w:rsidP="00A8210F">
      <w:pPr>
        <w:pStyle w:val="Heading4"/>
        <w:ind w:left="720" w:firstLine="720"/>
      </w:pPr>
      <w:r w:rsidRPr="00720D9E">
        <w:t xml:space="preserve">Table </w:t>
      </w:r>
      <w:r w:rsidR="00645452" w:rsidRPr="00720D9E">
        <w:t>5</w:t>
      </w:r>
      <w:r w:rsidRPr="00720D9E">
        <w:t xml:space="preserve">.1: </w:t>
      </w:r>
      <w:r w:rsidR="00AD49AE" w:rsidRPr="00720D9E">
        <w:t xml:space="preserve">Default </w:t>
      </w:r>
      <w:r w:rsidRPr="00720D9E">
        <w:t>Hyperbolic Decline Curve Coefficients</w:t>
      </w:r>
    </w:p>
    <w:tbl>
      <w:tblPr>
        <w:tblStyle w:val="TableGrid"/>
        <w:tblW w:w="0" w:type="auto"/>
        <w:tblInd w:w="1459" w:type="dxa"/>
        <w:tblLook w:val="04A0" w:firstRow="1" w:lastRow="0" w:firstColumn="1" w:lastColumn="0" w:noHBand="0" w:noVBand="1"/>
      </w:tblPr>
      <w:tblGrid>
        <w:gridCol w:w="2165"/>
        <w:gridCol w:w="2165"/>
        <w:gridCol w:w="2165"/>
      </w:tblGrid>
      <w:tr w:rsidR="00A8210F" w:rsidRPr="00720D9E" w:rsidTr="00AD49AE">
        <w:trPr>
          <w:trHeight w:val="443"/>
        </w:trPr>
        <w:tc>
          <w:tcPr>
            <w:tcW w:w="2165" w:type="dxa"/>
            <w:vAlign w:val="bottom"/>
          </w:tcPr>
          <w:p w:rsidR="00A8210F" w:rsidRPr="00720D9E" w:rsidRDefault="00A8210F" w:rsidP="00E747C7">
            <w:pPr>
              <w:rPr>
                <w:rFonts w:ascii="Arial" w:hAnsi="Arial" w:cs="Arial"/>
                <w:sz w:val="24"/>
                <w:szCs w:val="24"/>
              </w:rPr>
            </w:pPr>
            <w:r w:rsidRPr="00720D9E">
              <w:rPr>
                <w:rFonts w:ascii="Arial" w:hAnsi="Arial" w:cs="Arial"/>
                <w:sz w:val="24"/>
                <w:szCs w:val="24"/>
              </w:rPr>
              <w:t>Variable</w:t>
            </w:r>
          </w:p>
        </w:tc>
        <w:tc>
          <w:tcPr>
            <w:tcW w:w="2165" w:type="dxa"/>
            <w:vAlign w:val="bottom"/>
          </w:tcPr>
          <w:p w:rsidR="00A8210F" w:rsidRPr="00720D9E" w:rsidRDefault="00A8210F" w:rsidP="00E747C7">
            <w:pPr>
              <w:rPr>
                <w:rFonts w:ascii="Arial" w:hAnsi="Arial" w:cs="Arial"/>
                <w:sz w:val="24"/>
                <w:szCs w:val="24"/>
              </w:rPr>
            </w:pPr>
            <w:r w:rsidRPr="00720D9E">
              <w:rPr>
                <w:rFonts w:ascii="Arial" w:hAnsi="Arial" w:cs="Arial"/>
                <w:sz w:val="24"/>
                <w:szCs w:val="24"/>
              </w:rPr>
              <w:t>Venting</w:t>
            </w:r>
          </w:p>
        </w:tc>
        <w:tc>
          <w:tcPr>
            <w:tcW w:w="2165" w:type="dxa"/>
            <w:vAlign w:val="bottom"/>
          </w:tcPr>
          <w:p w:rsidR="00A8210F" w:rsidRPr="00720D9E" w:rsidRDefault="00A8210F" w:rsidP="00E747C7">
            <w:pPr>
              <w:rPr>
                <w:rFonts w:ascii="Arial" w:hAnsi="Arial" w:cs="Arial"/>
                <w:sz w:val="24"/>
                <w:szCs w:val="24"/>
              </w:rPr>
            </w:pPr>
            <w:r w:rsidRPr="00720D9E">
              <w:rPr>
                <w:rFonts w:ascii="Arial" w:hAnsi="Arial" w:cs="Arial"/>
                <w:sz w:val="24"/>
                <w:szCs w:val="24"/>
              </w:rPr>
              <w:t>Sealed</w:t>
            </w:r>
          </w:p>
        </w:tc>
      </w:tr>
      <w:tr w:rsidR="00A8210F" w:rsidRPr="00720D9E" w:rsidTr="00AD49AE">
        <w:trPr>
          <w:trHeight w:val="443"/>
        </w:trPr>
        <w:tc>
          <w:tcPr>
            <w:tcW w:w="2165" w:type="dxa"/>
            <w:vAlign w:val="bottom"/>
          </w:tcPr>
          <w:p w:rsidR="00A8210F" w:rsidRPr="00720D9E" w:rsidRDefault="00A8210F" w:rsidP="00E747C7">
            <w:pPr>
              <w:rPr>
                <w:rFonts w:ascii="Arial" w:hAnsi="Arial" w:cs="Arial"/>
                <w:i/>
                <w:sz w:val="24"/>
                <w:szCs w:val="24"/>
              </w:rPr>
            </w:pPr>
            <w:r w:rsidRPr="00720D9E">
              <w:rPr>
                <w:rFonts w:ascii="Arial" w:hAnsi="Arial" w:cs="Arial"/>
                <w:i/>
                <w:sz w:val="24"/>
                <w:szCs w:val="24"/>
              </w:rPr>
              <w:t>b</w:t>
            </w:r>
          </w:p>
        </w:tc>
        <w:tc>
          <w:tcPr>
            <w:tcW w:w="2165" w:type="dxa"/>
            <w:vAlign w:val="bottom"/>
          </w:tcPr>
          <w:p w:rsidR="00A8210F" w:rsidRPr="00720D9E" w:rsidRDefault="00E836CF" w:rsidP="00E747C7">
            <w:pPr>
              <w:rPr>
                <w:rFonts w:ascii="Arial" w:hAnsi="Arial" w:cs="Arial"/>
                <w:sz w:val="24"/>
                <w:szCs w:val="24"/>
              </w:rPr>
            </w:pPr>
            <w:r w:rsidRPr="00720D9E">
              <w:rPr>
                <w:rFonts w:ascii="Arial" w:hAnsi="Arial" w:cs="Arial"/>
                <w:sz w:val="24"/>
                <w:szCs w:val="24"/>
              </w:rPr>
              <w:t>1.886581</w:t>
            </w:r>
          </w:p>
        </w:tc>
        <w:tc>
          <w:tcPr>
            <w:tcW w:w="2165" w:type="dxa"/>
            <w:vAlign w:val="bottom"/>
          </w:tcPr>
          <w:p w:rsidR="00A8210F" w:rsidRPr="00720D9E" w:rsidRDefault="00E836CF" w:rsidP="00E747C7">
            <w:pPr>
              <w:rPr>
                <w:rFonts w:ascii="Arial" w:hAnsi="Arial" w:cs="Arial"/>
                <w:sz w:val="24"/>
                <w:szCs w:val="24"/>
              </w:rPr>
            </w:pPr>
            <w:r w:rsidRPr="00720D9E">
              <w:rPr>
                <w:rFonts w:ascii="Arial" w:hAnsi="Arial" w:cs="Arial"/>
                <w:sz w:val="24"/>
                <w:szCs w:val="24"/>
              </w:rPr>
              <w:t>2.016746</w:t>
            </w:r>
          </w:p>
        </w:tc>
      </w:tr>
      <w:tr w:rsidR="00A8210F" w:rsidRPr="00720D9E" w:rsidTr="00AD49AE">
        <w:trPr>
          <w:trHeight w:val="443"/>
        </w:trPr>
        <w:tc>
          <w:tcPr>
            <w:tcW w:w="2165" w:type="dxa"/>
            <w:vAlign w:val="bottom"/>
          </w:tcPr>
          <w:p w:rsidR="00A8210F" w:rsidRPr="00720D9E" w:rsidRDefault="00A8210F" w:rsidP="00E747C7">
            <w:pPr>
              <w:rPr>
                <w:rFonts w:ascii="Arial" w:hAnsi="Arial" w:cs="Arial"/>
                <w:sz w:val="24"/>
                <w:szCs w:val="24"/>
              </w:rPr>
            </w:pPr>
            <w:r w:rsidRPr="00720D9E">
              <w:rPr>
                <w:rFonts w:ascii="Arial" w:hAnsi="Arial" w:cs="Arial"/>
                <w:i/>
                <w:sz w:val="24"/>
                <w:szCs w:val="24"/>
              </w:rPr>
              <w:t>D</w:t>
            </w:r>
            <w:r w:rsidRPr="00720D9E">
              <w:rPr>
                <w:rFonts w:ascii="Arial" w:hAnsi="Arial" w:cs="Arial"/>
                <w:i/>
                <w:sz w:val="24"/>
                <w:szCs w:val="24"/>
                <w:vertAlign w:val="subscript"/>
              </w:rPr>
              <w:t>i</w:t>
            </w:r>
            <w:r w:rsidRPr="00720D9E">
              <w:rPr>
                <w:rFonts w:ascii="Arial" w:hAnsi="Arial" w:cs="Arial"/>
                <w:sz w:val="24"/>
                <w:szCs w:val="24"/>
              </w:rPr>
              <w:t xml:space="preserve"> (1/day)</w:t>
            </w:r>
          </w:p>
        </w:tc>
        <w:tc>
          <w:tcPr>
            <w:tcW w:w="2165" w:type="dxa"/>
            <w:vAlign w:val="bottom"/>
          </w:tcPr>
          <w:p w:rsidR="00A8210F" w:rsidRPr="00720D9E" w:rsidRDefault="00E836CF" w:rsidP="00E747C7">
            <w:pPr>
              <w:rPr>
                <w:rFonts w:ascii="Arial" w:hAnsi="Arial" w:cs="Arial"/>
                <w:sz w:val="24"/>
                <w:szCs w:val="24"/>
              </w:rPr>
            </w:pPr>
            <w:r w:rsidRPr="00720D9E">
              <w:rPr>
                <w:rFonts w:ascii="Arial" w:hAnsi="Arial" w:cs="Arial"/>
                <w:sz w:val="24"/>
                <w:szCs w:val="24"/>
              </w:rPr>
              <w:t>0.003519</w:t>
            </w:r>
          </w:p>
        </w:tc>
        <w:tc>
          <w:tcPr>
            <w:tcW w:w="2165" w:type="dxa"/>
            <w:vAlign w:val="bottom"/>
          </w:tcPr>
          <w:p w:rsidR="00A8210F" w:rsidRPr="00720D9E" w:rsidRDefault="00CD6031" w:rsidP="00E747C7">
            <w:pPr>
              <w:rPr>
                <w:rFonts w:ascii="Arial" w:hAnsi="Arial" w:cs="Arial"/>
                <w:sz w:val="24"/>
                <w:szCs w:val="24"/>
              </w:rPr>
            </w:pPr>
            <w:r w:rsidRPr="00720D9E">
              <w:rPr>
                <w:rFonts w:ascii="Arial" w:hAnsi="Arial" w:cs="Arial"/>
                <w:sz w:val="24"/>
                <w:szCs w:val="24"/>
              </w:rPr>
              <w:t>0.000835</w:t>
            </w:r>
          </w:p>
        </w:tc>
      </w:tr>
    </w:tbl>
    <w:p w:rsidR="00A8210F" w:rsidRPr="00720D9E" w:rsidRDefault="00A8210F" w:rsidP="00A8210F">
      <w:pPr>
        <w:pStyle w:val="ListParagraph"/>
        <w:ind w:left="1440"/>
      </w:pPr>
    </w:p>
    <w:p w:rsidR="0049546C" w:rsidRPr="00720D9E" w:rsidRDefault="004871ED" w:rsidP="00FD2CF8">
      <w:pPr>
        <w:pStyle w:val="ListParagraph"/>
        <w:numPr>
          <w:ilvl w:val="1"/>
          <w:numId w:val="63"/>
        </w:numPr>
        <w:ind w:hanging="720"/>
      </w:pPr>
      <w:r w:rsidRPr="00720D9E">
        <w:t xml:space="preserve">derive hyperbolic decline curve coefficients using measured data from pre-existing </w:t>
      </w:r>
      <w:r w:rsidR="00D8234F" w:rsidRPr="00720D9E">
        <w:t>wells</w:t>
      </w:r>
      <w:r w:rsidRPr="00720D9E">
        <w:t xml:space="preserve"> or boreholes open to the atmosphere. </w:t>
      </w:r>
    </w:p>
    <w:p w:rsidR="008A07CC" w:rsidRPr="00720D9E" w:rsidRDefault="008A07CC" w:rsidP="00FD2CF8">
      <w:pPr>
        <w:pStyle w:val="ListParagraph"/>
        <w:numPr>
          <w:ilvl w:val="0"/>
          <w:numId w:val="63"/>
        </w:numPr>
        <w:ind w:left="720" w:hanging="720"/>
        <w:rPr>
          <w:lang w:val="en-GB"/>
        </w:rPr>
      </w:pPr>
      <w:r w:rsidRPr="00720D9E">
        <w:rPr>
          <w:lang w:val="en-GB"/>
        </w:rPr>
        <w:t>To d</w:t>
      </w:r>
      <w:r w:rsidR="008C6053" w:rsidRPr="00720D9E">
        <w:rPr>
          <w:lang w:val="en-GB"/>
        </w:rPr>
        <w:t xml:space="preserve">erive hyperbolic emission rate decline curve coefficients using measured data from pre-existing </w:t>
      </w:r>
      <w:r w:rsidR="00D8234F" w:rsidRPr="00720D9E">
        <w:rPr>
          <w:lang w:val="en-GB"/>
        </w:rPr>
        <w:t>wells</w:t>
      </w:r>
      <w:r w:rsidR="008C6053" w:rsidRPr="00720D9E">
        <w:rPr>
          <w:lang w:val="en-GB"/>
        </w:rPr>
        <w:t xml:space="preserve"> or boreholes open to the atmosphere</w:t>
      </w:r>
      <w:r w:rsidRPr="00720D9E">
        <w:rPr>
          <w:lang w:val="en-GB"/>
        </w:rPr>
        <w:t xml:space="preserve"> an </w:t>
      </w:r>
      <w:r w:rsidR="00BD11A9" w:rsidRPr="00720D9E">
        <w:rPr>
          <w:lang w:val="en-GB"/>
        </w:rPr>
        <w:t xml:space="preserve">Offset Project Operator </w:t>
      </w:r>
      <w:r w:rsidRPr="00720D9E">
        <w:rPr>
          <w:lang w:val="en-GB"/>
        </w:rPr>
        <w:t xml:space="preserve">or </w:t>
      </w:r>
      <w:r w:rsidR="00BD11A9" w:rsidRPr="00720D9E">
        <w:rPr>
          <w:lang w:val="en-GB"/>
        </w:rPr>
        <w:t>Authorized Project Designee</w:t>
      </w:r>
      <w:r w:rsidRPr="00720D9E">
        <w:rPr>
          <w:lang w:val="en-GB"/>
        </w:rPr>
        <w:t xml:space="preserve"> must do the following:</w:t>
      </w:r>
    </w:p>
    <w:p w:rsidR="00FD2CF8" w:rsidRPr="00720D9E" w:rsidRDefault="008A07CC" w:rsidP="00FD2CF8">
      <w:pPr>
        <w:pStyle w:val="ListParagraph"/>
        <w:numPr>
          <w:ilvl w:val="1"/>
          <w:numId w:val="63"/>
        </w:numPr>
        <w:ind w:hanging="720"/>
        <w:rPr>
          <w:lang w:val="en-GB"/>
        </w:rPr>
      </w:pPr>
      <w:r w:rsidRPr="00720D9E">
        <w:rPr>
          <w:lang w:val="en-GB"/>
        </w:rPr>
        <w:t xml:space="preserve">Obtain a methane emission rate at time of mine closure that is </w:t>
      </w:r>
      <w:r w:rsidR="008C6053" w:rsidRPr="00720D9E">
        <w:rPr>
          <w:lang w:val="en-GB"/>
        </w:rPr>
        <w:t>available through published sources (i.e.</w:t>
      </w:r>
      <w:r w:rsidR="00BD11A9" w:rsidRPr="00720D9E">
        <w:rPr>
          <w:lang w:val="en-GB"/>
        </w:rPr>
        <w:t>,</w:t>
      </w:r>
      <w:r w:rsidR="008C6053" w:rsidRPr="00720D9E">
        <w:rPr>
          <w:lang w:val="en-GB"/>
        </w:rPr>
        <w:t xml:space="preserve"> MSHA, EPA). </w:t>
      </w:r>
      <w:r w:rsidRPr="00720D9E">
        <w:rPr>
          <w:lang w:val="en-GB"/>
        </w:rPr>
        <w:t xml:space="preserve"> </w:t>
      </w:r>
    </w:p>
    <w:p w:rsidR="008A07CC" w:rsidRPr="00720D9E" w:rsidRDefault="008C6053" w:rsidP="00FD2CF8">
      <w:pPr>
        <w:pStyle w:val="ListParagraph"/>
        <w:numPr>
          <w:ilvl w:val="1"/>
          <w:numId w:val="63"/>
        </w:numPr>
        <w:ind w:hanging="720"/>
        <w:rPr>
          <w:lang w:val="en-GB"/>
        </w:rPr>
      </w:pPr>
      <w:r w:rsidRPr="00720D9E">
        <w:rPr>
          <w:lang w:val="en-GB"/>
        </w:rPr>
        <w:t xml:space="preserve">After mine closure, three parameters must be monitored: </w:t>
      </w:r>
    </w:p>
    <w:p w:rsidR="001E5525" w:rsidRPr="00720D9E" w:rsidRDefault="001E5525" w:rsidP="00FD2CF8">
      <w:pPr>
        <w:pStyle w:val="ListParagraph"/>
        <w:numPr>
          <w:ilvl w:val="2"/>
          <w:numId w:val="63"/>
        </w:numPr>
        <w:ind w:hanging="720"/>
        <w:rPr>
          <w:lang w:val="en-GB"/>
        </w:rPr>
      </w:pPr>
      <w:r w:rsidRPr="00720D9E">
        <w:rPr>
          <w:lang w:val="en-GB"/>
        </w:rPr>
        <w:t xml:space="preserve">MG flow rates; </w:t>
      </w:r>
    </w:p>
    <w:p w:rsidR="001E5525" w:rsidRPr="00720D9E" w:rsidRDefault="001E5525" w:rsidP="00FD2CF8">
      <w:pPr>
        <w:pStyle w:val="ListParagraph"/>
        <w:numPr>
          <w:ilvl w:val="2"/>
          <w:numId w:val="63"/>
        </w:numPr>
        <w:ind w:hanging="720"/>
        <w:rPr>
          <w:lang w:val="en-GB"/>
        </w:rPr>
      </w:pPr>
      <w:r w:rsidRPr="00720D9E">
        <w:rPr>
          <w:lang w:val="en-GB"/>
        </w:rPr>
        <w:t>local barometric pressure; and</w:t>
      </w:r>
    </w:p>
    <w:p w:rsidR="001E5525" w:rsidRPr="00720D9E" w:rsidRDefault="001E5525" w:rsidP="00FD2CF8">
      <w:pPr>
        <w:pStyle w:val="ListParagraph"/>
        <w:numPr>
          <w:ilvl w:val="2"/>
          <w:numId w:val="63"/>
        </w:numPr>
        <w:ind w:hanging="720"/>
        <w:rPr>
          <w:lang w:val="en-GB"/>
        </w:rPr>
      </w:pPr>
      <w:r w:rsidRPr="00720D9E">
        <w:rPr>
          <w:lang w:val="en-GB"/>
        </w:rPr>
        <w:t>methane concentration of MG</w:t>
      </w:r>
    </w:p>
    <w:p w:rsidR="008C6053" w:rsidRPr="00720D9E" w:rsidRDefault="008C6053" w:rsidP="00FD2CF8">
      <w:pPr>
        <w:pStyle w:val="ListParagraph"/>
        <w:numPr>
          <w:ilvl w:val="1"/>
          <w:numId w:val="63"/>
        </w:numPr>
        <w:ind w:hanging="720"/>
        <w:rPr>
          <w:lang w:val="en-GB"/>
        </w:rPr>
      </w:pPr>
      <w:r w:rsidRPr="00720D9E">
        <w:rPr>
          <w:lang w:val="en-GB"/>
        </w:rPr>
        <w:lastRenderedPageBreak/>
        <w:t>Measurements must be of natural flow only with no assist from vacuum pumps or compressors.</w:t>
      </w:r>
    </w:p>
    <w:p w:rsidR="008A07CC" w:rsidRPr="00720D9E" w:rsidRDefault="008A07CC" w:rsidP="00FD2CF8">
      <w:pPr>
        <w:pStyle w:val="ListParagraph"/>
        <w:numPr>
          <w:ilvl w:val="1"/>
          <w:numId w:val="63"/>
        </w:numPr>
        <w:ind w:hanging="720"/>
      </w:pPr>
      <w:r w:rsidRPr="00720D9E">
        <w:t xml:space="preserve">If gas flow metering equipment does not internally correct for temperature and pressure, apply </w:t>
      </w:r>
      <w:r w:rsidR="004842C4" w:rsidRPr="00720D9E">
        <w:t>Equation 5.</w:t>
      </w:r>
      <w:r w:rsidR="00CD6031" w:rsidRPr="00720D9E">
        <w:t>42</w:t>
      </w:r>
      <w:r w:rsidRPr="00720D9E">
        <w:t xml:space="preserve"> to the flow rate of mine gas </w:t>
      </w:r>
      <w:r w:rsidR="00A21F05" w:rsidRPr="00720D9E">
        <w:t xml:space="preserve">venting from </w:t>
      </w:r>
      <w:r w:rsidR="00A21F05" w:rsidRPr="00720D9E">
        <w:rPr>
          <w:lang w:val="en-GB"/>
        </w:rPr>
        <w:t xml:space="preserve">pre-existing </w:t>
      </w:r>
      <w:r w:rsidR="00D8234F" w:rsidRPr="00720D9E">
        <w:rPr>
          <w:lang w:val="en-GB"/>
        </w:rPr>
        <w:t>wells</w:t>
      </w:r>
      <w:r w:rsidR="00A21F05" w:rsidRPr="00720D9E">
        <w:rPr>
          <w:lang w:val="en-GB"/>
        </w:rPr>
        <w:t xml:space="preserve"> or boreholes open to the atmosphere</w:t>
      </w:r>
    </w:p>
    <w:p w:rsidR="008A07CC" w:rsidRPr="00720D9E" w:rsidRDefault="004842C4" w:rsidP="008A07CC">
      <w:pPr>
        <w:pStyle w:val="Heading4"/>
        <w:pBdr>
          <w:top w:val="single" w:sz="4" w:space="1" w:color="auto"/>
          <w:left w:val="single" w:sz="4" w:space="4" w:color="auto"/>
          <w:bottom w:val="single" w:sz="4" w:space="1" w:color="auto"/>
          <w:right w:val="single" w:sz="4" w:space="4" w:color="auto"/>
        </w:pBdr>
      </w:pPr>
      <w:r w:rsidRPr="00720D9E">
        <w:t>Equation 5.</w:t>
      </w:r>
      <w:r w:rsidR="00CD6031" w:rsidRPr="00720D9E">
        <w:t>42</w:t>
      </w:r>
      <w:r w:rsidR="008A07CC" w:rsidRPr="00720D9E">
        <w:t xml:space="preserve">: </w:t>
      </w:r>
      <w:r w:rsidR="00A21F05" w:rsidRPr="00720D9E">
        <w:t>Emissions Rate</w:t>
      </w:r>
      <w:r w:rsidR="008A07CC" w:rsidRPr="00720D9E">
        <w:t xml:space="preserve"> Corrected for Temperature and Pressure</w:t>
      </w:r>
    </w:p>
    <w:p w:rsidR="008A07CC" w:rsidRPr="00720D9E" w:rsidRDefault="00A21F05" w:rsidP="008A07CC">
      <w:pPr>
        <w:pBdr>
          <w:top w:val="single" w:sz="4" w:space="1" w:color="auto"/>
          <w:left w:val="single" w:sz="4" w:space="4" w:color="auto"/>
          <w:bottom w:val="single" w:sz="4" w:space="1" w:color="auto"/>
          <w:right w:val="single" w:sz="4" w:space="4" w:color="auto"/>
        </w:pBdr>
        <w:tabs>
          <w:tab w:val="left" w:pos="810"/>
        </w:tabs>
      </w:pPr>
      <w:r w:rsidRPr="00720D9E">
        <w:rPr>
          <w:i/>
        </w:rPr>
        <w:t>ER</w:t>
      </w:r>
      <w:r w:rsidRPr="00720D9E">
        <w:rPr>
          <w:i/>
          <w:vertAlign w:val="subscript"/>
        </w:rPr>
        <w:t>corrected</w:t>
      </w:r>
      <w:r w:rsidR="008A07CC" w:rsidRPr="00720D9E">
        <w:rPr>
          <w:i/>
          <w:vertAlign w:val="subscript"/>
        </w:rPr>
        <w:t>,y</w:t>
      </w:r>
      <w:r w:rsidR="008A07CC" w:rsidRPr="00720D9E">
        <w:t xml:space="preserve"> = </w:t>
      </w:r>
      <w:r w:rsidRPr="00720D9E">
        <w:rPr>
          <w:i/>
        </w:rPr>
        <w:t>ER</w:t>
      </w:r>
      <w:r w:rsidR="008A07CC" w:rsidRPr="00720D9E">
        <w:rPr>
          <w:i/>
          <w:vertAlign w:val="subscript"/>
        </w:rPr>
        <w:t>meas</w:t>
      </w:r>
      <w:r w:rsidRPr="00720D9E">
        <w:rPr>
          <w:i/>
          <w:vertAlign w:val="subscript"/>
        </w:rPr>
        <w:t>,</w:t>
      </w:r>
      <w:r w:rsidR="008A07CC" w:rsidRPr="00720D9E">
        <w:rPr>
          <w:i/>
          <w:vertAlign w:val="subscript"/>
        </w:rPr>
        <w:t>y</w:t>
      </w:r>
      <w:r w:rsidR="008A07CC" w:rsidRPr="00720D9E">
        <w:t xml:space="preserve"> x </w:t>
      </w:r>
      <w:r w:rsidR="008A07CC" w:rsidRPr="00720D9E">
        <w:rPr>
          <w:position w:val="-32"/>
        </w:rPr>
        <w:object w:dxaOrig="620" w:dyaOrig="700">
          <v:shape id="_x0000_i1056" type="#_x0000_t75" style="width:29pt;height:36pt" o:ole="">
            <v:imagedata r:id="rId34" o:title=""/>
          </v:shape>
          <o:OLEObject Type="Embed" ProgID="Equation.3" ShapeID="_x0000_i1056" DrawAspect="Content" ObjectID="_1437988709" r:id="rId53"/>
        </w:object>
      </w:r>
      <w:r w:rsidR="008A07CC" w:rsidRPr="00720D9E">
        <w:t xml:space="preserve"> x </w:t>
      </w:r>
      <w:r w:rsidR="008A07CC" w:rsidRPr="00720D9E">
        <w:rPr>
          <w:position w:val="-24"/>
        </w:rPr>
        <w:object w:dxaOrig="639" w:dyaOrig="660">
          <v:shape id="_x0000_i1057" type="#_x0000_t75" style="width:36pt;height:36pt" o:ole="">
            <v:imagedata r:id="rId36" o:title=""/>
          </v:shape>
          <o:OLEObject Type="Embed" ProgID="Equation.3" ShapeID="_x0000_i1057" DrawAspect="Content" ObjectID="_1437988710" r:id="rId54"/>
        </w:object>
      </w:r>
    </w:p>
    <w:p w:rsidR="008A07CC" w:rsidRPr="00720D9E" w:rsidRDefault="008A07CC" w:rsidP="008A07CC">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8A07CC" w:rsidRPr="00720D9E" w:rsidRDefault="00A21F05" w:rsidP="008A07C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ER</w:t>
      </w:r>
      <w:r w:rsidRPr="00720D9E">
        <w:rPr>
          <w:i/>
          <w:vertAlign w:val="subscript"/>
        </w:rPr>
        <w:t>corrected,</w:t>
      </w:r>
      <w:r w:rsidR="008A07CC" w:rsidRPr="00720D9E">
        <w:rPr>
          <w:i/>
          <w:vertAlign w:val="subscript"/>
        </w:rPr>
        <w:t>y</w:t>
      </w:r>
      <w:r w:rsidR="008A07CC" w:rsidRPr="00720D9E">
        <w:tab/>
        <w:t>=</w:t>
      </w:r>
      <w:r w:rsidR="008A07CC" w:rsidRPr="00720D9E">
        <w:tab/>
      </w:r>
      <w:r w:rsidRPr="00720D9E">
        <w:t>Emissions rate</w:t>
      </w:r>
      <w:r w:rsidR="008A07CC" w:rsidRPr="00720D9E">
        <w:t xml:space="preserve"> of MG </w:t>
      </w:r>
      <w:r w:rsidRPr="00720D9E">
        <w:t xml:space="preserve">venting from </w:t>
      </w:r>
      <w:r w:rsidRPr="00720D9E">
        <w:rPr>
          <w:lang w:val="en-GB"/>
        </w:rPr>
        <w:t xml:space="preserve">pre-existing </w:t>
      </w:r>
      <w:r w:rsidR="00D8234F" w:rsidRPr="00720D9E">
        <w:rPr>
          <w:lang w:val="en-GB"/>
        </w:rPr>
        <w:t>wells</w:t>
      </w:r>
      <w:r w:rsidRPr="00720D9E">
        <w:rPr>
          <w:lang w:val="en-GB"/>
        </w:rPr>
        <w:t xml:space="preserve"> or boreholes open to the atmosphere</w:t>
      </w:r>
      <w:r w:rsidRPr="00720D9E">
        <w:t xml:space="preserve"> during</w:t>
      </w:r>
      <w:r w:rsidR="008A07CC" w:rsidRPr="00720D9E">
        <w:t xml:space="preserve"> time interval y adjusted to 60°F and 1 atm (scf/unit of time)</w:t>
      </w:r>
    </w:p>
    <w:p w:rsidR="008A07CC" w:rsidRPr="00720D9E" w:rsidRDefault="00A21F05" w:rsidP="008A07C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ER</w:t>
      </w:r>
      <w:r w:rsidR="008A07CC" w:rsidRPr="00720D9E">
        <w:rPr>
          <w:i/>
          <w:vertAlign w:val="subscript"/>
        </w:rPr>
        <w:t>meas</w:t>
      </w:r>
      <w:r w:rsidRPr="00720D9E">
        <w:rPr>
          <w:i/>
          <w:vertAlign w:val="subscript"/>
        </w:rPr>
        <w:t>,</w:t>
      </w:r>
      <w:r w:rsidR="008A07CC" w:rsidRPr="00720D9E">
        <w:rPr>
          <w:i/>
          <w:vertAlign w:val="subscript"/>
        </w:rPr>
        <w:t>y</w:t>
      </w:r>
      <w:r w:rsidR="008A07CC" w:rsidRPr="00720D9E">
        <w:tab/>
        <w:t>=</w:t>
      </w:r>
      <w:r w:rsidR="008A07CC" w:rsidRPr="00720D9E">
        <w:tab/>
        <w:t xml:space="preserve">Measured </w:t>
      </w:r>
      <w:r w:rsidRPr="00720D9E">
        <w:t>emission rate</w:t>
      </w:r>
      <w:r w:rsidR="008A07CC" w:rsidRPr="00720D9E">
        <w:t xml:space="preserve"> of MG </w:t>
      </w:r>
      <w:r w:rsidRPr="00720D9E">
        <w:t xml:space="preserve">venting from </w:t>
      </w:r>
      <w:r w:rsidRPr="00720D9E">
        <w:rPr>
          <w:lang w:val="en-GB"/>
        </w:rPr>
        <w:t xml:space="preserve">pre-existing </w:t>
      </w:r>
      <w:r w:rsidR="00D8234F" w:rsidRPr="00720D9E">
        <w:rPr>
          <w:lang w:val="en-GB"/>
        </w:rPr>
        <w:t>wells</w:t>
      </w:r>
      <w:r w:rsidRPr="00720D9E">
        <w:rPr>
          <w:lang w:val="en-GB"/>
        </w:rPr>
        <w:t xml:space="preserve"> or boreholes open to the atmosphere</w:t>
      </w:r>
      <w:r w:rsidRPr="00720D9E">
        <w:t xml:space="preserve"> during</w:t>
      </w:r>
      <w:r w:rsidR="008A07CC" w:rsidRPr="00720D9E">
        <w:t xml:space="preserve"> time interval y (scf/unit of time)</w:t>
      </w:r>
    </w:p>
    <w:p w:rsidR="008A07CC" w:rsidRPr="00720D9E" w:rsidRDefault="008A07CC" w:rsidP="008A07C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T</w:t>
      </w:r>
      <w:r w:rsidRPr="00720D9E">
        <w:rPr>
          <w:i/>
          <w:vertAlign w:val="subscript"/>
        </w:rPr>
        <w:t>MG,y</w:t>
      </w:r>
      <w:r w:rsidRPr="00720D9E">
        <w:rPr>
          <w:i/>
        </w:rPr>
        <w:tab/>
      </w:r>
      <w:r w:rsidRPr="00720D9E">
        <w:t>=</w:t>
      </w:r>
      <w:r w:rsidRPr="00720D9E">
        <w:tab/>
        <w:t>Measured temperature of the MG for the time interval y, °R=°F+460 (°R)</w:t>
      </w:r>
    </w:p>
    <w:p w:rsidR="008A07CC" w:rsidRPr="00720D9E" w:rsidRDefault="008A07CC" w:rsidP="008A07C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w:t>
      </w:r>
      <w:r w:rsidRPr="00720D9E">
        <w:rPr>
          <w:i/>
          <w:vertAlign w:val="subscript"/>
        </w:rPr>
        <w:t>MG,y</w:t>
      </w:r>
      <w:r w:rsidRPr="00720D9E">
        <w:rPr>
          <w:i/>
        </w:rPr>
        <w:tab/>
        <w:t>=</w:t>
      </w:r>
      <w:r w:rsidRPr="00720D9E">
        <w:rPr>
          <w:i/>
        </w:rPr>
        <w:tab/>
      </w:r>
      <w:r w:rsidRPr="00720D9E">
        <w:t>Measured pressure of the MG for the time interval y (atm)</w:t>
      </w:r>
    </w:p>
    <w:p w:rsidR="00A8210F" w:rsidRPr="00720D9E" w:rsidRDefault="008A07CC" w:rsidP="00FD2CF8">
      <w:pPr>
        <w:pStyle w:val="ListParagraph"/>
        <w:numPr>
          <w:ilvl w:val="1"/>
          <w:numId w:val="63"/>
        </w:numPr>
        <w:ind w:hanging="720"/>
        <w:rPr>
          <w:lang w:val="en-GB"/>
        </w:rPr>
      </w:pPr>
      <w:r w:rsidRPr="00720D9E">
        <w:rPr>
          <w:lang w:val="en-GB"/>
        </w:rPr>
        <w:t xml:space="preserve">The monitored data </w:t>
      </w:r>
      <w:r w:rsidR="00A8210F" w:rsidRPr="00720D9E">
        <w:rPr>
          <w:lang w:val="en-GB"/>
        </w:rPr>
        <w:t>must</w:t>
      </w:r>
      <w:r w:rsidRPr="00720D9E">
        <w:rPr>
          <w:lang w:val="en-GB"/>
        </w:rPr>
        <w:t xml:space="preserve"> be used to develop a correlation between barometric pressure and methane flow rate.</w:t>
      </w:r>
      <w:r w:rsidR="00A8210F" w:rsidRPr="00720D9E">
        <w:rPr>
          <w:lang w:val="en-GB"/>
        </w:rPr>
        <w:t xml:space="preserve"> </w:t>
      </w:r>
      <w:r w:rsidRPr="00720D9E">
        <w:rPr>
          <w:lang w:val="en-GB"/>
        </w:rPr>
        <w:t xml:space="preserve"> Annual average barometric pressure at the site </w:t>
      </w:r>
      <w:r w:rsidR="00A8210F" w:rsidRPr="00720D9E">
        <w:rPr>
          <w:lang w:val="en-GB"/>
        </w:rPr>
        <w:t>must</w:t>
      </w:r>
      <w:r w:rsidRPr="00720D9E">
        <w:rPr>
          <w:lang w:val="en-GB"/>
        </w:rPr>
        <w:t xml:space="preserve"> then be used to normalize the annual methane flow rate. </w:t>
      </w:r>
    </w:p>
    <w:p w:rsidR="008A07CC" w:rsidRPr="00720D9E" w:rsidRDefault="008A07CC" w:rsidP="00FD2CF8">
      <w:pPr>
        <w:pStyle w:val="ListParagraph"/>
        <w:numPr>
          <w:ilvl w:val="1"/>
          <w:numId w:val="63"/>
        </w:numPr>
        <w:ind w:hanging="720"/>
        <w:rPr>
          <w:lang w:val="en-GB"/>
        </w:rPr>
      </w:pPr>
      <w:r w:rsidRPr="00720D9E">
        <w:rPr>
          <w:lang w:val="en-GB"/>
        </w:rPr>
        <w:t xml:space="preserve">This </w:t>
      </w:r>
      <w:r w:rsidR="00A8210F" w:rsidRPr="00720D9E">
        <w:rPr>
          <w:lang w:val="en-GB"/>
        </w:rPr>
        <w:t xml:space="preserve">normalized </w:t>
      </w:r>
      <w:r w:rsidRPr="00720D9E">
        <w:rPr>
          <w:lang w:val="en-GB"/>
        </w:rPr>
        <w:t xml:space="preserve">flow rate </w:t>
      </w:r>
      <w:r w:rsidR="00A8210F" w:rsidRPr="00720D9E">
        <w:rPr>
          <w:lang w:val="en-GB"/>
        </w:rPr>
        <w:t>must</w:t>
      </w:r>
      <w:r w:rsidRPr="00720D9E">
        <w:rPr>
          <w:lang w:val="en-GB"/>
        </w:rPr>
        <w:t xml:space="preserve"> then be plotted against the time since mine closure in order to derive the hyperbolic emission rate decline curve by fitting the data to a curve in the form of </w:t>
      </w:r>
      <w:r w:rsidR="004842C4" w:rsidRPr="00720D9E">
        <w:rPr>
          <w:lang w:val="en-GB"/>
        </w:rPr>
        <w:t>Equation 5.</w:t>
      </w:r>
      <w:r w:rsidR="00CD6031" w:rsidRPr="00720D9E">
        <w:rPr>
          <w:lang w:val="en-GB"/>
        </w:rPr>
        <w:t>41</w:t>
      </w:r>
      <w:r w:rsidRPr="00720D9E">
        <w:rPr>
          <w:lang w:val="en-GB"/>
        </w:rPr>
        <w:t>.</w:t>
      </w:r>
    </w:p>
    <w:p w:rsidR="00397499" w:rsidRPr="00720D9E" w:rsidRDefault="00397499" w:rsidP="00397499">
      <w:pPr>
        <w:pStyle w:val="Heading3"/>
      </w:pPr>
      <w:bookmarkStart w:id="45" w:name="_Toc364243219"/>
      <w:r w:rsidRPr="00720D9E">
        <w:t xml:space="preserve">§ </w:t>
      </w:r>
      <w:r w:rsidR="00645452" w:rsidRPr="00720D9E">
        <w:t>5.4.</w:t>
      </w:r>
      <w:r w:rsidRPr="00720D9E">
        <w:t>2. Quantifying Project Emissions.</w:t>
      </w:r>
      <w:bookmarkEnd w:id="45"/>
    </w:p>
    <w:p w:rsidR="00A8210F" w:rsidRPr="00720D9E" w:rsidRDefault="00A8210F" w:rsidP="00FD2CF8">
      <w:pPr>
        <w:pStyle w:val="ListParagraph"/>
        <w:numPr>
          <w:ilvl w:val="0"/>
          <w:numId w:val="64"/>
        </w:numPr>
        <w:ind w:hanging="720"/>
      </w:pPr>
      <w:r w:rsidRPr="00720D9E">
        <w:t>Project emissions mus</w:t>
      </w:r>
      <w:r w:rsidR="00952263" w:rsidRPr="00720D9E">
        <w:t>t be quantified on an annual</w:t>
      </w:r>
      <w:r w:rsidRPr="00720D9E">
        <w:t xml:space="preserve"> basis. </w:t>
      </w:r>
    </w:p>
    <w:p w:rsidR="00A8210F" w:rsidRPr="00720D9E" w:rsidRDefault="00A8210F" w:rsidP="00FD2CF8">
      <w:pPr>
        <w:pStyle w:val="ListParagraph"/>
        <w:numPr>
          <w:ilvl w:val="0"/>
          <w:numId w:val="64"/>
        </w:numPr>
        <w:ind w:hanging="720"/>
      </w:pPr>
      <w:r w:rsidRPr="00720D9E">
        <w:t xml:space="preserve">Project emissions for a reporting period (PE) must be quantified by summing the emissions for all SSRs identified as included in the project in Table </w:t>
      </w:r>
      <w:r w:rsidR="00CD6031" w:rsidRPr="00720D9E">
        <w:t>4</w:t>
      </w:r>
      <w:r w:rsidRPr="00720D9E">
        <w:t xml:space="preserve">.4 and using </w:t>
      </w:r>
      <w:r w:rsidR="004842C4" w:rsidRPr="00720D9E">
        <w:t>Equation 5.</w:t>
      </w:r>
      <w:r w:rsidR="00CD6031" w:rsidRPr="00720D9E">
        <w:t>43</w:t>
      </w:r>
      <w:r w:rsidRPr="00720D9E">
        <w:t>.</w:t>
      </w:r>
    </w:p>
    <w:p w:rsidR="00CD6031" w:rsidRPr="00720D9E" w:rsidRDefault="00CD6031" w:rsidP="00CD6031">
      <w:pPr>
        <w:pStyle w:val="ListParagraph"/>
        <w:numPr>
          <w:ilvl w:val="0"/>
          <w:numId w:val="64"/>
        </w:numPr>
        <w:ind w:hanging="720"/>
      </w:pPr>
      <w:r w:rsidRPr="00720D9E">
        <w:t>AMM that is still vented in the project scenario is not accounted for in the project emissions or baseline emissions, since it is vented in both scenarios.</w:t>
      </w:r>
    </w:p>
    <w:p w:rsidR="00A8210F" w:rsidRPr="00720D9E" w:rsidRDefault="004842C4" w:rsidP="00A8210F">
      <w:pPr>
        <w:pStyle w:val="Heading4"/>
        <w:pBdr>
          <w:top w:val="single" w:sz="4" w:space="1" w:color="auto"/>
          <w:left w:val="single" w:sz="4" w:space="4" w:color="auto"/>
          <w:bottom w:val="single" w:sz="4" w:space="1" w:color="auto"/>
          <w:right w:val="single" w:sz="4" w:space="4" w:color="auto"/>
        </w:pBdr>
      </w:pPr>
      <w:r w:rsidRPr="00720D9E">
        <w:lastRenderedPageBreak/>
        <w:t>Equation 5.</w:t>
      </w:r>
      <w:r w:rsidR="00CD6031" w:rsidRPr="00720D9E">
        <w:t>43</w:t>
      </w:r>
      <w:r w:rsidR="00A8210F" w:rsidRPr="00720D9E">
        <w:t>: Project Emissions</w:t>
      </w:r>
    </w:p>
    <w:p w:rsidR="00A8210F" w:rsidRPr="00720D9E" w:rsidRDefault="00A8210F" w:rsidP="00A8210F">
      <w:pPr>
        <w:pBdr>
          <w:top w:val="single" w:sz="4" w:space="1" w:color="auto"/>
          <w:left w:val="single" w:sz="4" w:space="4" w:color="auto"/>
          <w:bottom w:val="single" w:sz="4" w:space="1" w:color="auto"/>
          <w:right w:val="single" w:sz="4" w:space="4" w:color="auto"/>
        </w:pBdr>
        <w:spacing w:after="120" w:line="240" w:lineRule="auto"/>
      </w:pPr>
      <w:r w:rsidRPr="00720D9E">
        <w:rPr>
          <w:i/>
        </w:rPr>
        <w:t>PE = PE</w:t>
      </w:r>
      <w:r w:rsidRPr="00720D9E">
        <w:rPr>
          <w:i/>
          <w:vertAlign w:val="subscript"/>
        </w:rPr>
        <w:t>EC</w:t>
      </w:r>
      <w:r w:rsidRPr="00720D9E">
        <w:rPr>
          <w:i/>
        </w:rPr>
        <w:t xml:space="preserve"> + PE</w:t>
      </w:r>
      <w:r w:rsidRPr="00720D9E">
        <w:rPr>
          <w:i/>
          <w:vertAlign w:val="subscript"/>
        </w:rPr>
        <w:t>MD</w:t>
      </w:r>
      <w:r w:rsidRPr="00720D9E">
        <w:rPr>
          <w:i/>
        </w:rPr>
        <w:t xml:space="preserve"> </w:t>
      </w:r>
      <w:r w:rsidR="00016217" w:rsidRPr="00720D9E">
        <w:rPr>
          <w:i/>
        </w:rPr>
        <w:t>+  PE</w:t>
      </w:r>
      <w:r w:rsidR="00016217" w:rsidRPr="00720D9E">
        <w:rPr>
          <w:i/>
          <w:vertAlign w:val="subscript"/>
        </w:rPr>
        <w:t>UM</w:t>
      </w:r>
    </w:p>
    <w:p w:rsidR="00A8210F" w:rsidRPr="00720D9E" w:rsidRDefault="00A8210F" w:rsidP="00A8210F">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tab/>
        <w:t>=</w:t>
      </w:r>
      <w:r w:rsidRPr="00720D9E">
        <w:tab/>
        <w:t>Project emissions during the reporting period (tCO</w:t>
      </w:r>
      <w:r w:rsidRPr="00720D9E">
        <w:rPr>
          <w:vertAlign w:val="subscript"/>
        </w:rPr>
        <w:t>2</w:t>
      </w:r>
      <w:r w:rsidRPr="00720D9E">
        <w:t>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EC</w:t>
      </w:r>
      <w:r w:rsidRPr="00720D9E">
        <w:rPr>
          <w:i/>
          <w:vertAlign w:val="subscript"/>
        </w:rPr>
        <w:tab/>
      </w:r>
      <w:r w:rsidRPr="00720D9E">
        <w:t>=</w:t>
      </w:r>
      <w:r w:rsidRPr="00720D9E">
        <w:tab/>
        <w:t>Project emissions from energy consumed to capture and destroy methane during the reporting period (tCO</w:t>
      </w:r>
      <w:r w:rsidRPr="00720D9E">
        <w:rPr>
          <w:vertAlign w:val="subscript"/>
        </w:rPr>
        <w:t>2</w:t>
      </w:r>
      <w:r w:rsidRPr="00720D9E">
        <w:t>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MD</w:t>
      </w:r>
      <w:r w:rsidRPr="00720D9E">
        <w:tab/>
        <w:t>=</w:t>
      </w:r>
      <w:r w:rsidRPr="00720D9E">
        <w:tab/>
        <w:t>Project emissions from destruction of methane during the reporting period (tCO</w:t>
      </w:r>
      <w:r w:rsidRPr="00720D9E">
        <w:rPr>
          <w:vertAlign w:val="subscript"/>
        </w:rPr>
        <w:t>2</w:t>
      </w:r>
      <w:r w:rsidRPr="00720D9E">
        <w:t>e)</w:t>
      </w:r>
    </w:p>
    <w:p w:rsidR="00C55513" w:rsidRPr="00720D9E" w:rsidRDefault="00C55513" w:rsidP="00C55513">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00CD6031" w:rsidRPr="00720D9E">
        <w:rPr>
          <w:i/>
          <w:vertAlign w:val="subscript"/>
        </w:rPr>
        <w:t>UM</w:t>
      </w:r>
      <w:r w:rsidRPr="00720D9E">
        <w:tab/>
        <w:t>=</w:t>
      </w:r>
      <w:r w:rsidRPr="00720D9E">
        <w:tab/>
        <w:t>Project emissions from uncombusted methane during the reporting period (tCO</w:t>
      </w:r>
      <w:r w:rsidRPr="00720D9E">
        <w:rPr>
          <w:vertAlign w:val="subscript"/>
        </w:rPr>
        <w:t>2</w:t>
      </w:r>
      <w:r w:rsidRPr="00720D9E">
        <w:t xml:space="preserve">e) </w:t>
      </w:r>
    </w:p>
    <w:p w:rsidR="00A8210F" w:rsidRPr="00720D9E" w:rsidRDefault="00A8210F" w:rsidP="00FD2CF8">
      <w:pPr>
        <w:pStyle w:val="ListParagraph"/>
        <w:numPr>
          <w:ilvl w:val="0"/>
          <w:numId w:val="64"/>
        </w:numPr>
        <w:ind w:hanging="720"/>
      </w:pPr>
      <w:r w:rsidRPr="00720D9E">
        <w:t>If the project uses fossil fuel or grid electricity to power additional equipment required for project activities, the resulting CO</w:t>
      </w:r>
      <w:r w:rsidRPr="00720D9E">
        <w:rPr>
          <w:vertAlign w:val="subscript"/>
        </w:rPr>
        <w:t>2</w:t>
      </w:r>
      <w:r w:rsidRPr="00720D9E">
        <w:t xml:space="preserve"> emissions from the energy consumed to capture and destroy methane (PE</w:t>
      </w:r>
      <w:r w:rsidRPr="00720D9E">
        <w:rPr>
          <w:vertAlign w:val="subscript"/>
        </w:rPr>
        <w:t>EC</w:t>
      </w:r>
      <w:r w:rsidRPr="00720D9E">
        <w:t xml:space="preserve">) must be quantified using </w:t>
      </w:r>
      <w:r w:rsidR="004842C4" w:rsidRPr="00720D9E">
        <w:t>Equation 5.</w:t>
      </w:r>
      <w:r w:rsidR="00CD6031" w:rsidRPr="00720D9E">
        <w:t>44</w:t>
      </w:r>
      <w:r w:rsidRPr="00720D9E">
        <w:t xml:space="preserve">. </w:t>
      </w:r>
    </w:p>
    <w:p w:rsidR="00A8210F" w:rsidRPr="00720D9E" w:rsidRDefault="00A8210F" w:rsidP="00FD2CF8">
      <w:pPr>
        <w:pStyle w:val="ListParagraph"/>
        <w:numPr>
          <w:ilvl w:val="0"/>
          <w:numId w:val="64"/>
        </w:numPr>
        <w:ind w:hanging="720"/>
      </w:pPr>
      <w:r w:rsidRPr="00720D9E">
        <w:t>If the total electricity generated by project activities is greater than the additional electricity consumed for the capture and destruction of methane, then the CONS</w:t>
      </w:r>
      <w:r w:rsidRPr="00720D9E">
        <w:rPr>
          <w:vertAlign w:val="subscript"/>
        </w:rPr>
        <w:t>ELEC</w:t>
      </w:r>
      <w:r w:rsidRPr="00720D9E">
        <w:rPr>
          <w:i/>
        </w:rPr>
        <w:t xml:space="preserve"> </w:t>
      </w:r>
      <w:r w:rsidRPr="00720D9E">
        <w:t>term may be omitted from</w:t>
      </w:r>
      <w:r w:rsidRPr="00720D9E">
        <w:rPr>
          <w:i/>
        </w:rPr>
        <w:t xml:space="preserve"> </w:t>
      </w:r>
      <w:r w:rsidR="004842C4" w:rsidRPr="00720D9E">
        <w:t>Equation 5.</w:t>
      </w:r>
      <w:r w:rsidR="00705B7C" w:rsidRPr="00720D9E">
        <w:t>4</w:t>
      </w:r>
      <w:r w:rsidR="00CD6031" w:rsidRPr="00720D9E">
        <w:t>4</w:t>
      </w:r>
      <w:r w:rsidRPr="00720D9E">
        <w:t>.</w:t>
      </w:r>
    </w:p>
    <w:p w:rsidR="00A8210F" w:rsidRPr="00720D9E" w:rsidRDefault="004842C4" w:rsidP="00A8210F">
      <w:pPr>
        <w:pStyle w:val="Heading4"/>
        <w:pBdr>
          <w:top w:val="single" w:sz="4" w:space="1" w:color="auto"/>
          <w:left w:val="single" w:sz="4" w:space="4" w:color="auto"/>
          <w:bottom w:val="single" w:sz="4" w:space="1" w:color="auto"/>
          <w:right w:val="single" w:sz="4" w:space="4" w:color="auto"/>
        </w:pBdr>
      </w:pPr>
      <w:r w:rsidRPr="00720D9E">
        <w:t>Equation 5.</w:t>
      </w:r>
      <w:r w:rsidR="007241E6" w:rsidRPr="00720D9E">
        <w:t>4</w:t>
      </w:r>
      <w:r w:rsidR="00CD6031" w:rsidRPr="00720D9E">
        <w:t>4</w:t>
      </w:r>
      <w:r w:rsidR="00A8210F" w:rsidRPr="00720D9E">
        <w:t>: Project Emissions from Energy Consumed to Capture and Destroy Methane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810"/>
        </w:tabs>
        <w:rPr>
          <w:i/>
        </w:rPr>
      </w:pPr>
      <w:r w:rsidRPr="00720D9E">
        <w:rPr>
          <w:i/>
        </w:rPr>
        <w:t>PE</w:t>
      </w:r>
      <w:r w:rsidRPr="00720D9E">
        <w:rPr>
          <w:i/>
          <w:vertAlign w:val="subscript"/>
        </w:rPr>
        <w:t>EC</w:t>
      </w:r>
      <w:r w:rsidRPr="00720D9E">
        <w:rPr>
          <w:i/>
        </w:rPr>
        <w:t xml:space="preserve"> = (CONS</w:t>
      </w:r>
      <w:r w:rsidRPr="00720D9E">
        <w:rPr>
          <w:i/>
          <w:vertAlign w:val="subscript"/>
        </w:rPr>
        <w:t>ELEC</w:t>
      </w:r>
      <w:r w:rsidRPr="00720D9E">
        <w:t xml:space="preserve"> x </w:t>
      </w:r>
      <w:r w:rsidRPr="00720D9E">
        <w:rPr>
          <w:i/>
        </w:rPr>
        <w:t>CEF</w:t>
      </w:r>
      <w:r w:rsidRPr="00720D9E">
        <w:rPr>
          <w:i/>
          <w:vertAlign w:val="subscript"/>
        </w:rPr>
        <w:t>ELEC</w:t>
      </w:r>
      <w:r w:rsidRPr="00720D9E">
        <w:rPr>
          <w:i/>
        </w:rPr>
        <w:t xml:space="preserve">) + </w:t>
      </w:r>
      <w:r w:rsidRPr="00720D9E">
        <w:rPr>
          <w:position w:val="-24"/>
        </w:rPr>
        <w:object w:dxaOrig="4380" w:dyaOrig="620">
          <v:shape id="_x0000_i1058" type="#_x0000_t75" style="width:223pt;height:29pt" o:ole="">
            <v:imagedata r:id="rId27" o:title=""/>
          </v:shape>
          <o:OLEObject Type="Embed" ProgID="Equation.3" ShapeID="_x0000_i1058" DrawAspect="Content" ObjectID="_1437988711" r:id="rId55"/>
        </w:object>
      </w:r>
    </w:p>
    <w:p w:rsidR="00A8210F" w:rsidRPr="00720D9E" w:rsidRDefault="00A8210F" w:rsidP="00A8210F">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EC</w:t>
      </w:r>
      <w:r w:rsidRPr="00720D9E">
        <w:rPr>
          <w:i/>
          <w:vertAlign w:val="subscript"/>
        </w:rPr>
        <w:tab/>
      </w:r>
      <w:r w:rsidRPr="00720D9E">
        <w:t>=</w:t>
      </w:r>
      <w:r w:rsidRPr="00720D9E">
        <w:tab/>
        <w:t>Project emissions from energy consumed to capture and destroy methane during the reporting period (tCO</w:t>
      </w:r>
      <w:r w:rsidRPr="00720D9E">
        <w:rPr>
          <w:vertAlign w:val="subscript"/>
        </w:rPr>
        <w:t>2</w:t>
      </w:r>
      <w:r w:rsidRPr="00720D9E">
        <w:t>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ELEC</w:t>
      </w:r>
      <w:r w:rsidRPr="00720D9E">
        <w:rPr>
          <w:i/>
          <w:vertAlign w:val="subscript"/>
        </w:rPr>
        <w:tab/>
      </w:r>
      <w:r w:rsidRPr="00720D9E">
        <w:t>=</w:t>
      </w:r>
      <w:r w:rsidRPr="00720D9E">
        <w:tab/>
        <w:t>Additional electricity consumption for the capture and destruction of methane during the reporting period (MWh)</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ELEC</w:t>
      </w:r>
      <w:r w:rsidRPr="00720D9E">
        <w:rPr>
          <w:i/>
          <w:vertAlign w:val="subscript"/>
        </w:rPr>
        <w:tab/>
      </w:r>
      <w:r w:rsidRPr="00720D9E">
        <w:t>=</w:t>
      </w:r>
      <w:r w:rsidRPr="00720D9E">
        <w:tab/>
        <w:t>CO</w:t>
      </w:r>
      <w:r w:rsidRPr="00720D9E">
        <w:rPr>
          <w:vertAlign w:val="subscript"/>
        </w:rPr>
        <w:t>2</w:t>
      </w:r>
      <w:r w:rsidRPr="00720D9E">
        <w:t xml:space="preserve"> emission factor of electricity used </w:t>
      </w:r>
      <w:r w:rsidR="004F2D63" w:rsidRPr="00720D9E">
        <w:t>from Appendix A</w:t>
      </w:r>
      <w:r w:rsidR="004F2D63">
        <w:t xml:space="preserve"> </w:t>
      </w:r>
      <w:r w:rsidRPr="00720D9E">
        <w:t>(tCO</w:t>
      </w:r>
      <w:r w:rsidRPr="00720D9E">
        <w:rPr>
          <w:vertAlign w:val="subscript"/>
        </w:rPr>
        <w:t>2</w:t>
      </w:r>
      <w:r w:rsidRPr="00720D9E">
        <w:t>e/MWh)</w:t>
      </w:r>
      <w:r w:rsidR="00CD6031" w:rsidRPr="00720D9E">
        <w:t xml:space="preserve"> </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HEAT</w:t>
      </w:r>
      <w:r w:rsidRPr="00720D9E">
        <w:rPr>
          <w:i/>
          <w:vertAlign w:val="subscript"/>
        </w:rPr>
        <w:tab/>
      </w:r>
      <w:r w:rsidRPr="00720D9E">
        <w:t>=</w:t>
      </w:r>
      <w:r w:rsidRPr="00720D9E">
        <w:tab/>
        <w:t>Additional heat consumption for the capture and destruction of methane during the reporting period (volume)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HEAT</w:t>
      </w:r>
      <w:r w:rsidRPr="00720D9E">
        <w:rPr>
          <w:i/>
          <w:vertAlign w:val="subscript"/>
        </w:rPr>
        <w:tab/>
      </w:r>
      <w:r w:rsidRPr="00720D9E">
        <w:t>=</w:t>
      </w:r>
      <w:r w:rsidRPr="00720D9E">
        <w:tab/>
        <w:t>CO</w:t>
      </w:r>
      <w:r w:rsidRPr="00720D9E">
        <w:rPr>
          <w:vertAlign w:val="subscript"/>
        </w:rPr>
        <w:t>2</w:t>
      </w:r>
      <w:r w:rsidRPr="00720D9E">
        <w:t xml:space="preserve"> emission factor of heat used </w:t>
      </w:r>
      <w:r w:rsidR="004F2D63" w:rsidRPr="00720D9E">
        <w:t>from Appendix A</w:t>
      </w:r>
      <w:r w:rsidR="004F2D63">
        <w:t xml:space="preserve"> </w:t>
      </w:r>
      <w:r w:rsidRPr="00720D9E">
        <w:t>(kg CO</w:t>
      </w:r>
      <w:r w:rsidRPr="00720D9E">
        <w:rPr>
          <w:vertAlign w:val="subscript"/>
        </w:rPr>
        <w:t>2</w:t>
      </w:r>
      <w:r w:rsidRPr="00720D9E">
        <w:t>/volume)</w:t>
      </w:r>
      <w:r w:rsidR="00CD6031" w:rsidRPr="00720D9E">
        <w:t xml:space="preserve"> </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CONS</w:t>
      </w:r>
      <w:r w:rsidRPr="00720D9E">
        <w:rPr>
          <w:i/>
          <w:vertAlign w:val="subscript"/>
        </w:rPr>
        <w:t>FF</w:t>
      </w:r>
      <w:r w:rsidRPr="00720D9E">
        <w:tab/>
        <w:t>=</w:t>
      </w:r>
      <w:r w:rsidRPr="00720D9E">
        <w:tab/>
        <w:t>Additional fossil fuel consumption for the capture and destruction of methane during the reporting period (volume)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FF</w:t>
      </w:r>
      <w:r w:rsidRPr="00720D9E">
        <w:rPr>
          <w:i/>
          <w:vertAlign w:val="subscript"/>
        </w:rPr>
        <w:tab/>
      </w:r>
      <w:r w:rsidRPr="00720D9E">
        <w:t>=</w:t>
      </w:r>
      <w:r w:rsidRPr="00720D9E">
        <w:tab/>
        <w:t>CO</w:t>
      </w:r>
      <w:r w:rsidRPr="00720D9E">
        <w:rPr>
          <w:vertAlign w:val="subscript"/>
        </w:rPr>
        <w:t>2</w:t>
      </w:r>
      <w:r w:rsidRPr="00720D9E">
        <w:t xml:space="preserve"> emission factor of fossil fuel used </w:t>
      </w:r>
      <w:r w:rsidR="004F2D63" w:rsidRPr="00720D9E">
        <w:t>from Appendix A</w:t>
      </w:r>
      <w:r w:rsidR="004F2D63">
        <w:t xml:space="preserve"> </w:t>
      </w:r>
      <w:r w:rsidRPr="00720D9E">
        <w:t>(kg CO</w:t>
      </w:r>
      <w:r w:rsidRPr="00720D9E">
        <w:rPr>
          <w:vertAlign w:val="subscript"/>
        </w:rPr>
        <w:t>2</w:t>
      </w:r>
      <w:r w:rsidRPr="00720D9E">
        <w:t>/volume)</w:t>
      </w:r>
      <w:r w:rsidR="00CD6031" w:rsidRPr="00720D9E">
        <w:t xml:space="preserve"> </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lastRenderedPageBreak/>
        <w:t>1/1000</w:t>
      </w:r>
      <w:r w:rsidRPr="00720D9E">
        <w:tab/>
        <w:t>=</w:t>
      </w:r>
      <w:r w:rsidRPr="00720D9E">
        <w:tab/>
        <w:t>Conversion of kg to metric tons</w:t>
      </w:r>
    </w:p>
    <w:p w:rsidR="00A8210F" w:rsidRPr="00720D9E" w:rsidRDefault="00A8210F" w:rsidP="00FD2CF8">
      <w:pPr>
        <w:pStyle w:val="ListParagraph"/>
        <w:numPr>
          <w:ilvl w:val="0"/>
          <w:numId w:val="64"/>
        </w:numPr>
        <w:ind w:hanging="720"/>
      </w:pPr>
      <w:r w:rsidRPr="00720D9E">
        <w:t>Project emissions from the destruction of methane (PE</w:t>
      </w:r>
      <w:r w:rsidRPr="00720D9E">
        <w:rPr>
          <w:vertAlign w:val="subscript"/>
        </w:rPr>
        <w:t>MD</w:t>
      </w:r>
      <w:r w:rsidRPr="00720D9E">
        <w:t xml:space="preserve">) must be quantified using Equations </w:t>
      </w:r>
      <w:r w:rsidR="009513DB" w:rsidRPr="00720D9E">
        <w:t>5</w:t>
      </w:r>
      <w:r w:rsidRPr="00720D9E">
        <w:t>.</w:t>
      </w:r>
      <w:r w:rsidR="00CD6031" w:rsidRPr="00720D9E">
        <w:t>45</w:t>
      </w:r>
      <w:r w:rsidRPr="00720D9E">
        <w:t xml:space="preserve"> and </w:t>
      </w:r>
      <w:r w:rsidR="009513DB" w:rsidRPr="00720D9E">
        <w:t>5</w:t>
      </w:r>
      <w:r w:rsidRPr="00720D9E">
        <w:t>.</w:t>
      </w:r>
      <w:r w:rsidR="00705B7C" w:rsidRPr="00720D9E">
        <w:t>4</w:t>
      </w:r>
      <w:r w:rsidR="00CD6031" w:rsidRPr="00720D9E">
        <w:t>6</w:t>
      </w:r>
      <w:r w:rsidRPr="00720D9E">
        <w:t xml:space="preserve">. </w:t>
      </w:r>
    </w:p>
    <w:p w:rsidR="00A8210F" w:rsidRPr="00720D9E" w:rsidRDefault="004842C4" w:rsidP="00A8210F">
      <w:pPr>
        <w:pStyle w:val="Heading4"/>
        <w:pBdr>
          <w:top w:val="single" w:sz="4" w:space="1" w:color="auto"/>
          <w:left w:val="single" w:sz="4" w:space="4" w:color="auto"/>
          <w:bottom w:val="single" w:sz="4" w:space="1" w:color="auto"/>
          <w:right w:val="single" w:sz="4" w:space="4" w:color="auto"/>
        </w:pBdr>
      </w:pPr>
      <w:r w:rsidRPr="00720D9E">
        <w:t>Equation 5.</w:t>
      </w:r>
      <w:r w:rsidR="00705B7C" w:rsidRPr="00720D9E">
        <w:t>4</w:t>
      </w:r>
      <w:r w:rsidR="00CD6031" w:rsidRPr="00720D9E">
        <w:t>5</w:t>
      </w:r>
      <w:r w:rsidR="00A8210F" w:rsidRPr="00720D9E">
        <w:t>: Project Emissions from Destruction of Captured Methane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810"/>
        </w:tabs>
        <w:rPr>
          <w:i/>
        </w:rPr>
      </w:pPr>
      <w:r w:rsidRPr="00720D9E">
        <w:rPr>
          <w:i/>
        </w:rPr>
        <w:t>PE</w:t>
      </w:r>
      <w:r w:rsidRPr="00720D9E">
        <w:rPr>
          <w:i/>
          <w:vertAlign w:val="subscript"/>
        </w:rPr>
        <w:t>MD</w:t>
      </w:r>
      <w:r w:rsidRPr="00720D9E">
        <w:rPr>
          <w:i/>
        </w:rPr>
        <w:t xml:space="preserve"> = </w:t>
      </w:r>
      <w:r w:rsidRPr="00720D9E">
        <w:rPr>
          <w:i/>
          <w:position w:val="-28"/>
        </w:rPr>
        <w:object w:dxaOrig="480" w:dyaOrig="540">
          <v:shape id="_x0000_i1059" type="#_x0000_t75" style="width:22pt;height:29pt" o:ole="">
            <v:imagedata r:id="rId18" o:title=""/>
          </v:shape>
          <o:OLEObject Type="Embed" ProgID="Equation.3" ShapeID="_x0000_i1059" DrawAspect="Content" ObjectID="_1437988712" r:id="rId56"/>
        </w:object>
      </w:r>
      <w:r w:rsidRPr="00720D9E">
        <w:rPr>
          <w:i/>
        </w:rPr>
        <w:t>MD</w:t>
      </w:r>
      <w:r w:rsidR="008C3E11" w:rsidRPr="00720D9E">
        <w:rPr>
          <w:i/>
          <w:vertAlign w:val="subscript"/>
        </w:rPr>
        <w:t>P,</w:t>
      </w:r>
      <w:r w:rsidRPr="00720D9E">
        <w:rPr>
          <w:i/>
          <w:vertAlign w:val="subscript"/>
        </w:rPr>
        <w:t xml:space="preserve">i </w:t>
      </w:r>
      <w:r w:rsidRPr="00720D9E">
        <w:rPr>
          <w:vertAlign w:val="subscript"/>
        </w:rPr>
        <w:t xml:space="preserve"> </w:t>
      </w:r>
      <w:r w:rsidRPr="00720D9E">
        <w:t xml:space="preserve">x </w:t>
      </w:r>
      <w:r w:rsidRPr="00720D9E">
        <w:rPr>
          <w:i/>
        </w:rPr>
        <w:t>CEF</w:t>
      </w:r>
      <w:r w:rsidRPr="00720D9E">
        <w:rPr>
          <w:i/>
          <w:vertAlign w:val="subscript"/>
        </w:rPr>
        <w:t>CH4</w:t>
      </w:r>
    </w:p>
    <w:p w:rsidR="00A8210F" w:rsidRPr="00720D9E" w:rsidRDefault="00A8210F" w:rsidP="00A8210F">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MD</w:t>
      </w:r>
      <w:r w:rsidRPr="00720D9E">
        <w:tab/>
        <w:t>=</w:t>
      </w:r>
      <w:r w:rsidRPr="00720D9E">
        <w:tab/>
        <w:t>Project emissions from destruction of methane during the reporting period (tCO</w:t>
      </w:r>
      <w:r w:rsidRPr="00720D9E">
        <w:rPr>
          <w:vertAlign w:val="subscript"/>
        </w:rPr>
        <w:t>2</w:t>
      </w:r>
      <w:r w:rsidRPr="00720D9E">
        <w:t>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(flaring, power generation, heat generation</w:t>
      </w:r>
      <w:r w:rsidR="00A8097E" w:rsidRPr="00720D9E">
        <w:t xml:space="preserve"> production of transportation fuel, injection into natural gas pipeline</w:t>
      </w:r>
      <w:r w:rsidRPr="00720D9E">
        <w:t>, etc.) by all qualifying and non-qualifying devices</w:t>
      </w:r>
    </w:p>
    <w:p w:rsidR="00A8210F" w:rsidRPr="00720D9E" w:rsidRDefault="008C3E11"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Pr="00720D9E">
        <w:rPr>
          <w:i/>
          <w:vertAlign w:val="subscript"/>
        </w:rPr>
        <w:t xml:space="preserve">P,i </w:t>
      </w:r>
      <w:r w:rsidRPr="00720D9E">
        <w:rPr>
          <w:vertAlign w:val="subscript"/>
        </w:rPr>
        <w:t xml:space="preserve"> </w:t>
      </w:r>
      <w:r w:rsidR="00A8210F" w:rsidRPr="00720D9E">
        <w:tab/>
        <w:t>=</w:t>
      </w:r>
      <w:r w:rsidR="00A8210F" w:rsidRPr="00720D9E">
        <w:tab/>
        <w:t>Methane destroyed by use i during the reporting period (tCH</w:t>
      </w:r>
      <w:r w:rsidR="00A8210F" w:rsidRPr="00720D9E">
        <w:rPr>
          <w:vertAlign w:val="subscript"/>
        </w:rPr>
        <w:t>4</w:t>
      </w:r>
      <w:r w:rsidR="00A8210F" w:rsidRPr="00720D9E">
        <w:t>)</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CH4</w:t>
      </w:r>
      <w:r w:rsidRPr="00720D9E">
        <w:tab/>
        <w:t>=</w:t>
      </w:r>
      <w:r w:rsidRPr="00720D9E">
        <w:tab/>
        <w:t>CO</w:t>
      </w:r>
      <w:r w:rsidRPr="00720D9E">
        <w:rPr>
          <w:vertAlign w:val="subscript"/>
        </w:rPr>
        <w:t>2</w:t>
      </w:r>
      <w:r w:rsidRPr="00720D9E">
        <w:t xml:space="preserve"> emission factor for combusted methane (2.75 tCO</w:t>
      </w:r>
      <w:r w:rsidRPr="00720D9E">
        <w:rPr>
          <w:vertAlign w:val="subscript"/>
        </w:rPr>
        <w:t>2</w:t>
      </w:r>
      <w:r w:rsidRPr="00720D9E">
        <w:t>e/tCH</w:t>
      </w:r>
      <w:r w:rsidRPr="00720D9E">
        <w:rPr>
          <w:vertAlign w:val="subscript"/>
        </w:rPr>
        <w:t>4</w:t>
      </w:r>
      <w:r w:rsidRPr="00720D9E">
        <w:t>)</w:t>
      </w:r>
    </w:p>
    <w:p w:rsidR="00A8210F" w:rsidRPr="00720D9E" w:rsidRDefault="00A8210F" w:rsidP="00FD2CF8">
      <w:pPr>
        <w:pStyle w:val="ListParagraph"/>
        <w:numPr>
          <w:ilvl w:val="0"/>
          <w:numId w:val="64"/>
        </w:numPr>
        <w:ind w:hanging="720"/>
      </w:pPr>
      <w:r w:rsidRPr="00720D9E">
        <w:t>The amount of mine methane destroyed (MD</w:t>
      </w:r>
      <w:r w:rsidR="00DD7726" w:rsidRPr="00720D9E">
        <w:rPr>
          <w:vertAlign w:val="subscript"/>
        </w:rPr>
        <w:t>P,</w:t>
      </w:r>
      <w:r w:rsidRPr="00720D9E">
        <w:rPr>
          <w:vertAlign w:val="subscript"/>
        </w:rPr>
        <w:t xml:space="preserve">i </w:t>
      </w:r>
      <w:r w:rsidRPr="00720D9E">
        <w:t xml:space="preserve">) must be quantified using </w:t>
      </w:r>
      <w:r w:rsidR="004842C4" w:rsidRPr="00720D9E">
        <w:t>Equation 5.</w:t>
      </w:r>
      <w:r w:rsidR="006F4763" w:rsidRPr="00720D9E">
        <w:t>4</w:t>
      </w:r>
      <w:r w:rsidR="00CD6031" w:rsidRPr="00720D9E">
        <w:t>6</w:t>
      </w:r>
      <w:r w:rsidRPr="00720D9E">
        <w:t>.</w:t>
      </w:r>
    </w:p>
    <w:p w:rsidR="00A8210F" w:rsidRPr="00720D9E" w:rsidRDefault="009513DB" w:rsidP="00FD2CF8">
      <w:pPr>
        <w:pStyle w:val="ListParagraph"/>
        <w:numPr>
          <w:ilvl w:val="0"/>
          <w:numId w:val="64"/>
        </w:numPr>
        <w:ind w:hanging="720"/>
      </w:pPr>
      <w:r w:rsidRPr="00720D9E">
        <w:t>Offset Project Operators and Authorized Project Designees</w:t>
      </w:r>
      <w:r w:rsidR="00A8210F" w:rsidRPr="00720D9E">
        <w:t xml:space="preserve"> may choose to use default methane destruction efficiencies (DE</w:t>
      </w:r>
      <w:r w:rsidR="00A8210F" w:rsidRPr="00720D9E">
        <w:rPr>
          <w:vertAlign w:val="subscript"/>
        </w:rPr>
        <w:t>i</w:t>
      </w:r>
      <w:r w:rsidR="00A8210F" w:rsidRPr="00720D9E">
        <w:t>) provided in Appendix B or site-specific methane destruction efficiencies.  Site-specific methane destruction efficiencies must be determined using an ARB approved methodology.</w:t>
      </w:r>
    </w:p>
    <w:p w:rsidR="00A8210F" w:rsidRPr="00720D9E" w:rsidRDefault="004842C4" w:rsidP="00A8210F">
      <w:pPr>
        <w:pStyle w:val="Heading4"/>
        <w:pBdr>
          <w:top w:val="single" w:sz="4" w:space="1" w:color="auto"/>
          <w:left w:val="single" w:sz="4" w:space="4" w:color="auto"/>
          <w:bottom w:val="single" w:sz="4" w:space="1" w:color="auto"/>
          <w:right w:val="single" w:sz="4" w:space="4" w:color="auto"/>
        </w:pBdr>
      </w:pPr>
      <w:r w:rsidRPr="00720D9E">
        <w:t>Equation 5.</w:t>
      </w:r>
      <w:r w:rsidR="00705B7C" w:rsidRPr="00720D9E">
        <w:t>4</w:t>
      </w:r>
      <w:r w:rsidR="00CD6031" w:rsidRPr="00720D9E">
        <w:t>6</w:t>
      </w:r>
      <w:r w:rsidR="00A8210F" w:rsidRPr="00720D9E">
        <w:t>: Methane Destroyed</w:t>
      </w:r>
    </w:p>
    <w:p w:rsidR="00A8210F" w:rsidRPr="00720D9E" w:rsidRDefault="008C3E11" w:rsidP="00A8210F">
      <w:pPr>
        <w:pBdr>
          <w:top w:val="single" w:sz="4" w:space="1" w:color="auto"/>
          <w:left w:val="single" w:sz="4" w:space="4" w:color="auto"/>
          <w:bottom w:val="single" w:sz="4" w:space="1" w:color="auto"/>
          <w:right w:val="single" w:sz="4" w:space="4" w:color="auto"/>
        </w:pBdr>
        <w:tabs>
          <w:tab w:val="left" w:pos="810"/>
        </w:tabs>
        <w:rPr>
          <w:i/>
          <w:vertAlign w:val="subscript"/>
        </w:rPr>
      </w:pPr>
      <w:r w:rsidRPr="00720D9E">
        <w:rPr>
          <w:i/>
        </w:rPr>
        <w:t>MD</w:t>
      </w:r>
      <w:r w:rsidRPr="00720D9E">
        <w:rPr>
          <w:i/>
          <w:vertAlign w:val="subscript"/>
        </w:rPr>
        <w:t xml:space="preserve">P,i </w:t>
      </w:r>
      <w:r w:rsidRPr="00720D9E">
        <w:rPr>
          <w:vertAlign w:val="subscript"/>
        </w:rPr>
        <w:t xml:space="preserve"> </w:t>
      </w:r>
      <w:r w:rsidR="00A8210F" w:rsidRPr="00720D9E">
        <w:rPr>
          <w:i/>
          <w:vertAlign w:val="subscript"/>
        </w:rPr>
        <w:t xml:space="preserve"> </w:t>
      </w:r>
      <w:r w:rsidR="00A8210F" w:rsidRPr="00720D9E">
        <w:rPr>
          <w:vertAlign w:val="subscript"/>
        </w:rPr>
        <w:t xml:space="preserve"> </w:t>
      </w:r>
      <w:r w:rsidR="00A8210F" w:rsidRPr="00720D9E">
        <w:t xml:space="preserve">= </w:t>
      </w:r>
      <w:r w:rsidR="00A8210F" w:rsidRPr="00720D9E">
        <w:rPr>
          <w:i/>
          <w:position w:val="-28"/>
        </w:rPr>
        <w:object w:dxaOrig="480" w:dyaOrig="540">
          <v:shape id="_x0000_i1060" type="#_x0000_t75" style="width:22pt;height:29pt" o:ole="">
            <v:imagedata r:id="rId18" o:title=""/>
          </v:shape>
          <o:OLEObject Type="Embed" ProgID="Equation.3" ShapeID="_x0000_i1060" DrawAspect="Content" ObjectID="_1437988713" r:id="rId57"/>
        </w:object>
      </w:r>
      <w:r w:rsidR="00A8210F" w:rsidRPr="00720D9E">
        <w:rPr>
          <w:i/>
        </w:rPr>
        <w:t>MM</w:t>
      </w:r>
      <w:r w:rsidR="004A088E" w:rsidRPr="00720D9E">
        <w:rPr>
          <w:i/>
          <w:vertAlign w:val="subscript"/>
        </w:rPr>
        <w:t>P,</w:t>
      </w:r>
      <w:r w:rsidR="00A8210F" w:rsidRPr="00720D9E">
        <w:rPr>
          <w:i/>
          <w:vertAlign w:val="subscript"/>
        </w:rPr>
        <w:t>i</w:t>
      </w:r>
      <w:r w:rsidR="00A8210F" w:rsidRPr="00720D9E">
        <w:t xml:space="preserve"> x </w:t>
      </w:r>
      <w:r w:rsidR="00A8210F" w:rsidRPr="00720D9E">
        <w:rPr>
          <w:i/>
        </w:rPr>
        <w:t>DE</w:t>
      </w:r>
      <w:r w:rsidR="00A8210F" w:rsidRPr="00720D9E">
        <w:rPr>
          <w:i/>
          <w:vertAlign w:val="subscript"/>
        </w:rPr>
        <w:t>i</w:t>
      </w:r>
    </w:p>
    <w:p w:rsidR="00A8210F" w:rsidRPr="00720D9E" w:rsidRDefault="00A8210F" w:rsidP="00A8210F">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A8210F" w:rsidRPr="00720D9E" w:rsidRDefault="008C3E11"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MD</w:t>
      </w:r>
      <w:r w:rsidRPr="00720D9E">
        <w:rPr>
          <w:i/>
          <w:vertAlign w:val="subscript"/>
        </w:rPr>
        <w:t xml:space="preserve">P,i </w:t>
      </w:r>
      <w:r w:rsidRPr="00720D9E">
        <w:rPr>
          <w:vertAlign w:val="subscript"/>
        </w:rPr>
        <w:t xml:space="preserve"> </w:t>
      </w:r>
      <w:r w:rsidR="00A8210F" w:rsidRPr="00720D9E">
        <w:tab/>
        <w:t>=</w:t>
      </w:r>
      <w:r w:rsidR="00A8210F" w:rsidRPr="00720D9E">
        <w:tab/>
        <w:t>Methane destroyed by use i during the reporting period (tCH</w:t>
      </w:r>
      <w:r w:rsidR="00A8210F" w:rsidRPr="00720D9E">
        <w:rPr>
          <w:vertAlign w:val="subscript"/>
        </w:rPr>
        <w:t>4</w:t>
      </w:r>
      <w:r w:rsidR="00A8210F" w:rsidRPr="00720D9E">
        <w:t>)</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i</w:t>
      </w:r>
      <w:r w:rsidRPr="00720D9E">
        <w:tab/>
        <w:t>=</w:t>
      </w:r>
      <w:r w:rsidRPr="00720D9E">
        <w:tab/>
        <w:t>Use of methane (flaring, power generation, heat generation,</w:t>
      </w:r>
      <w:r w:rsidR="00A8097E" w:rsidRPr="00720D9E">
        <w:t xml:space="preserve"> production of transportation fuel, injection into natural gas pipeline,</w:t>
      </w:r>
      <w:r w:rsidRPr="00720D9E">
        <w:t xml:space="preserve"> etc.) by all qualifying and non-qualifying devices </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MM</w:t>
      </w:r>
      <w:r w:rsidR="004A088E" w:rsidRPr="00720D9E">
        <w:rPr>
          <w:i/>
          <w:vertAlign w:val="subscript"/>
        </w:rPr>
        <w:t>P,</w:t>
      </w:r>
      <w:r w:rsidRPr="00720D9E">
        <w:rPr>
          <w:i/>
          <w:vertAlign w:val="subscript"/>
        </w:rPr>
        <w:t>i</w:t>
      </w:r>
      <w:r w:rsidRPr="00720D9E">
        <w:rPr>
          <w:i/>
          <w:vertAlign w:val="subscript"/>
        </w:rPr>
        <w:tab/>
      </w:r>
      <w:r w:rsidRPr="00720D9E">
        <w:t>=</w:t>
      </w:r>
      <w:r w:rsidRPr="00720D9E">
        <w:tab/>
        <w:t xml:space="preserve">Methane measured sent to </w:t>
      </w:r>
      <w:r w:rsidR="00CD6031" w:rsidRPr="00720D9E">
        <w:t xml:space="preserve">qualifying and non-qualifying devices for destruction through </w:t>
      </w:r>
      <w:r w:rsidRPr="00720D9E">
        <w:t xml:space="preserve">use i during the reporting period corrected to standard conditions, </w:t>
      </w:r>
      <w:r w:rsidR="00851EE5" w:rsidRPr="00720D9E">
        <w:t>if applicable</w:t>
      </w:r>
      <w:r w:rsidRPr="00720D9E">
        <w:t>, for pressure and temperature (tCH</w:t>
      </w:r>
      <w:r w:rsidRPr="00720D9E">
        <w:rPr>
          <w:vertAlign w:val="subscript"/>
        </w:rPr>
        <w:t>4</w:t>
      </w:r>
      <w:r w:rsidRPr="00720D9E">
        <w:t>)</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DE</w:t>
      </w:r>
      <w:r w:rsidRPr="00720D9E">
        <w:rPr>
          <w:i/>
          <w:vertAlign w:val="subscript"/>
        </w:rPr>
        <w:t>i</w:t>
      </w:r>
      <w:r w:rsidRPr="00720D9E">
        <w:tab/>
        <w:t>=</w:t>
      </w:r>
      <w:r w:rsidRPr="00720D9E">
        <w:tab/>
        <w:t>Efficiency of methane destruction device i</w:t>
      </w:r>
      <w:r w:rsidR="004F2D63">
        <w:t xml:space="preserve">, </w:t>
      </w:r>
      <w:r w:rsidR="00CD6031" w:rsidRPr="00720D9E">
        <w:t>either site-specific or from Appendix B</w:t>
      </w:r>
      <w:r w:rsidR="004F2D63">
        <w:t xml:space="preserve"> </w:t>
      </w:r>
      <w:r w:rsidR="004F2D63" w:rsidRPr="00720D9E">
        <w:t>(%)</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pP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With:</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900"/>
        </w:tabs>
        <w:ind w:left="900" w:hanging="900"/>
      </w:pPr>
      <w:r w:rsidRPr="00720D9E">
        <w:rPr>
          <w:i/>
        </w:rPr>
        <w:t>MM</w:t>
      </w:r>
      <w:r w:rsidR="004A088E" w:rsidRPr="00720D9E">
        <w:rPr>
          <w:i/>
          <w:vertAlign w:val="subscript"/>
        </w:rPr>
        <w:t>P,</w:t>
      </w:r>
      <w:r w:rsidRPr="00720D9E">
        <w:rPr>
          <w:i/>
          <w:vertAlign w:val="subscript"/>
        </w:rPr>
        <w:t>i</w:t>
      </w:r>
      <w:r w:rsidRPr="00720D9E">
        <w:t xml:space="preserve">  =</w:t>
      </w:r>
      <w:r w:rsidRPr="00720D9E">
        <w:rPr>
          <w:i/>
          <w:position w:val="-28"/>
        </w:rPr>
        <w:object w:dxaOrig="480" w:dyaOrig="540">
          <v:shape id="_x0000_i1061" type="#_x0000_t75" style="width:22pt;height:29pt" o:ole="">
            <v:imagedata r:id="rId18" o:title=""/>
          </v:shape>
          <o:OLEObject Type="Embed" ProgID="Equation.3" ShapeID="_x0000_i1061" DrawAspect="Content" ObjectID="_1437988714" r:id="rId58"/>
        </w:object>
      </w:r>
      <w:r w:rsidRPr="00720D9E">
        <w:t>(</w:t>
      </w:r>
      <w:r w:rsidRPr="00720D9E">
        <w:rPr>
          <w:i/>
        </w:rPr>
        <w:t>PSW</w:t>
      </w:r>
      <w:r w:rsidRPr="00720D9E">
        <w:rPr>
          <w:i/>
          <w:vertAlign w:val="subscript"/>
        </w:rPr>
        <w:t>P,i</w:t>
      </w:r>
      <w:r w:rsidRPr="00720D9E">
        <w:t xml:space="preserve">  x </w:t>
      </w:r>
      <w:r w:rsidRPr="00720D9E">
        <w:rPr>
          <w:i/>
          <w:lang w:val="en-GB"/>
        </w:rPr>
        <w:t>C</w:t>
      </w:r>
      <w:r w:rsidRPr="00720D9E">
        <w:rPr>
          <w:i/>
          <w:vertAlign w:val="subscript"/>
          <w:lang w:val="en-GB"/>
        </w:rPr>
        <w:t>CH4</w:t>
      </w:r>
      <w:r w:rsidRPr="00720D9E">
        <w:t xml:space="preserve"> + </w:t>
      </w:r>
      <w:r w:rsidRPr="00720D9E">
        <w:rPr>
          <w:i/>
        </w:rPr>
        <w:t>PIB</w:t>
      </w:r>
      <w:r w:rsidRPr="00720D9E">
        <w:rPr>
          <w:i/>
          <w:vertAlign w:val="subscript"/>
        </w:rPr>
        <w:t>P,i</w:t>
      </w:r>
      <w:r w:rsidRPr="00720D9E">
        <w:t xml:space="preserve">  x </w:t>
      </w:r>
      <w:r w:rsidRPr="00720D9E">
        <w:rPr>
          <w:i/>
          <w:lang w:val="en-GB"/>
        </w:rPr>
        <w:t>C</w:t>
      </w:r>
      <w:r w:rsidRPr="00720D9E">
        <w:rPr>
          <w:i/>
          <w:vertAlign w:val="subscript"/>
          <w:lang w:val="en-GB"/>
        </w:rPr>
        <w:t>CH4</w:t>
      </w:r>
      <w:r w:rsidRPr="00720D9E">
        <w:t xml:space="preserve"> + </w:t>
      </w:r>
      <w:r w:rsidRPr="00720D9E">
        <w:rPr>
          <w:i/>
        </w:rPr>
        <w:t>PGW</w:t>
      </w:r>
      <w:r w:rsidRPr="00720D9E">
        <w:rPr>
          <w:i/>
          <w:vertAlign w:val="subscript"/>
        </w:rPr>
        <w:t>P,i</w:t>
      </w:r>
      <w:r w:rsidRPr="00720D9E">
        <w:t xml:space="preserve"> x </w:t>
      </w:r>
      <w:r w:rsidRPr="00720D9E">
        <w:rPr>
          <w:i/>
          <w:lang w:val="en-GB"/>
        </w:rPr>
        <w:t>C</w:t>
      </w:r>
      <w:r w:rsidRPr="00720D9E">
        <w:rPr>
          <w:i/>
          <w:vertAlign w:val="subscript"/>
          <w:lang w:val="en-GB"/>
        </w:rPr>
        <w:t>CH4</w:t>
      </w:r>
      <w:r w:rsidR="00705B7C" w:rsidRPr="00720D9E">
        <w:rPr>
          <w:i/>
          <w:vertAlign w:val="subscript"/>
          <w:lang w:val="en-GB"/>
        </w:rPr>
        <w:t xml:space="preserve"> </w:t>
      </w:r>
      <w:r w:rsidR="00705B7C" w:rsidRPr="00720D9E">
        <w:t xml:space="preserve">+ </w:t>
      </w:r>
      <w:r w:rsidR="00705B7C" w:rsidRPr="00720D9E">
        <w:rPr>
          <w:i/>
        </w:rPr>
        <w:t>NSW</w:t>
      </w:r>
      <w:r w:rsidR="00705B7C" w:rsidRPr="00720D9E">
        <w:rPr>
          <w:i/>
          <w:vertAlign w:val="subscript"/>
        </w:rPr>
        <w:t>P,i</w:t>
      </w:r>
      <w:r w:rsidR="00705B7C" w:rsidRPr="00720D9E">
        <w:t xml:space="preserve"> x </w:t>
      </w:r>
      <w:r w:rsidR="00705B7C" w:rsidRPr="00720D9E">
        <w:rPr>
          <w:i/>
          <w:lang w:val="en-GB"/>
        </w:rPr>
        <w:t>C</w:t>
      </w:r>
      <w:r w:rsidR="00705B7C" w:rsidRPr="00720D9E">
        <w:rPr>
          <w:i/>
          <w:vertAlign w:val="subscript"/>
          <w:lang w:val="en-GB"/>
        </w:rPr>
        <w:t>CH4</w:t>
      </w:r>
      <w:r w:rsidRPr="00720D9E">
        <w:t>) x 0.0423 x 0.000454</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810"/>
        </w:tabs>
        <w:rPr>
          <w:i/>
        </w:rPr>
      </w:pPr>
      <w:r w:rsidRPr="00720D9E">
        <w:rPr>
          <w:i/>
        </w:rPr>
        <w:t>Where,</w:t>
      </w:r>
    </w:p>
    <w:p w:rsidR="00705B7C"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Pr="00720D9E">
        <w:rPr>
          <w:i/>
          <w:vertAlign w:val="subscript"/>
        </w:rPr>
        <w:t>P,</w:t>
      </w:r>
      <w:r w:rsidR="00705B7C" w:rsidRPr="00720D9E">
        <w:rPr>
          <w:i/>
          <w:vertAlign w:val="subscript"/>
        </w:rPr>
        <w:t>i</w:t>
      </w:r>
      <w:r w:rsidRPr="00720D9E">
        <w:tab/>
        <w:t>=</w:t>
      </w:r>
      <w:r w:rsidRPr="00720D9E">
        <w:tab/>
        <w:t xml:space="preserve">Volume of MG from pre-mining surface wells </w:t>
      </w:r>
      <w:r w:rsidR="00CD6031" w:rsidRPr="00720D9E">
        <w:t>sent to</w:t>
      </w:r>
      <w:r w:rsidRPr="00720D9E">
        <w:t xml:space="preserve"> qualifying and non-qualifying devices</w:t>
      </w:r>
      <w:r w:rsidR="00CD6031" w:rsidRPr="00720D9E">
        <w:t xml:space="preserve"> for destruction</w:t>
      </w:r>
      <w:r w:rsidRPr="00720D9E">
        <w:t xml:space="preserve"> through use i during the reporting period.  </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Pr="00720D9E">
        <w:rPr>
          <w:i/>
          <w:vertAlign w:val="subscript"/>
        </w:rPr>
        <w:t>P,i</w:t>
      </w:r>
      <w:r w:rsidRPr="00720D9E">
        <w:tab/>
        <w:t>=</w:t>
      </w:r>
      <w:r w:rsidRPr="00720D9E">
        <w:tab/>
        <w:t xml:space="preserve">Volume of MG from pre-mining in-mine boreholes </w:t>
      </w:r>
      <w:r w:rsidR="00CD6031" w:rsidRPr="00720D9E">
        <w:t>sent to</w:t>
      </w:r>
      <w:r w:rsidRPr="00720D9E">
        <w:t xml:space="preserve"> qualifying and non-qualifying devices </w:t>
      </w:r>
      <w:r w:rsidR="00CD6031" w:rsidRPr="00720D9E">
        <w:t xml:space="preserve">for destruction </w:t>
      </w:r>
      <w:r w:rsidRPr="00720D9E">
        <w:t>through use i during the reporting period (scf)</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PGW</w:t>
      </w:r>
      <w:r w:rsidRPr="00720D9E">
        <w:rPr>
          <w:i/>
          <w:vertAlign w:val="subscript"/>
        </w:rPr>
        <w:t>P,i</w:t>
      </w:r>
      <w:r w:rsidRPr="00720D9E">
        <w:tab/>
        <w:t>=</w:t>
      </w:r>
      <w:r w:rsidRPr="00720D9E">
        <w:tab/>
        <w:t xml:space="preserve">Volume of MG from post-mining gob wells </w:t>
      </w:r>
      <w:r w:rsidR="00CD6031" w:rsidRPr="00720D9E">
        <w:t>sent to</w:t>
      </w:r>
      <w:r w:rsidRPr="00720D9E">
        <w:t xml:space="preserve"> qualifying and non-qualifying devices </w:t>
      </w:r>
      <w:r w:rsidR="00CD6031" w:rsidRPr="00720D9E">
        <w:t xml:space="preserve">for destruction </w:t>
      </w:r>
      <w:r w:rsidRPr="00720D9E">
        <w:t>through use i during the reporting period (scf)</w:t>
      </w:r>
    </w:p>
    <w:p w:rsidR="00705B7C" w:rsidRPr="00720D9E" w:rsidRDefault="00705B7C" w:rsidP="00705B7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lang w:val="en-GB"/>
        </w:rPr>
        <w:t>NSW</w:t>
      </w:r>
      <w:r w:rsidRPr="00720D9E">
        <w:rPr>
          <w:i/>
          <w:vertAlign w:val="subscript"/>
          <w:lang w:val="en-GB"/>
        </w:rPr>
        <w:t xml:space="preserve">P,i  </w:t>
      </w:r>
      <w:r w:rsidRPr="00720D9E">
        <w:rPr>
          <w:i/>
          <w:vertAlign w:val="subscript"/>
          <w:lang w:val="en-GB"/>
        </w:rPr>
        <w:tab/>
      </w:r>
      <w:r w:rsidRPr="00720D9E">
        <w:rPr>
          <w:lang w:val="en-GB"/>
        </w:rPr>
        <w:t>=</w:t>
      </w:r>
      <w:r w:rsidRPr="00720D9E">
        <w:rPr>
          <w:lang w:val="en-GB"/>
        </w:rPr>
        <w:tab/>
        <w:t xml:space="preserve">Volume of MG from newly drilled surface wells </w:t>
      </w:r>
      <w:r w:rsidR="00CD6031" w:rsidRPr="00720D9E">
        <w:rPr>
          <w:lang w:val="en-GB"/>
        </w:rPr>
        <w:t>sent to</w:t>
      </w:r>
      <w:r w:rsidRPr="00720D9E">
        <w:rPr>
          <w:lang w:val="en-GB"/>
        </w:rPr>
        <w:t xml:space="preserve"> qualifying and non-qualifying devices</w:t>
      </w:r>
      <w:r w:rsidR="00CD6031" w:rsidRPr="00720D9E">
        <w:rPr>
          <w:lang w:val="en-GB"/>
        </w:rPr>
        <w:t xml:space="preserve"> for destruction</w:t>
      </w:r>
      <w:r w:rsidRPr="00720D9E">
        <w:rPr>
          <w:lang w:val="en-GB"/>
        </w:rPr>
        <w:t xml:space="preserve"> through use i during the reporting period (scf)</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/scf)</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CD6031" w:rsidRPr="00720D9E" w:rsidRDefault="00CD6031"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0.000454</w:t>
      </w:r>
      <w:r w:rsidRPr="00720D9E">
        <w:tab/>
        <w:t>=</w:t>
      </w:r>
      <w:r w:rsidRPr="00720D9E">
        <w:tab/>
        <w:t>tCH</w:t>
      </w:r>
      <w:r w:rsidRPr="00720D9E">
        <w:rPr>
          <w:vertAlign w:val="subscript"/>
        </w:rPr>
        <w:t>4</w:t>
      </w:r>
      <w:r w:rsidRPr="00720D9E">
        <w:t>/lb CH</w:t>
      </w:r>
      <w:r w:rsidRPr="00720D9E">
        <w:rPr>
          <w:vertAlign w:val="subscript"/>
        </w:rPr>
        <w:t>4</w:t>
      </w:r>
    </w:p>
    <w:p w:rsidR="00753C5E" w:rsidRPr="00720D9E" w:rsidRDefault="00753C5E" w:rsidP="00753C5E">
      <w:pPr>
        <w:pStyle w:val="ListParagraph"/>
        <w:numPr>
          <w:ilvl w:val="0"/>
          <w:numId w:val="64"/>
        </w:numPr>
        <w:ind w:hanging="720"/>
      </w:pPr>
      <w:r w:rsidRPr="00720D9E">
        <w:t>Project emissions from uncombusted methane (PE</w:t>
      </w:r>
      <w:r>
        <w:rPr>
          <w:vertAlign w:val="subscript"/>
        </w:rPr>
        <w:t>UM</w:t>
      </w:r>
      <w:r w:rsidRPr="00720D9E">
        <w:t>) must be quantified using Equation 5.4</w:t>
      </w:r>
      <w:r>
        <w:t>7</w:t>
      </w:r>
      <w:r w:rsidRPr="00720D9E">
        <w:t xml:space="preserve">. </w:t>
      </w:r>
    </w:p>
    <w:p w:rsidR="00753C5E" w:rsidRPr="00720D9E" w:rsidRDefault="00753C5E" w:rsidP="00753C5E">
      <w:pPr>
        <w:pStyle w:val="ListParagraph"/>
        <w:numPr>
          <w:ilvl w:val="0"/>
          <w:numId w:val="64"/>
        </w:numPr>
        <w:ind w:hanging="720"/>
      </w:pPr>
      <w:r w:rsidRPr="00720D9E">
        <w:t>Offset Project Operators and Authorized Project Designees</w:t>
      </w:r>
      <w:r w:rsidRPr="00720D9E" w:rsidDel="009513DB">
        <w:t xml:space="preserve"> </w:t>
      </w:r>
      <w:r w:rsidRPr="00720D9E">
        <w:t>may choose to use default methane destruction efficiencies (DE</w:t>
      </w:r>
      <w:r w:rsidRPr="00720D9E">
        <w:rPr>
          <w:vertAlign w:val="subscript"/>
        </w:rPr>
        <w:t>i</w:t>
      </w:r>
      <w:r w:rsidRPr="00720D9E">
        <w:t>) provided in Appendix B or site-specific methane destruction efficiencies.  Site-specific methane destruction efficiencies must be determined using an ARB approved methodology.</w:t>
      </w:r>
    </w:p>
    <w:p w:rsidR="00753C5E" w:rsidRPr="00720D9E" w:rsidRDefault="00753C5E" w:rsidP="00753C5E">
      <w:pPr>
        <w:pStyle w:val="Heading4"/>
        <w:pBdr>
          <w:top w:val="single" w:sz="4" w:space="1" w:color="auto"/>
          <w:left w:val="single" w:sz="4" w:space="4" w:color="auto"/>
          <w:bottom w:val="single" w:sz="4" w:space="1" w:color="auto"/>
          <w:right w:val="single" w:sz="4" w:space="4" w:color="auto"/>
        </w:pBdr>
      </w:pPr>
      <w:r w:rsidRPr="00720D9E">
        <w:t>Equation 5.4</w:t>
      </w:r>
      <w:r>
        <w:t>7</w:t>
      </w:r>
      <w:r w:rsidRPr="00720D9E">
        <w:t>: Uncombusted Methane Emissions</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i/>
          <w:vertAlign w:val="subscript"/>
        </w:rPr>
      </w:pPr>
      <w:r w:rsidRPr="00720D9E">
        <w:rPr>
          <w:i/>
        </w:rPr>
        <w:t>PE</w:t>
      </w:r>
      <w:r w:rsidRPr="00720D9E">
        <w:rPr>
          <w:i/>
          <w:vertAlign w:val="subscript"/>
        </w:rPr>
        <w:t>UM</w:t>
      </w:r>
      <w:r w:rsidRPr="00720D9E">
        <w:t xml:space="preserve"> = </w:t>
      </w:r>
      <w:r w:rsidRPr="00720D9E">
        <w:rPr>
          <w:i/>
          <w:position w:val="-28"/>
        </w:rPr>
        <w:object w:dxaOrig="480" w:dyaOrig="540">
          <v:shape id="_x0000_i1062" type="#_x0000_t75" style="width:22pt;height:29pt" o:ole="">
            <v:imagedata r:id="rId18" o:title=""/>
          </v:shape>
          <o:OLEObject Type="Embed" ProgID="Equation.3" ShapeID="_x0000_i1062" DrawAspect="Content" ObjectID="_1437988715" r:id="rId59"/>
        </w:object>
      </w:r>
      <w:r w:rsidRPr="00720D9E">
        <w:rPr>
          <w:i/>
        </w:rPr>
        <w:t>MM</w:t>
      </w:r>
      <w:r w:rsidRPr="00720D9E">
        <w:rPr>
          <w:i/>
          <w:vertAlign w:val="subscript"/>
        </w:rPr>
        <w:t>i</w:t>
      </w:r>
      <w:r w:rsidRPr="00720D9E">
        <w:t xml:space="preserve"> x (1 -</w:t>
      </w:r>
      <w:r w:rsidRPr="00720D9E">
        <w:rPr>
          <w:i/>
        </w:rPr>
        <w:t xml:space="preserve"> DE</w:t>
      </w:r>
      <w:r w:rsidRPr="00720D9E">
        <w:rPr>
          <w:i/>
          <w:vertAlign w:val="subscript"/>
        </w:rPr>
        <w:t>i</w:t>
      </w:r>
      <w:r w:rsidRPr="00720D9E">
        <w:t xml:space="preserve"> ) x </w:t>
      </w:r>
      <w:r w:rsidRPr="00720D9E">
        <w:rPr>
          <w:i/>
        </w:rPr>
        <w:t>GWP</w:t>
      </w:r>
      <w:r w:rsidRPr="00720D9E">
        <w:rPr>
          <w:i/>
          <w:vertAlign w:val="subscript"/>
        </w:rPr>
        <w:t>CH4</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Where,</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PE</w:t>
      </w:r>
      <w:r w:rsidRPr="00720D9E">
        <w:rPr>
          <w:i/>
          <w:vertAlign w:val="subscript"/>
        </w:rPr>
        <w:t>UM</w:t>
      </w:r>
      <w:r w:rsidRPr="00720D9E">
        <w:tab/>
        <w:t>=</w:t>
      </w:r>
      <w:r w:rsidRPr="00720D9E">
        <w:tab/>
        <w:t>Project emissions from uncombusted methane during the reporting period (tCO</w:t>
      </w:r>
      <w:r w:rsidRPr="00720D9E">
        <w:rPr>
          <w:vertAlign w:val="subscript"/>
        </w:rPr>
        <w:t>2</w:t>
      </w:r>
      <w:r w:rsidRPr="00720D9E">
        <w:t>e)</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lastRenderedPageBreak/>
        <w:t>i</w:t>
      </w:r>
      <w:r w:rsidRPr="00720D9E">
        <w:tab/>
        <w:t>=</w:t>
      </w:r>
      <w:r w:rsidRPr="00720D9E">
        <w:tab/>
        <w:t xml:space="preserve">Use of methane (flaring, power generation, heat generation, production of transportation fuel, injection into natural gas pipeline etc.) by all qualifying and non-qualifying devices </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MM</w:t>
      </w:r>
      <w:r w:rsidRPr="00720D9E">
        <w:rPr>
          <w:i/>
          <w:vertAlign w:val="subscript"/>
        </w:rPr>
        <w:t>i</w:t>
      </w:r>
      <w:r w:rsidRPr="00720D9E">
        <w:rPr>
          <w:i/>
          <w:vertAlign w:val="subscript"/>
        </w:rPr>
        <w:tab/>
      </w:r>
      <w:r w:rsidRPr="00720D9E">
        <w:t>=</w:t>
      </w:r>
      <w:r w:rsidRPr="00720D9E">
        <w:tab/>
        <w:t>Methane measured sent to use i during the reporting period (tCH</w:t>
      </w:r>
      <w:r w:rsidRPr="00720D9E">
        <w:rPr>
          <w:vertAlign w:val="subscript"/>
        </w:rPr>
        <w:t>4</w:t>
      </w:r>
      <w:r w:rsidRPr="00720D9E">
        <w:t>)</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DE</w:t>
      </w:r>
      <w:r w:rsidRPr="00720D9E">
        <w:rPr>
          <w:i/>
          <w:vertAlign w:val="subscript"/>
        </w:rPr>
        <w:t>i</w:t>
      </w:r>
      <w:r w:rsidRPr="00720D9E">
        <w:tab/>
        <w:t>=</w:t>
      </w:r>
      <w:r w:rsidRPr="00720D9E">
        <w:tab/>
        <w:t>Efficiency of methane destruction device i</w:t>
      </w:r>
      <w:r>
        <w:t>,</w:t>
      </w:r>
      <w:r w:rsidRPr="00720D9E">
        <w:t xml:space="preserve"> either site-specific or from Appendix B</w:t>
      </w:r>
      <w:r>
        <w:t xml:space="preserve"> </w:t>
      </w:r>
      <w:r w:rsidRPr="00720D9E">
        <w:t>(%)</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GWP</w:t>
      </w:r>
      <w:r w:rsidRPr="00720D9E">
        <w:rPr>
          <w:i/>
          <w:vertAlign w:val="subscript"/>
        </w:rPr>
        <w:t>CH4</w:t>
      </w:r>
      <w:r w:rsidRPr="00720D9E">
        <w:rPr>
          <w:i/>
        </w:rPr>
        <w:tab/>
      </w:r>
      <w:r w:rsidRPr="00720D9E">
        <w:t>=</w:t>
      </w:r>
      <w:r w:rsidRPr="00720D9E">
        <w:tab/>
        <w:t>Global warming potential of methane (tCO</w:t>
      </w:r>
      <w:r w:rsidRPr="00720D9E">
        <w:rPr>
          <w:vertAlign w:val="subscript"/>
        </w:rPr>
        <w:t>2</w:t>
      </w:r>
      <w:r w:rsidRPr="00720D9E">
        <w:t>e/tCH</w:t>
      </w:r>
      <w:r w:rsidRPr="00720D9E">
        <w:rPr>
          <w:vertAlign w:val="subscript"/>
        </w:rPr>
        <w:t>4</w:t>
      </w:r>
      <w:r w:rsidRPr="00720D9E">
        <w:t>)</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With:</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900"/>
        </w:tabs>
        <w:ind w:left="900" w:hanging="900"/>
      </w:pPr>
      <w:r w:rsidRPr="00720D9E">
        <w:rPr>
          <w:i/>
        </w:rPr>
        <w:t>MM</w:t>
      </w:r>
      <w:r w:rsidRPr="00720D9E">
        <w:rPr>
          <w:i/>
          <w:vertAlign w:val="subscript"/>
        </w:rPr>
        <w:t>i</w:t>
      </w:r>
      <w:r w:rsidRPr="00720D9E">
        <w:t xml:space="preserve">  =</w:t>
      </w:r>
      <w:r w:rsidRPr="00720D9E">
        <w:rPr>
          <w:i/>
          <w:position w:val="-28"/>
        </w:rPr>
        <w:object w:dxaOrig="480" w:dyaOrig="540">
          <v:shape id="_x0000_i1063" type="#_x0000_t75" style="width:22pt;height:29pt" o:ole="">
            <v:imagedata r:id="rId18" o:title=""/>
          </v:shape>
          <o:OLEObject Type="Embed" ProgID="Equation.3" ShapeID="_x0000_i1063" DrawAspect="Content" ObjectID="_1437988716" r:id="rId60"/>
        </w:object>
      </w:r>
      <w:r w:rsidRPr="00720D9E">
        <w:t>(</w:t>
      </w:r>
      <w:r w:rsidRPr="00720D9E">
        <w:rPr>
          <w:i/>
        </w:rPr>
        <w:t>PSW</w:t>
      </w:r>
      <w:r w:rsidRPr="00720D9E">
        <w:rPr>
          <w:i/>
          <w:vertAlign w:val="subscript"/>
        </w:rPr>
        <w:t>P,i</w:t>
      </w:r>
      <w:r w:rsidRPr="00720D9E">
        <w:t xml:space="preserve">  x </w:t>
      </w:r>
      <w:r w:rsidRPr="00720D9E">
        <w:rPr>
          <w:i/>
          <w:lang w:val="en-GB"/>
        </w:rPr>
        <w:t>C</w:t>
      </w:r>
      <w:r w:rsidRPr="00720D9E">
        <w:rPr>
          <w:i/>
          <w:vertAlign w:val="subscript"/>
          <w:lang w:val="en-GB"/>
        </w:rPr>
        <w:t>CH4</w:t>
      </w:r>
      <w:r w:rsidRPr="00720D9E">
        <w:t xml:space="preserve"> + </w:t>
      </w:r>
      <w:r w:rsidRPr="00720D9E">
        <w:rPr>
          <w:i/>
        </w:rPr>
        <w:t>PIB</w:t>
      </w:r>
      <w:r w:rsidRPr="00720D9E">
        <w:rPr>
          <w:i/>
          <w:vertAlign w:val="subscript"/>
        </w:rPr>
        <w:t>P,i</w:t>
      </w:r>
      <w:r w:rsidRPr="00720D9E">
        <w:t xml:space="preserve">  x </w:t>
      </w:r>
      <w:r w:rsidRPr="00720D9E">
        <w:rPr>
          <w:i/>
          <w:lang w:val="en-GB"/>
        </w:rPr>
        <w:t>C</w:t>
      </w:r>
      <w:r w:rsidRPr="00720D9E">
        <w:rPr>
          <w:i/>
          <w:vertAlign w:val="subscript"/>
          <w:lang w:val="en-GB"/>
        </w:rPr>
        <w:t>CH4</w:t>
      </w:r>
      <w:r w:rsidRPr="00720D9E">
        <w:t xml:space="preserve"> + </w:t>
      </w:r>
      <w:r w:rsidRPr="00720D9E">
        <w:rPr>
          <w:i/>
        </w:rPr>
        <w:t>PGW</w:t>
      </w:r>
      <w:r w:rsidRPr="00720D9E">
        <w:rPr>
          <w:i/>
          <w:vertAlign w:val="subscript"/>
        </w:rPr>
        <w:t>P,i</w:t>
      </w:r>
      <w:r w:rsidRPr="00720D9E">
        <w:t xml:space="preserve"> x </w:t>
      </w:r>
      <w:r w:rsidRPr="00720D9E">
        <w:rPr>
          <w:i/>
          <w:lang w:val="en-GB"/>
        </w:rPr>
        <w:t>C</w:t>
      </w:r>
      <w:r w:rsidRPr="00720D9E">
        <w:rPr>
          <w:i/>
          <w:vertAlign w:val="subscript"/>
          <w:lang w:val="en-GB"/>
        </w:rPr>
        <w:t xml:space="preserve">CH4 </w:t>
      </w:r>
      <w:r w:rsidRPr="00720D9E">
        <w:t xml:space="preserve">+ </w:t>
      </w:r>
      <w:r w:rsidRPr="00720D9E">
        <w:rPr>
          <w:i/>
        </w:rPr>
        <w:t>NSW</w:t>
      </w:r>
      <w:r w:rsidRPr="00720D9E">
        <w:rPr>
          <w:i/>
          <w:vertAlign w:val="subscript"/>
        </w:rPr>
        <w:t>P,i</w:t>
      </w:r>
      <w:r w:rsidRPr="00720D9E">
        <w:t xml:space="preserve"> x </w:t>
      </w:r>
      <w:r w:rsidRPr="00720D9E">
        <w:rPr>
          <w:i/>
          <w:lang w:val="en-GB"/>
        </w:rPr>
        <w:t>C</w:t>
      </w:r>
      <w:r w:rsidRPr="00720D9E">
        <w:rPr>
          <w:i/>
          <w:vertAlign w:val="subscript"/>
          <w:lang w:val="en-GB"/>
        </w:rPr>
        <w:t>CH4</w:t>
      </w:r>
      <w:r w:rsidRPr="00720D9E">
        <w:t>) x 0.0423 x 0.000454</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810"/>
        </w:tabs>
        <w:rPr>
          <w:i/>
        </w:rPr>
      </w:pPr>
      <w:r w:rsidRPr="00720D9E">
        <w:rPr>
          <w:i/>
        </w:rPr>
        <w:t>Where,</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PSW</w:t>
      </w:r>
      <w:r w:rsidRPr="00720D9E">
        <w:rPr>
          <w:i/>
          <w:vertAlign w:val="subscript"/>
        </w:rPr>
        <w:t>P,i</w:t>
      </w:r>
      <w:r w:rsidRPr="00720D9E">
        <w:tab/>
        <w:t>=</w:t>
      </w:r>
      <w:r w:rsidRPr="00720D9E">
        <w:tab/>
        <w:t>Volume of MG from pre-mining surface wells sent to qualifying and non-qualifying devices for destruction through use</w:t>
      </w:r>
      <w:r w:rsidR="00FF4E38">
        <w:t xml:space="preserve"> i during the reporting period</w:t>
      </w:r>
      <w:r w:rsidRPr="00720D9E">
        <w:t xml:space="preserve"> </w:t>
      </w:r>
      <w:r w:rsidR="00FF4E38">
        <w:t>(scf)</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PIB</w:t>
      </w:r>
      <w:r w:rsidRPr="00720D9E">
        <w:rPr>
          <w:i/>
          <w:vertAlign w:val="subscript"/>
        </w:rPr>
        <w:t>P,i</w:t>
      </w:r>
      <w:r w:rsidRPr="00720D9E">
        <w:tab/>
        <w:t>=</w:t>
      </w:r>
      <w:r w:rsidRPr="00720D9E">
        <w:tab/>
        <w:t>Volume of MG from pre-mining in-mine boreholes sent to by qualifying and non-qualifying devices for destruction through use i during the reporting period (scf)</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PGW</w:t>
      </w:r>
      <w:r w:rsidRPr="00720D9E">
        <w:rPr>
          <w:i/>
          <w:vertAlign w:val="subscript"/>
        </w:rPr>
        <w:t>P,i</w:t>
      </w:r>
      <w:r w:rsidRPr="00720D9E">
        <w:tab/>
        <w:t>=</w:t>
      </w:r>
      <w:r w:rsidRPr="00720D9E">
        <w:tab/>
        <w:t>Volume of MG from post-mining gob wells sent to qualifying and non-qualifying devices for destruction through use i during the reporting period (scf)</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lang w:val="en-GB"/>
        </w:rPr>
        <w:t>NSW</w:t>
      </w:r>
      <w:r w:rsidRPr="00720D9E">
        <w:rPr>
          <w:i/>
          <w:vertAlign w:val="subscript"/>
          <w:lang w:val="en-GB"/>
        </w:rPr>
        <w:t xml:space="preserve">P,i  </w:t>
      </w:r>
      <w:r w:rsidRPr="00720D9E">
        <w:rPr>
          <w:i/>
          <w:vertAlign w:val="subscript"/>
          <w:lang w:val="en-GB"/>
        </w:rPr>
        <w:tab/>
      </w:r>
      <w:r w:rsidRPr="00720D9E">
        <w:rPr>
          <w:lang w:val="en-GB"/>
        </w:rPr>
        <w:t>=</w:t>
      </w:r>
      <w:r w:rsidRPr="00720D9E">
        <w:rPr>
          <w:lang w:val="en-GB"/>
        </w:rPr>
        <w:tab/>
        <w:t>Volume of MG from newly drilled surface wells sent to qualifying and non-qualifying devices for destruction through use i during the reporting period (scf)</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rPr>
          <w:lang w:val="en-GB"/>
        </w:rPr>
      </w:pPr>
      <w:r w:rsidRPr="00720D9E">
        <w:rPr>
          <w:i/>
          <w:lang w:val="en-GB"/>
        </w:rPr>
        <w:t>C</w:t>
      </w:r>
      <w:r w:rsidRPr="00720D9E">
        <w:rPr>
          <w:i/>
          <w:vertAlign w:val="subscript"/>
          <w:lang w:val="en-GB"/>
        </w:rPr>
        <w:t>CH4</w:t>
      </w:r>
      <w:r w:rsidRPr="00720D9E">
        <w:rPr>
          <w:i/>
          <w:lang w:val="en-GB"/>
        </w:rPr>
        <w:tab/>
        <w:t>=</w:t>
      </w:r>
      <w:r w:rsidRPr="00720D9E">
        <w:rPr>
          <w:i/>
          <w:lang w:val="en-GB"/>
        </w:rPr>
        <w:tab/>
      </w:r>
      <w:r w:rsidRPr="00720D9E">
        <w:rPr>
          <w:lang w:val="en-GB"/>
        </w:rPr>
        <w:t>Measured methane concentration of mine gas captured from methane source (scf CH</w:t>
      </w:r>
      <w:r w:rsidRPr="00720D9E">
        <w:rPr>
          <w:vertAlign w:val="subscript"/>
          <w:lang w:val="en-GB"/>
        </w:rPr>
        <w:t>4</w:t>
      </w:r>
      <w:r w:rsidRPr="00720D9E">
        <w:rPr>
          <w:lang w:val="en-GB"/>
        </w:rPr>
        <w:t>/scf)</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0.0423</w:t>
      </w:r>
      <w:r w:rsidRPr="00720D9E">
        <w:tab/>
        <w:t>=</w:t>
      </w:r>
      <w:r w:rsidRPr="00720D9E">
        <w:tab/>
        <w:t>Density of methane (lb CH</w:t>
      </w:r>
      <w:r w:rsidRPr="00720D9E">
        <w:rPr>
          <w:vertAlign w:val="subscript"/>
        </w:rPr>
        <w:t>4</w:t>
      </w:r>
      <w:r w:rsidRPr="00720D9E">
        <w:t>/scf CH</w:t>
      </w:r>
      <w:r w:rsidRPr="00720D9E">
        <w:rPr>
          <w:vertAlign w:val="subscript"/>
        </w:rPr>
        <w:t>4</w:t>
      </w:r>
      <w:r w:rsidRPr="00720D9E">
        <w:t>)</w:t>
      </w:r>
    </w:p>
    <w:p w:rsidR="00753C5E" w:rsidRPr="00720D9E" w:rsidRDefault="00753C5E" w:rsidP="00753C5E">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t>0.000454</w:t>
      </w:r>
      <w:r w:rsidRPr="00720D9E">
        <w:tab/>
        <w:t>=</w:t>
      </w:r>
      <w:r w:rsidRPr="00720D9E">
        <w:tab/>
        <w:t>tCH</w:t>
      </w:r>
      <w:r w:rsidRPr="00720D9E">
        <w:rPr>
          <w:vertAlign w:val="subscript"/>
        </w:rPr>
        <w:t>4</w:t>
      </w:r>
      <w:r w:rsidRPr="00720D9E">
        <w:t>/lb CH</w:t>
      </w:r>
      <w:r w:rsidRPr="00720D9E">
        <w:rPr>
          <w:vertAlign w:val="subscript"/>
        </w:rPr>
        <w:t xml:space="preserve">4 </w:t>
      </w:r>
    </w:p>
    <w:p w:rsidR="00A8210F" w:rsidRPr="00720D9E" w:rsidRDefault="00A8210F" w:rsidP="00FD2CF8">
      <w:pPr>
        <w:pStyle w:val="ListParagraph"/>
        <w:numPr>
          <w:ilvl w:val="0"/>
          <w:numId w:val="64"/>
        </w:numPr>
        <w:ind w:hanging="720"/>
      </w:pPr>
      <w:r w:rsidRPr="00720D9E">
        <w:t xml:space="preserve">If gas flow metering equipment does not internally correct for temperature and pressure, use </w:t>
      </w:r>
      <w:r w:rsidR="004842C4" w:rsidRPr="00720D9E">
        <w:t>Equation 5.</w:t>
      </w:r>
      <w:r w:rsidR="006F4763" w:rsidRPr="00720D9E">
        <w:t>4</w:t>
      </w:r>
      <w:r w:rsidR="00753C5E">
        <w:t>8</w:t>
      </w:r>
      <w:r w:rsidRPr="00720D9E">
        <w:t xml:space="preserve"> to determine the amount of mine gas sent to each qualifying and non-qualifying device during the reporting period. </w:t>
      </w:r>
    </w:p>
    <w:p w:rsidR="00A8210F" w:rsidRPr="00720D9E" w:rsidRDefault="004842C4" w:rsidP="00A8210F">
      <w:pPr>
        <w:pStyle w:val="Heading4"/>
        <w:pBdr>
          <w:top w:val="single" w:sz="4" w:space="1" w:color="auto"/>
          <w:left w:val="single" w:sz="4" w:space="4" w:color="auto"/>
          <w:bottom w:val="single" w:sz="4" w:space="1" w:color="auto"/>
          <w:right w:val="single" w:sz="4" w:space="4" w:color="auto"/>
        </w:pBdr>
      </w:pPr>
      <w:r w:rsidRPr="00720D9E">
        <w:t>Equation 5.</w:t>
      </w:r>
      <w:r w:rsidR="00705B7C" w:rsidRPr="00720D9E">
        <w:t>4</w:t>
      </w:r>
      <w:r w:rsidR="00753C5E">
        <w:t>8</w:t>
      </w:r>
      <w:r w:rsidR="00A8210F" w:rsidRPr="00720D9E">
        <w:t>: MG Corrected for Temperature and Pressure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810"/>
        </w:tabs>
      </w:pPr>
      <w:r w:rsidRPr="00720D9E">
        <w:rPr>
          <w:i/>
        </w:rPr>
        <w:t>MG</w:t>
      </w:r>
      <w:r w:rsidRPr="00720D9E">
        <w:rPr>
          <w:i/>
          <w:vertAlign w:val="subscript"/>
        </w:rPr>
        <w:t>corrected,i,y</w:t>
      </w:r>
      <w:r w:rsidRPr="00720D9E">
        <w:t xml:space="preserve"> = </w:t>
      </w:r>
      <w:r w:rsidRPr="00720D9E">
        <w:rPr>
          <w:i/>
        </w:rPr>
        <w:t>MG</w:t>
      </w:r>
      <w:r w:rsidRPr="00720D9E">
        <w:rPr>
          <w:i/>
          <w:vertAlign w:val="subscript"/>
        </w:rPr>
        <w:t>meas,i,y</w:t>
      </w:r>
      <w:r w:rsidRPr="00720D9E">
        <w:t xml:space="preserve"> x </w:t>
      </w:r>
      <w:r w:rsidRPr="00720D9E">
        <w:rPr>
          <w:position w:val="-32"/>
        </w:rPr>
        <w:object w:dxaOrig="620" w:dyaOrig="700">
          <v:shape id="_x0000_i1064" type="#_x0000_t75" style="width:29pt;height:36pt" o:ole="">
            <v:imagedata r:id="rId34" o:title=""/>
          </v:shape>
          <o:OLEObject Type="Embed" ProgID="Equation.3" ShapeID="_x0000_i1064" DrawAspect="Content" ObjectID="_1437988717" r:id="rId61"/>
        </w:object>
      </w:r>
      <w:r w:rsidRPr="00720D9E">
        <w:t xml:space="preserve"> x </w:t>
      </w:r>
      <w:r w:rsidRPr="00720D9E">
        <w:rPr>
          <w:position w:val="-24"/>
        </w:rPr>
        <w:object w:dxaOrig="639" w:dyaOrig="660">
          <v:shape id="_x0000_i1065" type="#_x0000_t75" style="width:36pt;height:36pt" o:ole="">
            <v:imagedata r:id="rId36" o:title=""/>
          </v:shape>
          <o:OLEObject Type="Embed" ProgID="Equation.3" ShapeID="_x0000_i1065" DrawAspect="Content" ObjectID="_1437988718" r:id="rId62"/>
        </w:object>
      </w:r>
    </w:p>
    <w:p w:rsidR="00A8210F" w:rsidRPr="00720D9E" w:rsidRDefault="00A8210F" w:rsidP="00A8210F">
      <w:pPr>
        <w:pBdr>
          <w:top w:val="single" w:sz="4" w:space="1" w:color="auto"/>
          <w:left w:val="single" w:sz="4" w:space="4" w:color="auto"/>
          <w:bottom w:val="single" w:sz="4" w:space="1" w:color="auto"/>
          <w:right w:val="single" w:sz="4" w:space="4" w:color="auto"/>
        </w:pBdr>
        <w:spacing w:after="120" w:line="240" w:lineRule="auto"/>
        <w:rPr>
          <w:i/>
        </w:rPr>
      </w:pPr>
      <w:r w:rsidRPr="00720D9E">
        <w:rPr>
          <w:i/>
        </w:rPr>
        <w:lastRenderedPageBreak/>
        <w:t xml:space="preserve">Where, </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MG</w:t>
      </w:r>
      <w:r w:rsidRPr="00720D9E">
        <w:rPr>
          <w:i/>
          <w:vertAlign w:val="subscript"/>
        </w:rPr>
        <w:t>corrected,i,y</w:t>
      </w:r>
      <w:r w:rsidRPr="00720D9E">
        <w:tab/>
        <w:t>=</w:t>
      </w:r>
      <w:r w:rsidRPr="00720D9E">
        <w:tab/>
      </w:r>
      <w:r w:rsidR="00B53A53" w:rsidRPr="00720D9E">
        <w:t>C</w:t>
      </w:r>
      <w:r w:rsidRPr="00720D9E">
        <w:t xml:space="preserve">orrected </w:t>
      </w:r>
      <w:r w:rsidR="00B53A53" w:rsidRPr="00720D9E">
        <w:t xml:space="preserve">flow rate or total </w:t>
      </w:r>
      <w:r w:rsidRPr="00720D9E">
        <w:t>volume of MG collected for the time interval y at utilization type i, adjusted to 60°F and 1 atm (scf/unit of time)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MG</w:t>
      </w:r>
      <w:r w:rsidRPr="00720D9E">
        <w:rPr>
          <w:i/>
          <w:vertAlign w:val="subscript"/>
        </w:rPr>
        <w:t>meas,i,y</w:t>
      </w:r>
      <w:r w:rsidRPr="00720D9E">
        <w:tab/>
        <w:t>=</w:t>
      </w:r>
      <w:r w:rsidRPr="00720D9E">
        <w:tab/>
        <w:t xml:space="preserve">Measured </w:t>
      </w:r>
      <w:r w:rsidR="00B53A53" w:rsidRPr="00720D9E">
        <w:t xml:space="preserve">flow rate or total </w:t>
      </w:r>
      <w:r w:rsidRPr="00720D9E">
        <w:t>volume of MG collected for the time interval y at utilization type i (scf/unit of time)</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T</w:t>
      </w:r>
      <w:r w:rsidRPr="00720D9E">
        <w:rPr>
          <w:i/>
          <w:vertAlign w:val="subscript"/>
        </w:rPr>
        <w:t>MG,y</w:t>
      </w:r>
      <w:r w:rsidRPr="00720D9E">
        <w:rPr>
          <w:i/>
        </w:rPr>
        <w:tab/>
      </w:r>
      <w:r w:rsidRPr="00720D9E">
        <w:t>=</w:t>
      </w:r>
      <w:r w:rsidRPr="00720D9E">
        <w:tab/>
        <w:t>Measured temperature of the MG for the time interval y, °R=°F+460 (°R)</w:t>
      </w:r>
    </w:p>
    <w:p w:rsidR="00A8210F" w:rsidRPr="00720D9E" w:rsidRDefault="00A8210F" w:rsidP="00A8210F">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P</w:t>
      </w:r>
      <w:r w:rsidRPr="00720D9E">
        <w:rPr>
          <w:i/>
          <w:vertAlign w:val="subscript"/>
        </w:rPr>
        <w:t>MG,y</w:t>
      </w:r>
      <w:r w:rsidRPr="00720D9E">
        <w:rPr>
          <w:i/>
        </w:rPr>
        <w:tab/>
        <w:t>=</w:t>
      </w:r>
      <w:r w:rsidRPr="00720D9E">
        <w:rPr>
          <w:i/>
        </w:rPr>
        <w:tab/>
      </w:r>
      <w:r w:rsidRPr="00720D9E">
        <w:t>Measured pressure of the MG for the time interval y (atm)</w:t>
      </w:r>
    </w:p>
    <w:p w:rsidR="000D74EC" w:rsidRPr="00720D9E" w:rsidRDefault="00D25B46" w:rsidP="000D74EC">
      <w:pPr>
        <w:pStyle w:val="Heading1"/>
      </w:pPr>
      <w:bookmarkStart w:id="46" w:name="_Toc364243220"/>
      <w:r w:rsidRPr="00720D9E">
        <w:t>Chapter</w:t>
      </w:r>
      <w:r w:rsidR="00526AA3" w:rsidRPr="00720D9E">
        <w:t xml:space="preserve"> </w:t>
      </w:r>
      <w:r w:rsidR="006F24A1" w:rsidRPr="00720D9E">
        <w:t>6</w:t>
      </w:r>
      <w:r w:rsidR="00526AA3" w:rsidRPr="00720D9E">
        <w:t xml:space="preserve">. </w:t>
      </w:r>
      <w:r w:rsidR="00ED6FDB" w:rsidRPr="00720D9E">
        <w:t>Monitoring</w:t>
      </w:r>
      <w:bookmarkEnd w:id="46"/>
    </w:p>
    <w:p w:rsidR="000D74EC" w:rsidRPr="00720D9E" w:rsidRDefault="000D74EC" w:rsidP="000D74EC">
      <w:pPr>
        <w:pStyle w:val="Heading2"/>
      </w:pPr>
      <w:bookmarkStart w:id="47" w:name="_Toc364243221"/>
      <w:r w:rsidRPr="00720D9E">
        <w:t>§</w:t>
      </w:r>
      <w:r w:rsidR="00C926F7" w:rsidRPr="00720D9E">
        <w:t xml:space="preserve"> </w:t>
      </w:r>
      <w:r w:rsidR="00645452" w:rsidRPr="00720D9E">
        <w:t>6.1</w:t>
      </w:r>
      <w:r w:rsidRPr="00720D9E">
        <w:t>. General Monitoring Requirements.</w:t>
      </w:r>
      <w:bookmarkEnd w:id="47"/>
    </w:p>
    <w:p w:rsidR="00C926F7" w:rsidRPr="00720D9E" w:rsidRDefault="0018036A" w:rsidP="00D805E6">
      <w:pPr>
        <w:pStyle w:val="ListParagraph"/>
        <w:numPr>
          <w:ilvl w:val="0"/>
          <w:numId w:val="36"/>
        </w:numPr>
        <w:ind w:hanging="720"/>
      </w:pPr>
      <w:r w:rsidRPr="00720D9E">
        <w:t xml:space="preserve">The </w:t>
      </w:r>
      <w:r w:rsidR="009513DB" w:rsidRPr="00720D9E">
        <w:t xml:space="preserve">Offset Project Operators </w:t>
      </w:r>
      <w:r w:rsidRPr="00720D9E">
        <w:t xml:space="preserve">or </w:t>
      </w:r>
      <w:r w:rsidR="009513DB" w:rsidRPr="00720D9E">
        <w:t>Authorized Project Designees</w:t>
      </w:r>
      <w:r w:rsidRPr="00720D9E">
        <w:t xml:space="preserve"> is responsible for monitoring the performance of the offset project and operating each component of the collection and destruction system</w:t>
      </w:r>
      <w:r w:rsidR="0002164C" w:rsidRPr="00720D9E">
        <w:t>(s)</w:t>
      </w:r>
      <w:r w:rsidRPr="00720D9E">
        <w:t xml:space="preserve"> in a manner consistent with the manufacturer’s specifications. </w:t>
      </w:r>
    </w:p>
    <w:p w:rsidR="00D16302" w:rsidRPr="00720D9E" w:rsidRDefault="00D16302" w:rsidP="00D16302">
      <w:pPr>
        <w:pStyle w:val="ListParagraph"/>
        <w:numPr>
          <w:ilvl w:val="0"/>
          <w:numId w:val="36"/>
        </w:numPr>
        <w:ind w:hanging="720"/>
      </w:pPr>
      <w:r w:rsidRPr="00720D9E">
        <w:t>Operational activity of the methane drainage</w:t>
      </w:r>
      <w:r w:rsidR="00B23128" w:rsidRPr="00720D9E">
        <w:t xml:space="preserve"> and ventilation</w:t>
      </w:r>
      <w:r w:rsidRPr="00720D9E">
        <w:t xml:space="preserve"> system</w:t>
      </w:r>
      <w:r w:rsidR="00B23128" w:rsidRPr="00720D9E">
        <w:t>s</w:t>
      </w:r>
      <w:r w:rsidRPr="00720D9E">
        <w:t xml:space="preserve"> and the destruction devices </w:t>
      </w:r>
      <w:r w:rsidR="00523499" w:rsidRPr="00720D9E">
        <w:t>must</w:t>
      </w:r>
      <w:r w:rsidRPr="00720D9E">
        <w:t xml:space="preserve"> be monitored and documented at least hourly to ensure actual methane destruction. GHG reductions will not be accounted for during periods in which the destruction device is not operational. </w:t>
      </w:r>
    </w:p>
    <w:p w:rsidR="00D16302" w:rsidRPr="00720D9E" w:rsidRDefault="00D16302" w:rsidP="00D16302">
      <w:pPr>
        <w:pStyle w:val="ListParagraph"/>
        <w:numPr>
          <w:ilvl w:val="1"/>
          <w:numId w:val="36"/>
        </w:numPr>
        <w:ind w:hanging="720"/>
      </w:pPr>
      <w:r w:rsidRPr="00720D9E">
        <w:t>For flares, operation is defined as thermocouple readings above 500°F.</w:t>
      </w:r>
    </w:p>
    <w:p w:rsidR="00D16302" w:rsidRPr="00720D9E" w:rsidRDefault="00D16302" w:rsidP="00D16302">
      <w:pPr>
        <w:pStyle w:val="ListParagraph"/>
        <w:numPr>
          <w:ilvl w:val="1"/>
          <w:numId w:val="36"/>
        </w:numPr>
        <w:ind w:hanging="720"/>
      </w:pPr>
      <w:r w:rsidRPr="00720D9E">
        <w:t xml:space="preserve">For all other destruction devices, the </w:t>
      </w:r>
      <w:r w:rsidR="009513DB" w:rsidRPr="00720D9E">
        <w:t>Offset Project Operator or Authorized Project Designee must demonstrate the destruction device was operational, and this demonstration is subject to the review and verification of an ARB-approved third party offset project verification body.</w:t>
      </w:r>
      <w:r w:rsidR="009513DB" w:rsidRPr="00720D9E" w:rsidDel="009513DB">
        <w:t xml:space="preserve"> </w:t>
      </w:r>
    </w:p>
    <w:p w:rsidR="000D74EC" w:rsidRPr="00720D9E" w:rsidRDefault="00C926F7" w:rsidP="00D805E6">
      <w:pPr>
        <w:pStyle w:val="ListParagraph"/>
        <w:numPr>
          <w:ilvl w:val="0"/>
          <w:numId w:val="36"/>
        </w:numPr>
        <w:ind w:hanging="720"/>
      </w:pPr>
      <w:r w:rsidRPr="00720D9E">
        <w:t xml:space="preserve">If gas flow metering equipment does not internally correct for temperature and pressure, flow data must be corrected according to the appropriate quantification methodologies in </w:t>
      </w:r>
      <w:r w:rsidR="00D25B46" w:rsidRPr="00720D9E">
        <w:t>Chapter</w:t>
      </w:r>
      <w:r w:rsidRPr="00720D9E">
        <w:t xml:space="preserve"> </w:t>
      </w:r>
      <w:r w:rsidR="006F24A1" w:rsidRPr="00720D9E">
        <w:t>5</w:t>
      </w:r>
      <w:r w:rsidRPr="00720D9E">
        <w:t>.</w:t>
      </w:r>
    </w:p>
    <w:p w:rsidR="0079593A" w:rsidRPr="00720D9E" w:rsidRDefault="0079593A" w:rsidP="00D805E6">
      <w:pPr>
        <w:pStyle w:val="ListParagraph"/>
        <w:numPr>
          <w:ilvl w:val="0"/>
          <w:numId w:val="36"/>
        </w:numPr>
        <w:ind w:hanging="720"/>
      </w:pPr>
      <w:r w:rsidRPr="00720D9E">
        <w:t xml:space="preserve">If a project uses </w:t>
      </w:r>
      <w:r w:rsidR="004965C4" w:rsidRPr="00720D9E">
        <w:t>elevated amounts of atmospheric gases in</w:t>
      </w:r>
      <w:r w:rsidRPr="00720D9E">
        <w:t xml:space="preserve"> extracted mine gas as evidence of a pre-mining well being mined through, nitrogen</w:t>
      </w:r>
      <w:r w:rsidR="004965C4" w:rsidRPr="00720D9E">
        <w:t xml:space="preserve"> and oxygen</w:t>
      </w:r>
      <w:r w:rsidRPr="00720D9E">
        <w:t xml:space="preserve"> concentrations </w:t>
      </w:r>
      <w:r w:rsidR="00523499" w:rsidRPr="00720D9E">
        <w:t>must</w:t>
      </w:r>
      <w:r w:rsidRPr="00720D9E">
        <w:t xml:space="preserve"> be determined </w:t>
      </w:r>
      <w:r w:rsidR="004965C4" w:rsidRPr="00720D9E">
        <w:t xml:space="preserve">for each well </w:t>
      </w:r>
      <w:r w:rsidRPr="00720D9E">
        <w:t xml:space="preserve">at </w:t>
      </w:r>
      <w:r w:rsidR="004965C4" w:rsidRPr="00720D9E">
        <w:t xml:space="preserve">the </w:t>
      </w:r>
      <w:r w:rsidRPr="00720D9E">
        <w:t xml:space="preserve">time of </w:t>
      </w:r>
      <w:r w:rsidR="004447DE" w:rsidRPr="00720D9E">
        <w:t xml:space="preserve">offset </w:t>
      </w:r>
      <w:r w:rsidRPr="00720D9E">
        <w:t xml:space="preserve">project commencement and when the </w:t>
      </w:r>
      <w:r w:rsidR="00F64066" w:rsidRPr="00720D9E">
        <w:rPr>
          <w:color w:val="auto"/>
        </w:rPr>
        <w:t>Offset Project Operator or Authorized Project Designee</w:t>
      </w:r>
      <w:r w:rsidR="009513DB" w:rsidRPr="00720D9E">
        <w:t xml:space="preserve"> </w:t>
      </w:r>
      <w:r w:rsidRPr="00720D9E">
        <w:t xml:space="preserve">reports a </w:t>
      </w:r>
      <w:r w:rsidR="004965C4" w:rsidRPr="00720D9E">
        <w:t xml:space="preserve">pre-mining </w:t>
      </w:r>
      <w:r w:rsidRPr="00720D9E">
        <w:t>well as eligible</w:t>
      </w:r>
      <w:r w:rsidR="004965C4" w:rsidRPr="00720D9E">
        <w:t xml:space="preserve">.  Gas samples </w:t>
      </w:r>
      <w:r w:rsidR="00523499" w:rsidRPr="00720D9E">
        <w:t>must</w:t>
      </w:r>
      <w:r w:rsidR="004965C4" w:rsidRPr="00720D9E">
        <w:t xml:space="preserve"> be collected by a third-party technician and amounts of nitrogen and oxygen concentrations </w:t>
      </w:r>
      <w:r w:rsidR="004965C4" w:rsidRPr="00720D9E">
        <w:lastRenderedPageBreak/>
        <w:t>determined by a full gas analysis using a chromatograph at an ISO 17025 accredited lab or a lab that has been certified by accreditation body conformant with ISO 17025 to perform test methods appropriate for atmospheric gas content analysis.</w:t>
      </w:r>
    </w:p>
    <w:p w:rsidR="002C40B7" w:rsidRPr="00720D9E" w:rsidRDefault="004965C4" w:rsidP="00D805E6">
      <w:pPr>
        <w:pStyle w:val="ListParagraph"/>
        <w:numPr>
          <w:ilvl w:val="0"/>
          <w:numId w:val="36"/>
        </w:numPr>
        <w:ind w:hanging="720"/>
      </w:pPr>
      <w:r w:rsidRPr="00720D9E">
        <w:t>Data substitution</w:t>
      </w:r>
      <w:r w:rsidR="002C40B7" w:rsidRPr="00720D9E">
        <w:t xml:space="preserve"> is allowed for limited circumstances where a project encounters </w:t>
      </w:r>
      <w:r w:rsidRPr="00720D9E">
        <w:t>flow rate or methane concentration data</w:t>
      </w:r>
      <w:r w:rsidR="002C40B7" w:rsidRPr="00720D9E">
        <w:t xml:space="preserve"> gaps. </w:t>
      </w:r>
      <w:r w:rsidR="009513DB" w:rsidRPr="00720D9E">
        <w:rPr>
          <w:color w:val="auto"/>
        </w:rPr>
        <w:t>Offset Project Operator</w:t>
      </w:r>
      <w:r w:rsidR="008329AA" w:rsidRPr="00720D9E">
        <w:rPr>
          <w:color w:val="auto"/>
        </w:rPr>
        <w:t>s</w:t>
      </w:r>
      <w:r w:rsidR="009513DB" w:rsidRPr="00720D9E">
        <w:rPr>
          <w:color w:val="auto"/>
        </w:rPr>
        <w:t xml:space="preserve"> or Authorized Project Designee</w:t>
      </w:r>
      <w:r w:rsidR="008329AA" w:rsidRPr="00720D9E">
        <w:rPr>
          <w:color w:val="auto"/>
        </w:rPr>
        <w:t>s</w:t>
      </w:r>
      <w:r w:rsidR="009513DB" w:rsidRPr="00720D9E">
        <w:t xml:space="preserve"> </w:t>
      </w:r>
      <w:r w:rsidR="002C40B7" w:rsidRPr="00720D9E">
        <w:t xml:space="preserve">may apply the data substitution methodology provided in Appendix </w:t>
      </w:r>
      <w:r w:rsidR="00333004" w:rsidRPr="00720D9E">
        <w:t>C</w:t>
      </w:r>
      <w:r w:rsidR="002C40B7" w:rsidRPr="00720D9E">
        <w:t xml:space="preserve">.  No data substitution is permissible for data gaps resulting from inoperable destruction device monitoring equipment and no emission reductions will be credited under such circumstances. </w:t>
      </w:r>
    </w:p>
    <w:p w:rsidR="008D1A18" w:rsidRPr="00720D9E" w:rsidRDefault="000D74EC" w:rsidP="000D74EC">
      <w:pPr>
        <w:pStyle w:val="Heading2"/>
      </w:pPr>
      <w:bookmarkStart w:id="48" w:name="_Toc364243222"/>
      <w:r w:rsidRPr="00720D9E">
        <w:t>§</w:t>
      </w:r>
      <w:r w:rsidR="002C40B7" w:rsidRPr="00720D9E">
        <w:t xml:space="preserve"> </w:t>
      </w:r>
      <w:r w:rsidR="00645452" w:rsidRPr="00720D9E">
        <w:t>6.2</w:t>
      </w:r>
      <w:r w:rsidRPr="00720D9E">
        <w:t xml:space="preserve">. </w:t>
      </w:r>
      <w:r w:rsidR="008D1A18" w:rsidRPr="00720D9E">
        <w:t>Instrument QA/QC.</w:t>
      </w:r>
      <w:bookmarkEnd w:id="48"/>
    </w:p>
    <w:p w:rsidR="00447BAF" w:rsidRPr="00720D9E" w:rsidRDefault="00447BAF" w:rsidP="00447BAF">
      <w:r w:rsidRPr="00720D9E">
        <w:t>Instruments and equipment used to monitor the destruction of mine methane or the temperature and pressure used to correct data measurements to STP must be inspected, cleaned and calibrated according to the following:</w:t>
      </w:r>
    </w:p>
    <w:p w:rsidR="005524D0" w:rsidRPr="00720D9E" w:rsidRDefault="0031783B" w:rsidP="003638CE">
      <w:pPr>
        <w:pStyle w:val="ListParagraph"/>
        <w:numPr>
          <w:ilvl w:val="0"/>
          <w:numId w:val="53"/>
        </w:numPr>
        <w:ind w:hanging="720"/>
      </w:pPr>
      <w:r w:rsidRPr="00720D9E">
        <w:t>All gas flow meters</w:t>
      </w:r>
      <w:r w:rsidRPr="00720D9E">
        <w:rPr>
          <w:sz w:val="16"/>
          <w:szCs w:val="16"/>
        </w:rPr>
        <w:t xml:space="preserve"> </w:t>
      </w:r>
      <w:r w:rsidRPr="00720D9E">
        <w:t xml:space="preserve">and methane analyzers must be: </w:t>
      </w:r>
    </w:p>
    <w:p w:rsidR="005524D0" w:rsidRPr="00720D9E" w:rsidRDefault="005524D0" w:rsidP="003638CE">
      <w:pPr>
        <w:pStyle w:val="ListParagraph"/>
        <w:numPr>
          <w:ilvl w:val="0"/>
          <w:numId w:val="54"/>
        </w:numPr>
        <w:ind w:left="1440" w:hanging="720"/>
      </w:pPr>
      <w:r w:rsidRPr="00720D9E">
        <w:t>c</w:t>
      </w:r>
      <w:r w:rsidR="0031783B" w:rsidRPr="00720D9E">
        <w:t>leaned and inspected on a quarterly basis, with the activities performed and “as found/as left condition” of the equipment documented</w:t>
      </w:r>
      <w:r w:rsidRPr="00720D9E">
        <w:t>;</w:t>
      </w:r>
      <w:r w:rsidR="0031783B" w:rsidRPr="00720D9E">
        <w:t xml:space="preserve"> </w:t>
      </w:r>
    </w:p>
    <w:p w:rsidR="005524D0" w:rsidRPr="00720D9E" w:rsidRDefault="005524D0" w:rsidP="003638CE">
      <w:pPr>
        <w:pStyle w:val="ListParagraph"/>
        <w:numPr>
          <w:ilvl w:val="0"/>
          <w:numId w:val="54"/>
        </w:numPr>
        <w:ind w:left="1440" w:hanging="720"/>
      </w:pPr>
      <w:r w:rsidRPr="00720D9E">
        <w:t>f</w:t>
      </w:r>
      <w:r w:rsidR="0031783B" w:rsidRPr="00720D9E">
        <w:t>ield checked by a trained professional for calibration accuracy with the percent drift documented, using either a portable instrument (such as a pitot tube)</w:t>
      </w:r>
      <w:r w:rsidR="0031783B" w:rsidRPr="00720D9E">
        <w:rPr>
          <w:sz w:val="16"/>
          <w:szCs w:val="16"/>
        </w:rPr>
        <w:t xml:space="preserve"> </w:t>
      </w:r>
      <w:r w:rsidR="0031783B" w:rsidRPr="00720D9E">
        <w:t xml:space="preserve">or manufacturer specifications, </w:t>
      </w:r>
      <w:r w:rsidR="00466AF2" w:rsidRPr="00720D9E">
        <w:t>within 24 hours</w:t>
      </w:r>
      <w:r w:rsidR="0031783B" w:rsidRPr="00720D9E">
        <w:t xml:space="preserve"> of</w:t>
      </w:r>
      <w:r w:rsidR="00466AF2" w:rsidRPr="00720D9E">
        <w:t xml:space="preserve"> the end of a reporting period</w:t>
      </w:r>
      <w:r w:rsidR="0031783B" w:rsidRPr="00720D9E">
        <w:t xml:space="preserve"> but no more than two months prior to the end date of the reporting period</w:t>
      </w:r>
      <w:r w:rsidRPr="00720D9E">
        <w:t>; and</w:t>
      </w:r>
    </w:p>
    <w:p w:rsidR="0031783B" w:rsidRPr="00720D9E" w:rsidRDefault="005524D0" w:rsidP="003638CE">
      <w:pPr>
        <w:pStyle w:val="ListParagraph"/>
        <w:numPr>
          <w:ilvl w:val="0"/>
          <w:numId w:val="54"/>
        </w:numPr>
        <w:ind w:left="1440" w:hanging="720"/>
      </w:pPr>
      <w:r w:rsidRPr="00720D9E">
        <w:t>c</w:t>
      </w:r>
      <w:r w:rsidR="0031783B" w:rsidRPr="00720D9E">
        <w:t>alibrated by the manufacturer or a certified calibration service per manufacturer’s specifications or every 5 years, whichever is more frequent</w:t>
      </w:r>
      <w:r w:rsidRPr="00720D9E">
        <w:t>.</w:t>
      </w:r>
      <w:r w:rsidR="0031783B" w:rsidRPr="00720D9E">
        <w:t xml:space="preserve"> </w:t>
      </w:r>
    </w:p>
    <w:p w:rsidR="005C5213" w:rsidRPr="00720D9E" w:rsidRDefault="005C5213" w:rsidP="003638CE">
      <w:pPr>
        <w:pStyle w:val="ListParagraph"/>
        <w:numPr>
          <w:ilvl w:val="0"/>
          <w:numId w:val="53"/>
        </w:numPr>
        <w:ind w:hanging="720"/>
      </w:pPr>
      <w:r w:rsidRPr="00720D9E">
        <w:t xml:space="preserve">Additionally, flow meter calibrations must be documented to show that the meter was calibrated and methane analyzer calibrations must be documented to show that the calibration was carried out to the range of conditions (temperature and pressure) corresponding to the range of conditions as measured at the mine. </w:t>
      </w:r>
    </w:p>
    <w:p w:rsidR="005524D0" w:rsidRPr="00720D9E" w:rsidRDefault="0031783B" w:rsidP="003638CE">
      <w:pPr>
        <w:pStyle w:val="ListParagraph"/>
        <w:numPr>
          <w:ilvl w:val="0"/>
          <w:numId w:val="53"/>
        </w:numPr>
        <w:ind w:hanging="720"/>
      </w:pPr>
      <w:r w:rsidRPr="00720D9E">
        <w:lastRenderedPageBreak/>
        <w:t>If the field check on a piece of equipment reveals accuracy outside of a +/- 5% threshold, calibration by the manufacturer or a certified service provider is required for that piece of equipment.</w:t>
      </w:r>
    </w:p>
    <w:p w:rsidR="005524D0" w:rsidRPr="00720D9E" w:rsidRDefault="0031783B" w:rsidP="003638CE">
      <w:pPr>
        <w:pStyle w:val="ListParagraph"/>
        <w:numPr>
          <w:ilvl w:val="0"/>
          <w:numId w:val="53"/>
        </w:numPr>
        <w:ind w:hanging="720"/>
      </w:pPr>
      <w:r w:rsidRPr="00720D9E">
        <w:t xml:space="preserve">For the interval between the last successful field check and any calibration event confirming accuracy below the +/- 5% threshold, all data from that meter or analyzer must be scaled according to the following procedure. </w:t>
      </w:r>
      <w:r w:rsidR="00C32B49" w:rsidRPr="00720D9E">
        <w:t xml:space="preserve"> </w:t>
      </w:r>
      <w:r w:rsidRPr="00720D9E">
        <w:t xml:space="preserve">These adjustments must be made for the entire period from the last successful field check until such time as the meter is properly calibrated. </w:t>
      </w:r>
    </w:p>
    <w:p w:rsidR="005C5213" w:rsidRPr="00720D9E" w:rsidRDefault="0031783B" w:rsidP="003638CE">
      <w:pPr>
        <w:pStyle w:val="ListParagraph"/>
        <w:numPr>
          <w:ilvl w:val="1"/>
          <w:numId w:val="53"/>
        </w:numPr>
        <w:ind w:hanging="720"/>
      </w:pPr>
      <w:r w:rsidRPr="00720D9E">
        <w:t xml:space="preserve">For calibrations that indicate the flow meter was outside the +/- 5% accuracy threshold, the project developer shall estimate </w:t>
      </w:r>
      <w:r w:rsidR="005C5213" w:rsidRPr="00720D9E">
        <w:t>total emission reductions using</w:t>
      </w:r>
    </w:p>
    <w:p w:rsidR="005C5213" w:rsidRPr="00720D9E" w:rsidRDefault="0031783B" w:rsidP="003638CE">
      <w:pPr>
        <w:pStyle w:val="ListParagraph"/>
        <w:numPr>
          <w:ilvl w:val="2"/>
          <w:numId w:val="53"/>
        </w:numPr>
        <w:ind w:hanging="720"/>
      </w:pPr>
      <w:r w:rsidRPr="00720D9E">
        <w:t>the metered values without correction</w:t>
      </w:r>
      <w:r w:rsidR="005C5213" w:rsidRPr="00720D9E">
        <w:t>;</w:t>
      </w:r>
      <w:r w:rsidRPr="00720D9E">
        <w:t xml:space="preserve"> and </w:t>
      </w:r>
    </w:p>
    <w:p w:rsidR="005C5213" w:rsidRPr="00720D9E" w:rsidRDefault="0031783B" w:rsidP="003638CE">
      <w:pPr>
        <w:pStyle w:val="ListParagraph"/>
        <w:numPr>
          <w:ilvl w:val="2"/>
          <w:numId w:val="53"/>
        </w:numPr>
        <w:ind w:hanging="720"/>
      </w:pPr>
      <w:r w:rsidRPr="00720D9E">
        <w:t xml:space="preserve">the metered values adjusted based on the greatest calibration drift recorded at the time of calibration. </w:t>
      </w:r>
    </w:p>
    <w:p w:rsidR="005C5213" w:rsidRPr="00720D9E" w:rsidRDefault="0031783B" w:rsidP="003638CE">
      <w:pPr>
        <w:pStyle w:val="ListParagraph"/>
        <w:numPr>
          <w:ilvl w:val="0"/>
          <w:numId w:val="53"/>
        </w:numPr>
        <w:ind w:hanging="720"/>
      </w:pPr>
      <w:r w:rsidRPr="00720D9E">
        <w:t>The lower of the two emission reduction estimates shall be reported as the scaled emission reduction estimate</w:t>
      </w:r>
      <w:r w:rsidRPr="00720D9E">
        <w:rPr>
          <w:sz w:val="22"/>
          <w:szCs w:val="22"/>
        </w:rPr>
        <w:t xml:space="preserve">. </w:t>
      </w:r>
      <w:r w:rsidR="003E058F" w:rsidRPr="00720D9E">
        <w:t>D</w:t>
      </w:r>
      <w:r w:rsidRPr="00720D9E">
        <w:t>ata monitored up to two months after a field check may be verified.</w:t>
      </w:r>
      <w:r w:rsidR="00C32B49" w:rsidRPr="00720D9E">
        <w:t xml:space="preserve"> </w:t>
      </w:r>
      <w:r w:rsidR="003E058F" w:rsidRPr="00720D9E">
        <w:t xml:space="preserve">  </w:t>
      </w:r>
      <w:r w:rsidRPr="00720D9E">
        <w:t xml:space="preserve">As such, the end date of the reporting period must be no more than two months after the latest successful field check. </w:t>
      </w:r>
    </w:p>
    <w:p w:rsidR="0031783B" w:rsidRPr="00720D9E" w:rsidRDefault="0031783B" w:rsidP="003638CE">
      <w:pPr>
        <w:pStyle w:val="ListParagraph"/>
        <w:numPr>
          <w:ilvl w:val="0"/>
          <w:numId w:val="53"/>
        </w:numPr>
        <w:ind w:hanging="720"/>
      </w:pPr>
      <w:r w:rsidRPr="00720D9E">
        <w:t xml:space="preserve">If a portable instrument is used (such as a handheld methane analyzer), the portable instrument </w:t>
      </w:r>
      <w:r w:rsidR="00466AF2" w:rsidRPr="00720D9E">
        <w:t>must</w:t>
      </w:r>
      <w:r w:rsidRPr="00720D9E">
        <w:t xml:space="preserve"> be calibrated</w:t>
      </w:r>
      <w:r w:rsidR="003F7CBC">
        <w:t xml:space="preserve"> according to manufacturer’s specification prior to each use</w:t>
      </w:r>
      <w:r w:rsidRPr="00720D9E">
        <w:t>.</w:t>
      </w:r>
    </w:p>
    <w:p w:rsidR="003E058F" w:rsidRPr="00720D9E" w:rsidRDefault="003E058F" w:rsidP="003638CE">
      <w:pPr>
        <w:pStyle w:val="ListParagraph"/>
        <w:numPr>
          <w:ilvl w:val="0"/>
          <w:numId w:val="53"/>
        </w:numPr>
        <w:ind w:hanging="720"/>
      </w:pPr>
      <w:r w:rsidRPr="00720D9E">
        <w:t>If a site-specific device destruction efficiency is used, device-specific testing must include three test runs, with the accepted final value being tone standard deviation below the mean of the measured efficiencies.</w:t>
      </w:r>
    </w:p>
    <w:p w:rsidR="003E058F" w:rsidRPr="00720D9E" w:rsidRDefault="00645452" w:rsidP="003E058F">
      <w:pPr>
        <w:pStyle w:val="Heading2"/>
      </w:pPr>
      <w:bookmarkStart w:id="49" w:name="_Toc364243223"/>
      <w:r w:rsidRPr="00720D9E">
        <w:t>§ 6.3</w:t>
      </w:r>
      <w:r w:rsidR="003E058F" w:rsidRPr="00720D9E">
        <w:t>. Document Retention.</w:t>
      </w:r>
      <w:bookmarkEnd w:id="49"/>
    </w:p>
    <w:p w:rsidR="00C32B49" w:rsidRPr="00720D9E" w:rsidRDefault="003E058F" w:rsidP="003638CE">
      <w:pPr>
        <w:pStyle w:val="ListParagraph"/>
        <w:numPr>
          <w:ilvl w:val="0"/>
          <w:numId w:val="55"/>
        </w:numPr>
        <w:ind w:hanging="720"/>
        <w:rPr>
          <w:rFonts w:ascii="Calibri" w:hAnsi="Calibri" w:cs="Calibri"/>
        </w:rPr>
      </w:pPr>
      <w:r w:rsidRPr="00720D9E">
        <w:t xml:space="preserve">The </w:t>
      </w:r>
      <w:r w:rsidR="009513DB" w:rsidRPr="00720D9E">
        <w:rPr>
          <w:color w:val="auto"/>
        </w:rPr>
        <w:t>Offset Project Operator or Authorized Project Designee</w:t>
      </w:r>
      <w:r w:rsidR="009513DB" w:rsidRPr="00720D9E">
        <w:t xml:space="preserve"> </w:t>
      </w:r>
      <w:r w:rsidRPr="00720D9E">
        <w:t xml:space="preserve">is required to keep all documentation and information outlined in the Regulation and this protocol. </w:t>
      </w:r>
      <w:r w:rsidR="00C32B49" w:rsidRPr="00720D9E">
        <w:t xml:space="preserve"> </w:t>
      </w:r>
      <w:r w:rsidRPr="00720D9E">
        <w:t xml:space="preserve">Record retention requirements are set forth in the Regulation. </w:t>
      </w:r>
    </w:p>
    <w:p w:rsidR="00C32B49" w:rsidRPr="00720D9E" w:rsidRDefault="00C32B49" w:rsidP="003638CE">
      <w:pPr>
        <w:pStyle w:val="ListParagraph"/>
        <w:numPr>
          <w:ilvl w:val="0"/>
          <w:numId w:val="55"/>
        </w:numPr>
        <w:ind w:hanging="720"/>
      </w:pPr>
      <w:r w:rsidRPr="00720D9E">
        <w:rPr>
          <w:bCs/>
        </w:rPr>
        <w:t xml:space="preserve">Information that </w:t>
      </w:r>
      <w:r w:rsidR="00FC7F9F" w:rsidRPr="00720D9E">
        <w:rPr>
          <w:bCs/>
        </w:rPr>
        <w:t>must</w:t>
      </w:r>
      <w:r w:rsidRPr="00720D9E">
        <w:rPr>
          <w:bCs/>
        </w:rPr>
        <w:t xml:space="preserve"> be retained by the </w:t>
      </w:r>
      <w:r w:rsidR="009513DB" w:rsidRPr="00720D9E">
        <w:rPr>
          <w:color w:val="auto"/>
        </w:rPr>
        <w:t>Offset Project Operator or Authorized Project Designee</w:t>
      </w:r>
      <w:r w:rsidR="009513DB" w:rsidRPr="00720D9E">
        <w:t xml:space="preserve"> </w:t>
      </w:r>
      <w:r w:rsidRPr="00720D9E">
        <w:rPr>
          <w:bCs/>
        </w:rPr>
        <w:t xml:space="preserve">must include, but is not limited to: </w:t>
      </w:r>
    </w:p>
    <w:p w:rsidR="00C32B49" w:rsidRPr="00720D9E" w:rsidRDefault="00C32B49" w:rsidP="003638CE">
      <w:pPr>
        <w:pStyle w:val="ListParagraph"/>
        <w:numPr>
          <w:ilvl w:val="1"/>
          <w:numId w:val="55"/>
        </w:numPr>
        <w:ind w:hanging="720"/>
      </w:pPr>
      <w:r w:rsidRPr="00720D9E">
        <w:lastRenderedPageBreak/>
        <w:t>All data inputs for the calculation of the project baseline emissions and project emission reductions;</w:t>
      </w:r>
    </w:p>
    <w:p w:rsidR="00C32B49" w:rsidRPr="00720D9E" w:rsidRDefault="0079791B" w:rsidP="003638CE">
      <w:pPr>
        <w:pStyle w:val="ListParagraph"/>
        <w:numPr>
          <w:ilvl w:val="1"/>
          <w:numId w:val="55"/>
        </w:numPr>
        <w:ind w:hanging="720"/>
      </w:pPr>
      <w:r w:rsidRPr="00720D9E">
        <w:t xml:space="preserve">Emission reduction </w:t>
      </w:r>
      <w:r w:rsidR="00C32B49" w:rsidRPr="00720D9E">
        <w:t>calculations</w:t>
      </w:r>
      <w:r w:rsidR="00BB6715" w:rsidRPr="00720D9E">
        <w:t>;</w:t>
      </w:r>
    </w:p>
    <w:p w:rsidR="00C32B49" w:rsidRPr="00720D9E" w:rsidRDefault="00BB6715" w:rsidP="003638CE">
      <w:pPr>
        <w:pStyle w:val="ListParagraph"/>
        <w:numPr>
          <w:ilvl w:val="1"/>
          <w:numId w:val="55"/>
        </w:numPr>
        <w:ind w:hanging="720"/>
      </w:pPr>
      <w:r w:rsidRPr="00720D9E">
        <w:t>M</w:t>
      </w:r>
      <w:r w:rsidR="00C32B49" w:rsidRPr="00720D9E">
        <w:t>ine operating permits</w:t>
      </w:r>
      <w:r w:rsidRPr="00720D9E">
        <w:t>, leases (if applicable), and air, water and land use permits;</w:t>
      </w:r>
    </w:p>
    <w:p w:rsidR="00BB6715" w:rsidRPr="00720D9E" w:rsidRDefault="00BB6715" w:rsidP="003638CE">
      <w:pPr>
        <w:pStyle w:val="ListParagraph"/>
        <w:numPr>
          <w:ilvl w:val="1"/>
          <w:numId w:val="55"/>
        </w:numPr>
        <w:ind w:hanging="720"/>
      </w:pPr>
      <w:r w:rsidRPr="00720D9E">
        <w:t>Notices of Violations (NOVs)</w:t>
      </w:r>
      <w:r w:rsidR="0079791B" w:rsidRPr="00720D9E">
        <w:t>, and</w:t>
      </w:r>
      <w:r w:rsidRPr="00720D9E">
        <w:t xml:space="preserve"> any administrative or legal consent orders related to project activities dating back at least three years prior to </w:t>
      </w:r>
      <w:r w:rsidR="004447DE" w:rsidRPr="00720D9E">
        <w:t xml:space="preserve">offset </w:t>
      </w:r>
      <w:r w:rsidRPr="00720D9E">
        <w:t>project commencement</w:t>
      </w:r>
      <w:r w:rsidR="0079791B" w:rsidRPr="00720D9E">
        <w:t xml:space="preserve"> and for each year of project operation;</w:t>
      </w:r>
    </w:p>
    <w:p w:rsidR="00FC7F9F" w:rsidRPr="00720D9E" w:rsidRDefault="0079791B" w:rsidP="003638CE">
      <w:pPr>
        <w:pStyle w:val="ListParagraph"/>
        <w:numPr>
          <w:ilvl w:val="1"/>
          <w:numId w:val="55"/>
        </w:numPr>
        <w:ind w:hanging="720"/>
      </w:pPr>
      <w:r w:rsidRPr="00720D9E">
        <w:t>Copies of mine plans and mine ventilation plans submitted to MSHA throughout the project life;</w:t>
      </w:r>
    </w:p>
    <w:p w:rsidR="00C32B49" w:rsidRPr="00720D9E" w:rsidRDefault="0079791B" w:rsidP="003638CE">
      <w:pPr>
        <w:pStyle w:val="ListParagraph"/>
        <w:numPr>
          <w:ilvl w:val="1"/>
          <w:numId w:val="55"/>
        </w:numPr>
        <w:ind w:hanging="720"/>
      </w:pPr>
      <w:r w:rsidRPr="00720D9E">
        <w:t>G</w:t>
      </w:r>
      <w:r w:rsidR="00C32B49" w:rsidRPr="00720D9E">
        <w:t>as flow meter information (model number, serial number, manufacturer’s calibration procedures)</w:t>
      </w:r>
      <w:r w:rsidR="00BB6715" w:rsidRPr="00720D9E">
        <w:t>;</w:t>
      </w:r>
    </w:p>
    <w:p w:rsidR="0079791B" w:rsidRPr="00720D9E" w:rsidRDefault="0079791B" w:rsidP="003638CE">
      <w:pPr>
        <w:pStyle w:val="ListParagraph"/>
        <w:numPr>
          <w:ilvl w:val="1"/>
          <w:numId w:val="55"/>
        </w:numPr>
        <w:ind w:hanging="720"/>
      </w:pPr>
      <w:r w:rsidRPr="00720D9E">
        <w:t>Methane analyzer information (model number, serial number, calibration procedures);</w:t>
      </w:r>
    </w:p>
    <w:p w:rsidR="00C32B49" w:rsidRPr="00720D9E" w:rsidRDefault="00C32B49" w:rsidP="003638CE">
      <w:pPr>
        <w:pStyle w:val="ListParagraph"/>
        <w:numPr>
          <w:ilvl w:val="1"/>
          <w:numId w:val="55"/>
        </w:numPr>
        <w:ind w:hanging="720"/>
      </w:pPr>
      <w:r w:rsidRPr="00720D9E">
        <w:t>Cleaning and inspection records for all g</w:t>
      </w:r>
      <w:r w:rsidR="00BB6715" w:rsidRPr="00720D9E">
        <w:t>as meters;</w:t>
      </w:r>
    </w:p>
    <w:p w:rsidR="00BB6715" w:rsidRPr="00720D9E" w:rsidRDefault="00C32B49" w:rsidP="003638CE">
      <w:pPr>
        <w:pStyle w:val="ListParagraph"/>
        <w:numPr>
          <w:ilvl w:val="1"/>
          <w:numId w:val="55"/>
        </w:numPr>
        <w:ind w:hanging="720"/>
      </w:pPr>
      <w:r w:rsidRPr="00720D9E">
        <w:t xml:space="preserve">Field check results for all </w:t>
      </w:r>
      <w:r w:rsidR="00BB6715" w:rsidRPr="00720D9E">
        <w:t>gas meters</w:t>
      </w:r>
      <w:r w:rsidR="00FC7F9F" w:rsidRPr="00720D9E">
        <w:t xml:space="preserve"> and methane analyzers</w:t>
      </w:r>
      <w:r w:rsidR="00BB6715" w:rsidRPr="00720D9E">
        <w:t>;</w:t>
      </w:r>
    </w:p>
    <w:p w:rsidR="00BB6715" w:rsidRPr="00720D9E" w:rsidRDefault="00C32B49" w:rsidP="003638CE">
      <w:pPr>
        <w:pStyle w:val="ListParagraph"/>
        <w:numPr>
          <w:ilvl w:val="1"/>
          <w:numId w:val="55"/>
        </w:numPr>
        <w:ind w:hanging="720"/>
      </w:pPr>
      <w:r w:rsidRPr="00720D9E">
        <w:t>Calibration results for all gas met</w:t>
      </w:r>
      <w:r w:rsidR="00BB6715" w:rsidRPr="00720D9E">
        <w:t>ers</w:t>
      </w:r>
      <w:r w:rsidR="00FC7F9F" w:rsidRPr="00720D9E">
        <w:t xml:space="preserve"> and methane analyzers</w:t>
      </w:r>
      <w:r w:rsidR="00BB6715" w:rsidRPr="00720D9E">
        <w:t>;</w:t>
      </w:r>
    </w:p>
    <w:p w:rsidR="0079791B" w:rsidRPr="00720D9E" w:rsidRDefault="0079791B" w:rsidP="003638CE">
      <w:pPr>
        <w:pStyle w:val="ListParagraph"/>
        <w:numPr>
          <w:ilvl w:val="1"/>
          <w:numId w:val="55"/>
        </w:numPr>
        <w:ind w:hanging="720"/>
      </w:pPr>
      <w:r w:rsidRPr="00720D9E">
        <w:t>Corrective measures taken if meter does not meet performance specifications</w:t>
      </w:r>
      <w:r w:rsidR="00FC7F9F" w:rsidRPr="00720D9E">
        <w:t>;</w:t>
      </w:r>
    </w:p>
    <w:p w:rsidR="00BB6715" w:rsidRPr="00720D9E" w:rsidRDefault="00BB6715" w:rsidP="003638CE">
      <w:pPr>
        <w:pStyle w:val="ListParagraph"/>
        <w:numPr>
          <w:ilvl w:val="1"/>
          <w:numId w:val="55"/>
        </w:numPr>
        <w:ind w:hanging="720"/>
      </w:pPr>
      <w:r w:rsidRPr="00720D9E">
        <w:t>G</w:t>
      </w:r>
      <w:r w:rsidR="00C32B49" w:rsidRPr="00720D9E">
        <w:t xml:space="preserve">as </w:t>
      </w:r>
      <w:r w:rsidRPr="00720D9E">
        <w:t>flow data (for each flow meter);</w:t>
      </w:r>
    </w:p>
    <w:p w:rsidR="0079791B" w:rsidRPr="00720D9E" w:rsidRDefault="0079791B" w:rsidP="003638CE">
      <w:pPr>
        <w:pStyle w:val="ListParagraph"/>
        <w:numPr>
          <w:ilvl w:val="1"/>
          <w:numId w:val="55"/>
        </w:numPr>
        <w:ind w:hanging="720"/>
      </w:pPr>
      <w:r w:rsidRPr="00720D9E">
        <w:t>Methane concentration monitoring data;</w:t>
      </w:r>
    </w:p>
    <w:p w:rsidR="00BB6715" w:rsidRPr="00720D9E" w:rsidRDefault="00BB6715" w:rsidP="003638CE">
      <w:pPr>
        <w:pStyle w:val="ListParagraph"/>
        <w:numPr>
          <w:ilvl w:val="1"/>
          <w:numId w:val="55"/>
        </w:numPr>
        <w:ind w:hanging="720"/>
      </w:pPr>
      <w:r w:rsidRPr="00720D9E">
        <w:t>G</w:t>
      </w:r>
      <w:r w:rsidR="00C32B49" w:rsidRPr="00720D9E">
        <w:t>as temperature and pressure readings (only if flow meter does not correct for temperat</w:t>
      </w:r>
      <w:r w:rsidRPr="00720D9E">
        <w:t>ure and pressure automatically);</w:t>
      </w:r>
    </w:p>
    <w:p w:rsidR="00C32B49" w:rsidRPr="00720D9E" w:rsidRDefault="00C32B49" w:rsidP="003638CE">
      <w:pPr>
        <w:pStyle w:val="ListParagraph"/>
        <w:numPr>
          <w:ilvl w:val="1"/>
          <w:numId w:val="55"/>
        </w:numPr>
        <w:ind w:hanging="720"/>
      </w:pPr>
      <w:r w:rsidRPr="00720D9E">
        <w:t>Destruction device information (model numbers, serial numbers</w:t>
      </w:r>
      <w:r w:rsidR="00FC7F9F" w:rsidRPr="00720D9E">
        <w:t>, installation date, operation dates</w:t>
      </w:r>
      <w:r w:rsidR="00BB6715" w:rsidRPr="00720D9E">
        <w:t>);</w:t>
      </w:r>
    </w:p>
    <w:p w:rsidR="00BB6715" w:rsidRPr="00720D9E" w:rsidRDefault="00BB6715" w:rsidP="003638CE">
      <w:pPr>
        <w:pStyle w:val="ListParagraph"/>
        <w:numPr>
          <w:ilvl w:val="1"/>
          <w:numId w:val="55"/>
        </w:numPr>
        <w:ind w:hanging="720"/>
      </w:pPr>
      <w:r w:rsidRPr="00720D9E">
        <w:t>Destruction device monitoring data (for each destruction device);</w:t>
      </w:r>
    </w:p>
    <w:p w:rsidR="00FC7F9F" w:rsidRPr="00720D9E" w:rsidRDefault="00C32B49" w:rsidP="003638CE">
      <w:pPr>
        <w:pStyle w:val="ListParagraph"/>
        <w:numPr>
          <w:ilvl w:val="1"/>
          <w:numId w:val="55"/>
        </w:numPr>
        <w:ind w:hanging="720"/>
      </w:pPr>
      <w:r w:rsidRPr="00720D9E">
        <w:t xml:space="preserve">All maintenance records relevant to the </w:t>
      </w:r>
      <w:r w:rsidR="00BB6715" w:rsidRPr="00720D9E">
        <w:t>methane collection and/or destruction device(s) and</w:t>
      </w:r>
      <w:r w:rsidRPr="00720D9E">
        <w:t xml:space="preserve"> monitoring equipment</w:t>
      </w:r>
      <w:r w:rsidR="00FC7F9F" w:rsidRPr="00720D9E">
        <w:t>;</w:t>
      </w:r>
    </w:p>
    <w:p w:rsidR="00FC7F9F" w:rsidRPr="00720D9E" w:rsidRDefault="003E058F" w:rsidP="003638CE">
      <w:pPr>
        <w:pStyle w:val="ListParagraph"/>
        <w:numPr>
          <w:ilvl w:val="1"/>
          <w:numId w:val="55"/>
        </w:numPr>
        <w:ind w:hanging="720"/>
      </w:pPr>
      <w:r w:rsidRPr="00720D9E">
        <w:t>If using a calibrated portable gas analyzer for CH</w:t>
      </w:r>
      <w:r w:rsidRPr="00720D9E">
        <w:rPr>
          <w:sz w:val="16"/>
          <w:szCs w:val="16"/>
        </w:rPr>
        <w:t xml:space="preserve">4 </w:t>
      </w:r>
      <w:r w:rsidR="00FC7F9F" w:rsidRPr="00720D9E">
        <w:t>content measurement the following records must be retained:</w:t>
      </w:r>
    </w:p>
    <w:p w:rsidR="00FC7F9F" w:rsidRPr="00720D9E" w:rsidRDefault="003E058F" w:rsidP="003638CE">
      <w:pPr>
        <w:pStyle w:val="ListParagraph"/>
        <w:numPr>
          <w:ilvl w:val="2"/>
          <w:numId w:val="55"/>
        </w:numPr>
        <w:ind w:hanging="720"/>
        <w:rPr>
          <w:sz w:val="23"/>
          <w:szCs w:val="23"/>
        </w:rPr>
      </w:pPr>
      <w:r w:rsidRPr="00720D9E">
        <w:t xml:space="preserve">Date, time, and </w:t>
      </w:r>
      <w:r w:rsidR="00FC7F9F" w:rsidRPr="00720D9E">
        <w:t>location of methane measurement;</w:t>
      </w:r>
    </w:p>
    <w:p w:rsidR="00FC7F9F" w:rsidRPr="00720D9E" w:rsidRDefault="00FC7F9F" w:rsidP="003638CE">
      <w:pPr>
        <w:pStyle w:val="ListParagraph"/>
        <w:numPr>
          <w:ilvl w:val="2"/>
          <w:numId w:val="55"/>
        </w:numPr>
        <w:ind w:hanging="720"/>
        <w:rPr>
          <w:sz w:val="23"/>
          <w:szCs w:val="23"/>
        </w:rPr>
      </w:pPr>
      <w:r w:rsidRPr="00720D9E">
        <w:rPr>
          <w:sz w:val="23"/>
          <w:szCs w:val="23"/>
        </w:rPr>
        <w:lastRenderedPageBreak/>
        <w:t>Methane content of biogas (% by volume) for each measurement;</w:t>
      </w:r>
    </w:p>
    <w:p w:rsidR="00FC7F9F" w:rsidRPr="00720D9E" w:rsidRDefault="00FC7F9F" w:rsidP="003638CE">
      <w:pPr>
        <w:pStyle w:val="ListParagraph"/>
        <w:numPr>
          <w:ilvl w:val="2"/>
          <w:numId w:val="55"/>
        </w:numPr>
        <w:ind w:hanging="720"/>
        <w:rPr>
          <w:sz w:val="23"/>
          <w:szCs w:val="23"/>
        </w:rPr>
      </w:pPr>
      <w:r w:rsidRPr="00720D9E">
        <w:rPr>
          <w:sz w:val="23"/>
          <w:szCs w:val="23"/>
        </w:rPr>
        <w:t xml:space="preserve">Methane measurement instrument information (model number and serial number); </w:t>
      </w:r>
    </w:p>
    <w:p w:rsidR="00FC7F9F" w:rsidRPr="00720D9E" w:rsidRDefault="00FC7F9F" w:rsidP="003638CE">
      <w:pPr>
        <w:pStyle w:val="ListParagraph"/>
        <w:numPr>
          <w:ilvl w:val="2"/>
          <w:numId w:val="55"/>
        </w:numPr>
        <w:ind w:hanging="720"/>
        <w:rPr>
          <w:sz w:val="23"/>
          <w:szCs w:val="23"/>
        </w:rPr>
      </w:pPr>
      <w:r w:rsidRPr="00720D9E">
        <w:rPr>
          <w:sz w:val="23"/>
          <w:szCs w:val="23"/>
        </w:rPr>
        <w:t>Date, time, and results of instrument calibration;</w:t>
      </w:r>
      <w:r w:rsidR="00270F1A" w:rsidRPr="00720D9E">
        <w:rPr>
          <w:sz w:val="23"/>
          <w:szCs w:val="23"/>
        </w:rPr>
        <w:t xml:space="preserve"> and</w:t>
      </w:r>
    </w:p>
    <w:p w:rsidR="00FC7F9F" w:rsidRPr="00720D9E" w:rsidRDefault="00FC7F9F" w:rsidP="003638CE">
      <w:pPr>
        <w:pStyle w:val="ListParagraph"/>
        <w:numPr>
          <w:ilvl w:val="2"/>
          <w:numId w:val="55"/>
        </w:numPr>
        <w:ind w:hanging="720"/>
        <w:rPr>
          <w:sz w:val="23"/>
          <w:szCs w:val="23"/>
        </w:rPr>
      </w:pPr>
      <w:r w:rsidRPr="00720D9E">
        <w:rPr>
          <w:sz w:val="23"/>
          <w:szCs w:val="23"/>
        </w:rPr>
        <w:t xml:space="preserve">Corrective measures taken if instrument does not meet performance specifications </w:t>
      </w:r>
    </w:p>
    <w:p w:rsidR="0002164C" w:rsidRPr="00720D9E" w:rsidRDefault="008D1A18" w:rsidP="000D74EC">
      <w:pPr>
        <w:pStyle w:val="Heading2"/>
      </w:pPr>
      <w:bookmarkStart w:id="50" w:name="_Toc364243224"/>
      <w:r w:rsidRPr="00720D9E">
        <w:t xml:space="preserve">§ </w:t>
      </w:r>
      <w:r w:rsidR="003E058F" w:rsidRPr="00720D9E">
        <w:t>6</w:t>
      </w:r>
      <w:r w:rsidR="00645452" w:rsidRPr="00720D9E">
        <w:t>.4</w:t>
      </w:r>
      <w:r w:rsidRPr="00720D9E">
        <w:t xml:space="preserve">. </w:t>
      </w:r>
      <w:r w:rsidR="00D973CA" w:rsidRPr="00720D9E">
        <w:t xml:space="preserve">Active Underground Mine </w:t>
      </w:r>
      <w:r w:rsidR="002C40B7" w:rsidRPr="00720D9E">
        <w:t>Ventilation Air Methane</w:t>
      </w:r>
      <w:r w:rsidR="00D973CA" w:rsidRPr="00720D9E">
        <w:t xml:space="preserve"> </w:t>
      </w:r>
      <w:r w:rsidR="004D228E" w:rsidRPr="00720D9E">
        <w:t>Activities</w:t>
      </w:r>
      <w:r w:rsidR="00D973CA" w:rsidRPr="00720D9E">
        <w:t>.</w:t>
      </w:r>
      <w:bookmarkEnd w:id="50"/>
    </w:p>
    <w:p w:rsidR="001110C4" w:rsidRPr="00720D9E" w:rsidRDefault="00FF680C" w:rsidP="0082570F">
      <w:pPr>
        <w:pStyle w:val="ListParagraph"/>
        <w:numPr>
          <w:ilvl w:val="0"/>
          <w:numId w:val="40"/>
        </w:numPr>
        <w:ind w:hanging="720"/>
      </w:pPr>
      <w:r w:rsidRPr="00720D9E">
        <w:t xml:space="preserve">The total inlet flow entering the </w:t>
      </w:r>
      <w:r w:rsidR="003B5CED" w:rsidRPr="00720D9E">
        <w:t>destruction device</w:t>
      </w:r>
      <w:r w:rsidRPr="00720D9E">
        <w:t xml:space="preserve"> </w:t>
      </w:r>
      <w:r w:rsidR="00523499" w:rsidRPr="00720D9E">
        <w:t>must</w:t>
      </w:r>
      <w:r w:rsidRPr="00720D9E">
        <w:t xml:space="preserve"> be measured continuously and recorded every two minutes to calculate average flow per hour</w:t>
      </w:r>
      <w:r w:rsidR="001110C4" w:rsidRPr="00720D9E">
        <w:t>.</w:t>
      </w:r>
    </w:p>
    <w:p w:rsidR="001110C4" w:rsidRPr="00720D9E" w:rsidRDefault="00FF680C" w:rsidP="0082570F">
      <w:pPr>
        <w:pStyle w:val="ListParagraph"/>
        <w:numPr>
          <w:ilvl w:val="0"/>
          <w:numId w:val="40"/>
        </w:numPr>
        <w:ind w:hanging="720"/>
      </w:pPr>
      <w:r w:rsidRPr="00720D9E">
        <w:t xml:space="preserve">The methane </w:t>
      </w:r>
      <w:r w:rsidR="00F5081A" w:rsidRPr="00720D9E">
        <w:t>concentration of</w:t>
      </w:r>
      <w:r w:rsidRPr="00720D9E">
        <w:t xml:space="preserve"> the ventilation air entering the </w:t>
      </w:r>
      <w:r w:rsidR="003B5CED" w:rsidRPr="00720D9E">
        <w:t>destruction device</w:t>
      </w:r>
      <w:r w:rsidRPr="00720D9E">
        <w:t xml:space="preserve"> and </w:t>
      </w:r>
      <w:r w:rsidR="00F5081A" w:rsidRPr="00720D9E">
        <w:t>of</w:t>
      </w:r>
      <w:r w:rsidRPr="00720D9E">
        <w:t xml:space="preserve"> the exhaust gas </w:t>
      </w:r>
      <w:r w:rsidR="00523499" w:rsidRPr="00720D9E">
        <w:t>must</w:t>
      </w:r>
      <w:r w:rsidRPr="00720D9E">
        <w:t xml:space="preserve"> be measured continuously and recorded every two minutes to calculate</w:t>
      </w:r>
      <w:r w:rsidR="001110C4" w:rsidRPr="00720D9E">
        <w:t xml:space="preserve"> </w:t>
      </w:r>
      <w:r w:rsidRPr="00720D9E">
        <w:t>average methane concentration per hour</w:t>
      </w:r>
      <w:r w:rsidR="001110C4" w:rsidRPr="00720D9E">
        <w:t>.</w:t>
      </w:r>
    </w:p>
    <w:p w:rsidR="001110C4" w:rsidRPr="00720D9E" w:rsidRDefault="001110C4" w:rsidP="0082570F">
      <w:pPr>
        <w:pStyle w:val="ListParagraph"/>
        <w:numPr>
          <w:ilvl w:val="0"/>
          <w:numId w:val="40"/>
        </w:numPr>
        <w:ind w:hanging="720"/>
      </w:pPr>
      <w:r w:rsidRPr="00720D9E">
        <w:t>If required in order to standardize the flow rate</w:t>
      </w:r>
      <w:r w:rsidR="00F5081A" w:rsidRPr="00720D9E">
        <w:t xml:space="preserve"> or volume of VAM</w:t>
      </w:r>
      <w:r w:rsidRPr="00720D9E">
        <w:t xml:space="preserve">, the temperature and pressure in the vicinity of the flow meter </w:t>
      </w:r>
      <w:r w:rsidR="00523499" w:rsidRPr="00720D9E">
        <w:t>must</w:t>
      </w:r>
      <w:r w:rsidRPr="00720D9E">
        <w:t xml:space="preserve"> be measured continuously and recorded at least every hour to calculate hourly pressure and temperature. </w:t>
      </w:r>
    </w:p>
    <w:p w:rsidR="002C40B7" w:rsidRPr="00720D9E" w:rsidRDefault="009513DB" w:rsidP="0082570F">
      <w:pPr>
        <w:pStyle w:val="ListParagraph"/>
        <w:numPr>
          <w:ilvl w:val="0"/>
          <w:numId w:val="40"/>
        </w:numPr>
        <w:ind w:hanging="720"/>
      </w:pPr>
      <w:r w:rsidRPr="00720D9E">
        <w:rPr>
          <w:color w:val="auto"/>
        </w:rPr>
        <w:t>Offset Project Operators and Authorized Project Designees</w:t>
      </w:r>
      <w:r w:rsidRPr="00720D9E">
        <w:t xml:space="preserve"> </w:t>
      </w:r>
      <w:r w:rsidR="002C40B7" w:rsidRPr="00720D9E">
        <w:t xml:space="preserve">must monitor the </w:t>
      </w:r>
      <w:r w:rsidR="00D01C74" w:rsidRPr="00720D9E">
        <w:t>parameters prescribed in Table 7.1</w:t>
      </w:r>
      <w:r w:rsidR="00E50F35" w:rsidRPr="00720D9E">
        <w:t>.</w:t>
      </w:r>
    </w:p>
    <w:p w:rsidR="00D973CA" w:rsidRDefault="00D973CA" w:rsidP="00D973CA">
      <w:pPr>
        <w:pStyle w:val="Heading3"/>
      </w:pPr>
      <w:bookmarkStart w:id="51" w:name="_Toc364243225"/>
      <w:r w:rsidRPr="00720D9E">
        <w:rPr>
          <w:rStyle w:val="Heading6Char"/>
          <w:b/>
          <w:sz w:val="24"/>
        </w:rPr>
        <w:t xml:space="preserve">Table </w:t>
      </w:r>
      <w:r w:rsidR="00645452" w:rsidRPr="00720D9E">
        <w:rPr>
          <w:rStyle w:val="Heading6Char"/>
          <w:b/>
          <w:sz w:val="24"/>
        </w:rPr>
        <w:t>6</w:t>
      </w:r>
      <w:r w:rsidR="00C926F7" w:rsidRPr="00720D9E">
        <w:rPr>
          <w:rStyle w:val="Heading6Char"/>
          <w:b/>
          <w:sz w:val="24"/>
        </w:rPr>
        <w:t>.</w:t>
      </w:r>
      <w:r w:rsidRPr="00720D9E">
        <w:rPr>
          <w:rStyle w:val="Heading6Char"/>
          <w:b/>
          <w:sz w:val="24"/>
        </w:rPr>
        <w:t>1.</w:t>
      </w:r>
      <w:r w:rsidRPr="00720D9E">
        <w:t xml:space="preserve"> Active Underground Mine VAM </w:t>
      </w:r>
      <w:r w:rsidR="00DE42B3" w:rsidRPr="00720D9E">
        <w:t>Activity</w:t>
      </w:r>
      <w:r w:rsidRPr="00720D9E">
        <w:t xml:space="preserve"> Monitoring Parameters</w:t>
      </w:r>
      <w:r w:rsidR="0056242F" w:rsidRPr="00720D9E">
        <w:t xml:space="preserve"> – Quantification Methodology</w:t>
      </w:r>
      <w:bookmarkEnd w:id="51"/>
    </w:p>
    <w:tbl>
      <w:tblPr>
        <w:tblStyle w:val="TableGrid"/>
        <w:tblW w:w="0" w:type="auto"/>
        <w:tblLayout w:type="fixed"/>
        <w:tblLook w:val="04A0" w:firstRow="1" w:lastRow="0" w:firstColumn="1" w:lastColumn="0" w:noHBand="0" w:noVBand="1"/>
      </w:tblPr>
      <w:tblGrid>
        <w:gridCol w:w="606"/>
        <w:gridCol w:w="1444"/>
        <w:gridCol w:w="1815"/>
        <w:gridCol w:w="1017"/>
        <w:gridCol w:w="1526"/>
        <w:gridCol w:w="1710"/>
        <w:gridCol w:w="1458"/>
      </w:tblGrid>
      <w:tr w:rsidR="00AD5699" w:rsidRPr="00C9246C" w:rsidTr="00AD5699">
        <w:tc>
          <w:tcPr>
            <w:tcW w:w="606" w:type="dxa"/>
            <w:shd w:val="clear" w:color="auto" w:fill="D9D9D9" w:themeFill="background1" w:themeFillShade="D9"/>
          </w:tcPr>
          <w:p w:rsidR="00A00BA9" w:rsidRPr="00C9246C" w:rsidRDefault="00A00BA9" w:rsidP="00795CC1">
            <w:pPr>
              <w:pStyle w:val="NoSpacing"/>
              <w:jc w:val="center"/>
              <w:rPr>
                <w:rFonts w:ascii="Arial" w:hAnsi="Arial" w:cs="Arial"/>
                <w:b/>
                <w:sz w:val="20"/>
                <w:szCs w:val="20"/>
              </w:rPr>
            </w:pPr>
            <w:r w:rsidRPr="00C9246C">
              <w:rPr>
                <w:rFonts w:ascii="Arial" w:hAnsi="Arial" w:cs="Arial"/>
                <w:b/>
                <w:sz w:val="20"/>
                <w:szCs w:val="20"/>
              </w:rPr>
              <w:t>Eq. #</w:t>
            </w:r>
          </w:p>
        </w:tc>
        <w:tc>
          <w:tcPr>
            <w:tcW w:w="1444" w:type="dxa"/>
            <w:shd w:val="clear" w:color="auto" w:fill="D9D9D9" w:themeFill="background1" w:themeFillShade="D9"/>
          </w:tcPr>
          <w:p w:rsidR="00A00BA9" w:rsidRPr="00C9246C" w:rsidRDefault="00A00BA9" w:rsidP="00795CC1">
            <w:pPr>
              <w:pStyle w:val="NoSpacing"/>
              <w:jc w:val="center"/>
              <w:rPr>
                <w:rFonts w:ascii="Arial" w:hAnsi="Arial" w:cs="Arial"/>
                <w:b/>
                <w:sz w:val="20"/>
                <w:szCs w:val="20"/>
              </w:rPr>
            </w:pPr>
            <w:r w:rsidRPr="00C9246C">
              <w:rPr>
                <w:rFonts w:ascii="Arial" w:hAnsi="Arial" w:cs="Arial"/>
                <w:b/>
                <w:sz w:val="20"/>
                <w:szCs w:val="20"/>
              </w:rPr>
              <w:t>Parameter</w:t>
            </w:r>
          </w:p>
          <w:p w:rsidR="00A00BA9" w:rsidRPr="00C9246C" w:rsidRDefault="00A00BA9" w:rsidP="00795CC1">
            <w:pPr>
              <w:pStyle w:val="NoSpacing"/>
              <w:jc w:val="center"/>
              <w:rPr>
                <w:rFonts w:ascii="Arial" w:hAnsi="Arial" w:cs="Arial"/>
                <w:b/>
                <w:sz w:val="20"/>
                <w:szCs w:val="20"/>
              </w:rPr>
            </w:pPr>
          </w:p>
        </w:tc>
        <w:tc>
          <w:tcPr>
            <w:tcW w:w="1815" w:type="dxa"/>
            <w:shd w:val="clear" w:color="auto" w:fill="D9D9D9" w:themeFill="background1" w:themeFillShade="D9"/>
          </w:tcPr>
          <w:p w:rsidR="00A00BA9" w:rsidRPr="00C9246C" w:rsidRDefault="00A00BA9" w:rsidP="00795CC1">
            <w:pPr>
              <w:pStyle w:val="NoSpacing"/>
              <w:jc w:val="center"/>
              <w:rPr>
                <w:rFonts w:ascii="Arial" w:hAnsi="Arial" w:cs="Arial"/>
                <w:b/>
                <w:sz w:val="20"/>
                <w:szCs w:val="20"/>
              </w:rPr>
            </w:pPr>
            <w:r w:rsidRPr="00C9246C">
              <w:rPr>
                <w:rFonts w:ascii="Arial" w:hAnsi="Arial" w:cs="Arial"/>
                <w:b/>
                <w:sz w:val="20"/>
                <w:szCs w:val="20"/>
              </w:rPr>
              <w:t>Description</w:t>
            </w:r>
          </w:p>
        </w:tc>
        <w:tc>
          <w:tcPr>
            <w:tcW w:w="1017" w:type="dxa"/>
            <w:shd w:val="clear" w:color="auto" w:fill="D9D9D9" w:themeFill="background1" w:themeFillShade="D9"/>
          </w:tcPr>
          <w:p w:rsidR="00A00BA9" w:rsidRPr="00C9246C" w:rsidRDefault="00A00BA9" w:rsidP="00795CC1">
            <w:pPr>
              <w:pStyle w:val="NoSpacing"/>
              <w:jc w:val="center"/>
              <w:rPr>
                <w:rFonts w:ascii="Arial" w:hAnsi="Arial" w:cs="Arial"/>
                <w:b/>
                <w:sz w:val="20"/>
                <w:szCs w:val="20"/>
              </w:rPr>
            </w:pPr>
            <w:r w:rsidRPr="00C9246C">
              <w:rPr>
                <w:rFonts w:ascii="Arial" w:hAnsi="Arial" w:cs="Arial"/>
                <w:b/>
                <w:sz w:val="20"/>
                <w:szCs w:val="20"/>
              </w:rPr>
              <w:t>Data Unit</w:t>
            </w:r>
          </w:p>
        </w:tc>
        <w:tc>
          <w:tcPr>
            <w:tcW w:w="1526" w:type="dxa"/>
            <w:shd w:val="clear" w:color="auto" w:fill="D9D9D9" w:themeFill="background1" w:themeFillShade="D9"/>
          </w:tcPr>
          <w:p w:rsidR="00A00BA9" w:rsidRPr="00C9246C" w:rsidRDefault="00A00BA9" w:rsidP="00795CC1">
            <w:pPr>
              <w:pStyle w:val="NoSpacing"/>
              <w:jc w:val="center"/>
              <w:rPr>
                <w:rFonts w:ascii="Arial" w:hAnsi="Arial" w:cs="Arial"/>
                <w:b/>
                <w:sz w:val="20"/>
                <w:szCs w:val="20"/>
              </w:rPr>
            </w:pPr>
            <w:r w:rsidRPr="00C9246C">
              <w:rPr>
                <w:rFonts w:ascii="Arial" w:hAnsi="Arial" w:cs="Arial"/>
                <w:b/>
                <w:sz w:val="20"/>
                <w:szCs w:val="20"/>
              </w:rPr>
              <w:t>Measurement Frequency</w:t>
            </w:r>
          </w:p>
        </w:tc>
        <w:tc>
          <w:tcPr>
            <w:tcW w:w="1710" w:type="dxa"/>
            <w:shd w:val="clear" w:color="auto" w:fill="D9D9D9" w:themeFill="background1" w:themeFillShade="D9"/>
          </w:tcPr>
          <w:p w:rsidR="00A00BA9" w:rsidRPr="00C9246C" w:rsidRDefault="00A00BA9" w:rsidP="00795CC1">
            <w:pPr>
              <w:pStyle w:val="NoSpacing"/>
              <w:jc w:val="center"/>
              <w:rPr>
                <w:rFonts w:ascii="Arial" w:hAnsi="Arial" w:cs="Arial"/>
                <w:b/>
                <w:sz w:val="20"/>
                <w:szCs w:val="20"/>
              </w:rPr>
            </w:pPr>
            <w:r w:rsidRPr="00C9246C">
              <w:rPr>
                <w:rFonts w:ascii="Arial" w:hAnsi="Arial" w:cs="Arial"/>
                <w:b/>
                <w:sz w:val="20"/>
                <w:szCs w:val="20"/>
              </w:rPr>
              <w:t>Calculated (c), Measured (m), Operating Records (o)</w:t>
            </w:r>
          </w:p>
        </w:tc>
        <w:tc>
          <w:tcPr>
            <w:tcW w:w="1458" w:type="dxa"/>
            <w:shd w:val="clear" w:color="auto" w:fill="D9D9D9" w:themeFill="background1" w:themeFillShade="D9"/>
          </w:tcPr>
          <w:p w:rsidR="00A00BA9" w:rsidRPr="00C9246C" w:rsidRDefault="00A00BA9" w:rsidP="00795CC1">
            <w:pPr>
              <w:pStyle w:val="NoSpacing"/>
              <w:jc w:val="center"/>
              <w:rPr>
                <w:rFonts w:ascii="Arial" w:hAnsi="Arial" w:cs="Arial"/>
                <w:b/>
                <w:sz w:val="20"/>
                <w:szCs w:val="20"/>
              </w:rPr>
            </w:pPr>
            <w:r w:rsidRPr="00C9246C">
              <w:rPr>
                <w:rFonts w:ascii="Arial" w:hAnsi="Arial" w:cs="Arial"/>
                <w:b/>
                <w:sz w:val="20"/>
                <w:szCs w:val="20"/>
              </w:rPr>
              <w:t>Comment</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5.3 5.4</w:t>
            </w:r>
          </w:p>
          <w:p w:rsidR="00A00BA9" w:rsidRPr="00C9246C" w:rsidRDefault="00A00BA9" w:rsidP="00795CC1">
            <w:pPr>
              <w:pStyle w:val="NoSpacing"/>
              <w:rPr>
                <w:rFonts w:ascii="Arial" w:hAnsi="Arial" w:cs="Arial"/>
                <w:sz w:val="20"/>
                <w:szCs w:val="20"/>
              </w:rPr>
            </w:pPr>
          </w:p>
        </w:tc>
        <w:tc>
          <w:tcPr>
            <w:tcW w:w="1444" w:type="dxa"/>
          </w:tcPr>
          <w:p w:rsidR="00A00BA9" w:rsidRPr="00C9246C" w:rsidRDefault="00A00BA9" w:rsidP="00795CC1">
            <w:pPr>
              <w:pStyle w:val="NoSpacing"/>
              <w:rPr>
                <w:rFonts w:ascii="Arial" w:hAnsi="Arial" w:cs="Arial"/>
                <w:sz w:val="20"/>
                <w:szCs w:val="20"/>
                <w:vertAlign w:val="subscript"/>
              </w:rPr>
            </w:pPr>
            <w:r w:rsidRPr="00C9246C">
              <w:rPr>
                <w:rFonts w:ascii="Arial" w:hAnsi="Arial" w:cs="Arial"/>
                <w:sz w:val="20"/>
                <w:szCs w:val="20"/>
              </w:rPr>
              <w:t>VAM</w:t>
            </w:r>
            <w:r w:rsidRPr="00C9246C">
              <w:rPr>
                <w:rFonts w:ascii="Arial" w:hAnsi="Arial" w:cs="Arial"/>
                <w:sz w:val="20"/>
                <w:szCs w:val="20"/>
                <w:vertAlign w:val="subscript"/>
              </w:rPr>
              <w:t>B,i</w:t>
            </w:r>
          </w:p>
          <w:p w:rsidR="00A00BA9" w:rsidRPr="00C9246C" w:rsidRDefault="00A00BA9" w:rsidP="00795CC1">
            <w:pPr>
              <w:pStyle w:val="NoSpacing"/>
              <w:rPr>
                <w:rFonts w:ascii="Arial" w:hAnsi="Arial" w:cs="Arial"/>
                <w:sz w:val="20"/>
                <w:szCs w:val="20"/>
              </w:rPr>
            </w:pP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Volume of VAM that would have been sent to a non-qualifying device for destruction through use i during the reporting period in the baseline scenario</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scf</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Estimated at offset project commencement; calculated annually if non-qualifying device continues to operate after project start</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 m</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The greater of the two values calculated per section 5.1.1(d)</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 xml:space="preserve">5.3 </w:t>
            </w:r>
          </w:p>
          <w:p w:rsidR="00A00BA9" w:rsidRPr="00C9246C" w:rsidRDefault="00A00BA9" w:rsidP="00795CC1">
            <w:pPr>
              <w:pStyle w:val="NoSpacing"/>
              <w:rPr>
                <w:rFonts w:ascii="Arial" w:hAnsi="Arial" w:cs="Arial"/>
                <w:sz w:val="20"/>
                <w:szCs w:val="20"/>
              </w:rPr>
            </w:pPr>
            <w:r w:rsidRPr="00C9246C">
              <w:rPr>
                <w:rFonts w:ascii="Arial" w:hAnsi="Arial" w:cs="Arial"/>
                <w:sz w:val="20"/>
                <w:szCs w:val="20"/>
              </w:rPr>
              <w:t>5.4</w:t>
            </w:r>
          </w:p>
          <w:p w:rsidR="00A00BA9" w:rsidRPr="00C9246C" w:rsidRDefault="00A00BA9" w:rsidP="00795CC1">
            <w:pPr>
              <w:pStyle w:val="NoSpacing"/>
              <w:rPr>
                <w:rFonts w:ascii="Arial" w:hAnsi="Arial" w:cs="Arial"/>
                <w:sz w:val="20"/>
                <w:szCs w:val="20"/>
              </w:rPr>
            </w:pPr>
            <w:r w:rsidRPr="00C9246C">
              <w:rPr>
                <w:rFonts w:ascii="Arial" w:hAnsi="Arial" w:cs="Arial"/>
                <w:sz w:val="20"/>
                <w:szCs w:val="20"/>
              </w:rPr>
              <w:t>5.8</w:t>
            </w:r>
          </w:p>
        </w:tc>
        <w:tc>
          <w:tcPr>
            <w:tcW w:w="1444" w:type="dxa"/>
          </w:tcPr>
          <w:p w:rsidR="00A00BA9" w:rsidRPr="00C9246C" w:rsidRDefault="00A00BA9" w:rsidP="00795CC1">
            <w:pPr>
              <w:pStyle w:val="NoSpacing"/>
              <w:rPr>
                <w:rFonts w:ascii="Arial" w:hAnsi="Arial" w:cs="Arial"/>
                <w:sz w:val="20"/>
                <w:szCs w:val="20"/>
                <w:vertAlign w:val="subscript"/>
                <w:lang w:val="en-GB"/>
              </w:rPr>
            </w:pPr>
            <w:r w:rsidRPr="00C9246C">
              <w:rPr>
                <w:rFonts w:ascii="Arial" w:hAnsi="Arial" w:cs="Arial"/>
                <w:sz w:val="20"/>
                <w:szCs w:val="20"/>
                <w:lang w:val="en-GB"/>
              </w:rPr>
              <w:t>C</w:t>
            </w:r>
            <w:r w:rsidRPr="00C9246C">
              <w:rPr>
                <w:rFonts w:ascii="Arial" w:hAnsi="Arial" w:cs="Arial"/>
                <w:sz w:val="20"/>
                <w:szCs w:val="20"/>
                <w:vertAlign w:val="subscript"/>
                <w:lang w:val="en-GB"/>
              </w:rPr>
              <w:t>CH4</w:t>
            </w:r>
          </w:p>
          <w:p w:rsidR="00A00BA9" w:rsidRPr="00C9246C" w:rsidRDefault="00A00BA9" w:rsidP="00795CC1">
            <w:pPr>
              <w:pStyle w:val="NoSpacing"/>
              <w:rPr>
                <w:rFonts w:ascii="Arial" w:hAnsi="Arial" w:cs="Arial"/>
                <w:sz w:val="20"/>
                <w:szCs w:val="20"/>
              </w:rPr>
            </w:pP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lang w:val="en-GB"/>
              </w:rPr>
              <w:t xml:space="preserve">Measured methane concentration of captured </w:t>
            </w:r>
            <w:r w:rsidRPr="00C9246C">
              <w:rPr>
                <w:rFonts w:ascii="Arial" w:hAnsi="Arial" w:cs="Arial"/>
                <w:sz w:val="20"/>
                <w:szCs w:val="20"/>
                <w:lang w:val="en-GB"/>
              </w:rPr>
              <w:lastRenderedPageBreak/>
              <w:t>ventilation air</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lang w:val="en-GB"/>
              </w:rPr>
              <w:lastRenderedPageBreak/>
              <w:t>scf CH</w:t>
            </w:r>
            <w:r w:rsidRPr="00C9246C">
              <w:rPr>
                <w:rFonts w:ascii="Arial" w:hAnsi="Arial" w:cs="Arial"/>
                <w:sz w:val="20"/>
                <w:szCs w:val="20"/>
                <w:vertAlign w:val="subscript"/>
                <w:lang w:val="en-GB"/>
              </w:rPr>
              <w:t xml:space="preserve">4 </w:t>
            </w:r>
            <w:r w:rsidRPr="00C9246C">
              <w:rPr>
                <w:rFonts w:ascii="Arial" w:hAnsi="Arial" w:cs="Arial"/>
                <w:sz w:val="20"/>
                <w:szCs w:val="20"/>
                <w:lang w:val="en-GB"/>
              </w:rPr>
              <w:t>/ scf</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Continuously</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 xml:space="preserve">Readings taken every two minutes to calculate </w:t>
            </w:r>
            <w:r w:rsidRPr="00C9246C">
              <w:rPr>
                <w:rFonts w:ascii="Arial" w:hAnsi="Arial" w:cs="Arial"/>
                <w:sz w:val="20"/>
                <w:szCs w:val="20"/>
              </w:rPr>
              <w:lastRenderedPageBreak/>
              <w:t>average methane concentration per hour</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lastRenderedPageBreak/>
              <w:t>5.4</w:t>
            </w:r>
          </w:p>
        </w:tc>
        <w:tc>
          <w:tcPr>
            <w:tcW w:w="1444" w:type="dxa"/>
          </w:tcPr>
          <w:p w:rsidR="00A00BA9" w:rsidRPr="00C9246C" w:rsidRDefault="00A00BA9" w:rsidP="00795CC1">
            <w:pPr>
              <w:pStyle w:val="NoSpacing"/>
              <w:rPr>
                <w:rFonts w:ascii="Arial" w:hAnsi="Arial" w:cs="Arial"/>
                <w:sz w:val="20"/>
                <w:szCs w:val="20"/>
                <w:vertAlign w:val="subscript"/>
              </w:rPr>
            </w:pPr>
            <w:r w:rsidRPr="00C9246C">
              <w:rPr>
                <w:rFonts w:ascii="Arial" w:hAnsi="Arial" w:cs="Arial"/>
                <w:sz w:val="20"/>
                <w:szCs w:val="20"/>
              </w:rPr>
              <w:t>VAM</w:t>
            </w:r>
            <w:r w:rsidRPr="00C9246C">
              <w:rPr>
                <w:rFonts w:ascii="Arial" w:hAnsi="Arial" w:cs="Arial"/>
                <w:sz w:val="20"/>
                <w:szCs w:val="20"/>
                <w:vertAlign w:val="subscript"/>
              </w:rPr>
              <w:t>P,i</w:t>
            </w:r>
          </w:p>
          <w:p w:rsidR="00A00BA9" w:rsidRPr="00C9246C" w:rsidRDefault="00A00BA9" w:rsidP="00795CC1">
            <w:pPr>
              <w:pStyle w:val="NoSpacing"/>
              <w:rPr>
                <w:rFonts w:ascii="Arial" w:hAnsi="Arial" w:cs="Arial"/>
                <w:sz w:val="20"/>
                <w:szCs w:val="20"/>
              </w:rPr>
            </w:pP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Volume of ventilation air sent to  qualifying and non-qualifying devices for destruction through use i during the project during the reporting period</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scf</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Continuously</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Adjusted if applicable using Equation 5.10</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5.4</w:t>
            </w:r>
          </w:p>
          <w:p w:rsidR="00A00BA9" w:rsidRPr="00C9246C" w:rsidRDefault="00A00BA9" w:rsidP="00795CC1">
            <w:pPr>
              <w:pStyle w:val="NoSpacing"/>
              <w:rPr>
                <w:rFonts w:ascii="Arial" w:hAnsi="Arial" w:cs="Arial"/>
                <w:sz w:val="20"/>
                <w:szCs w:val="20"/>
              </w:rPr>
            </w:pPr>
            <w:r w:rsidRPr="00C9246C">
              <w:rPr>
                <w:rFonts w:ascii="Arial" w:hAnsi="Arial" w:cs="Arial"/>
                <w:sz w:val="20"/>
                <w:szCs w:val="20"/>
              </w:rPr>
              <w:t>5.8</w:t>
            </w:r>
          </w:p>
        </w:tc>
        <w:tc>
          <w:tcPr>
            <w:tcW w:w="1444" w:type="dxa"/>
          </w:tcPr>
          <w:p w:rsidR="00A00BA9" w:rsidRPr="00C9246C" w:rsidRDefault="00A00BA9" w:rsidP="00795CC1">
            <w:pPr>
              <w:pStyle w:val="NoSpacing"/>
              <w:rPr>
                <w:rFonts w:ascii="Arial" w:hAnsi="Arial" w:cs="Arial"/>
                <w:sz w:val="20"/>
                <w:szCs w:val="20"/>
                <w:vertAlign w:val="subscript"/>
              </w:rPr>
            </w:pPr>
            <w:r w:rsidRPr="00C9246C">
              <w:rPr>
                <w:rFonts w:ascii="Arial" w:hAnsi="Arial" w:cs="Arial"/>
                <w:sz w:val="20"/>
                <w:szCs w:val="20"/>
              </w:rPr>
              <w:t>MG</w:t>
            </w:r>
            <w:r w:rsidRPr="00C9246C">
              <w:rPr>
                <w:rFonts w:ascii="Arial" w:hAnsi="Arial" w:cs="Arial"/>
                <w:sz w:val="20"/>
                <w:szCs w:val="20"/>
                <w:vertAlign w:val="subscript"/>
              </w:rPr>
              <w:t>SUPP,i</w:t>
            </w:r>
          </w:p>
          <w:p w:rsidR="00A00BA9" w:rsidRPr="00C9246C" w:rsidRDefault="00A00BA9" w:rsidP="00795CC1">
            <w:pPr>
              <w:pStyle w:val="NoSpacing"/>
              <w:rPr>
                <w:rFonts w:ascii="Arial" w:hAnsi="Arial" w:cs="Arial"/>
                <w:sz w:val="20"/>
                <w:szCs w:val="20"/>
              </w:rPr>
            </w:pP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Volume of mine methane extracted from a methane drainage system and sent to destruction device with</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scf</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Every reporting period</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Adjusted if applicable using Equation 5.10</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5.6</w:t>
            </w:r>
          </w:p>
          <w:p w:rsidR="00A00BA9" w:rsidRPr="00C9246C" w:rsidRDefault="00A00BA9" w:rsidP="00795CC1">
            <w:pPr>
              <w:pStyle w:val="NoSpacing"/>
              <w:rPr>
                <w:rFonts w:ascii="Arial" w:hAnsi="Arial" w:cs="Arial"/>
                <w:sz w:val="20"/>
                <w:szCs w:val="20"/>
              </w:rPr>
            </w:pPr>
          </w:p>
        </w:tc>
        <w:tc>
          <w:tcPr>
            <w:tcW w:w="1444" w:type="dxa"/>
          </w:tcPr>
          <w:p w:rsidR="00A00BA9" w:rsidRPr="00C9246C" w:rsidRDefault="00A00BA9" w:rsidP="00795CC1">
            <w:pPr>
              <w:pStyle w:val="NoSpacing"/>
              <w:rPr>
                <w:rFonts w:ascii="Arial" w:hAnsi="Arial" w:cs="Arial"/>
                <w:sz w:val="20"/>
                <w:szCs w:val="20"/>
                <w:vertAlign w:val="subscript"/>
              </w:rPr>
            </w:pPr>
            <w:r w:rsidRPr="00C9246C">
              <w:rPr>
                <w:rFonts w:ascii="Arial" w:hAnsi="Arial" w:cs="Arial"/>
                <w:sz w:val="20"/>
                <w:szCs w:val="20"/>
              </w:rPr>
              <w:t>CONS</w:t>
            </w:r>
            <w:r w:rsidRPr="00C9246C">
              <w:rPr>
                <w:rFonts w:ascii="Arial" w:hAnsi="Arial" w:cs="Arial"/>
                <w:sz w:val="20"/>
                <w:szCs w:val="20"/>
                <w:vertAlign w:val="subscript"/>
              </w:rPr>
              <w:t>ELEC</w:t>
            </w:r>
          </w:p>
          <w:p w:rsidR="00A00BA9" w:rsidRPr="00C9246C" w:rsidRDefault="00A00BA9" w:rsidP="00795CC1">
            <w:pPr>
              <w:pStyle w:val="NoSpacing"/>
              <w:rPr>
                <w:rFonts w:ascii="Arial" w:hAnsi="Arial" w:cs="Arial"/>
                <w:sz w:val="20"/>
                <w:szCs w:val="20"/>
              </w:rPr>
            </w:pP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 xml:space="preserve">Additional electricity consumption for the capture and destruction of methane during the reporting period </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MWh</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Every reporting period</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o</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From electricity use records</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5.6</w:t>
            </w:r>
          </w:p>
          <w:p w:rsidR="00A00BA9" w:rsidRPr="00C9246C" w:rsidRDefault="00A00BA9" w:rsidP="00795CC1">
            <w:pPr>
              <w:pStyle w:val="NoSpacing"/>
              <w:rPr>
                <w:rFonts w:ascii="Arial" w:hAnsi="Arial" w:cs="Arial"/>
                <w:sz w:val="20"/>
                <w:szCs w:val="20"/>
              </w:rPr>
            </w:pPr>
          </w:p>
        </w:tc>
        <w:tc>
          <w:tcPr>
            <w:tcW w:w="1444" w:type="dxa"/>
          </w:tcPr>
          <w:p w:rsidR="00A00BA9" w:rsidRPr="00C9246C" w:rsidRDefault="00A00BA9" w:rsidP="00795CC1">
            <w:pPr>
              <w:pStyle w:val="NoSpacing"/>
              <w:rPr>
                <w:rFonts w:ascii="Arial" w:hAnsi="Arial" w:cs="Arial"/>
                <w:sz w:val="20"/>
                <w:szCs w:val="20"/>
                <w:vertAlign w:val="subscript"/>
              </w:rPr>
            </w:pPr>
            <w:r w:rsidRPr="00C9246C">
              <w:rPr>
                <w:rFonts w:ascii="Arial" w:hAnsi="Arial" w:cs="Arial"/>
                <w:sz w:val="20"/>
                <w:szCs w:val="20"/>
              </w:rPr>
              <w:t>CONS</w:t>
            </w:r>
            <w:r w:rsidRPr="00C9246C">
              <w:rPr>
                <w:rFonts w:ascii="Arial" w:hAnsi="Arial" w:cs="Arial"/>
                <w:sz w:val="20"/>
                <w:szCs w:val="20"/>
                <w:vertAlign w:val="subscript"/>
              </w:rPr>
              <w:t>HEAT</w:t>
            </w:r>
          </w:p>
          <w:p w:rsidR="00A00BA9" w:rsidRPr="00C9246C" w:rsidRDefault="00A00BA9" w:rsidP="00795CC1">
            <w:pPr>
              <w:pStyle w:val="NoSpacing"/>
              <w:rPr>
                <w:rFonts w:ascii="Arial" w:hAnsi="Arial" w:cs="Arial"/>
                <w:sz w:val="20"/>
                <w:szCs w:val="20"/>
              </w:rPr>
            </w:pP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 xml:space="preserve">Additional heat consumption for the capture and destruction of methane during the reporting period </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Volume</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Every reporting period</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o</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From purchased heat records</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5.6</w:t>
            </w:r>
          </w:p>
          <w:p w:rsidR="00A00BA9" w:rsidRPr="00C9246C" w:rsidRDefault="00A00BA9" w:rsidP="00795CC1">
            <w:pPr>
              <w:pStyle w:val="NoSpacing"/>
              <w:rPr>
                <w:rFonts w:ascii="Arial" w:hAnsi="Arial" w:cs="Arial"/>
                <w:sz w:val="20"/>
                <w:szCs w:val="20"/>
              </w:rPr>
            </w:pPr>
          </w:p>
        </w:tc>
        <w:tc>
          <w:tcPr>
            <w:tcW w:w="1444" w:type="dxa"/>
          </w:tcPr>
          <w:p w:rsidR="00A00BA9" w:rsidRPr="00C9246C" w:rsidRDefault="00A00BA9" w:rsidP="00795CC1">
            <w:pPr>
              <w:pStyle w:val="NoSpacing"/>
              <w:rPr>
                <w:rFonts w:ascii="Arial" w:hAnsi="Arial" w:cs="Arial"/>
                <w:sz w:val="20"/>
                <w:szCs w:val="20"/>
                <w:vertAlign w:val="subscript"/>
              </w:rPr>
            </w:pPr>
            <w:r w:rsidRPr="00C9246C">
              <w:rPr>
                <w:rFonts w:ascii="Arial" w:hAnsi="Arial" w:cs="Arial"/>
                <w:sz w:val="20"/>
                <w:szCs w:val="20"/>
              </w:rPr>
              <w:t>CONS</w:t>
            </w:r>
            <w:r w:rsidRPr="00C9246C">
              <w:rPr>
                <w:rFonts w:ascii="Arial" w:hAnsi="Arial" w:cs="Arial"/>
                <w:sz w:val="20"/>
                <w:szCs w:val="20"/>
                <w:vertAlign w:val="subscript"/>
              </w:rPr>
              <w:t>FF</w:t>
            </w: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Additional fossil fuel consumption for the capture and destruction of methane during the reporting period</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Volume</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Every reporting period</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o</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From fuel use records</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5.8</w:t>
            </w:r>
          </w:p>
          <w:p w:rsidR="00A00BA9" w:rsidRPr="00C9246C" w:rsidRDefault="00A00BA9" w:rsidP="00795CC1">
            <w:pPr>
              <w:pStyle w:val="NoSpacing"/>
              <w:rPr>
                <w:rFonts w:ascii="Arial" w:hAnsi="Arial" w:cs="Arial"/>
                <w:sz w:val="20"/>
                <w:szCs w:val="20"/>
              </w:rPr>
            </w:pPr>
          </w:p>
        </w:tc>
        <w:tc>
          <w:tcPr>
            <w:tcW w:w="1444"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lang w:val="en-GB"/>
              </w:rPr>
              <w:t>C</w:t>
            </w:r>
            <w:r w:rsidRPr="00C9246C">
              <w:rPr>
                <w:rFonts w:ascii="Arial" w:hAnsi="Arial" w:cs="Arial"/>
                <w:sz w:val="20"/>
                <w:szCs w:val="20"/>
                <w:vertAlign w:val="subscript"/>
                <w:lang w:val="en-GB"/>
              </w:rPr>
              <w:t>CH4MG</w:t>
            </w: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lang w:val="en-GB"/>
              </w:rPr>
              <w:t>Measured methane concentration of captured mine gas</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lang w:val="en-GB"/>
              </w:rPr>
              <w:t>scf CH</w:t>
            </w:r>
            <w:r w:rsidRPr="00C9246C">
              <w:rPr>
                <w:rFonts w:ascii="Arial" w:hAnsi="Arial" w:cs="Arial"/>
                <w:sz w:val="20"/>
                <w:szCs w:val="20"/>
                <w:vertAlign w:val="subscript"/>
                <w:lang w:val="en-GB"/>
              </w:rPr>
              <w:t>4</w:t>
            </w:r>
            <w:r>
              <w:rPr>
                <w:rFonts w:ascii="Arial" w:hAnsi="Arial" w:cs="Arial"/>
                <w:sz w:val="20"/>
                <w:szCs w:val="20"/>
                <w:vertAlign w:val="subscript"/>
                <w:lang w:val="en-GB"/>
              </w:rPr>
              <w:t xml:space="preserve"> </w:t>
            </w:r>
            <w:r w:rsidRPr="00C9246C">
              <w:rPr>
                <w:rFonts w:ascii="Arial" w:hAnsi="Arial" w:cs="Arial"/>
                <w:sz w:val="20"/>
                <w:szCs w:val="20"/>
                <w:lang w:val="en-GB"/>
              </w:rPr>
              <w:t>/</w:t>
            </w:r>
            <w:r>
              <w:rPr>
                <w:rFonts w:ascii="Arial" w:hAnsi="Arial" w:cs="Arial"/>
                <w:sz w:val="20"/>
                <w:szCs w:val="20"/>
                <w:lang w:val="en-GB"/>
              </w:rPr>
              <w:t xml:space="preserve"> </w:t>
            </w:r>
            <w:r w:rsidRPr="00C9246C">
              <w:rPr>
                <w:rFonts w:ascii="Arial" w:hAnsi="Arial" w:cs="Arial"/>
                <w:sz w:val="20"/>
                <w:szCs w:val="20"/>
                <w:lang w:val="en-GB"/>
              </w:rPr>
              <w:t>scf</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Continuously</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 c</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Readings taken every two minutes to calculate average methane concentration per hour</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5.8 5.9</w:t>
            </w:r>
          </w:p>
          <w:p w:rsidR="00A00BA9" w:rsidRPr="00C9246C" w:rsidRDefault="00A00BA9" w:rsidP="00795CC1">
            <w:pPr>
              <w:pStyle w:val="NoSpacing"/>
              <w:rPr>
                <w:rFonts w:ascii="Arial" w:hAnsi="Arial" w:cs="Arial"/>
                <w:sz w:val="20"/>
                <w:szCs w:val="20"/>
              </w:rPr>
            </w:pPr>
          </w:p>
        </w:tc>
        <w:tc>
          <w:tcPr>
            <w:tcW w:w="1444" w:type="dxa"/>
          </w:tcPr>
          <w:p w:rsidR="00A00BA9" w:rsidRPr="00C9246C" w:rsidRDefault="00A00BA9" w:rsidP="00795CC1">
            <w:pPr>
              <w:pStyle w:val="NoSpacing"/>
              <w:rPr>
                <w:rFonts w:ascii="Arial" w:hAnsi="Arial" w:cs="Arial"/>
                <w:sz w:val="20"/>
                <w:szCs w:val="20"/>
                <w:vertAlign w:val="subscript"/>
              </w:rPr>
            </w:pPr>
            <w:r w:rsidRPr="00C9246C">
              <w:rPr>
                <w:rFonts w:ascii="Arial" w:hAnsi="Arial" w:cs="Arial"/>
                <w:sz w:val="20"/>
                <w:szCs w:val="20"/>
              </w:rPr>
              <w:t>VAM</w:t>
            </w:r>
            <w:r w:rsidRPr="00C9246C">
              <w:rPr>
                <w:rFonts w:ascii="Arial" w:hAnsi="Arial" w:cs="Arial"/>
                <w:sz w:val="20"/>
                <w:szCs w:val="20"/>
                <w:vertAlign w:val="subscript"/>
              </w:rPr>
              <w:t>FLOW,y</w:t>
            </w:r>
          </w:p>
          <w:p w:rsidR="00A00BA9" w:rsidRPr="00C9246C" w:rsidRDefault="00A00BA9" w:rsidP="00795CC1">
            <w:pPr>
              <w:pStyle w:val="NoSpacing"/>
              <w:rPr>
                <w:rFonts w:ascii="Arial" w:hAnsi="Arial" w:cs="Arial"/>
                <w:sz w:val="20"/>
                <w:szCs w:val="20"/>
              </w:rPr>
            </w:pP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 xml:space="preserve">Average flow rate of ventilation air entering the </w:t>
            </w:r>
            <w:r w:rsidRPr="00C9246C">
              <w:rPr>
                <w:rFonts w:ascii="Arial" w:hAnsi="Arial" w:cs="Arial"/>
                <w:sz w:val="20"/>
                <w:szCs w:val="20"/>
              </w:rPr>
              <w:lastRenderedPageBreak/>
              <w:t>destruction device during period y corrected to standard conditions, if applicable, for inlet flow gas pressure and temperature</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lastRenderedPageBreak/>
              <w:t>scfm</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Continuously</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 c</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 xml:space="preserve">Readings taken every two minutes </w:t>
            </w:r>
            <w:r w:rsidRPr="00C9246C">
              <w:rPr>
                <w:rFonts w:ascii="Arial" w:hAnsi="Arial" w:cs="Arial"/>
                <w:sz w:val="20"/>
                <w:szCs w:val="20"/>
              </w:rPr>
              <w:lastRenderedPageBreak/>
              <w:t>to calculate average hourly flow; adjusted if applicable using Equation 5.10</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lastRenderedPageBreak/>
              <w:t>5.8</w:t>
            </w:r>
          </w:p>
          <w:p w:rsidR="00A00BA9" w:rsidRPr="00C9246C" w:rsidRDefault="00A00BA9" w:rsidP="00795CC1">
            <w:pPr>
              <w:pStyle w:val="NoSpacing"/>
              <w:rPr>
                <w:rFonts w:ascii="Arial" w:hAnsi="Arial" w:cs="Arial"/>
                <w:sz w:val="20"/>
                <w:szCs w:val="20"/>
              </w:rPr>
            </w:pPr>
            <w:r>
              <w:rPr>
                <w:rFonts w:ascii="Arial" w:hAnsi="Arial" w:cs="Arial"/>
                <w:sz w:val="20"/>
                <w:szCs w:val="20"/>
              </w:rPr>
              <w:t>5.9</w:t>
            </w:r>
          </w:p>
        </w:tc>
        <w:tc>
          <w:tcPr>
            <w:tcW w:w="1444"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TIME</w:t>
            </w:r>
            <w:r w:rsidRPr="00C9246C">
              <w:rPr>
                <w:rFonts w:ascii="Arial" w:hAnsi="Arial" w:cs="Arial"/>
                <w:sz w:val="20"/>
                <w:szCs w:val="20"/>
                <w:vertAlign w:val="subscript"/>
              </w:rPr>
              <w:t>y</w:t>
            </w: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Time during which the destruction device is operational during period y</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Continuously</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w:t>
            </w:r>
          </w:p>
        </w:tc>
        <w:tc>
          <w:tcPr>
            <w:tcW w:w="1458" w:type="dxa"/>
          </w:tcPr>
          <w:p w:rsidR="00A00BA9" w:rsidRPr="00C9246C" w:rsidRDefault="00A00BA9" w:rsidP="00795CC1">
            <w:pPr>
              <w:pStyle w:val="NoSpacing"/>
              <w:rPr>
                <w:rFonts w:ascii="Arial" w:hAnsi="Arial" w:cs="Arial"/>
                <w:sz w:val="20"/>
                <w:szCs w:val="20"/>
              </w:rPr>
            </w:pP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5.8</w:t>
            </w:r>
          </w:p>
          <w:p w:rsidR="00A00BA9" w:rsidRPr="00C9246C" w:rsidRDefault="00A00BA9" w:rsidP="00795CC1">
            <w:pPr>
              <w:pStyle w:val="NoSpacing"/>
              <w:rPr>
                <w:rFonts w:ascii="Arial" w:hAnsi="Arial" w:cs="Arial"/>
                <w:sz w:val="20"/>
                <w:szCs w:val="20"/>
              </w:rPr>
            </w:pPr>
            <w:r>
              <w:rPr>
                <w:rFonts w:ascii="Arial" w:hAnsi="Arial" w:cs="Arial"/>
                <w:sz w:val="20"/>
                <w:szCs w:val="20"/>
              </w:rPr>
              <w:t>5.9</w:t>
            </w:r>
          </w:p>
        </w:tc>
        <w:tc>
          <w:tcPr>
            <w:tcW w:w="1444"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w:t>
            </w:r>
            <w:r w:rsidRPr="00C9246C">
              <w:rPr>
                <w:rFonts w:ascii="Arial" w:hAnsi="Arial" w:cs="Arial"/>
                <w:sz w:val="20"/>
                <w:szCs w:val="20"/>
                <w:vertAlign w:val="subscript"/>
              </w:rPr>
              <w:t>CH4,exhaust</w:t>
            </w: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Measured methane concentration in the ventilation air exhaust</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lang w:val="en-GB"/>
              </w:rPr>
              <w:t>scf CH</w:t>
            </w:r>
            <w:r w:rsidRPr="00C9246C">
              <w:rPr>
                <w:rFonts w:ascii="Arial" w:hAnsi="Arial" w:cs="Arial"/>
                <w:sz w:val="20"/>
                <w:szCs w:val="20"/>
                <w:vertAlign w:val="subscript"/>
                <w:lang w:val="en-GB"/>
              </w:rPr>
              <w:t>4</w:t>
            </w:r>
            <w:r>
              <w:rPr>
                <w:rFonts w:ascii="Arial" w:hAnsi="Arial" w:cs="Arial"/>
                <w:sz w:val="20"/>
                <w:szCs w:val="20"/>
                <w:vertAlign w:val="subscript"/>
                <w:lang w:val="en-GB"/>
              </w:rPr>
              <w:t xml:space="preserve"> </w:t>
            </w:r>
            <w:r w:rsidRPr="00C9246C">
              <w:rPr>
                <w:rFonts w:ascii="Arial" w:hAnsi="Arial" w:cs="Arial"/>
                <w:sz w:val="20"/>
                <w:szCs w:val="20"/>
                <w:lang w:val="en-GB"/>
              </w:rPr>
              <w:t>/</w:t>
            </w:r>
            <w:r>
              <w:rPr>
                <w:rFonts w:ascii="Arial" w:hAnsi="Arial" w:cs="Arial"/>
                <w:sz w:val="20"/>
                <w:szCs w:val="20"/>
                <w:lang w:val="en-GB"/>
              </w:rPr>
              <w:t xml:space="preserve"> </w:t>
            </w:r>
            <w:r w:rsidRPr="00C9246C">
              <w:rPr>
                <w:rFonts w:ascii="Arial" w:hAnsi="Arial" w:cs="Arial"/>
                <w:sz w:val="20"/>
                <w:szCs w:val="20"/>
                <w:lang w:val="en-GB"/>
              </w:rPr>
              <w:t>scf</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Continuously</w:t>
            </w:r>
          </w:p>
        </w:tc>
        <w:tc>
          <w:tcPr>
            <w:tcW w:w="1710" w:type="dxa"/>
          </w:tcPr>
          <w:p w:rsidR="00A00BA9" w:rsidRPr="00C9246C" w:rsidRDefault="00A00BA9" w:rsidP="00795CC1">
            <w:pPr>
              <w:pStyle w:val="NoSpacing"/>
              <w:rPr>
                <w:rFonts w:ascii="Arial" w:hAnsi="Arial" w:cs="Arial"/>
                <w:sz w:val="20"/>
                <w:szCs w:val="20"/>
              </w:rPr>
            </w:pPr>
            <w:r>
              <w:rPr>
                <w:rFonts w:ascii="Arial" w:hAnsi="Arial" w:cs="Arial"/>
                <w:sz w:val="20"/>
                <w:szCs w:val="20"/>
              </w:rPr>
              <w:t>m,</w:t>
            </w:r>
            <w:r w:rsidRPr="00C9246C">
              <w:rPr>
                <w:rFonts w:ascii="Arial" w:hAnsi="Arial" w:cs="Arial"/>
                <w:sz w:val="20"/>
                <w:szCs w:val="20"/>
              </w:rPr>
              <w:t xml:space="preserve"> c</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Readings taken every two minutes (either average over two minutes or instantaneous) to calculate average methane concentration per hour</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w:t>
            </w:r>
            <w:r>
              <w:rPr>
                <w:rFonts w:ascii="Arial" w:hAnsi="Arial" w:cs="Arial"/>
                <w:sz w:val="20"/>
                <w:szCs w:val="20"/>
              </w:rPr>
              <w:t>.10</w:t>
            </w:r>
          </w:p>
          <w:p w:rsidR="00A00BA9" w:rsidRPr="00C9246C" w:rsidRDefault="00A00BA9" w:rsidP="00795CC1">
            <w:pPr>
              <w:pStyle w:val="NoSpacing"/>
              <w:rPr>
                <w:rFonts w:ascii="Arial" w:hAnsi="Arial" w:cs="Arial"/>
                <w:sz w:val="20"/>
                <w:szCs w:val="20"/>
              </w:rPr>
            </w:pPr>
          </w:p>
          <w:p w:rsidR="00A00BA9" w:rsidRPr="00C9246C" w:rsidRDefault="00A00BA9" w:rsidP="00795CC1">
            <w:pPr>
              <w:pStyle w:val="NoSpacing"/>
              <w:rPr>
                <w:rFonts w:ascii="Arial" w:hAnsi="Arial" w:cs="Arial"/>
                <w:sz w:val="20"/>
                <w:szCs w:val="20"/>
              </w:rPr>
            </w:pPr>
          </w:p>
        </w:tc>
        <w:tc>
          <w:tcPr>
            <w:tcW w:w="1444" w:type="dxa"/>
          </w:tcPr>
          <w:p w:rsidR="00A00BA9" w:rsidRPr="00C9246C" w:rsidRDefault="00A00BA9" w:rsidP="00795CC1">
            <w:pPr>
              <w:pStyle w:val="NoSpacing"/>
              <w:rPr>
                <w:rFonts w:ascii="Arial" w:hAnsi="Arial" w:cs="Arial"/>
                <w:sz w:val="20"/>
                <w:szCs w:val="20"/>
                <w:vertAlign w:val="subscript"/>
              </w:rPr>
            </w:pPr>
            <w:r w:rsidRPr="00C9246C">
              <w:rPr>
                <w:rFonts w:ascii="Arial" w:hAnsi="Arial" w:cs="Arial"/>
                <w:sz w:val="20"/>
                <w:szCs w:val="20"/>
              </w:rPr>
              <w:t>VAM</w:t>
            </w:r>
            <w:r w:rsidRPr="00C9246C">
              <w:rPr>
                <w:rFonts w:ascii="Arial" w:hAnsi="Arial" w:cs="Arial"/>
                <w:sz w:val="20"/>
                <w:szCs w:val="20"/>
                <w:vertAlign w:val="subscript"/>
              </w:rPr>
              <w:t>FLOWmeas,y</w:t>
            </w:r>
          </w:p>
          <w:p w:rsidR="00A00BA9" w:rsidRPr="00C9246C" w:rsidRDefault="00A00BA9" w:rsidP="00795CC1">
            <w:pPr>
              <w:pStyle w:val="NoSpacing"/>
              <w:rPr>
                <w:rFonts w:ascii="Arial" w:hAnsi="Arial" w:cs="Arial"/>
                <w:sz w:val="20"/>
                <w:szCs w:val="20"/>
              </w:rPr>
            </w:pP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 xml:space="preserve">Uncorrected average flow rate of ventilation air entering the destruction device as measured during period y </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scf/unit of time</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Continuously</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 c</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Readings taken every two minutes to calculate average hourly flow; adjusted, if applicable, to VAM</w:t>
            </w:r>
            <w:r w:rsidRPr="00C9246C">
              <w:rPr>
                <w:rFonts w:ascii="Arial" w:hAnsi="Arial" w:cs="Arial"/>
                <w:sz w:val="20"/>
                <w:szCs w:val="20"/>
                <w:vertAlign w:val="subscript"/>
              </w:rPr>
              <w:t>FLOW,y</w:t>
            </w:r>
            <w:r w:rsidRPr="00C9246C">
              <w:rPr>
                <w:rFonts w:ascii="Arial" w:hAnsi="Arial" w:cs="Arial"/>
                <w:sz w:val="20"/>
                <w:szCs w:val="20"/>
              </w:rPr>
              <w:t xml:space="preserve"> using Equation 5.10</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w:t>
            </w:r>
            <w:r>
              <w:rPr>
                <w:rFonts w:ascii="Arial" w:hAnsi="Arial" w:cs="Arial"/>
                <w:sz w:val="20"/>
                <w:szCs w:val="20"/>
              </w:rPr>
              <w:t>.10</w:t>
            </w:r>
          </w:p>
          <w:p w:rsidR="00A00BA9" w:rsidRPr="00C9246C" w:rsidRDefault="00A00BA9" w:rsidP="00795CC1">
            <w:pPr>
              <w:pStyle w:val="NoSpacing"/>
              <w:rPr>
                <w:rFonts w:ascii="Arial" w:hAnsi="Arial" w:cs="Arial"/>
                <w:sz w:val="20"/>
                <w:szCs w:val="20"/>
              </w:rPr>
            </w:pPr>
          </w:p>
        </w:tc>
        <w:tc>
          <w:tcPr>
            <w:tcW w:w="1444"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T</w:t>
            </w:r>
            <w:r w:rsidRPr="00C9246C">
              <w:rPr>
                <w:rFonts w:ascii="Arial" w:hAnsi="Arial" w:cs="Arial"/>
                <w:sz w:val="20"/>
                <w:szCs w:val="20"/>
                <w:vertAlign w:val="subscript"/>
              </w:rPr>
              <w:t>VAMinflow,y</w:t>
            </w: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 xml:space="preserve">Measured temperature of ventilation air entering the destruction device for the time period y, °R=°F+460 </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°R</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Continuously</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 c</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Readings taken at least every hour to calculate hourly temperature</w:t>
            </w:r>
          </w:p>
        </w:tc>
      </w:tr>
      <w:tr w:rsidR="00AD5699" w:rsidRPr="00C9246C" w:rsidTr="00AD5699">
        <w:tc>
          <w:tcPr>
            <w:tcW w:w="60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5</w:t>
            </w:r>
            <w:r>
              <w:rPr>
                <w:rFonts w:ascii="Arial" w:hAnsi="Arial" w:cs="Arial"/>
                <w:sz w:val="20"/>
                <w:szCs w:val="20"/>
              </w:rPr>
              <w:t>.10</w:t>
            </w:r>
          </w:p>
          <w:p w:rsidR="00A00BA9" w:rsidRPr="00C9246C" w:rsidRDefault="00A00BA9" w:rsidP="00795CC1">
            <w:pPr>
              <w:pStyle w:val="NoSpacing"/>
              <w:rPr>
                <w:rFonts w:ascii="Arial" w:hAnsi="Arial" w:cs="Arial"/>
                <w:sz w:val="20"/>
                <w:szCs w:val="20"/>
              </w:rPr>
            </w:pPr>
          </w:p>
        </w:tc>
        <w:tc>
          <w:tcPr>
            <w:tcW w:w="1444"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P</w:t>
            </w:r>
            <w:r w:rsidRPr="00C9246C">
              <w:rPr>
                <w:rFonts w:ascii="Arial" w:hAnsi="Arial" w:cs="Arial"/>
                <w:sz w:val="20"/>
                <w:szCs w:val="20"/>
                <w:vertAlign w:val="subscript"/>
              </w:rPr>
              <w:t>VAMinflow,y</w:t>
            </w:r>
          </w:p>
        </w:tc>
        <w:tc>
          <w:tcPr>
            <w:tcW w:w="1815"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 xml:space="preserve">Measured pressure of ventilation air entering the destruction device for the time period y </w:t>
            </w:r>
          </w:p>
        </w:tc>
        <w:tc>
          <w:tcPr>
            <w:tcW w:w="1017"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atm</w:t>
            </w:r>
          </w:p>
        </w:tc>
        <w:tc>
          <w:tcPr>
            <w:tcW w:w="1526"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Continuously</w:t>
            </w:r>
          </w:p>
        </w:tc>
        <w:tc>
          <w:tcPr>
            <w:tcW w:w="1710"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m, c</w:t>
            </w:r>
          </w:p>
        </w:tc>
        <w:tc>
          <w:tcPr>
            <w:tcW w:w="1458" w:type="dxa"/>
          </w:tcPr>
          <w:p w:rsidR="00A00BA9" w:rsidRPr="00C9246C" w:rsidRDefault="00A00BA9" w:rsidP="00795CC1">
            <w:pPr>
              <w:pStyle w:val="NoSpacing"/>
              <w:rPr>
                <w:rFonts w:ascii="Arial" w:hAnsi="Arial" w:cs="Arial"/>
                <w:sz w:val="20"/>
                <w:szCs w:val="20"/>
              </w:rPr>
            </w:pPr>
            <w:r w:rsidRPr="00C9246C">
              <w:rPr>
                <w:rFonts w:ascii="Arial" w:hAnsi="Arial" w:cs="Arial"/>
                <w:sz w:val="20"/>
                <w:szCs w:val="20"/>
              </w:rPr>
              <w:t>Readings taken at least every hour to calculate hourly pressure</w:t>
            </w:r>
          </w:p>
        </w:tc>
      </w:tr>
    </w:tbl>
    <w:p w:rsidR="0002164C" w:rsidRPr="00720D9E" w:rsidRDefault="000D74EC" w:rsidP="000D74EC">
      <w:pPr>
        <w:pStyle w:val="Heading2"/>
      </w:pPr>
      <w:bookmarkStart w:id="52" w:name="_Toc364243226"/>
      <w:r w:rsidRPr="00720D9E">
        <w:lastRenderedPageBreak/>
        <w:t xml:space="preserve">§ </w:t>
      </w:r>
      <w:r w:rsidR="00645452" w:rsidRPr="00720D9E">
        <w:t>6.5</w:t>
      </w:r>
      <w:r w:rsidRPr="00720D9E">
        <w:t xml:space="preserve">. </w:t>
      </w:r>
      <w:r w:rsidR="00D973CA" w:rsidRPr="00720D9E">
        <w:t xml:space="preserve">Active Underground Mine Methane Drainage </w:t>
      </w:r>
      <w:r w:rsidR="004D228E" w:rsidRPr="00720D9E">
        <w:t>Activities</w:t>
      </w:r>
      <w:r w:rsidR="00D973CA" w:rsidRPr="00720D9E">
        <w:t>.</w:t>
      </w:r>
      <w:bookmarkEnd w:id="52"/>
    </w:p>
    <w:p w:rsidR="001110C4" w:rsidRPr="00720D9E" w:rsidRDefault="00A72FB1" w:rsidP="0082570F">
      <w:pPr>
        <w:pStyle w:val="ListParagraph"/>
        <w:numPr>
          <w:ilvl w:val="0"/>
          <w:numId w:val="39"/>
        </w:numPr>
        <w:ind w:hanging="720"/>
      </w:pPr>
      <w:r w:rsidRPr="00720D9E">
        <w:t xml:space="preserve">Mine gas </w:t>
      </w:r>
      <w:r w:rsidR="001110C4" w:rsidRPr="00720D9E">
        <w:t xml:space="preserve">from each </w:t>
      </w:r>
      <w:r w:rsidR="00A32FF0" w:rsidRPr="00720D9E">
        <w:t>methane source</w:t>
      </w:r>
      <w:r w:rsidR="001110C4" w:rsidRPr="00720D9E">
        <w:t xml:space="preserve"> (i.e.</w:t>
      </w:r>
      <w:r w:rsidRPr="00720D9E">
        <w:t>,</w:t>
      </w:r>
      <w:r w:rsidR="001110C4" w:rsidRPr="00720D9E">
        <w:t xml:space="preserve"> pre-mining surface wells, pre-mining in-mine boreholes, or post-mining gob wells) must be monitored separately prior to interconnection with other MG sources. The volumetric gas flow, methane concentration, temperature, and pressure </w:t>
      </w:r>
      <w:r w:rsidR="00523499" w:rsidRPr="00720D9E">
        <w:t>must</w:t>
      </w:r>
      <w:r w:rsidR="001110C4" w:rsidRPr="00720D9E">
        <w:t xml:space="preserve"> be monitored and recorded separately for each </w:t>
      </w:r>
      <w:r w:rsidR="00A32FF0" w:rsidRPr="00720D9E">
        <w:t>methane source</w:t>
      </w:r>
      <w:r w:rsidR="001110C4" w:rsidRPr="00720D9E">
        <w:t>.</w:t>
      </w:r>
    </w:p>
    <w:p w:rsidR="001110C4" w:rsidRPr="00720D9E" w:rsidRDefault="00A8097E" w:rsidP="0082570F">
      <w:pPr>
        <w:pStyle w:val="ListParagraph"/>
        <w:numPr>
          <w:ilvl w:val="0"/>
          <w:numId w:val="39"/>
        </w:numPr>
        <w:ind w:hanging="720"/>
      </w:pPr>
      <w:r w:rsidRPr="00720D9E">
        <w:t>M</w:t>
      </w:r>
      <w:r w:rsidR="001110C4" w:rsidRPr="00720D9E">
        <w:t>ine gas from each</w:t>
      </w:r>
      <w:r w:rsidR="000D05D4" w:rsidRPr="00720D9E">
        <w:t xml:space="preserve"> methane source</w:t>
      </w:r>
      <w:r w:rsidR="001110C4" w:rsidRPr="00720D9E">
        <w:t xml:space="preserve"> (i.e.</w:t>
      </w:r>
      <w:r w:rsidR="00A72FB1" w:rsidRPr="00720D9E">
        <w:t>,</w:t>
      </w:r>
      <w:r w:rsidR="001110C4" w:rsidRPr="00720D9E">
        <w:t xml:space="preserve"> pre-mining surface wells, pre-mining in-min</w:t>
      </w:r>
      <w:r w:rsidR="00A72FB1" w:rsidRPr="00720D9E">
        <w:t>e</w:t>
      </w:r>
      <w:r w:rsidR="001110C4" w:rsidRPr="00720D9E">
        <w:t xml:space="preserve"> boreholes, or post-mining gob wells) </w:t>
      </w:r>
      <w:r w:rsidR="00523499" w:rsidRPr="00720D9E">
        <w:t>must</w:t>
      </w:r>
      <w:r w:rsidR="001110C4" w:rsidRPr="00720D9E">
        <w:t xml:space="preserve"> be measured continuously</w:t>
      </w:r>
      <w:r w:rsidR="0006086F" w:rsidRPr="00720D9E">
        <w:t>.</w:t>
      </w:r>
      <w:r w:rsidR="001110C4" w:rsidRPr="00720D9E">
        <w:t xml:space="preserve"> </w:t>
      </w:r>
      <w:r w:rsidR="0006086F" w:rsidRPr="00720D9E">
        <w:t xml:space="preserve"> Offset Project Operators must record the mine gas flow rate </w:t>
      </w:r>
      <w:r w:rsidR="001110C4" w:rsidRPr="00720D9E">
        <w:t>every 15 minutes</w:t>
      </w:r>
      <w:r w:rsidR="0006086F" w:rsidRPr="00720D9E">
        <w:t>, adjusted for temperature and pressure,</w:t>
      </w:r>
      <w:r w:rsidR="001110C4" w:rsidRPr="00720D9E">
        <w:t xml:space="preserve"> or </w:t>
      </w:r>
      <w:r w:rsidR="0006086F" w:rsidRPr="00720D9E">
        <w:t xml:space="preserve">record the </w:t>
      </w:r>
      <w:r w:rsidR="001110C4" w:rsidRPr="00720D9E">
        <w:t xml:space="preserve">totalized </w:t>
      </w:r>
      <w:r w:rsidR="0006086F" w:rsidRPr="00720D9E">
        <w:t>mine gas volume</w:t>
      </w:r>
      <w:r w:rsidR="001110C4" w:rsidRPr="00720D9E">
        <w:t xml:space="preserve"> at least daily, adjusted for temperature and pressure.</w:t>
      </w:r>
    </w:p>
    <w:p w:rsidR="001C5C79" w:rsidRPr="00720D9E" w:rsidRDefault="0006086F" w:rsidP="0082570F">
      <w:pPr>
        <w:pStyle w:val="ListParagraph"/>
        <w:numPr>
          <w:ilvl w:val="0"/>
          <w:numId w:val="39"/>
        </w:numPr>
        <w:ind w:hanging="720"/>
      </w:pPr>
      <w:r w:rsidRPr="00720D9E">
        <w:t>M</w:t>
      </w:r>
      <w:r w:rsidR="001110C4" w:rsidRPr="00720D9E">
        <w:t xml:space="preserve">ine gas delivered to a destruction device </w:t>
      </w:r>
      <w:r w:rsidR="00523499" w:rsidRPr="00720D9E">
        <w:t>must</w:t>
      </w:r>
      <w:r w:rsidR="001110C4" w:rsidRPr="00720D9E">
        <w:t xml:space="preserve"> be measured continuously</w:t>
      </w:r>
      <w:r w:rsidRPr="00720D9E">
        <w:t>.  Offset Project Operators must record the mine gas flow rate</w:t>
      </w:r>
      <w:r w:rsidR="001110C4" w:rsidRPr="00720D9E">
        <w:t xml:space="preserve"> every 15 minutes</w:t>
      </w:r>
      <w:r w:rsidRPr="00720D9E">
        <w:t xml:space="preserve">, adjusted for temperature and pressure, </w:t>
      </w:r>
      <w:r w:rsidR="001110C4" w:rsidRPr="00720D9E">
        <w:t xml:space="preserve"> or </w:t>
      </w:r>
      <w:r w:rsidRPr="00720D9E">
        <w:t xml:space="preserve">record the </w:t>
      </w:r>
      <w:r w:rsidR="001110C4" w:rsidRPr="00720D9E">
        <w:t xml:space="preserve">totalized </w:t>
      </w:r>
      <w:r w:rsidRPr="00720D9E">
        <w:t>mine gas volume</w:t>
      </w:r>
      <w:r w:rsidR="001110C4" w:rsidRPr="00720D9E">
        <w:t xml:space="preserve"> at least daily, adjusted for temperature and pressure.  </w:t>
      </w:r>
      <w:r w:rsidR="001C5C79" w:rsidRPr="00720D9E">
        <w:t>T</w:t>
      </w:r>
      <w:r w:rsidR="00D973CA" w:rsidRPr="00720D9E">
        <w:t xml:space="preserve">he flow of gas to each destruction device </w:t>
      </w:r>
      <w:r w:rsidR="00523499" w:rsidRPr="00720D9E">
        <w:t>must</w:t>
      </w:r>
      <w:r w:rsidR="00D973CA" w:rsidRPr="00720D9E">
        <w:t xml:space="preserve"> be monitored separately for each destruction device, </w:t>
      </w:r>
      <w:r w:rsidR="001C5C79" w:rsidRPr="00720D9E">
        <w:t>unless:</w:t>
      </w:r>
      <w:r w:rsidR="00D973CA" w:rsidRPr="00720D9E">
        <w:t xml:space="preserve"> </w:t>
      </w:r>
    </w:p>
    <w:p w:rsidR="001C5C79" w:rsidRPr="00720D9E" w:rsidRDefault="001C5C79" w:rsidP="0082570F">
      <w:pPr>
        <w:pStyle w:val="ListParagraph"/>
        <w:numPr>
          <w:ilvl w:val="1"/>
          <w:numId w:val="39"/>
        </w:numPr>
        <w:ind w:hanging="720"/>
      </w:pPr>
      <w:r w:rsidRPr="00720D9E">
        <w:t>a project consists of destruction devices that are of identical efficiency and verified to be operational throughout the reporting period; then a single flow meter may be used to monitor gas f</w:t>
      </w:r>
      <w:r w:rsidR="00E50F35" w:rsidRPr="00720D9E">
        <w:t>low to all destruction devices; or</w:t>
      </w:r>
    </w:p>
    <w:p w:rsidR="001C5C79" w:rsidRPr="00720D9E" w:rsidRDefault="001C5C79" w:rsidP="0082570F">
      <w:pPr>
        <w:pStyle w:val="ListParagraph"/>
        <w:numPr>
          <w:ilvl w:val="1"/>
          <w:numId w:val="39"/>
        </w:numPr>
        <w:ind w:hanging="720"/>
      </w:pPr>
      <w:r w:rsidRPr="00720D9E">
        <w:t xml:space="preserve">a project consists of destruction devices that are not of identical efficiency, in which case the destruction efficiency of the least efficient destruction device </w:t>
      </w:r>
      <w:r w:rsidR="00523499" w:rsidRPr="00720D9E">
        <w:t>must</w:t>
      </w:r>
      <w:r w:rsidRPr="00720D9E">
        <w:t xml:space="preserve"> be used as the destruction efficiency for all destruction devices monitored by that meter.</w:t>
      </w:r>
    </w:p>
    <w:p w:rsidR="00E50F35" w:rsidRPr="00720D9E" w:rsidRDefault="00D973CA" w:rsidP="0082570F">
      <w:pPr>
        <w:pStyle w:val="ListParagraph"/>
        <w:numPr>
          <w:ilvl w:val="0"/>
          <w:numId w:val="39"/>
        </w:numPr>
        <w:ind w:hanging="720"/>
      </w:pPr>
      <w:r w:rsidRPr="00720D9E">
        <w:t xml:space="preserve">If a project using a single meter to monitor gas flow to multiple destruction devices has any periods </w:t>
      </w:r>
      <w:r w:rsidR="00A72FB1" w:rsidRPr="00720D9E">
        <w:t xml:space="preserve">of time </w:t>
      </w:r>
      <w:r w:rsidRPr="00720D9E">
        <w:t xml:space="preserve">when not all destruction devices downstream of a single flow meter are operational, methane destruction from the set of downstream devices during these periods </w:t>
      </w:r>
      <w:r w:rsidR="00A72FB1" w:rsidRPr="00720D9E">
        <w:t xml:space="preserve">of time </w:t>
      </w:r>
      <w:r w:rsidRPr="00720D9E">
        <w:t xml:space="preserve">will only be eligible provided that the </w:t>
      </w:r>
      <w:r w:rsidR="0001402D" w:rsidRPr="00720D9E">
        <w:t xml:space="preserve">offset </w:t>
      </w:r>
      <w:r w:rsidRPr="00720D9E">
        <w:t>verifier can confirm all of the following requirements and conditions are met:</w:t>
      </w:r>
    </w:p>
    <w:p w:rsidR="00E50F35" w:rsidRPr="00720D9E" w:rsidRDefault="00E50F35" w:rsidP="0082570F">
      <w:pPr>
        <w:pStyle w:val="ListParagraph"/>
        <w:numPr>
          <w:ilvl w:val="1"/>
          <w:numId w:val="39"/>
        </w:numPr>
        <w:ind w:hanging="720"/>
      </w:pPr>
      <w:r w:rsidRPr="00720D9E">
        <w:lastRenderedPageBreak/>
        <w:t xml:space="preserve">The destruction efficiency of the least efficient downstream destruction device in operation </w:t>
      </w:r>
      <w:r w:rsidR="00523499" w:rsidRPr="00720D9E">
        <w:t>must</w:t>
      </w:r>
      <w:r w:rsidRPr="00720D9E">
        <w:t xml:space="preserve"> be used as the destruction efficiency for all destruction devices downstream of the single meter; and</w:t>
      </w:r>
    </w:p>
    <w:p w:rsidR="00E50F35" w:rsidRPr="00720D9E" w:rsidRDefault="00E50F35" w:rsidP="0082570F">
      <w:pPr>
        <w:pStyle w:val="ListParagraph"/>
        <w:numPr>
          <w:ilvl w:val="1"/>
          <w:numId w:val="39"/>
        </w:numPr>
        <w:ind w:hanging="720"/>
      </w:pPr>
      <w:r w:rsidRPr="00720D9E">
        <w:t>All devices are either equipped with valves on the input gas line that close automatically if the device becomes non-operational (requiring no manual intervention), or designed in such a manner that it is physically impossible for gas to pass through while the device is non-operational; and</w:t>
      </w:r>
    </w:p>
    <w:p w:rsidR="00E50F35" w:rsidRPr="00720D9E" w:rsidRDefault="00E50F35" w:rsidP="0082570F">
      <w:pPr>
        <w:pStyle w:val="ListParagraph"/>
        <w:numPr>
          <w:ilvl w:val="1"/>
          <w:numId w:val="39"/>
        </w:numPr>
        <w:ind w:hanging="720"/>
      </w:pPr>
      <w:r w:rsidRPr="00720D9E">
        <w:t xml:space="preserve">For any period </w:t>
      </w:r>
      <w:r w:rsidR="00A72FB1" w:rsidRPr="00720D9E">
        <w:t xml:space="preserve">of time </w:t>
      </w:r>
      <w:r w:rsidRPr="00720D9E">
        <w:t>during which one or more downstream destruction devices are not operational, it must be documented that the remaining operational devices have the capacity to destroy the maximum gas flow recorded during the period.</w:t>
      </w:r>
    </w:p>
    <w:p w:rsidR="001110C4" w:rsidRPr="00720D9E" w:rsidRDefault="001110C4" w:rsidP="0082570F">
      <w:pPr>
        <w:pStyle w:val="ListParagraph"/>
        <w:numPr>
          <w:ilvl w:val="0"/>
          <w:numId w:val="39"/>
        </w:numPr>
        <w:ind w:hanging="720"/>
      </w:pPr>
      <w:r w:rsidRPr="00720D9E">
        <w:t xml:space="preserve">The methane </w:t>
      </w:r>
      <w:r w:rsidR="00F5081A" w:rsidRPr="00720D9E">
        <w:t>concentration of</w:t>
      </w:r>
      <w:r w:rsidRPr="00720D9E">
        <w:t xml:space="preserve"> the mine gas </w:t>
      </w:r>
      <w:r w:rsidR="00D8234F" w:rsidRPr="00720D9E">
        <w:t xml:space="preserve">extracted from each methane source </w:t>
      </w:r>
      <w:r w:rsidR="00523499" w:rsidRPr="00720D9E">
        <w:t>must</w:t>
      </w:r>
      <w:r w:rsidRPr="00720D9E">
        <w:t xml:space="preserve"> be measured continuously</w:t>
      </w:r>
      <w:r w:rsidR="00D805E6" w:rsidRPr="00720D9E">
        <w:t>,</w:t>
      </w:r>
      <w:r w:rsidRPr="00720D9E">
        <w:t xml:space="preserve"> recorded every 15 minutes</w:t>
      </w:r>
      <w:r w:rsidR="00D805E6" w:rsidRPr="00720D9E">
        <w:t xml:space="preserve"> an</w:t>
      </w:r>
      <w:r w:rsidR="00D16302" w:rsidRPr="00720D9E">
        <w:t>d averaged at least daily.</w:t>
      </w:r>
    </w:p>
    <w:p w:rsidR="00D805E6" w:rsidRPr="00720D9E" w:rsidRDefault="00D805E6" w:rsidP="0082570F">
      <w:pPr>
        <w:pStyle w:val="ListParagraph"/>
        <w:numPr>
          <w:ilvl w:val="0"/>
          <w:numId w:val="39"/>
        </w:numPr>
        <w:ind w:hanging="720"/>
      </w:pPr>
      <w:r w:rsidRPr="00720D9E">
        <w:t xml:space="preserve">If required in order to adjust the flow </w:t>
      </w:r>
      <w:r w:rsidR="00F5081A" w:rsidRPr="00720D9E">
        <w:t xml:space="preserve">rate or volume </w:t>
      </w:r>
      <w:r w:rsidRPr="00720D9E">
        <w:t xml:space="preserve">of mine gas, the temperature and pressure of the mine gas from each </w:t>
      </w:r>
      <w:r w:rsidR="00C63588" w:rsidRPr="00720D9E">
        <w:t>methane source</w:t>
      </w:r>
      <w:r w:rsidRPr="00720D9E">
        <w:t xml:space="preserve"> </w:t>
      </w:r>
      <w:r w:rsidR="00523499" w:rsidRPr="00720D9E">
        <w:t>must</w:t>
      </w:r>
      <w:r w:rsidRPr="00720D9E">
        <w:t xml:space="preserve"> be measured continuously and recorded at least every hour to calculate hourly temperature and pressure.</w:t>
      </w:r>
    </w:p>
    <w:p w:rsidR="0037214C" w:rsidRPr="00720D9E" w:rsidRDefault="00A72FB1" w:rsidP="0082570F">
      <w:pPr>
        <w:pStyle w:val="ListParagraph"/>
        <w:numPr>
          <w:ilvl w:val="0"/>
          <w:numId w:val="39"/>
        </w:numPr>
        <w:ind w:hanging="720"/>
      </w:pPr>
      <w:r w:rsidRPr="00720D9E">
        <w:rPr>
          <w:color w:val="auto"/>
        </w:rPr>
        <w:t>Offset Project Operators and Authorized Project Designees</w:t>
      </w:r>
      <w:r w:rsidR="0037214C" w:rsidRPr="00720D9E">
        <w:t xml:space="preserve"> must monitor the par</w:t>
      </w:r>
      <w:r w:rsidR="00E50F35" w:rsidRPr="00720D9E">
        <w:t xml:space="preserve">ameters prescribed in Table </w:t>
      </w:r>
      <w:r w:rsidRPr="00720D9E">
        <w:t>6</w:t>
      </w:r>
      <w:r w:rsidR="00E50F35" w:rsidRPr="00720D9E">
        <w:t>.2.</w:t>
      </w:r>
    </w:p>
    <w:p w:rsidR="00D973CA" w:rsidRDefault="00D973CA" w:rsidP="00D973CA">
      <w:pPr>
        <w:pStyle w:val="Heading3"/>
      </w:pPr>
      <w:bookmarkStart w:id="53" w:name="_Toc364243227"/>
      <w:r w:rsidRPr="00720D9E">
        <w:rPr>
          <w:rStyle w:val="Heading6Char"/>
          <w:b/>
          <w:sz w:val="24"/>
        </w:rPr>
        <w:t xml:space="preserve">Table </w:t>
      </w:r>
      <w:r w:rsidR="00645452" w:rsidRPr="00720D9E">
        <w:rPr>
          <w:rStyle w:val="Heading6Char"/>
          <w:b/>
          <w:sz w:val="24"/>
        </w:rPr>
        <w:t>6</w:t>
      </w:r>
      <w:r w:rsidRPr="00720D9E">
        <w:rPr>
          <w:rStyle w:val="Heading6Char"/>
          <w:b/>
          <w:sz w:val="24"/>
        </w:rPr>
        <w:t>.2.</w:t>
      </w:r>
      <w:r w:rsidRPr="00720D9E">
        <w:t xml:space="preserve"> Active Underground Mine Methane Drainage </w:t>
      </w:r>
      <w:r w:rsidR="00DE42B3" w:rsidRPr="00720D9E">
        <w:t>Activity</w:t>
      </w:r>
      <w:r w:rsidRPr="00720D9E">
        <w:t xml:space="preserve"> Monitoring Parameters</w:t>
      </w:r>
      <w:r w:rsidR="0056242F" w:rsidRPr="00720D9E">
        <w:t xml:space="preserve"> – Quantification Methodology</w:t>
      </w:r>
      <w:bookmarkEnd w:id="53"/>
    </w:p>
    <w:tbl>
      <w:tblPr>
        <w:tblStyle w:val="TableGrid"/>
        <w:tblW w:w="0" w:type="auto"/>
        <w:tblLayout w:type="fixed"/>
        <w:tblLook w:val="04A0" w:firstRow="1" w:lastRow="0" w:firstColumn="1" w:lastColumn="0" w:noHBand="0" w:noVBand="1"/>
      </w:tblPr>
      <w:tblGrid>
        <w:gridCol w:w="606"/>
        <w:gridCol w:w="1392"/>
        <w:gridCol w:w="1829"/>
        <w:gridCol w:w="1021"/>
        <w:gridCol w:w="1560"/>
        <w:gridCol w:w="1706"/>
        <w:gridCol w:w="1462"/>
      </w:tblGrid>
      <w:tr w:rsidR="00AD5699" w:rsidRPr="00E01A0A" w:rsidTr="00795CC1">
        <w:trPr>
          <w:cantSplit/>
        </w:trPr>
        <w:tc>
          <w:tcPr>
            <w:tcW w:w="606" w:type="dxa"/>
            <w:shd w:val="pct12" w:color="auto" w:fill="auto"/>
          </w:tcPr>
          <w:p w:rsidR="00AD5699" w:rsidRPr="00E01A0A" w:rsidRDefault="00AD5699" w:rsidP="00795CC1">
            <w:pPr>
              <w:pStyle w:val="NoSpacing"/>
              <w:rPr>
                <w:rFonts w:ascii="Arial" w:hAnsi="Arial" w:cs="Arial"/>
                <w:b/>
                <w:sz w:val="20"/>
                <w:szCs w:val="20"/>
              </w:rPr>
            </w:pPr>
            <w:r w:rsidRPr="00E01A0A">
              <w:rPr>
                <w:rFonts w:ascii="Arial" w:hAnsi="Arial" w:cs="Arial"/>
                <w:b/>
                <w:sz w:val="20"/>
                <w:szCs w:val="20"/>
              </w:rPr>
              <w:t>Eq. #</w:t>
            </w:r>
          </w:p>
        </w:tc>
        <w:tc>
          <w:tcPr>
            <w:tcW w:w="1392" w:type="dxa"/>
            <w:shd w:val="pct12" w:color="auto" w:fill="auto"/>
          </w:tcPr>
          <w:p w:rsidR="00AD5699" w:rsidRPr="00E01A0A" w:rsidRDefault="00AD5699" w:rsidP="00795CC1">
            <w:pPr>
              <w:pStyle w:val="NoSpacing"/>
              <w:rPr>
                <w:rFonts w:ascii="Arial" w:hAnsi="Arial" w:cs="Arial"/>
                <w:b/>
                <w:sz w:val="20"/>
                <w:szCs w:val="20"/>
              </w:rPr>
            </w:pPr>
            <w:r w:rsidRPr="00E01A0A">
              <w:rPr>
                <w:rFonts w:ascii="Arial" w:hAnsi="Arial" w:cs="Arial"/>
                <w:b/>
                <w:sz w:val="20"/>
                <w:szCs w:val="20"/>
              </w:rPr>
              <w:t>Parameter</w:t>
            </w:r>
          </w:p>
          <w:p w:rsidR="00AD5699" w:rsidRPr="00E01A0A" w:rsidRDefault="00AD5699" w:rsidP="00795CC1">
            <w:pPr>
              <w:pStyle w:val="NoSpacing"/>
              <w:rPr>
                <w:rFonts w:ascii="Arial" w:hAnsi="Arial" w:cs="Arial"/>
                <w:b/>
                <w:sz w:val="20"/>
                <w:szCs w:val="20"/>
              </w:rPr>
            </w:pPr>
          </w:p>
        </w:tc>
        <w:tc>
          <w:tcPr>
            <w:tcW w:w="1829" w:type="dxa"/>
            <w:shd w:val="pct12" w:color="auto" w:fill="auto"/>
          </w:tcPr>
          <w:p w:rsidR="00AD5699" w:rsidRPr="00E01A0A" w:rsidRDefault="00AD5699" w:rsidP="00795CC1">
            <w:pPr>
              <w:pStyle w:val="NoSpacing"/>
              <w:rPr>
                <w:rFonts w:ascii="Arial" w:hAnsi="Arial" w:cs="Arial"/>
                <w:b/>
                <w:sz w:val="20"/>
                <w:szCs w:val="20"/>
              </w:rPr>
            </w:pPr>
            <w:r w:rsidRPr="00E01A0A">
              <w:rPr>
                <w:rFonts w:ascii="Arial" w:hAnsi="Arial" w:cs="Arial"/>
                <w:b/>
                <w:sz w:val="20"/>
                <w:szCs w:val="20"/>
              </w:rPr>
              <w:t>Description</w:t>
            </w:r>
          </w:p>
        </w:tc>
        <w:tc>
          <w:tcPr>
            <w:tcW w:w="1021" w:type="dxa"/>
            <w:shd w:val="pct12" w:color="auto" w:fill="auto"/>
          </w:tcPr>
          <w:p w:rsidR="00AD5699" w:rsidRPr="00E01A0A" w:rsidRDefault="00AD5699" w:rsidP="00795CC1">
            <w:pPr>
              <w:pStyle w:val="NoSpacing"/>
              <w:rPr>
                <w:rFonts w:ascii="Arial" w:hAnsi="Arial" w:cs="Arial"/>
                <w:b/>
                <w:sz w:val="20"/>
                <w:szCs w:val="20"/>
              </w:rPr>
            </w:pPr>
            <w:r w:rsidRPr="00E01A0A">
              <w:rPr>
                <w:rFonts w:ascii="Arial" w:hAnsi="Arial" w:cs="Arial"/>
                <w:b/>
                <w:sz w:val="20"/>
                <w:szCs w:val="20"/>
              </w:rPr>
              <w:t>Data Unit</w:t>
            </w:r>
          </w:p>
        </w:tc>
        <w:tc>
          <w:tcPr>
            <w:tcW w:w="1560" w:type="dxa"/>
            <w:shd w:val="pct12" w:color="auto" w:fill="auto"/>
          </w:tcPr>
          <w:p w:rsidR="00AD5699" w:rsidRPr="00E01A0A" w:rsidRDefault="00AD5699" w:rsidP="00795CC1">
            <w:pPr>
              <w:pStyle w:val="NoSpacing"/>
              <w:rPr>
                <w:rFonts w:ascii="Arial" w:hAnsi="Arial" w:cs="Arial"/>
                <w:b/>
                <w:sz w:val="20"/>
                <w:szCs w:val="20"/>
              </w:rPr>
            </w:pPr>
            <w:r w:rsidRPr="00E01A0A">
              <w:rPr>
                <w:rFonts w:ascii="Arial" w:hAnsi="Arial" w:cs="Arial"/>
                <w:b/>
                <w:sz w:val="20"/>
                <w:szCs w:val="20"/>
              </w:rPr>
              <w:t>Measurement Frequency</w:t>
            </w:r>
          </w:p>
        </w:tc>
        <w:tc>
          <w:tcPr>
            <w:tcW w:w="1706" w:type="dxa"/>
            <w:shd w:val="pct12" w:color="auto" w:fill="auto"/>
          </w:tcPr>
          <w:p w:rsidR="00AD5699" w:rsidRPr="00E01A0A" w:rsidRDefault="00AD5699" w:rsidP="00795CC1">
            <w:pPr>
              <w:pStyle w:val="NoSpacing"/>
              <w:rPr>
                <w:rFonts w:ascii="Arial" w:hAnsi="Arial" w:cs="Arial"/>
                <w:b/>
                <w:sz w:val="20"/>
                <w:szCs w:val="20"/>
              </w:rPr>
            </w:pPr>
            <w:r w:rsidRPr="00E01A0A">
              <w:rPr>
                <w:rFonts w:ascii="Arial" w:hAnsi="Arial" w:cs="Arial"/>
                <w:b/>
                <w:sz w:val="20"/>
                <w:szCs w:val="20"/>
              </w:rPr>
              <w:t>Calculated</w:t>
            </w:r>
            <w:r>
              <w:rPr>
                <w:rFonts w:ascii="Arial" w:hAnsi="Arial" w:cs="Arial"/>
                <w:b/>
                <w:sz w:val="20"/>
                <w:szCs w:val="20"/>
              </w:rPr>
              <w:t xml:space="preserve"> (c)</w:t>
            </w:r>
            <w:r w:rsidRPr="00E01A0A">
              <w:rPr>
                <w:rFonts w:ascii="Arial" w:hAnsi="Arial" w:cs="Arial"/>
                <w:b/>
                <w:sz w:val="20"/>
                <w:szCs w:val="20"/>
              </w:rPr>
              <w:t>, Measured</w:t>
            </w:r>
            <w:r>
              <w:rPr>
                <w:rFonts w:ascii="Arial" w:hAnsi="Arial" w:cs="Arial"/>
                <w:b/>
                <w:sz w:val="20"/>
                <w:szCs w:val="20"/>
              </w:rPr>
              <w:t xml:space="preserve"> (m)</w:t>
            </w:r>
            <w:r w:rsidRPr="00E01A0A">
              <w:rPr>
                <w:rFonts w:ascii="Arial" w:hAnsi="Arial" w:cs="Arial"/>
                <w:b/>
                <w:sz w:val="20"/>
                <w:szCs w:val="20"/>
              </w:rPr>
              <w:t>, Operating Records</w:t>
            </w:r>
            <w:r>
              <w:rPr>
                <w:rFonts w:ascii="Arial" w:hAnsi="Arial" w:cs="Arial"/>
                <w:b/>
                <w:sz w:val="20"/>
                <w:szCs w:val="20"/>
              </w:rPr>
              <w:t xml:space="preserve"> (o)</w:t>
            </w:r>
            <w:r w:rsidRPr="00E01A0A">
              <w:rPr>
                <w:rFonts w:ascii="Arial" w:hAnsi="Arial" w:cs="Arial"/>
                <w:b/>
                <w:sz w:val="20"/>
                <w:szCs w:val="20"/>
              </w:rPr>
              <w:t>, Reference</w:t>
            </w:r>
            <w:r>
              <w:rPr>
                <w:rFonts w:ascii="Arial" w:hAnsi="Arial" w:cs="Arial"/>
                <w:b/>
                <w:sz w:val="20"/>
                <w:szCs w:val="20"/>
              </w:rPr>
              <w:t xml:space="preserve"> (r)</w:t>
            </w:r>
          </w:p>
        </w:tc>
        <w:tc>
          <w:tcPr>
            <w:tcW w:w="1462" w:type="dxa"/>
            <w:shd w:val="pct12" w:color="auto" w:fill="auto"/>
          </w:tcPr>
          <w:p w:rsidR="00AD5699" w:rsidRPr="00E01A0A" w:rsidRDefault="00AD5699" w:rsidP="00795CC1">
            <w:pPr>
              <w:pStyle w:val="NoSpacing"/>
              <w:rPr>
                <w:rFonts w:ascii="Arial" w:hAnsi="Arial" w:cs="Arial"/>
                <w:b/>
                <w:sz w:val="20"/>
                <w:szCs w:val="20"/>
              </w:rPr>
            </w:pPr>
            <w:r w:rsidRPr="00E01A0A">
              <w:rPr>
                <w:rFonts w:ascii="Arial" w:hAnsi="Arial" w:cs="Arial"/>
                <w:b/>
                <w:sz w:val="20"/>
                <w:szCs w:val="20"/>
              </w:rPr>
              <w:t>Comment</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lastRenderedPageBreak/>
              <w:t>5.13</w:t>
            </w:r>
          </w:p>
          <w:p w:rsidR="00AD5699" w:rsidRPr="00E01A0A" w:rsidRDefault="00AD5699" w:rsidP="00795CC1">
            <w:pPr>
              <w:pStyle w:val="NoSpacing"/>
              <w:rPr>
                <w:rFonts w:ascii="Arial" w:hAnsi="Arial" w:cs="Arial"/>
                <w:sz w:val="20"/>
                <w:szCs w:val="20"/>
              </w:rPr>
            </w:pPr>
            <w:r w:rsidRPr="00E01A0A">
              <w:rPr>
                <w:rFonts w:ascii="Arial" w:hAnsi="Arial" w:cs="Arial"/>
                <w:sz w:val="20"/>
                <w:szCs w:val="20"/>
              </w:rPr>
              <w:t>5.14</w:t>
            </w:r>
          </w:p>
          <w:p w:rsidR="00AD5699" w:rsidRPr="00E01A0A" w:rsidRDefault="00AD5699" w:rsidP="00795CC1">
            <w:pPr>
              <w:pStyle w:val="NoSpacing"/>
              <w:rPr>
                <w:rFonts w:ascii="Arial" w:hAnsi="Arial" w:cs="Arial"/>
                <w:sz w:val="20"/>
                <w:szCs w:val="20"/>
              </w:rPr>
            </w:pPr>
          </w:p>
        </w:tc>
        <w:tc>
          <w:tcPr>
            <w:tcW w:w="1392" w:type="dxa"/>
          </w:tcPr>
          <w:p w:rsidR="00AD5699" w:rsidRPr="00E01A0A" w:rsidRDefault="00AD5699" w:rsidP="00795CC1">
            <w:pPr>
              <w:pStyle w:val="NoSpacing"/>
              <w:rPr>
                <w:rFonts w:ascii="Arial" w:hAnsi="Arial" w:cs="Arial"/>
                <w:color w:val="FF0000"/>
                <w:sz w:val="20"/>
                <w:szCs w:val="20"/>
              </w:rPr>
            </w:pPr>
            <w:r w:rsidRPr="00E01A0A">
              <w:rPr>
                <w:rFonts w:ascii="Arial" w:hAnsi="Arial" w:cs="Arial"/>
                <w:sz w:val="20"/>
                <w:szCs w:val="20"/>
              </w:rPr>
              <w:t>PSW</w:t>
            </w:r>
            <w:r w:rsidRPr="00E01A0A">
              <w:rPr>
                <w:rFonts w:ascii="Arial" w:hAnsi="Arial" w:cs="Arial"/>
                <w:sz w:val="20"/>
                <w:szCs w:val="20"/>
                <w:vertAlign w:val="subscript"/>
              </w:rPr>
              <w:t>B,i</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 of MG from pre-mining surface wells that would have been sent to non-qualifying devices for destruction through use i during the reporting period in the baseline scenario</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scf</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Estimated at offset project commencement; calculated annually if non-qualifying device continues to operate after project start</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c, m</w:t>
            </w:r>
          </w:p>
        </w:tc>
        <w:tc>
          <w:tcPr>
            <w:tcW w:w="146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 xml:space="preserve">The greater of the two values calculated per section 5.2.1(e). </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5.13</w:t>
            </w:r>
          </w:p>
          <w:p w:rsidR="00AD5699" w:rsidRPr="00E01A0A" w:rsidRDefault="00AD5699" w:rsidP="00795CC1">
            <w:pPr>
              <w:pStyle w:val="NoSpacing"/>
              <w:rPr>
                <w:rFonts w:ascii="Arial" w:hAnsi="Arial" w:cs="Arial"/>
                <w:sz w:val="20"/>
                <w:szCs w:val="20"/>
              </w:rPr>
            </w:pPr>
            <w:r w:rsidRPr="00E01A0A">
              <w:rPr>
                <w:rFonts w:ascii="Arial" w:hAnsi="Arial" w:cs="Arial"/>
                <w:sz w:val="20"/>
                <w:szCs w:val="20"/>
              </w:rPr>
              <w:t>5.14</w:t>
            </w:r>
          </w:p>
          <w:p w:rsidR="00AD5699" w:rsidRPr="00E01A0A" w:rsidRDefault="00AD5699" w:rsidP="00795CC1">
            <w:pPr>
              <w:pStyle w:val="NoSpacing"/>
              <w:rPr>
                <w:rFonts w:ascii="Arial" w:hAnsi="Arial" w:cs="Arial"/>
                <w:sz w:val="20"/>
                <w:szCs w:val="20"/>
              </w:rPr>
            </w:pPr>
          </w:p>
        </w:tc>
        <w:tc>
          <w:tcPr>
            <w:tcW w:w="139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PIB</w:t>
            </w:r>
            <w:r w:rsidRPr="00E01A0A">
              <w:rPr>
                <w:rFonts w:ascii="Arial" w:hAnsi="Arial" w:cs="Arial"/>
                <w:sz w:val="20"/>
                <w:szCs w:val="20"/>
                <w:vertAlign w:val="subscript"/>
              </w:rPr>
              <w:t>B,i</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 of MG from pre-mining in-mine boreholes that would have been sent to non-qualifying devices for destruction through use i during the reporting period in the baseline scenario</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scf</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Estimated at offset project commencement; calculated annually if non-qualifying device continues to operate after project start</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c, m</w:t>
            </w:r>
          </w:p>
        </w:tc>
        <w:tc>
          <w:tcPr>
            <w:tcW w:w="146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The greater of the two values calculated per section 5.2.1(e)</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5.13</w:t>
            </w:r>
          </w:p>
          <w:p w:rsidR="00AD5699" w:rsidRPr="00E01A0A" w:rsidRDefault="00AD5699" w:rsidP="00795CC1">
            <w:pPr>
              <w:pStyle w:val="NoSpacing"/>
              <w:rPr>
                <w:rFonts w:ascii="Arial" w:hAnsi="Arial" w:cs="Arial"/>
                <w:sz w:val="20"/>
                <w:szCs w:val="20"/>
              </w:rPr>
            </w:pPr>
            <w:r w:rsidRPr="00E01A0A">
              <w:rPr>
                <w:rFonts w:ascii="Arial" w:hAnsi="Arial" w:cs="Arial"/>
                <w:sz w:val="20"/>
                <w:szCs w:val="20"/>
              </w:rPr>
              <w:t>5.14</w:t>
            </w:r>
          </w:p>
          <w:p w:rsidR="00AD5699" w:rsidRPr="00E01A0A" w:rsidRDefault="00AD5699" w:rsidP="00795CC1">
            <w:pPr>
              <w:pStyle w:val="NoSpacing"/>
              <w:rPr>
                <w:rFonts w:ascii="Arial" w:hAnsi="Arial" w:cs="Arial"/>
                <w:sz w:val="20"/>
                <w:szCs w:val="20"/>
              </w:rPr>
            </w:pP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PGW</w:t>
            </w:r>
            <w:r w:rsidRPr="00E01A0A">
              <w:rPr>
                <w:rFonts w:ascii="Arial" w:hAnsi="Arial" w:cs="Arial"/>
                <w:sz w:val="20"/>
                <w:szCs w:val="20"/>
                <w:vertAlign w:val="subscript"/>
              </w:rPr>
              <w:t>B,i</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 of MG from post-mining gob wells that would have been sent to non-qualifying devices for destruction through use i during the reporting period in the baseline scenario</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scf</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Estimated at offset project commencement; calculated annually if non-qualifying device continues to operate after project start</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c, m</w:t>
            </w:r>
          </w:p>
        </w:tc>
        <w:tc>
          <w:tcPr>
            <w:tcW w:w="146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The greater of the two values calculated per section 5.2.1(e)</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5.13</w:t>
            </w:r>
          </w:p>
          <w:p w:rsidR="00AD5699" w:rsidRPr="00E01A0A" w:rsidRDefault="00AD5699" w:rsidP="00795CC1">
            <w:pPr>
              <w:pStyle w:val="NoSpacing"/>
              <w:rPr>
                <w:rFonts w:ascii="Arial" w:hAnsi="Arial" w:cs="Arial"/>
                <w:sz w:val="20"/>
                <w:szCs w:val="20"/>
              </w:rPr>
            </w:pPr>
            <w:r w:rsidRPr="00E01A0A">
              <w:rPr>
                <w:rFonts w:ascii="Arial" w:hAnsi="Arial" w:cs="Arial"/>
                <w:sz w:val="20"/>
                <w:szCs w:val="20"/>
              </w:rPr>
              <w:t>5.14</w:t>
            </w:r>
          </w:p>
          <w:p w:rsidR="00AD5699" w:rsidRDefault="00AD5699" w:rsidP="00795CC1">
            <w:pPr>
              <w:pStyle w:val="NoSpacing"/>
              <w:rPr>
                <w:rFonts w:ascii="Arial" w:hAnsi="Arial" w:cs="Arial"/>
                <w:sz w:val="20"/>
                <w:szCs w:val="20"/>
              </w:rPr>
            </w:pPr>
            <w:r w:rsidRPr="00E01A0A">
              <w:rPr>
                <w:rFonts w:ascii="Arial" w:hAnsi="Arial" w:cs="Arial"/>
                <w:sz w:val="20"/>
                <w:szCs w:val="20"/>
              </w:rPr>
              <w:t>5.19</w:t>
            </w:r>
          </w:p>
          <w:p w:rsidR="0082069A" w:rsidRPr="00E01A0A" w:rsidRDefault="0082069A" w:rsidP="00795CC1">
            <w:pPr>
              <w:pStyle w:val="NoSpacing"/>
              <w:rPr>
                <w:rFonts w:ascii="Arial" w:hAnsi="Arial" w:cs="Arial"/>
                <w:sz w:val="20"/>
                <w:szCs w:val="20"/>
              </w:rPr>
            </w:pPr>
            <w:r>
              <w:rPr>
                <w:rFonts w:ascii="Arial" w:hAnsi="Arial" w:cs="Arial"/>
                <w:sz w:val="20"/>
                <w:szCs w:val="20"/>
              </w:rPr>
              <w:t>5.20</w:t>
            </w:r>
          </w:p>
        </w:tc>
        <w:tc>
          <w:tcPr>
            <w:tcW w:w="1392" w:type="dxa"/>
          </w:tcPr>
          <w:p w:rsidR="00AD5699" w:rsidRPr="00E01A0A" w:rsidRDefault="00AD5699" w:rsidP="00795CC1">
            <w:pPr>
              <w:pStyle w:val="NoSpacing"/>
              <w:rPr>
                <w:rFonts w:ascii="Arial" w:hAnsi="Arial" w:cs="Arial"/>
                <w:sz w:val="20"/>
                <w:szCs w:val="20"/>
                <w:vertAlign w:val="subscript"/>
                <w:lang w:val="en-GB"/>
              </w:rPr>
            </w:pPr>
            <w:r w:rsidRPr="00E01A0A">
              <w:rPr>
                <w:rFonts w:ascii="Arial" w:hAnsi="Arial" w:cs="Arial"/>
                <w:sz w:val="20"/>
                <w:szCs w:val="20"/>
                <w:lang w:val="en-GB"/>
              </w:rPr>
              <w:t>C</w:t>
            </w:r>
            <w:r w:rsidRPr="00E01A0A">
              <w:rPr>
                <w:rFonts w:ascii="Arial" w:hAnsi="Arial" w:cs="Arial"/>
                <w:sz w:val="20"/>
                <w:szCs w:val="20"/>
                <w:vertAlign w:val="subscript"/>
                <w:lang w:val="en-GB"/>
              </w:rPr>
              <w:t>CH4</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lang w:val="en-GB"/>
              </w:rPr>
              <w:t>Measured methane concentration of mine gas captured from methane source</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lang w:val="en-GB"/>
              </w:rPr>
              <w:t>scf CH</w:t>
            </w:r>
            <w:r w:rsidRPr="00E01A0A">
              <w:rPr>
                <w:rFonts w:ascii="Arial" w:hAnsi="Arial" w:cs="Arial"/>
                <w:sz w:val="20"/>
                <w:szCs w:val="20"/>
                <w:vertAlign w:val="subscript"/>
                <w:lang w:val="en-GB"/>
              </w:rPr>
              <w:t xml:space="preserve">4 </w:t>
            </w:r>
            <w:r w:rsidRPr="00E01A0A">
              <w:rPr>
                <w:rFonts w:ascii="Arial" w:hAnsi="Arial" w:cs="Arial"/>
                <w:sz w:val="20"/>
                <w:szCs w:val="20"/>
                <w:lang w:val="en-GB"/>
              </w:rPr>
              <w:t>/ scf</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Continuously</w:t>
            </w:r>
          </w:p>
        </w:tc>
        <w:tc>
          <w:tcPr>
            <w:tcW w:w="1706" w:type="dxa"/>
          </w:tcPr>
          <w:p w:rsidR="00AD5699" w:rsidRPr="00E01A0A" w:rsidRDefault="00AD5699" w:rsidP="0082069A">
            <w:pPr>
              <w:pStyle w:val="NoSpacing"/>
              <w:rPr>
                <w:rFonts w:ascii="Arial" w:hAnsi="Arial" w:cs="Arial"/>
                <w:sz w:val="20"/>
                <w:szCs w:val="20"/>
              </w:rPr>
            </w:pPr>
            <w:r w:rsidRPr="00E01A0A">
              <w:rPr>
                <w:rFonts w:ascii="Arial" w:hAnsi="Arial" w:cs="Arial"/>
                <w:sz w:val="20"/>
                <w:szCs w:val="20"/>
              </w:rPr>
              <w:t>m, c</w:t>
            </w:r>
            <w:r w:rsidR="0082069A" w:rsidRPr="00720D9E">
              <w:rPr>
                <w:i/>
              </w:rPr>
              <w:t xml:space="preserve"> </w:t>
            </w:r>
          </w:p>
        </w:tc>
        <w:tc>
          <w:tcPr>
            <w:tcW w:w="146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Readings taken every two minutes to calculate average methane concentration per hour. Readings and application in equations must be done independently for each methane source</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lastRenderedPageBreak/>
              <w:t>5.14</w:t>
            </w:r>
          </w:p>
          <w:p w:rsidR="00AD5699" w:rsidRDefault="00AD5699" w:rsidP="00795CC1">
            <w:pPr>
              <w:pStyle w:val="NoSpacing"/>
              <w:rPr>
                <w:rFonts w:ascii="Arial" w:hAnsi="Arial" w:cs="Arial"/>
                <w:sz w:val="20"/>
                <w:szCs w:val="20"/>
              </w:rPr>
            </w:pPr>
            <w:r w:rsidRPr="00E01A0A">
              <w:rPr>
                <w:rFonts w:ascii="Arial" w:hAnsi="Arial" w:cs="Arial"/>
                <w:sz w:val="20"/>
                <w:szCs w:val="20"/>
              </w:rPr>
              <w:t>5.19</w:t>
            </w:r>
          </w:p>
          <w:p w:rsidR="0082069A" w:rsidRPr="00E01A0A" w:rsidRDefault="0082069A" w:rsidP="00795CC1">
            <w:pPr>
              <w:pStyle w:val="NoSpacing"/>
              <w:rPr>
                <w:rFonts w:ascii="Arial" w:hAnsi="Arial" w:cs="Arial"/>
                <w:sz w:val="20"/>
                <w:szCs w:val="20"/>
              </w:rPr>
            </w:pPr>
            <w:r>
              <w:rPr>
                <w:rFonts w:ascii="Arial" w:hAnsi="Arial" w:cs="Arial"/>
                <w:sz w:val="20"/>
                <w:szCs w:val="20"/>
              </w:rPr>
              <w:t>5.20</w:t>
            </w: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PIB</w:t>
            </w:r>
            <w:r w:rsidRPr="00E01A0A">
              <w:rPr>
                <w:rFonts w:ascii="Arial" w:hAnsi="Arial" w:cs="Arial"/>
                <w:sz w:val="20"/>
                <w:szCs w:val="20"/>
                <w:vertAlign w:val="subscript"/>
              </w:rPr>
              <w:t>P,i</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 of MG from pre-mining in-mine boreholes sent to qualifying and non-qualifying devices for destruction through use i during the reporting period</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scf</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Every reporting period</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w:t>
            </w:r>
          </w:p>
        </w:tc>
        <w:tc>
          <w:tcPr>
            <w:tcW w:w="1462" w:type="dxa"/>
          </w:tcPr>
          <w:p w:rsidR="00AD5699" w:rsidRPr="00E01A0A" w:rsidRDefault="00AD5699" w:rsidP="0082069A">
            <w:pPr>
              <w:pStyle w:val="NoSpacing"/>
              <w:rPr>
                <w:rFonts w:ascii="Arial" w:hAnsi="Arial" w:cs="Arial"/>
                <w:sz w:val="20"/>
                <w:szCs w:val="20"/>
              </w:rPr>
            </w:pPr>
            <w:r w:rsidRPr="00E01A0A">
              <w:rPr>
                <w:rFonts w:ascii="Arial" w:hAnsi="Arial" w:cs="Arial"/>
                <w:sz w:val="20"/>
                <w:szCs w:val="20"/>
              </w:rPr>
              <w:t>Adjusted, if applicable, to STP using Equation 5.</w:t>
            </w:r>
            <w:r w:rsidR="0082069A">
              <w:rPr>
                <w:rFonts w:ascii="Arial" w:hAnsi="Arial" w:cs="Arial"/>
                <w:sz w:val="20"/>
                <w:szCs w:val="20"/>
              </w:rPr>
              <w:t>21</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5.14</w:t>
            </w:r>
          </w:p>
          <w:p w:rsidR="00AD5699" w:rsidRDefault="00AD5699" w:rsidP="00795CC1">
            <w:pPr>
              <w:pStyle w:val="NoSpacing"/>
              <w:rPr>
                <w:rFonts w:ascii="Arial" w:hAnsi="Arial" w:cs="Arial"/>
                <w:sz w:val="20"/>
                <w:szCs w:val="20"/>
              </w:rPr>
            </w:pPr>
            <w:r w:rsidRPr="00E01A0A">
              <w:rPr>
                <w:rFonts w:ascii="Arial" w:hAnsi="Arial" w:cs="Arial"/>
                <w:sz w:val="20"/>
                <w:szCs w:val="20"/>
              </w:rPr>
              <w:t>5.19</w:t>
            </w:r>
          </w:p>
          <w:p w:rsidR="0082069A" w:rsidRPr="00E01A0A" w:rsidRDefault="0082069A" w:rsidP="00795CC1">
            <w:pPr>
              <w:pStyle w:val="NoSpacing"/>
              <w:rPr>
                <w:rFonts w:ascii="Arial" w:hAnsi="Arial" w:cs="Arial"/>
                <w:sz w:val="20"/>
                <w:szCs w:val="20"/>
              </w:rPr>
            </w:pPr>
            <w:r>
              <w:rPr>
                <w:rFonts w:ascii="Arial" w:hAnsi="Arial" w:cs="Arial"/>
                <w:sz w:val="20"/>
                <w:szCs w:val="20"/>
              </w:rPr>
              <w:t>5.20</w:t>
            </w: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PGW</w:t>
            </w:r>
            <w:r w:rsidRPr="00E01A0A">
              <w:rPr>
                <w:rFonts w:ascii="Arial" w:hAnsi="Arial" w:cs="Arial"/>
                <w:sz w:val="20"/>
                <w:szCs w:val="20"/>
                <w:vertAlign w:val="subscript"/>
              </w:rPr>
              <w:t>P,i</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 of MG from post-mining gob wells sent to qualifying and non-qualifying devices for destruction through use i during the reporting period</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scf</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Every reporting period</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w:t>
            </w:r>
          </w:p>
        </w:tc>
        <w:tc>
          <w:tcPr>
            <w:tcW w:w="1462" w:type="dxa"/>
          </w:tcPr>
          <w:p w:rsidR="00AD5699" w:rsidRPr="00E01A0A" w:rsidRDefault="00AD5699" w:rsidP="0082069A">
            <w:pPr>
              <w:pStyle w:val="NoSpacing"/>
              <w:rPr>
                <w:rFonts w:ascii="Arial" w:hAnsi="Arial" w:cs="Arial"/>
                <w:sz w:val="20"/>
                <w:szCs w:val="20"/>
              </w:rPr>
            </w:pPr>
            <w:r w:rsidRPr="00E01A0A">
              <w:rPr>
                <w:rFonts w:ascii="Arial" w:hAnsi="Arial" w:cs="Arial"/>
                <w:sz w:val="20"/>
                <w:szCs w:val="20"/>
              </w:rPr>
              <w:t>Adjusted, if applicable, to STP using Equation 5.</w:t>
            </w:r>
            <w:r w:rsidR="0082069A">
              <w:rPr>
                <w:rFonts w:ascii="Arial" w:hAnsi="Arial" w:cs="Arial"/>
                <w:sz w:val="20"/>
                <w:szCs w:val="20"/>
              </w:rPr>
              <w:t>21</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5.14</w:t>
            </w:r>
          </w:p>
          <w:p w:rsidR="00AD5699" w:rsidRPr="00E01A0A" w:rsidRDefault="00AD5699" w:rsidP="00795CC1">
            <w:pPr>
              <w:pStyle w:val="NoSpacing"/>
              <w:rPr>
                <w:rFonts w:ascii="Arial" w:hAnsi="Arial" w:cs="Arial"/>
                <w:sz w:val="20"/>
                <w:szCs w:val="20"/>
              </w:rPr>
            </w:pP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PSWnqd</w:t>
            </w:r>
            <w:r w:rsidRPr="00E01A0A">
              <w:rPr>
                <w:rFonts w:ascii="Arial" w:hAnsi="Arial" w:cs="Arial"/>
                <w:sz w:val="20"/>
                <w:szCs w:val="20"/>
                <w:vertAlign w:val="subscript"/>
              </w:rPr>
              <w:t>i</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 of MG from pre-mining surface wells sent to non-qualifying devices for destruction through use i during the reporting period</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scf</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Every reporting period</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w:t>
            </w:r>
          </w:p>
        </w:tc>
        <w:tc>
          <w:tcPr>
            <w:tcW w:w="1462" w:type="dxa"/>
          </w:tcPr>
          <w:p w:rsidR="00AD5699" w:rsidRPr="00E01A0A" w:rsidRDefault="00AD5699" w:rsidP="0082069A">
            <w:pPr>
              <w:pStyle w:val="NoSpacing"/>
              <w:rPr>
                <w:rFonts w:ascii="Arial" w:hAnsi="Arial" w:cs="Arial"/>
                <w:sz w:val="20"/>
                <w:szCs w:val="20"/>
              </w:rPr>
            </w:pPr>
            <w:r w:rsidRPr="00E01A0A">
              <w:rPr>
                <w:rFonts w:ascii="Arial" w:hAnsi="Arial" w:cs="Arial"/>
                <w:sz w:val="20"/>
                <w:szCs w:val="20"/>
              </w:rPr>
              <w:t>Adjusted, if applicable, to STP using Equation 5.</w:t>
            </w:r>
            <w:r w:rsidR="0082069A">
              <w:rPr>
                <w:rFonts w:ascii="Arial" w:hAnsi="Arial" w:cs="Arial"/>
                <w:sz w:val="20"/>
                <w:szCs w:val="20"/>
              </w:rPr>
              <w:t>21</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5.15</w:t>
            </w:r>
          </w:p>
          <w:p w:rsidR="00AD5699" w:rsidRPr="00E01A0A" w:rsidRDefault="00AD5699" w:rsidP="00795CC1">
            <w:pPr>
              <w:pStyle w:val="NoSpacing"/>
              <w:rPr>
                <w:rFonts w:ascii="Arial" w:hAnsi="Arial" w:cs="Arial"/>
                <w:sz w:val="20"/>
                <w:szCs w:val="20"/>
              </w:rPr>
            </w:pP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PSWe</w:t>
            </w:r>
            <w:r w:rsidRPr="00E01A0A">
              <w:rPr>
                <w:rFonts w:ascii="Arial" w:hAnsi="Arial" w:cs="Arial"/>
                <w:sz w:val="20"/>
                <w:szCs w:val="20"/>
                <w:vertAlign w:val="subscript"/>
              </w:rPr>
              <w:t>pre,i</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 of MG destroyed by qualifying destruction devices, from the offset project commencement date through the end of the current reporting period, captured from pre-mining surface wells that were mined through during the current reporting period</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scf</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Every reporting period</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w:t>
            </w:r>
          </w:p>
        </w:tc>
        <w:tc>
          <w:tcPr>
            <w:tcW w:w="1462" w:type="dxa"/>
          </w:tcPr>
          <w:p w:rsidR="00AD5699" w:rsidRPr="00E01A0A" w:rsidRDefault="00AD5699" w:rsidP="0082069A">
            <w:pPr>
              <w:pStyle w:val="NoSpacing"/>
              <w:rPr>
                <w:rFonts w:ascii="Arial" w:hAnsi="Arial" w:cs="Arial"/>
                <w:sz w:val="20"/>
                <w:szCs w:val="20"/>
              </w:rPr>
            </w:pPr>
            <w:r w:rsidRPr="00E01A0A">
              <w:rPr>
                <w:rFonts w:ascii="Arial" w:hAnsi="Arial" w:cs="Arial"/>
                <w:sz w:val="20"/>
                <w:szCs w:val="20"/>
              </w:rPr>
              <w:t>Adjusted, if applicable, to STP using Equation 5.</w:t>
            </w:r>
            <w:r w:rsidR="0082069A">
              <w:rPr>
                <w:rFonts w:ascii="Arial" w:hAnsi="Arial" w:cs="Arial"/>
                <w:sz w:val="20"/>
                <w:szCs w:val="20"/>
              </w:rPr>
              <w:t>21</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lastRenderedPageBreak/>
              <w:t>5.15</w:t>
            </w:r>
          </w:p>
          <w:p w:rsidR="00AD5699" w:rsidRPr="00E01A0A" w:rsidRDefault="00AD5699" w:rsidP="00795CC1">
            <w:pPr>
              <w:pStyle w:val="NoSpacing"/>
              <w:rPr>
                <w:rFonts w:ascii="Arial" w:hAnsi="Arial" w:cs="Arial"/>
                <w:sz w:val="20"/>
                <w:szCs w:val="20"/>
              </w:rPr>
            </w:pP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PSWe</w:t>
            </w:r>
            <w:r w:rsidRPr="00E01A0A">
              <w:rPr>
                <w:rFonts w:ascii="Arial" w:hAnsi="Arial" w:cs="Arial"/>
                <w:sz w:val="20"/>
                <w:szCs w:val="20"/>
                <w:vertAlign w:val="subscript"/>
              </w:rPr>
              <w:t>post,i</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 of MG destroyed by qualifying destruction devices in the current reporting period captured from pre-mining surface wells that were mined through during earlier reporting periods</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scf</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Every reporting period</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w:t>
            </w:r>
          </w:p>
        </w:tc>
        <w:tc>
          <w:tcPr>
            <w:tcW w:w="1462" w:type="dxa"/>
          </w:tcPr>
          <w:p w:rsidR="00AD5699" w:rsidRPr="00E01A0A" w:rsidRDefault="00AD5699" w:rsidP="0082069A">
            <w:pPr>
              <w:pStyle w:val="NoSpacing"/>
              <w:rPr>
                <w:rFonts w:ascii="Arial" w:hAnsi="Arial" w:cs="Arial"/>
                <w:sz w:val="20"/>
                <w:szCs w:val="20"/>
              </w:rPr>
            </w:pPr>
            <w:r w:rsidRPr="00E01A0A">
              <w:rPr>
                <w:rFonts w:ascii="Arial" w:hAnsi="Arial" w:cs="Arial"/>
                <w:sz w:val="20"/>
                <w:szCs w:val="20"/>
              </w:rPr>
              <w:t>Adjusted, if applicable, to STP using Equation 5.</w:t>
            </w:r>
            <w:r w:rsidR="0082069A">
              <w:rPr>
                <w:rFonts w:ascii="Arial" w:hAnsi="Arial" w:cs="Arial"/>
                <w:sz w:val="20"/>
                <w:szCs w:val="20"/>
              </w:rPr>
              <w:t>21</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5.17</w:t>
            </w:r>
          </w:p>
          <w:p w:rsidR="00AD5699" w:rsidRPr="00E01A0A" w:rsidRDefault="00AD5699" w:rsidP="00795CC1">
            <w:pPr>
              <w:pStyle w:val="NoSpacing"/>
              <w:rPr>
                <w:rFonts w:ascii="Arial" w:hAnsi="Arial" w:cs="Arial"/>
                <w:sz w:val="20"/>
                <w:szCs w:val="20"/>
              </w:rPr>
            </w:pP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CONS</w:t>
            </w:r>
            <w:r w:rsidRPr="00E01A0A">
              <w:rPr>
                <w:rFonts w:ascii="Arial" w:hAnsi="Arial" w:cs="Arial"/>
                <w:sz w:val="20"/>
                <w:szCs w:val="20"/>
                <w:vertAlign w:val="subscript"/>
              </w:rPr>
              <w:t>ELEC</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 xml:space="preserve">Additional electricity consumption for the capture and destruction of methane during the reporting period </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MWh</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Every reporting period</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o</w:t>
            </w:r>
          </w:p>
        </w:tc>
        <w:tc>
          <w:tcPr>
            <w:tcW w:w="146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From electricity use records</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5.17</w:t>
            </w:r>
          </w:p>
          <w:p w:rsidR="00AD5699" w:rsidRPr="00E01A0A" w:rsidRDefault="00AD5699" w:rsidP="00795CC1">
            <w:pPr>
              <w:pStyle w:val="NoSpacing"/>
              <w:rPr>
                <w:rFonts w:ascii="Arial" w:hAnsi="Arial" w:cs="Arial"/>
                <w:sz w:val="20"/>
                <w:szCs w:val="20"/>
              </w:rPr>
            </w:pP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CONS</w:t>
            </w:r>
            <w:r w:rsidRPr="00E01A0A">
              <w:rPr>
                <w:rFonts w:ascii="Arial" w:hAnsi="Arial" w:cs="Arial"/>
                <w:sz w:val="20"/>
                <w:szCs w:val="20"/>
                <w:vertAlign w:val="subscript"/>
              </w:rPr>
              <w:t>HEAT</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 xml:space="preserve">Additional heat consumption for the capture and destruction of methane during the reporting period </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Every reporting period</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o</w:t>
            </w:r>
          </w:p>
        </w:tc>
        <w:tc>
          <w:tcPr>
            <w:tcW w:w="146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From purchased heat records</w:t>
            </w:r>
          </w:p>
        </w:tc>
      </w:tr>
      <w:tr w:rsidR="00AD5699" w:rsidRPr="00E01A0A" w:rsidTr="00795CC1">
        <w:trPr>
          <w:cantSplit/>
        </w:trPr>
        <w:tc>
          <w:tcPr>
            <w:tcW w:w="6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5.17</w:t>
            </w:r>
          </w:p>
          <w:p w:rsidR="00AD5699" w:rsidRPr="00E01A0A" w:rsidRDefault="00AD5699" w:rsidP="00795CC1">
            <w:pPr>
              <w:pStyle w:val="NoSpacing"/>
              <w:rPr>
                <w:rFonts w:ascii="Arial" w:hAnsi="Arial" w:cs="Arial"/>
                <w:sz w:val="20"/>
                <w:szCs w:val="20"/>
              </w:rPr>
            </w:pP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CONS</w:t>
            </w:r>
            <w:r w:rsidRPr="00E01A0A">
              <w:rPr>
                <w:rFonts w:ascii="Arial" w:hAnsi="Arial" w:cs="Arial"/>
                <w:sz w:val="20"/>
                <w:szCs w:val="20"/>
                <w:vertAlign w:val="subscript"/>
              </w:rPr>
              <w:t>FF</w:t>
            </w: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Additional fossil fuel consumption for the capture and destruction of methane during the reporting period</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Every reporting period</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o</w:t>
            </w:r>
          </w:p>
        </w:tc>
        <w:tc>
          <w:tcPr>
            <w:tcW w:w="146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From fuel use records</w:t>
            </w:r>
          </w:p>
        </w:tc>
      </w:tr>
      <w:tr w:rsidR="00AD5699" w:rsidRPr="00E01A0A" w:rsidTr="00795CC1">
        <w:trPr>
          <w:cantSplit/>
        </w:trPr>
        <w:tc>
          <w:tcPr>
            <w:tcW w:w="606" w:type="dxa"/>
          </w:tcPr>
          <w:p w:rsidR="00AD5699" w:rsidRDefault="00AD5699" w:rsidP="00795CC1">
            <w:pPr>
              <w:pStyle w:val="NoSpacing"/>
              <w:rPr>
                <w:rFonts w:ascii="Arial" w:hAnsi="Arial" w:cs="Arial"/>
                <w:sz w:val="20"/>
                <w:szCs w:val="20"/>
              </w:rPr>
            </w:pPr>
            <w:r w:rsidRPr="00E01A0A">
              <w:rPr>
                <w:rFonts w:ascii="Arial" w:hAnsi="Arial" w:cs="Arial"/>
                <w:sz w:val="20"/>
                <w:szCs w:val="20"/>
              </w:rPr>
              <w:t>5.19</w:t>
            </w:r>
          </w:p>
          <w:p w:rsidR="0082069A" w:rsidRPr="00E01A0A" w:rsidRDefault="0082069A" w:rsidP="00795CC1">
            <w:pPr>
              <w:pStyle w:val="NoSpacing"/>
              <w:rPr>
                <w:rFonts w:ascii="Arial" w:hAnsi="Arial" w:cs="Arial"/>
                <w:sz w:val="20"/>
                <w:szCs w:val="20"/>
              </w:rPr>
            </w:pPr>
            <w:r>
              <w:rPr>
                <w:rFonts w:ascii="Arial" w:hAnsi="Arial" w:cs="Arial"/>
                <w:sz w:val="20"/>
                <w:szCs w:val="20"/>
              </w:rPr>
              <w:t>5.20</w:t>
            </w:r>
          </w:p>
        </w:tc>
        <w:tc>
          <w:tcPr>
            <w:tcW w:w="139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PSW</w:t>
            </w:r>
            <w:r w:rsidRPr="00E01A0A">
              <w:rPr>
                <w:rFonts w:ascii="Arial" w:hAnsi="Arial" w:cs="Arial"/>
                <w:sz w:val="20"/>
                <w:szCs w:val="20"/>
                <w:vertAlign w:val="subscript"/>
              </w:rPr>
              <w:t>P,all</w:t>
            </w:r>
            <w:r w:rsidRPr="00E01A0A">
              <w:rPr>
                <w:rFonts w:ascii="Arial" w:hAnsi="Arial" w:cs="Arial"/>
                <w:sz w:val="20"/>
                <w:szCs w:val="20"/>
              </w:rPr>
              <w:t>,</w:t>
            </w:r>
            <w:r w:rsidRPr="00E01A0A">
              <w:rPr>
                <w:rFonts w:ascii="Arial" w:hAnsi="Arial" w:cs="Arial"/>
                <w:sz w:val="20"/>
                <w:szCs w:val="20"/>
                <w:vertAlign w:val="subscript"/>
              </w:rPr>
              <w:t>i</w:t>
            </w: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Volume of MG from pre-mining surface wells captured and destroyed by qualifying and non-qualifying devices through use i during the reporting period.  For qualifying devices, all MG, whether from a mined through well or not must be quantified</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scf</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Every reporting period</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w:t>
            </w:r>
          </w:p>
        </w:tc>
        <w:tc>
          <w:tcPr>
            <w:tcW w:w="1462" w:type="dxa"/>
          </w:tcPr>
          <w:p w:rsidR="00AD5699" w:rsidRPr="00E01A0A" w:rsidRDefault="00AD5699" w:rsidP="0082069A">
            <w:pPr>
              <w:pStyle w:val="NoSpacing"/>
              <w:rPr>
                <w:rFonts w:ascii="Arial" w:hAnsi="Arial" w:cs="Arial"/>
                <w:sz w:val="20"/>
                <w:szCs w:val="20"/>
              </w:rPr>
            </w:pPr>
            <w:r w:rsidRPr="00E01A0A">
              <w:rPr>
                <w:rFonts w:ascii="Arial" w:hAnsi="Arial" w:cs="Arial"/>
                <w:sz w:val="20"/>
                <w:szCs w:val="20"/>
              </w:rPr>
              <w:t>Adjusted, if applicable, to STP using Equation 5.</w:t>
            </w:r>
            <w:r w:rsidR="0082069A">
              <w:rPr>
                <w:rFonts w:ascii="Arial" w:hAnsi="Arial" w:cs="Arial"/>
                <w:sz w:val="20"/>
                <w:szCs w:val="20"/>
              </w:rPr>
              <w:t>21</w:t>
            </w:r>
          </w:p>
        </w:tc>
      </w:tr>
      <w:tr w:rsidR="00AD5699" w:rsidRPr="00E01A0A" w:rsidTr="00795CC1">
        <w:trPr>
          <w:cantSplit/>
        </w:trPr>
        <w:tc>
          <w:tcPr>
            <w:tcW w:w="606" w:type="dxa"/>
          </w:tcPr>
          <w:p w:rsidR="00AD5699" w:rsidRDefault="00AD5699" w:rsidP="00795CC1">
            <w:pPr>
              <w:pStyle w:val="NoSpacing"/>
              <w:rPr>
                <w:rFonts w:ascii="Arial" w:hAnsi="Arial" w:cs="Arial"/>
                <w:sz w:val="20"/>
                <w:szCs w:val="20"/>
              </w:rPr>
            </w:pPr>
            <w:r w:rsidRPr="00E01A0A">
              <w:rPr>
                <w:rFonts w:ascii="Arial" w:hAnsi="Arial" w:cs="Arial"/>
                <w:sz w:val="20"/>
                <w:szCs w:val="20"/>
              </w:rPr>
              <w:lastRenderedPageBreak/>
              <w:t>5.19</w:t>
            </w:r>
          </w:p>
          <w:p w:rsidR="0082069A" w:rsidRPr="00E01A0A" w:rsidRDefault="0082069A" w:rsidP="00795CC1">
            <w:pPr>
              <w:pStyle w:val="NoSpacing"/>
              <w:rPr>
                <w:rFonts w:ascii="Arial" w:hAnsi="Arial" w:cs="Arial"/>
                <w:sz w:val="20"/>
                <w:szCs w:val="20"/>
              </w:rPr>
            </w:pPr>
            <w:r>
              <w:rPr>
                <w:rFonts w:ascii="Arial" w:hAnsi="Arial" w:cs="Arial"/>
                <w:sz w:val="20"/>
                <w:szCs w:val="20"/>
              </w:rPr>
              <w:t>5.20</w:t>
            </w:r>
          </w:p>
          <w:p w:rsidR="00AD5699" w:rsidRPr="00E01A0A" w:rsidRDefault="00AD5699" w:rsidP="00795CC1">
            <w:pPr>
              <w:pStyle w:val="NoSpacing"/>
              <w:rPr>
                <w:rFonts w:ascii="Arial" w:hAnsi="Arial" w:cs="Arial"/>
                <w:sz w:val="20"/>
                <w:szCs w:val="20"/>
              </w:rPr>
            </w:pP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DE</w:t>
            </w:r>
            <w:r w:rsidRPr="00E01A0A">
              <w:rPr>
                <w:rFonts w:ascii="Arial" w:hAnsi="Arial" w:cs="Arial"/>
                <w:sz w:val="20"/>
                <w:szCs w:val="20"/>
                <w:vertAlign w:val="subscript"/>
              </w:rPr>
              <w:t>i</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Efficiency of methane destruction device i</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Annually</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r or m</w:t>
            </w:r>
          </w:p>
        </w:tc>
        <w:tc>
          <w:tcPr>
            <w:tcW w:w="146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Default methane destruction efficiencies provided in Appendix B or site-specific methane destruction efficiencies determined using an ARB methodology</w:t>
            </w:r>
          </w:p>
        </w:tc>
      </w:tr>
      <w:tr w:rsidR="0082069A" w:rsidRPr="00E01A0A" w:rsidTr="00795CC1">
        <w:trPr>
          <w:cantSplit/>
        </w:trPr>
        <w:tc>
          <w:tcPr>
            <w:tcW w:w="606" w:type="dxa"/>
          </w:tcPr>
          <w:p w:rsidR="0082069A" w:rsidRDefault="0082069A" w:rsidP="00795CC1">
            <w:pPr>
              <w:pStyle w:val="NoSpacing"/>
              <w:rPr>
                <w:rFonts w:ascii="Arial" w:hAnsi="Arial" w:cs="Arial"/>
                <w:sz w:val="20"/>
                <w:szCs w:val="20"/>
              </w:rPr>
            </w:pPr>
            <w:r w:rsidRPr="0082069A">
              <w:rPr>
                <w:rFonts w:ascii="Arial" w:hAnsi="Arial" w:cs="Arial"/>
                <w:sz w:val="20"/>
                <w:szCs w:val="20"/>
              </w:rPr>
              <w:t>5.19</w:t>
            </w:r>
          </w:p>
          <w:p w:rsidR="006756CF" w:rsidRPr="0082069A" w:rsidRDefault="006756CF" w:rsidP="00795CC1">
            <w:pPr>
              <w:pStyle w:val="NoSpacing"/>
              <w:rPr>
                <w:rFonts w:ascii="Arial" w:hAnsi="Arial" w:cs="Arial"/>
                <w:sz w:val="20"/>
                <w:szCs w:val="20"/>
              </w:rPr>
            </w:pPr>
            <w:r>
              <w:rPr>
                <w:rFonts w:ascii="Arial" w:hAnsi="Arial" w:cs="Arial"/>
                <w:sz w:val="20"/>
                <w:szCs w:val="20"/>
              </w:rPr>
              <w:t>5.20</w:t>
            </w:r>
          </w:p>
        </w:tc>
        <w:tc>
          <w:tcPr>
            <w:tcW w:w="1392" w:type="dxa"/>
          </w:tcPr>
          <w:p w:rsidR="0082069A" w:rsidRPr="0082069A" w:rsidRDefault="0082069A" w:rsidP="00795CC1">
            <w:pPr>
              <w:pStyle w:val="NoSpacing"/>
              <w:rPr>
                <w:rFonts w:ascii="Arial" w:hAnsi="Arial" w:cs="Arial"/>
                <w:sz w:val="20"/>
                <w:szCs w:val="20"/>
              </w:rPr>
            </w:pPr>
            <w:r w:rsidRPr="0082069A">
              <w:rPr>
                <w:rFonts w:ascii="Arial" w:hAnsi="Arial" w:cs="Arial"/>
                <w:sz w:val="20"/>
                <w:szCs w:val="20"/>
              </w:rPr>
              <w:t>MG</w:t>
            </w:r>
            <w:r w:rsidRPr="0082069A">
              <w:rPr>
                <w:rFonts w:ascii="Arial" w:hAnsi="Arial" w:cs="Arial"/>
                <w:sz w:val="20"/>
                <w:szCs w:val="20"/>
                <w:vertAlign w:val="subscript"/>
              </w:rPr>
              <w:t>SUPP,i</w:t>
            </w:r>
          </w:p>
        </w:tc>
        <w:tc>
          <w:tcPr>
            <w:tcW w:w="1829" w:type="dxa"/>
          </w:tcPr>
          <w:p w:rsidR="0082069A" w:rsidRPr="0082069A" w:rsidRDefault="0082069A" w:rsidP="00795CC1">
            <w:pPr>
              <w:pStyle w:val="NoSpacing"/>
              <w:rPr>
                <w:rFonts w:ascii="Arial" w:hAnsi="Arial" w:cs="Arial"/>
                <w:sz w:val="20"/>
                <w:szCs w:val="20"/>
              </w:rPr>
            </w:pPr>
            <w:r w:rsidRPr="0082069A">
              <w:rPr>
                <w:rFonts w:ascii="Arial" w:hAnsi="Arial" w:cs="Arial"/>
                <w:sz w:val="20"/>
                <w:szCs w:val="20"/>
              </w:rPr>
              <w:t>Volume of mine methane extracted from a methane drainage system and combusted with VAM</w:t>
            </w:r>
          </w:p>
        </w:tc>
        <w:tc>
          <w:tcPr>
            <w:tcW w:w="1021" w:type="dxa"/>
          </w:tcPr>
          <w:p w:rsidR="0082069A" w:rsidRPr="00C9246C" w:rsidRDefault="0082069A" w:rsidP="00795CC1">
            <w:pPr>
              <w:pStyle w:val="NoSpacing"/>
              <w:rPr>
                <w:rFonts w:ascii="Arial" w:hAnsi="Arial" w:cs="Arial"/>
                <w:sz w:val="20"/>
                <w:szCs w:val="20"/>
              </w:rPr>
            </w:pPr>
            <w:r w:rsidRPr="00C9246C">
              <w:rPr>
                <w:rFonts w:ascii="Arial" w:hAnsi="Arial" w:cs="Arial"/>
                <w:sz w:val="20"/>
                <w:szCs w:val="20"/>
              </w:rPr>
              <w:t>scf</w:t>
            </w:r>
          </w:p>
        </w:tc>
        <w:tc>
          <w:tcPr>
            <w:tcW w:w="1560" w:type="dxa"/>
          </w:tcPr>
          <w:p w:rsidR="0082069A" w:rsidRPr="00C9246C" w:rsidRDefault="0082069A" w:rsidP="00795CC1">
            <w:pPr>
              <w:pStyle w:val="NoSpacing"/>
              <w:rPr>
                <w:rFonts w:ascii="Arial" w:hAnsi="Arial" w:cs="Arial"/>
                <w:sz w:val="20"/>
                <w:szCs w:val="20"/>
              </w:rPr>
            </w:pPr>
            <w:r w:rsidRPr="00C9246C">
              <w:rPr>
                <w:rFonts w:ascii="Arial" w:hAnsi="Arial" w:cs="Arial"/>
                <w:sz w:val="20"/>
                <w:szCs w:val="20"/>
              </w:rPr>
              <w:t>Every reporting period</w:t>
            </w:r>
          </w:p>
        </w:tc>
        <w:tc>
          <w:tcPr>
            <w:tcW w:w="1706" w:type="dxa"/>
          </w:tcPr>
          <w:p w:rsidR="0082069A" w:rsidRPr="00C9246C" w:rsidRDefault="0082069A" w:rsidP="00795CC1">
            <w:pPr>
              <w:pStyle w:val="NoSpacing"/>
              <w:rPr>
                <w:rFonts w:ascii="Arial" w:hAnsi="Arial" w:cs="Arial"/>
                <w:sz w:val="20"/>
                <w:szCs w:val="20"/>
              </w:rPr>
            </w:pPr>
            <w:r w:rsidRPr="00C9246C">
              <w:rPr>
                <w:rFonts w:ascii="Arial" w:hAnsi="Arial" w:cs="Arial"/>
                <w:sz w:val="20"/>
                <w:szCs w:val="20"/>
              </w:rPr>
              <w:t>m</w:t>
            </w:r>
          </w:p>
        </w:tc>
        <w:tc>
          <w:tcPr>
            <w:tcW w:w="1462" w:type="dxa"/>
          </w:tcPr>
          <w:p w:rsidR="0082069A" w:rsidRPr="00C9246C" w:rsidRDefault="0082069A" w:rsidP="0082069A">
            <w:pPr>
              <w:pStyle w:val="NoSpacing"/>
              <w:rPr>
                <w:rFonts w:ascii="Arial" w:hAnsi="Arial" w:cs="Arial"/>
                <w:sz w:val="20"/>
                <w:szCs w:val="20"/>
              </w:rPr>
            </w:pPr>
            <w:r w:rsidRPr="00C9246C">
              <w:rPr>
                <w:rFonts w:ascii="Arial" w:hAnsi="Arial" w:cs="Arial"/>
                <w:sz w:val="20"/>
                <w:szCs w:val="20"/>
              </w:rPr>
              <w:t>Adjusted if applicable using Equation 5.</w:t>
            </w:r>
            <w:r>
              <w:rPr>
                <w:rFonts w:ascii="Arial" w:hAnsi="Arial" w:cs="Arial"/>
                <w:sz w:val="20"/>
                <w:szCs w:val="20"/>
              </w:rPr>
              <w:t>2</w:t>
            </w:r>
            <w:r w:rsidRPr="00C9246C">
              <w:rPr>
                <w:rFonts w:ascii="Arial" w:hAnsi="Arial" w:cs="Arial"/>
                <w:sz w:val="20"/>
                <w:szCs w:val="20"/>
              </w:rPr>
              <w:t>1</w:t>
            </w:r>
          </w:p>
        </w:tc>
      </w:tr>
      <w:tr w:rsidR="0082069A" w:rsidRPr="00E01A0A" w:rsidTr="00795CC1">
        <w:trPr>
          <w:cantSplit/>
        </w:trPr>
        <w:tc>
          <w:tcPr>
            <w:tcW w:w="606" w:type="dxa"/>
          </w:tcPr>
          <w:p w:rsidR="0082069A" w:rsidRDefault="0082069A" w:rsidP="00795CC1">
            <w:pPr>
              <w:pStyle w:val="NoSpacing"/>
              <w:rPr>
                <w:rFonts w:ascii="Arial" w:hAnsi="Arial" w:cs="Arial"/>
                <w:sz w:val="20"/>
                <w:szCs w:val="20"/>
              </w:rPr>
            </w:pPr>
            <w:r w:rsidRPr="00C9246C">
              <w:rPr>
                <w:rFonts w:ascii="Arial" w:hAnsi="Arial" w:cs="Arial"/>
                <w:sz w:val="20"/>
                <w:szCs w:val="20"/>
              </w:rPr>
              <w:t>5</w:t>
            </w:r>
            <w:r>
              <w:rPr>
                <w:rFonts w:ascii="Arial" w:hAnsi="Arial" w:cs="Arial"/>
                <w:sz w:val="20"/>
                <w:szCs w:val="20"/>
              </w:rPr>
              <w:t>.19</w:t>
            </w:r>
          </w:p>
          <w:p w:rsidR="006756CF" w:rsidRPr="00C9246C" w:rsidRDefault="006756CF" w:rsidP="00795CC1">
            <w:pPr>
              <w:pStyle w:val="NoSpacing"/>
              <w:rPr>
                <w:rFonts w:ascii="Arial" w:hAnsi="Arial" w:cs="Arial"/>
                <w:sz w:val="20"/>
                <w:szCs w:val="20"/>
              </w:rPr>
            </w:pPr>
            <w:r>
              <w:rPr>
                <w:rFonts w:ascii="Arial" w:hAnsi="Arial" w:cs="Arial"/>
                <w:sz w:val="20"/>
                <w:szCs w:val="20"/>
              </w:rPr>
              <w:t>5.20</w:t>
            </w:r>
          </w:p>
          <w:p w:rsidR="0082069A" w:rsidRPr="00C9246C" w:rsidRDefault="0082069A" w:rsidP="00795CC1">
            <w:pPr>
              <w:pStyle w:val="NoSpacing"/>
              <w:rPr>
                <w:rFonts w:ascii="Arial" w:hAnsi="Arial" w:cs="Arial"/>
                <w:sz w:val="20"/>
                <w:szCs w:val="20"/>
              </w:rPr>
            </w:pPr>
          </w:p>
        </w:tc>
        <w:tc>
          <w:tcPr>
            <w:tcW w:w="1392" w:type="dxa"/>
          </w:tcPr>
          <w:p w:rsidR="0082069A" w:rsidRPr="00C9246C" w:rsidRDefault="0082069A" w:rsidP="00795CC1">
            <w:pPr>
              <w:pStyle w:val="NoSpacing"/>
              <w:rPr>
                <w:rFonts w:ascii="Arial" w:hAnsi="Arial" w:cs="Arial"/>
                <w:sz w:val="20"/>
                <w:szCs w:val="20"/>
              </w:rPr>
            </w:pPr>
            <w:r w:rsidRPr="00C9246C">
              <w:rPr>
                <w:rFonts w:ascii="Arial" w:hAnsi="Arial" w:cs="Arial"/>
                <w:sz w:val="20"/>
                <w:szCs w:val="20"/>
                <w:lang w:val="en-GB"/>
              </w:rPr>
              <w:t>C</w:t>
            </w:r>
            <w:r w:rsidRPr="00C9246C">
              <w:rPr>
                <w:rFonts w:ascii="Arial" w:hAnsi="Arial" w:cs="Arial"/>
                <w:sz w:val="20"/>
                <w:szCs w:val="20"/>
                <w:vertAlign w:val="subscript"/>
                <w:lang w:val="en-GB"/>
              </w:rPr>
              <w:t>CH4MG</w:t>
            </w:r>
          </w:p>
        </w:tc>
        <w:tc>
          <w:tcPr>
            <w:tcW w:w="1829" w:type="dxa"/>
          </w:tcPr>
          <w:p w:rsidR="0082069A" w:rsidRPr="00C9246C" w:rsidRDefault="0082069A" w:rsidP="00795CC1">
            <w:pPr>
              <w:pStyle w:val="NoSpacing"/>
              <w:rPr>
                <w:rFonts w:ascii="Arial" w:hAnsi="Arial" w:cs="Arial"/>
                <w:sz w:val="20"/>
                <w:szCs w:val="20"/>
              </w:rPr>
            </w:pPr>
            <w:r w:rsidRPr="00C9246C">
              <w:rPr>
                <w:rFonts w:ascii="Arial" w:hAnsi="Arial" w:cs="Arial"/>
                <w:sz w:val="20"/>
                <w:szCs w:val="20"/>
                <w:lang w:val="en-GB"/>
              </w:rPr>
              <w:t>Measured methane concentration of captured mine gas</w:t>
            </w:r>
          </w:p>
        </w:tc>
        <w:tc>
          <w:tcPr>
            <w:tcW w:w="1021" w:type="dxa"/>
          </w:tcPr>
          <w:p w:rsidR="0082069A" w:rsidRPr="00C9246C" w:rsidRDefault="0082069A" w:rsidP="00795CC1">
            <w:pPr>
              <w:pStyle w:val="NoSpacing"/>
              <w:rPr>
                <w:rFonts w:ascii="Arial" w:hAnsi="Arial" w:cs="Arial"/>
                <w:sz w:val="20"/>
                <w:szCs w:val="20"/>
              </w:rPr>
            </w:pPr>
            <w:r w:rsidRPr="00C9246C">
              <w:rPr>
                <w:rFonts w:ascii="Arial" w:hAnsi="Arial" w:cs="Arial"/>
                <w:sz w:val="20"/>
                <w:szCs w:val="20"/>
                <w:lang w:val="en-GB"/>
              </w:rPr>
              <w:t>scf CH</w:t>
            </w:r>
            <w:r w:rsidRPr="00C9246C">
              <w:rPr>
                <w:rFonts w:ascii="Arial" w:hAnsi="Arial" w:cs="Arial"/>
                <w:sz w:val="20"/>
                <w:szCs w:val="20"/>
                <w:vertAlign w:val="subscript"/>
                <w:lang w:val="en-GB"/>
              </w:rPr>
              <w:t>4</w:t>
            </w:r>
            <w:r>
              <w:rPr>
                <w:rFonts w:ascii="Arial" w:hAnsi="Arial" w:cs="Arial"/>
                <w:sz w:val="20"/>
                <w:szCs w:val="20"/>
                <w:vertAlign w:val="subscript"/>
                <w:lang w:val="en-GB"/>
              </w:rPr>
              <w:t xml:space="preserve"> </w:t>
            </w:r>
            <w:r w:rsidRPr="00C9246C">
              <w:rPr>
                <w:rFonts w:ascii="Arial" w:hAnsi="Arial" w:cs="Arial"/>
                <w:sz w:val="20"/>
                <w:szCs w:val="20"/>
                <w:lang w:val="en-GB"/>
              </w:rPr>
              <w:t>/</w:t>
            </w:r>
            <w:r>
              <w:rPr>
                <w:rFonts w:ascii="Arial" w:hAnsi="Arial" w:cs="Arial"/>
                <w:sz w:val="20"/>
                <w:szCs w:val="20"/>
                <w:lang w:val="en-GB"/>
              </w:rPr>
              <w:t xml:space="preserve"> </w:t>
            </w:r>
            <w:r w:rsidRPr="00C9246C">
              <w:rPr>
                <w:rFonts w:ascii="Arial" w:hAnsi="Arial" w:cs="Arial"/>
                <w:sz w:val="20"/>
                <w:szCs w:val="20"/>
                <w:lang w:val="en-GB"/>
              </w:rPr>
              <w:t>scf</w:t>
            </w:r>
          </w:p>
        </w:tc>
        <w:tc>
          <w:tcPr>
            <w:tcW w:w="1560" w:type="dxa"/>
          </w:tcPr>
          <w:p w:rsidR="0082069A" w:rsidRPr="00C9246C" w:rsidRDefault="0082069A" w:rsidP="00795CC1">
            <w:pPr>
              <w:pStyle w:val="NoSpacing"/>
              <w:rPr>
                <w:rFonts w:ascii="Arial" w:hAnsi="Arial" w:cs="Arial"/>
                <w:sz w:val="20"/>
                <w:szCs w:val="20"/>
              </w:rPr>
            </w:pPr>
            <w:r w:rsidRPr="00C9246C">
              <w:rPr>
                <w:rFonts w:ascii="Arial" w:hAnsi="Arial" w:cs="Arial"/>
                <w:sz w:val="20"/>
                <w:szCs w:val="20"/>
              </w:rPr>
              <w:t>Continuously</w:t>
            </w:r>
          </w:p>
        </w:tc>
        <w:tc>
          <w:tcPr>
            <w:tcW w:w="1706" w:type="dxa"/>
          </w:tcPr>
          <w:p w:rsidR="0082069A" w:rsidRPr="00C9246C" w:rsidRDefault="0082069A" w:rsidP="00795CC1">
            <w:pPr>
              <w:pStyle w:val="NoSpacing"/>
              <w:rPr>
                <w:rFonts w:ascii="Arial" w:hAnsi="Arial" w:cs="Arial"/>
                <w:sz w:val="20"/>
                <w:szCs w:val="20"/>
              </w:rPr>
            </w:pPr>
            <w:r w:rsidRPr="00C9246C">
              <w:rPr>
                <w:rFonts w:ascii="Arial" w:hAnsi="Arial" w:cs="Arial"/>
                <w:sz w:val="20"/>
                <w:szCs w:val="20"/>
              </w:rPr>
              <w:t>m, c</w:t>
            </w:r>
          </w:p>
        </w:tc>
        <w:tc>
          <w:tcPr>
            <w:tcW w:w="1462" w:type="dxa"/>
          </w:tcPr>
          <w:p w:rsidR="0082069A" w:rsidRPr="00C9246C" w:rsidRDefault="0082069A" w:rsidP="00795CC1">
            <w:pPr>
              <w:pStyle w:val="NoSpacing"/>
              <w:rPr>
                <w:rFonts w:ascii="Arial" w:hAnsi="Arial" w:cs="Arial"/>
                <w:sz w:val="20"/>
                <w:szCs w:val="20"/>
              </w:rPr>
            </w:pPr>
            <w:r w:rsidRPr="00C9246C">
              <w:rPr>
                <w:rFonts w:ascii="Arial" w:hAnsi="Arial" w:cs="Arial"/>
                <w:sz w:val="20"/>
                <w:szCs w:val="20"/>
              </w:rPr>
              <w:t>Readings taken every two minutes to calculate average methane concentration per hour</w:t>
            </w:r>
          </w:p>
        </w:tc>
      </w:tr>
      <w:tr w:rsidR="00AD5699" w:rsidRPr="00E01A0A" w:rsidTr="00795CC1">
        <w:trPr>
          <w:cantSplit/>
        </w:trPr>
        <w:tc>
          <w:tcPr>
            <w:tcW w:w="606" w:type="dxa"/>
          </w:tcPr>
          <w:p w:rsidR="00AD5699" w:rsidRPr="00E01A0A" w:rsidRDefault="0082069A" w:rsidP="00795CC1">
            <w:pPr>
              <w:pStyle w:val="NoSpacing"/>
              <w:rPr>
                <w:rFonts w:ascii="Arial" w:hAnsi="Arial" w:cs="Arial"/>
                <w:sz w:val="20"/>
                <w:szCs w:val="20"/>
              </w:rPr>
            </w:pPr>
            <w:r>
              <w:rPr>
                <w:rFonts w:ascii="Arial" w:hAnsi="Arial" w:cs="Arial"/>
                <w:sz w:val="20"/>
                <w:szCs w:val="20"/>
              </w:rPr>
              <w:t>5.21</w:t>
            </w:r>
          </w:p>
        </w:tc>
        <w:tc>
          <w:tcPr>
            <w:tcW w:w="139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MG</w:t>
            </w:r>
            <w:r w:rsidRPr="00E01A0A">
              <w:rPr>
                <w:rFonts w:ascii="Arial" w:hAnsi="Arial" w:cs="Arial"/>
                <w:sz w:val="20"/>
                <w:szCs w:val="20"/>
                <w:vertAlign w:val="subscript"/>
              </w:rPr>
              <w:t>meas,i,y</w:t>
            </w:r>
          </w:p>
          <w:p w:rsidR="00AD5699" w:rsidRPr="00E01A0A" w:rsidRDefault="00AD5699" w:rsidP="00795CC1">
            <w:pPr>
              <w:pStyle w:val="NoSpacing"/>
              <w:rPr>
                <w:rFonts w:ascii="Arial" w:hAnsi="Arial" w:cs="Arial"/>
                <w:sz w:val="20"/>
                <w:szCs w:val="20"/>
              </w:rPr>
            </w:pP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 xml:space="preserve">Measured volume of MG collected for the time interval y at utilization type i </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(scf/unit of time)</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Continuously</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w:t>
            </w:r>
          </w:p>
        </w:tc>
        <w:tc>
          <w:tcPr>
            <w:tcW w:w="146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Adjusted, if applicable, to STP using Equation 5.</w:t>
            </w:r>
            <w:r w:rsidR="0082069A">
              <w:rPr>
                <w:rFonts w:ascii="Arial" w:hAnsi="Arial" w:cs="Arial"/>
                <w:sz w:val="20"/>
                <w:szCs w:val="20"/>
              </w:rPr>
              <w:t>21</w:t>
            </w:r>
          </w:p>
        </w:tc>
      </w:tr>
      <w:tr w:rsidR="00AD5699" w:rsidRPr="00E01A0A" w:rsidTr="00795CC1">
        <w:trPr>
          <w:cantSplit/>
        </w:trPr>
        <w:tc>
          <w:tcPr>
            <w:tcW w:w="606" w:type="dxa"/>
          </w:tcPr>
          <w:p w:rsidR="00AD5699" w:rsidRPr="00E01A0A" w:rsidRDefault="0082069A" w:rsidP="00795CC1">
            <w:pPr>
              <w:pStyle w:val="NoSpacing"/>
              <w:rPr>
                <w:rFonts w:ascii="Arial" w:hAnsi="Arial" w:cs="Arial"/>
                <w:sz w:val="20"/>
                <w:szCs w:val="20"/>
              </w:rPr>
            </w:pPr>
            <w:r>
              <w:rPr>
                <w:rFonts w:ascii="Arial" w:hAnsi="Arial" w:cs="Arial"/>
                <w:sz w:val="20"/>
                <w:szCs w:val="20"/>
              </w:rPr>
              <w:t>5.21</w:t>
            </w: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T</w:t>
            </w:r>
            <w:r w:rsidRPr="00E01A0A">
              <w:rPr>
                <w:rFonts w:ascii="Arial" w:hAnsi="Arial" w:cs="Arial"/>
                <w:sz w:val="20"/>
                <w:szCs w:val="20"/>
                <w:vertAlign w:val="subscript"/>
              </w:rPr>
              <w:t>MG,y</w:t>
            </w: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 xml:space="preserve">Measured temperature of MG for the time interval y, °R=°F+460 </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°R</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Continuously</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 c</w:t>
            </w:r>
          </w:p>
        </w:tc>
        <w:tc>
          <w:tcPr>
            <w:tcW w:w="146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Readings taken at least every hour to calculate temperature for time interval y</w:t>
            </w:r>
          </w:p>
        </w:tc>
      </w:tr>
      <w:tr w:rsidR="00AD5699" w:rsidRPr="00E01A0A" w:rsidTr="00795CC1">
        <w:trPr>
          <w:cantSplit/>
        </w:trPr>
        <w:tc>
          <w:tcPr>
            <w:tcW w:w="606" w:type="dxa"/>
          </w:tcPr>
          <w:p w:rsidR="00AD5699" w:rsidRPr="00E01A0A" w:rsidRDefault="0082069A" w:rsidP="00795CC1">
            <w:pPr>
              <w:pStyle w:val="NoSpacing"/>
              <w:rPr>
                <w:rFonts w:ascii="Arial" w:hAnsi="Arial" w:cs="Arial"/>
                <w:sz w:val="20"/>
                <w:szCs w:val="20"/>
              </w:rPr>
            </w:pPr>
            <w:r>
              <w:rPr>
                <w:rFonts w:ascii="Arial" w:hAnsi="Arial" w:cs="Arial"/>
                <w:sz w:val="20"/>
                <w:szCs w:val="20"/>
              </w:rPr>
              <w:t>5.21</w:t>
            </w:r>
          </w:p>
        </w:tc>
        <w:tc>
          <w:tcPr>
            <w:tcW w:w="1392" w:type="dxa"/>
          </w:tcPr>
          <w:p w:rsidR="00AD5699" w:rsidRPr="00E01A0A" w:rsidRDefault="00AD5699" w:rsidP="00795CC1">
            <w:pPr>
              <w:pStyle w:val="NoSpacing"/>
              <w:rPr>
                <w:rFonts w:ascii="Arial" w:hAnsi="Arial" w:cs="Arial"/>
                <w:sz w:val="20"/>
                <w:szCs w:val="20"/>
                <w:vertAlign w:val="subscript"/>
              </w:rPr>
            </w:pPr>
            <w:r w:rsidRPr="00E01A0A">
              <w:rPr>
                <w:rFonts w:ascii="Arial" w:hAnsi="Arial" w:cs="Arial"/>
                <w:sz w:val="20"/>
                <w:szCs w:val="20"/>
              </w:rPr>
              <w:t>P</w:t>
            </w:r>
            <w:r w:rsidRPr="00E01A0A">
              <w:rPr>
                <w:rFonts w:ascii="Arial" w:hAnsi="Arial" w:cs="Arial"/>
                <w:sz w:val="20"/>
                <w:szCs w:val="20"/>
                <w:vertAlign w:val="subscript"/>
              </w:rPr>
              <w:t>MG,y</w:t>
            </w:r>
          </w:p>
        </w:tc>
        <w:tc>
          <w:tcPr>
            <w:tcW w:w="1829"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 xml:space="preserve">Measured pressure of MG for the time interval y </w:t>
            </w:r>
          </w:p>
        </w:tc>
        <w:tc>
          <w:tcPr>
            <w:tcW w:w="1021"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atm</w:t>
            </w:r>
          </w:p>
        </w:tc>
        <w:tc>
          <w:tcPr>
            <w:tcW w:w="1560"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Continuously</w:t>
            </w:r>
          </w:p>
        </w:tc>
        <w:tc>
          <w:tcPr>
            <w:tcW w:w="1706"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m, c</w:t>
            </w:r>
          </w:p>
        </w:tc>
        <w:tc>
          <w:tcPr>
            <w:tcW w:w="1462" w:type="dxa"/>
          </w:tcPr>
          <w:p w:rsidR="00AD5699" w:rsidRPr="00E01A0A" w:rsidRDefault="00AD5699" w:rsidP="00795CC1">
            <w:pPr>
              <w:pStyle w:val="NoSpacing"/>
              <w:rPr>
                <w:rFonts w:ascii="Arial" w:hAnsi="Arial" w:cs="Arial"/>
                <w:sz w:val="20"/>
                <w:szCs w:val="20"/>
              </w:rPr>
            </w:pPr>
            <w:r w:rsidRPr="00E01A0A">
              <w:rPr>
                <w:rFonts w:ascii="Arial" w:hAnsi="Arial" w:cs="Arial"/>
                <w:sz w:val="20"/>
                <w:szCs w:val="20"/>
              </w:rPr>
              <w:t>Readings taken at least every hour to calculate temperature for time interval y</w:t>
            </w:r>
          </w:p>
        </w:tc>
      </w:tr>
    </w:tbl>
    <w:p w:rsidR="00D973CA" w:rsidRPr="00720D9E" w:rsidRDefault="00D973CA" w:rsidP="00D973CA">
      <w:pPr>
        <w:pStyle w:val="Heading2"/>
      </w:pPr>
      <w:bookmarkStart w:id="54" w:name="_Toc364243228"/>
      <w:r w:rsidRPr="00720D9E">
        <w:t>§</w:t>
      </w:r>
      <w:r w:rsidR="00645452" w:rsidRPr="00720D9E">
        <w:t xml:space="preserve"> 6.6</w:t>
      </w:r>
      <w:r w:rsidRPr="00720D9E">
        <w:t xml:space="preserve">. Active Surface Mine Methane Drainage </w:t>
      </w:r>
      <w:r w:rsidR="004D228E" w:rsidRPr="00720D9E">
        <w:t>Activities</w:t>
      </w:r>
      <w:r w:rsidRPr="00720D9E">
        <w:t>.</w:t>
      </w:r>
      <w:bookmarkEnd w:id="54"/>
    </w:p>
    <w:p w:rsidR="00D805E6" w:rsidRPr="00720D9E" w:rsidRDefault="00D805E6" w:rsidP="0082570F">
      <w:pPr>
        <w:pStyle w:val="ListParagraph"/>
        <w:numPr>
          <w:ilvl w:val="0"/>
          <w:numId w:val="41"/>
        </w:numPr>
        <w:ind w:hanging="720"/>
      </w:pPr>
      <w:r w:rsidRPr="00720D9E">
        <w:t xml:space="preserve">SMM </w:t>
      </w:r>
      <w:r w:rsidR="00D16302" w:rsidRPr="00720D9E">
        <w:t xml:space="preserve">from the drainage system </w:t>
      </w:r>
      <w:r w:rsidR="00523499" w:rsidRPr="00720D9E">
        <w:t>must</w:t>
      </w:r>
      <w:r w:rsidRPr="00720D9E">
        <w:t xml:space="preserve"> be measured continuously</w:t>
      </w:r>
      <w:r w:rsidR="0006086F" w:rsidRPr="00720D9E">
        <w:t xml:space="preserve">.  Offset Project Operators must record the </w:t>
      </w:r>
      <w:r w:rsidR="0048014B" w:rsidRPr="00720D9E">
        <w:t>SMM flow rate</w:t>
      </w:r>
      <w:r w:rsidRPr="00720D9E">
        <w:t xml:space="preserve"> every 15 minutes</w:t>
      </w:r>
      <w:r w:rsidR="0048014B" w:rsidRPr="00720D9E">
        <w:t xml:space="preserve">, adjusted for </w:t>
      </w:r>
      <w:r w:rsidR="0048014B" w:rsidRPr="00720D9E">
        <w:lastRenderedPageBreak/>
        <w:t>temperature and pressure,</w:t>
      </w:r>
      <w:r w:rsidRPr="00720D9E">
        <w:t xml:space="preserve"> or </w:t>
      </w:r>
      <w:r w:rsidR="0048014B" w:rsidRPr="00720D9E">
        <w:t xml:space="preserve">record the </w:t>
      </w:r>
      <w:r w:rsidRPr="00720D9E">
        <w:t xml:space="preserve">totalized </w:t>
      </w:r>
      <w:r w:rsidR="0048014B" w:rsidRPr="00720D9E">
        <w:t xml:space="preserve">SMM volume </w:t>
      </w:r>
      <w:r w:rsidRPr="00720D9E">
        <w:t>at least daily, adjusted for temperature and pressure.</w:t>
      </w:r>
    </w:p>
    <w:p w:rsidR="00D805E6" w:rsidRPr="00720D9E" w:rsidRDefault="00D805E6" w:rsidP="0082570F">
      <w:pPr>
        <w:pStyle w:val="ListParagraph"/>
        <w:numPr>
          <w:ilvl w:val="0"/>
          <w:numId w:val="41"/>
        </w:numPr>
        <w:ind w:hanging="720"/>
      </w:pPr>
      <w:r w:rsidRPr="00720D9E">
        <w:t xml:space="preserve">SMM delivered to a destruction device </w:t>
      </w:r>
      <w:r w:rsidR="00523499" w:rsidRPr="00720D9E">
        <w:t>must</w:t>
      </w:r>
      <w:r w:rsidRPr="00720D9E">
        <w:t xml:space="preserve"> be measured continuously</w:t>
      </w:r>
      <w:r w:rsidR="0048014B" w:rsidRPr="00720D9E">
        <w:t>.  Offset Project Operators must record the SMM flow rate</w:t>
      </w:r>
      <w:r w:rsidRPr="00720D9E">
        <w:t xml:space="preserve"> every 15 minutes</w:t>
      </w:r>
      <w:r w:rsidR="0048014B" w:rsidRPr="00720D9E">
        <w:t>, adjusted for temperature and pressure,</w:t>
      </w:r>
      <w:r w:rsidRPr="00720D9E">
        <w:t xml:space="preserve"> or</w:t>
      </w:r>
      <w:r w:rsidR="0048014B" w:rsidRPr="00720D9E">
        <w:t xml:space="preserve"> record the</w:t>
      </w:r>
      <w:r w:rsidRPr="00720D9E">
        <w:t xml:space="preserve"> totalized </w:t>
      </w:r>
      <w:r w:rsidR="0048014B" w:rsidRPr="00720D9E">
        <w:t>SMM volume</w:t>
      </w:r>
      <w:r w:rsidRPr="00720D9E">
        <w:t xml:space="preserve"> at least daily, adjusted for temperature and pressure.  The flow of gas to each destruction device </w:t>
      </w:r>
      <w:r w:rsidR="00523499" w:rsidRPr="00720D9E">
        <w:t>must</w:t>
      </w:r>
      <w:r w:rsidRPr="00720D9E">
        <w:t xml:space="preserve"> be monitored separately for each destruction device, unless: </w:t>
      </w:r>
    </w:p>
    <w:p w:rsidR="00D805E6" w:rsidRPr="00720D9E" w:rsidRDefault="00D805E6" w:rsidP="0082570F">
      <w:pPr>
        <w:pStyle w:val="ListParagraph"/>
        <w:numPr>
          <w:ilvl w:val="1"/>
          <w:numId w:val="41"/>
        </w:numPr>
        <w:ind w:hanging="720"/>
      </w:pPr>
      <w:r w:rsidRPr="00720D9E">
        <w:t>a project consists of destruction devices that are of identical efficiency and verified to be operational throughout the reporting period; then a single flow meter may be used to monitor gas flow to all destruction devices; or</w:t>
      </w:r>
    </w:p>
    <w:p w:rsidR="00D805E6" w:rsidRPr="00720D9E" w:rsidRDefault="00D805E6" w:rsidP="0082570F">
      <w:pPr>
        <w:pStyle w:val="ListParagraph"/>
        <w:numPr>
          <w:ilvl w:val="1"/>
          <w:numId w:val="41"/>
        </w:numPr>
        <w:ind w:hanging="720"/>
      </w:pPr>
      <w:r w:rsidRPr="00720D9E">
        <w:t xml:space="preserve">a project consists of destruction devices that are not of identical efficiency, in which case the destruction efficiency of the least efficient destruction device </w:t>
      </w:r>
      <w:r w:rsidR="00523499" w:rsidRPr="00720D9E">
        <w:t>must</w:t>
      </w:r>
      <w:r w:rsidRPr="00720D9E">
        <w:t xml:space="preserve"> be used as the destruction efficiency for all destruction devices monitored by that meter.</w:t>
      </w:r>
    </w:p>
    <w:p w:rsidR="00D805E6" w:rsidRPr="00720D9E" w:rsidRDefault="00D805E6" w:rsidP="0082570F">
      <w:pPr>
        <w:pStyle w:val="ListParagraph"/>
        <w:numPr>
          <w:ilvl w:val="0"/>
          <w:numId w:val="41"/>
        </w:numPr>
        <w:ind w:hanging="720"/>
      </w:pPr>
      <w:r w:rsidRPr="00720D9E">
        <w:t xml:space="preserve">If a project using a single meter to monitor gas flow to multiple destruction devices has any periods </w:t>
      </w:r>
      <w:r w:rsidR="00A72FB1" w:rsidRPr="00720D9E">
        <w:t xml:space="preserve">of time </w:t>
      </w:r>
      <w:r w:rsidRPr="00720D9E">
        <w:t xml:space="preserve">when not all destruction devices downstream of a single flow meter are operational, methane destruction from the set of downstream devices during these periods </w:t>
      </w:r>
      <w:r w:rsidR="00A72FB1" w:rsidRPr="00720D9E">
        <w:t xml:space="preserve">of time </w:t>
      </w:r>
      <w:r w:rsidRPr="00720D9E">
        <w:t xml:space="preserve">will only be eligible provided that the </w:t>
      </w:r>
      <w:r w:rsidR="0001402D" w:rsidRPr="00720D9E">
        <w:t xml:space="preserve">offset </w:t>
      </w:r>
      <w:r w:rsidRPr="00720D9E">
        <w:t>verifier can confirm all of the following requirements and conditions are met:</w:t>
      </w:r>
    </w:p>
    <w:p w:rsidR="00D805E6" w:rsidRPr="00720D9E" w:rsidRDefault="00D805E6" w:rsidP="0082570F">
      <w:pPr>
        <w:pStyle w:val="ListParagraph"/>
        <w:numPr>
          <w:ilvl w:val="1"/>
          <w:numId w:val="41"/>
        </w:numPr>
        <w:ind w:hanging="720"/>
      </w:pPr>
      <w:r w:rsidRPr="00720D9E">
        <w:t xml:space="preserve">The destruction efficiency of the least efficient downstream destruction device in operation </w:t>
      </w:r>
      <w:r w:rsidR="00523499" w:rsidRPr="00720D9E">
        <w:t>must</w:t>
      </w:r>
      <w:r w:rsidRPr="00720D9E">
        <w:t xml:space="preserve"> be used as the destruction efficiency for all destruction devices downstream of the single meter; and</w:t>
      </w:r>
    </w:p>
    <w:p w:rsidR="00D805E6" w:rsidRPr="00720D9E" w:rsidRDefault="00D805E6" w:rsidP="0082570F">
      <w:pPr>
        <w:pStyle w:val="ListParagraph"/>
        <w:numPr>
          <w:ilvl w:val="1"/>
          <w:numId w:val="41"/>
        </w:numPr>
        <w:ind w:hanging="720"/>
      </w:pPr>
      <w:r w:rsidRPr="00720D9E">
        <w:t>All devices are either equipped with valves on the input gas line that close automatically if the device becomes non-operational (requiring no manual intervention), or designed in such a manner that it is physically impossible for gas to pass through while the device is non-operational; and</w:t>
      </w:r>
    </w:p>
    <w:p w:rsidR="00D805E6" w:rsidRPr="00720D9E" w:rsidRDefault="00D805E6" w:rsidP="0082570F">
      <w:pPr>
        <w:pStyle w:val="ListParagraph"/>
        <w:numPr>
          <w:ilvl w:val="1"/>
          <w:numId w:val="41"/>
        </w:numPr>
        <w:ind w:hanging="720"/>
      </w:pPr>
      <w:r w:rsidRPr="00720D9E">
        <w:t xml:space="preserve">For any period </w:t>
      </w:r>
      <w:r w:rsidR="00A72FB1" w:rsidRPr="00720D9E">
        <w:t xml:space="preserve">of time </w:t>
      </w:r>
      <w:r w:rsidRPr="00720D9E">
        <w:t>during which one or more downstream destruction devices are not operational, it must be documented that the remaining operational devices have the capacity to destroy the maximum gas flow recorded during the period.</w:t>
      </w:r>
    </w:p>
    <w:p w:rsidR="00D805E6" w:rsidRPr="00720D9E" w:rsidRDefault="00D805E6" w:rsidP="0082570F">
      <w:pPr>
        <w:pStyle w:val="ListParagraph"/>
        <w:numPr>
          <w:ilvl w:val="0"/>
          <w:numId w:val="41"/>
        </w:numPr>
        <w:ind w:hanging="720"/>
      </w:pPr>
      <w:r w:rsidRPr="00720D9E">
        <w:lastRenderedPageBreak/>
        <w:t>The methane</w:t>
      </w:r>
      <w:r w:rsidR="00F5081A" w:rsidRPr="00720D9E">
        <w:t xml:space="preserve"> concentration of</w:t>
      </w:r>
      <w:r w:rsidRPr="00720D9E">
        <w:t xml:space="preserve"> the SMM </w:t>
      </w:r>
      <w:r w:rsidR="00D8234F" w:rsidRPr="00720D9E">
        <w:t xml:space="preserve">extracted from each methane source </w:t>
      </w:r>
      <w:r w:rsidR="00523499" w:rsidRPr="00720D9E">
        <w:t>must</w:t>
      </w:r>
      <w:r w:rsidRPr="00720D9E">
        <w:t xml:space="preserve"> be measured continuously, recorded every 15 minutes</w:t>
      </w:r>
      <w:r w:rsidR="00D16302" w:rsidRPr="00720D9E">
        <w:t xml:space="preserve"> and averaged at least daily.</w:t>
      </w:r>
    </w:p>
    <w:p w:rsidR="00D805E6" w:rsidRPr="00720D9E" w:rsidRDefault="00D805E6" w:rsidP="0082570F">
      <w:pPr>
        <w:pStyle w:val="ListParagraph"/>
        <w:numPr>
          <w:ilvl w:val="0"/>
          <w:numId w:val="41"/>
        </w:numPr>
        <w:ind w:hanging="720"/>
      </w:pPr>
      <w:r w:rsidRPr="00720D9E">
        <w:t>If required in order to adjust the flow</w:t>
      </w:r>
      <w:r w:rsidR="00F5081A" w:rsidRPr="00720D9E">
        <w:t xml:space="preserve"> rate or volume</w:t>
      </w:r>
      <w:r w:rsidRPr="00720D9E">
        <w:t xml:space="preserve"> of mine gas, the temperature and pressure of the SMM </w:t>
      </w:r>
      <w:r w:rsidR="00523499" w:rsidRPr="00720D9E">
        <w:t>must</w:t>
      </w:r>
      <w:r w:rsidRPr="00720D9E">
        <w:t xml:space="preserve"> be measured continuously and recorded at least every hour to calculate hourly temperature and pressure.</w:t>
      </w:r>
    </w:p>
    <w:p w:rsidR="00D805E6" w:rsidRPr="00720D9E" w:rsidRDefault="00A72FB1" w:rsidP="0082570F">
      <w:pPr>
        <w:pStyle w:val="ListParagraph"/>
        <w:numPr>
          <w:ilvl w:val="0"/>
          <w:numId w:val="41"/>
        </w:numPr>
        <w:ind w:hanging="720"/>
      </w:pPr>
      <w:r w:rsidRPr="00720D9E">
        <w:rPr>
          <w:color w:val="auto"/>
        </w:rPr>
        <w:t>Offset Project Operators and Authorized Project Designees</w:t>
      </w:r>
      <w:r w:rsidRPr="00720D9E">
        <w:t xml:space="preserve"> </w:t>
      </w:r>
      <w:r w:rsidR="00D805E6" w:rsidRPr="00720D9E">
        <w:t xml:space="preserve">must monitor the parameters prescribed in Table </w:t>
      </w:r>
      <w:r w:rsidRPr="00720D9E">
        <w:t>6</w:t>
      </w:r>
      <w:r w:rsidR="00D805E6" w:rsidRPr="00720D9E">
        <w:t>.3.</w:t>
      </w:r>
    </w:p>
    <w:p w:rsidR="00D973CA" w:rsidRPr="00720D9E" w:rsidRDefault="00D973CA" w:rsidP="00D973CA">
      <w:pPr>
        <w:pStyle w:val="Heading3"/>
      </w:pPr>
      <w:bookmarkStart w:id="55" w:name="_Toc364243229"/>
      <w:r w:rsidRPr="00720D9E">
        <w:rPr>
          <w:rStyle w:val="Heading6Char"/>
          <w:b/>
          <w:sz w:val="24"/>
        </w:rPr>
        <w:t xml:space="preserve">Table </w:t>
      </w:r>
      <w:r w:rsidR="00645452" w:rsidRPr="00720D9E">
        <w:rPr>
          <w:rStyle w:val="Heading6Char"/>
          <w:b/>
          <w:sz w:val="24"/>
        </w:rPr>
        <w:t>6</w:t>
      </w:r>
      <w:r w:rsidRPr="00720D9E">
        <w:rPr>
          <w:rStyle w:val="Heading6Char"/>
          <w:b/>
          <w:sz w:val="24"/>
        </w:rPr>
        <w:t>.3.</w:t>
      </w:r>
      <w:r w:rsidRPr="00720D9E">
        <w:t xml:space="preserve"> Active Su</w:t>
      </w:r>
      <w:r w:rsidR="00D71719" w:rsidRPr="00720D9E">
        <w:t>r</w:t>
      </w:r>
      <w:r w:rsidRPr="00720D9E">
        <w:t xml:space="preserve">face Mine Methane Drainage </w:t>
      </w:r>
      <w:r w:rsidR="00DE42B3" w:rsidRPr="00720D9E">
        <w:t>Activity</w:t>
      </w:r>
      <w:r w:rsidRPr="00720D9E">
        <w:t xml:space="preserve"> Monitoring Parameters</w:t>
      </w:r>
      <w:r w:rsidR="0056242F" w:rsidRPr="00720D9E">
        <w:t xml:space="preserve"> – Quantification Methodology</w:t>
      </w:r>
      <w:bookmarkEnd w:id="55"/>
    </w:p>
    <w:tbl>
      <w:tblPr>
        <w:tblStyle w:val="TableGrid"/>
        <w:tblW w:w="0" w:type="auto"/>
        <w:tblLayout w:type="fixed"/>
        <w:tblLook w:val="04A0" w:firstRow="1" w:lastRow="0" w:firstColumn="1" w:lastColumn="0" w:noHBand="0" w:noVBand="1"/>
      </w:tblPr>
      <w:tblGrid>
        <w:gridCol w:w="606"/>
        <w:gridCol w:w="1392"/>
        <w:gridCol w:w="1765"/>
        <w:gridCol w:w="1025"/>
        <w:gridCol w:w="1620"/>
        <w:gridCol w:w="1706"/>
        <w:gridCol w:w="1462"/>
      </w:tblGrid>
      <w:tr w:rsidR="0082069A" w:rsidRPr="00C60340" w:rsidTr="00795CC1">
        <w:trPr>
          <w:cantSplit/>
        </w:trPr>
        <w:tc>
          <w:tcPr>
            <w:tcW w:w="606" w:type="dxa"/>
            <w:shd w:val="pct12" w:color="auto" w:fill="auto"/>
          </w:tcPr>
          <w:p w:rsidR="0082069A" w:rsidRPr="00C60340" w:rsidRDefault="0082069A" w:rsidP="00795CC1">
            <w:pPr>
              <w:pStyle w:val="NoSpacing"/>
              <w:jc w:val="center"/>
              <w:rPr>
                <w:rFonts w:ascii="Arial" w:hAnsi="Arial" w:cs="Arial"/>
                <w:b/>
                <w:sz w:val="20"/>
                <w:szCs w:val="20"/>
              </w:rPr>
            </w:pPr>
            <w:r w:rsidRPr="00C60340">
              <w:rPr>
                <w:rFonts w:ascii="Arial" w:hAnsi="Arial" w:cs="Arial"/>
                <w:b/>
                <w:sz w:val="20"/>
                <w:szCs w:val="20"/>
              </w:rPr>
              <w:t>Eq. #</w:t>
            </w:r>
          </w:p>
        </w:tc>
        <w:tc>
          <w:tcPr>
            <w:tcW w:w="1392" w:type="dxa"/>
            <w:shd w:val="pct12" w:color="auto" w:fill="auto"/>
          </w:tcPr>
          <w:p w:rsidR="0082069A" w:rsidRPr="00C60340" w:rsidRDefault="0082069A" w:rsidP="00795CC1">
            <w:pPr>
              <w:pStyle w:val="NoSpacing"/>
              <w:jc w:val="center"/>
              <w:rPr>
                <w:rFonts w:ascii="Arial" w:hAnsi="Arial" w:cs="Arial"/>
                <w:b/>
                <w:sz w:val="20"/>
                <w:szCs w:val="20"/>
              </w:rPr>
            </w:pPr>
            <w:r w:rsidRPr="00C60340">
              <w:rPr>
                <w:rFonts w:ascii="Arial" w:hAnsi="Arial" w:cs="Arial"/>
                <w:b/>
                <w:sz w:val="20"/>
                <w:szCs w:val="20"/>
              </w:rPr>
              <w:t>Parameter</w:t>
            </w:r>
          </w:p>
          <w:p w:rsidR="0082069A" w:rsidRPr="00C60340" w:rsidRDefault="0082069A" w:rsidP="00795CC1">
            <w:pPr>
              <w:pStyle w:val="NoSpacing"/>
              <w:jc w:val="center"/>
              <w:rPr>
                <w:rFonts w:ascii="Arial" w:hAnsi="Arial" w:cs="Arial"/>
                <w:b/>
                <w:sz w:val="20"/>
                <w:szCs w:val="20"/>
              </w:rPr>
            </w:pPr>
          </w:p>
        </w:tc>
        <w:tc>
          <w:tcPr>
            <w:tcW w:w="1765" w:type="dxa"/>
            <w:shd w:val="pct12" w:color="auto" w:fill="auto"/>
          </w:tcPr>
          <w:p w:rsidR="0082069A" w:rsidRPr="00C60340" w:rsidRDefault="0082069A" w:rsidP="00795CC1">
            <w:pPr>
              <w:pStyle w:val="NoSpacing"/>
              <w:jc w:val="center"/>
              <w:rPr>
                <w:rFonts w:ascii="Arial" w:hAnsi="Arial" w:cs="Arial"/>
                <w:b/>
                <w:sz w:val="20"/>
                <w:szCs w:val="20"/>
              </w:rPr>
            </w:pPr>
            <w:r w:rsidRPr="00C60340">
              <w:rPr>
                <w:rFonts w:ascii="Arial" w:hAnsi="Arial" w:cs="Arial"/>
                <w:b/>
                <w:sz w:val="20"/>
                <w:szCs w:val="20"/>
              </w:rPr>
              <w:t>Description</w:t>
            </w:r>
          </w:p>
        </w:tc>
        <w:tc>
          <w:tcPr>
            <w:tcW w:w="1025" w:type="dxa"/>
            <w:shd w:val="pct12" w:color="auto" w:fill="auto"/>
          </w:tcPr>
          <w:p w:rsidR="0082069A" w:rsidRPr="00C60340" w:rsidRDefault="0082069A" w:rsidP="00795CC1">
            <w:pPr>
              <w:pStyle w:val="NoSpacing"/>
              <w:jc w:val="center"/>
              <w:rPr>
                <w:rFonts w:ascii="Arial" w:hAnsi="Arial" w:cs="Arial"/>
                <w:b/>
                <w:sz w:val="20"/>
                <w:szCs w:val="20"/>
              </w:rPr>
            </w:pPr>
            <w:r w:rsidRPr="00C60340">
              <w:rPr>
                <w:rFonts w:ascii="Arial" w:hAnsi="Arial" w:cs="Arial"/>
                <w:b/>
                <w:sz w:val="20"/>
                <w:szCs w:val="20"/>
              </w:rPr>
              <w:t>Data Unit</w:t>
            </w:r>
          </w:p>
        </w:tc>
        <w:tc>
          <w:tcPr>
            <w:tcW w:w="1620" w:type="dxa"/>
            <w:shd w:val="pct12" w:color="auto" w:fill="auto"/>
          </w:tcPr>
          <w:p w:rsidR="0082069A" w:rsidRPr="00C60340" w:rsidRDefault="0082069A" w:rsidP="00795CC1">
            <w:pPr>
              <w:pStyle w:val="NoSpacing"/>
              <w:jc w:val="center"/>
              <w:rPr>
                <w:rFonts w:ascii="Arial" w:hAnsi="Arial" w:cs="Arial"/>
                <w:b/>
                <w:sz w:val="20"/>
                <w:szCs w:val="20"/>
              </w:rPr>
            </w:pPr>
            <w:r w:rsidRPr="00C60340">
              <w:rPr>
                <w:rFonts w:ascii="Arial" w:hAnsi="Arial" w:cs="Arial"/>
                <w:b/>
                <w:sz w:val="20"/>
                <w:szCs w:val="20"/>
              </w:rPr>
              <w:t>Measurement Frequency</w:t>
            </w:r>
          </w:p>
        </w:tc>
        <w:tc>
          <w:tcPr>
            <w:tcW w:w="1706" w:type="dxa"/>
            <w:shd w:val="pct12" w:color="auto" w:fill="auto"/>
          </w:tcPr>
          <w:p w:rsidR="0082069A" w:rsidRPr="00C60340" w:rsidRDefault="0082069A" w:rsidP="00795CC1">
            <w:pPr>
              <w:pStyle w:val="NoSpacing"/>
              <w:jc w:val="center"/>
              <w:rPr>
                <w:rFonts w:ascii="Arial" w:hAnsi="Arial" w:cs="Arial"/>
                <w:b/>
                <w:sz w:val="20"/>
                <w:szCs w:val="20"/>
              </w:rPr>
            </w:pPr>
            <w:r w:rsidRPr="00C60340">
              <w:rPr>
                <w:rFonts w:ascii="Arial" w:hAnsi="Arial" w:cs="Arial"/>
                <w:b/>
                <w:sz w:val="20"/>
                <w:szCs w:val="20"/>
              </w:rPr>
              <w:t>Calculated</w:t>
            </w:r>
            <w:r>
              <w:rPr>
                <w:rFonts w:ascii="Arial" w:hAnsi="Arial" w:cs="Arial"/>
                <w:b/>
                <w:sz w:val="20"/>
                <w:szCs w:val="20"/>
              </w:rPr>
              <w:t xml:space="preserve"> (c)</w:t>
            </w:r>
            <w:r w:rsidRPr="00C60340">
              <w:rPr>
                <w:rFonts w:ascii="Arial" w:hAnsi="Arial" w:cs="Arial"/>
                <w:b/>
                <w:sz w:val="20"/>
                <w:szCs w:val="20"/>
              </w:rPr>
              <w:t>, Measured</w:t>
            </w:r>
            <w:r>
              <w:rPr>
                <w:rFonts w:ascii="Arial" w:hAnsi="Arial" w:cs="Arial"/>
                <w:b/>
                <w:sz w:val="20"/>
                <w:szCs w:val="20"/>
              </w:rPr>
              <w:t xml:space="preserve"> (m)</w:t>
            </w:r>
            <w:r w:rsidRPr="00C60340">
              <w:rPr>
                <w:rFonts w:ascii="Arial" w:hAnsi="Arial" w:cs="Arial"/>
                <w:b/>
                <w:sz w:val="20"/>
                <w:szCs w:val="20"/>
              </w:rPr>
              <w:t>, Operating Records</w:t>
            </w:r>
            <w:r>
              <w:rPr>
                <w:rFonts w:ascii="Arial" w:hAnsi="Arial" w:cs="Arial"/>
                <w:b/>
                <w:sz w:val="20"/>
                <w:szCs w:val="20"/>
              </w:rPr>
              <w:t xml:space="preserve"> (o)</w:t>
            </w:r>
            <w:r w:rsidRPr="00C60340">
              <w:rPr>
                <w:rFonts w:ascii="Arial" w:hAnsi="Arial" w:cs="Arial"/>
                <w:b/>
                <w:sz w:val="20"/>
                <w:szCs w:val="20"/>
              </w:rPr>
              <w:t>, Reference</w:t>
            </w:r>
            <w:r>
              <w:rPr>
                <w:rFonts w:ascii="Arial" w:hAnsi="Arial" w:cs="Arial"/>
                <w:b/>
                <w:sz w:val="20"/>
                <w:szCs w:val="20"/>
              </w:rPr>
              <w:t xml:space="preserve"> (r)</w:t>
            </w:r>
          </w:p>
        </w:tc>
        <w:tc>
          <w:tcPr>
            <w:tcW w:w="1462" w:type="dxa"/>
            <w:shd w:val="pct12" w:color="auto" w:fill="auto"/>
          </w:tcPr>
          <w:p w:rsidR="0082069A" w:rsidRPr="00C60340" w:rsidRDefault="0082069A" w:rsidP="00795CC1">
            <w:pPr>
              <w:pStyle w:val="NoSpacing"/>
              <w:jc w:val="center"/>
              <w:rPr>
                <w:rFonts w:ascii="Arial" w:hAnsi="Arial" w:cs="Arial"/>
                <w:b/>
                <w:sz w:val="20"/>
                <w:szCs w:val="20"/>
              </w:rPr>
            </w:pPr>
            <w:r w:rsidRPr="00C60340">
              <w:rPr>
                <w:rFonts w:ascii="Arial" w:hAnsi="Arial" w:cs="Arial"/>
                <w:b/>
                <w:sz w:val="20"/>
                <w:szCs w:val="20"/>
              </w:rPr>
              <w:t>Comment</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5.24</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PSW</w:t>
            </w:r>
            <w:r w:rsidRPr="00C60340">
              <w:rPr>
                <w:rFonts w:ascii="Arial" w:hAnsi="Arial" w:cs="Arial"/>
                <w:sz w:val="20"/>
                <w:szCs w:val="20"/>
                <w:vertAlign w:val="subscript"/>
              </w:rPr>
              <w:t>B,i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pre-mining surface wells that would have been sent to non-qualifying devices for destruction through use i during the reporting period in the baseline scenario</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Estimated at offset project commencement; calculated annually if non-qualifying device continues to operate after project start</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 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 xml:space="preserve">The greater of the two values calculated per section 5.3.1(e). </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5.24</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PIB</w:t>
            </w:r>
            <w:r w:rsidRPr="00C60340">
              <w:rPr>
                <w:rFonts w:ascii="Arial" w:hAnsi="Arial" w:cs="Arial"/>
                <w:sz w:val="20"/>
                <w:szCs w:val="20"/>
                <w:vertAlign w:val="subscript"/>
              </w:rPr>
              <w:t>B,i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pre-mining in-mine boreholes that would have been sent to non-qualifying devices for destruction through use i during the reporting period in the baseline scenario</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Estimated at offset project commencement; calculated annually if non-qualifying device continues to operate after project start</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 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The greater of the two values calculated per section 5.3.1(e)</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lastRenderedPageBreak/>
              <w:t>5.24</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ECW</w:t>
            </w:r>
            <w:r w:rsidRPr="00C60340">
              <w:rPr>
                <w:rFonts w:ascii="Arial" w:hAnsi="Arial" w:cs="Arial"/>
                <w:sz w:val="20"/>
                <w:szCs w:val="20"/>
                <w:vertAlign w:val="subscript"/>
              </w:rPr>
              <w:t>B,i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existing coalbed methane wells that would otherwise be shut-in and abandoned as a result of encroaching mining that would have been sent to non-qualifying devices for destruction through use i during the reporting period in the baseline scenario</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Estimated at offset project commencement; calculated annually if non-qualifying device continues to operate after project start</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 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 xml:space="preserve">The greater of the two values calculated per section 5.3.1(e). </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5.24</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AWR</w:t>
            </w:r>
            <w:r w:rsidRPr="00C60340">
              <w:rPr>
                <w:rFonts w:ascii="Arial" w:hAnsi="Arial" w:cs="Arial"/>
                <w:sz w:val="20"/>
                <w:szCs w:val="20"/>
                <w:vertAlign w:val="subscript"/>
              </w:rPr>
              <w:t>B,i</w:t>
            </w:r>
            <w:r w:rsidRPr="00C60340">
              <w:rPr>
                <w:rFonts w:ascii="Arial" w:hAnsi="Arial" w:cs="Arial"/>
                <w:sz w:val="20"/>
                <w:szCs w:val="20"/>
              </w:rPr>
              <w:tab/>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abandoned wells that are reactivated that would have been sent to non-qualifying devices for destruction through use i during the reporting period in the baseline scenario</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Estimated at offset project commencement; calculated annually if non-qualifying device continues to operate after project start</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 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The greater of the two values calculated per section 5.3.1(e)</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5.24</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CDW</w:t>
            </w:r>
            <w:r w:rsidRPr="00C60340">
              <w:rPr>
                <w:rFonts w:ascii="Arial" w:hAnsi="Arial" w:cs="Arial"/>
                <w:sz w:val="20"/>
                <w:szCs w:val="20"/>
                <w:vertAlign w:val="subscript"/>
              </w:rPr>
              <w:t>B,i</w:t>
            </w:r>
            <w:r w:rsidRPr="00C60340">
              <w:rPr>
                <w:rFonts w:ascii="Arial" w:hAnsi="Arial" w:cs="Arial"/>
                <w:sz w:val="20"/>
                <w:szCs w:val="20"/>
              </w:rPr>
              <w:tab/>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converted dewatering wells that would have been sent to non-qualifying devices for destruction through use i during the reporting period in the baseline scenario</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Estimated at offset project commencement; calculated annually if non-qualifying device continues to operate after project start</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 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The greater of the two values calculated per section 5.3.1(e)</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lastRenderedPageBreak/>
              <w:t>5.24</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5.33</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5.34</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lang w:val="en-GB"/>
              </w:rPr>
              <w:t>C</w:t>
            </w:r>
            <w:r w:rsidRPr="00C60340">
              <w:rPr>
                <w:rFonts w:ascii="Arial" w:hAnsi="Arial" w:cs="Arial"/>
                <w:sz w:val="20"/>
                <w:szCs w:val="20"/>
                <w:vertAlign w:val="subscript"/>
                <w:lang w:val="en-GB"/>
              </w:rPr>
              <w:t>CH4</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lang w:val="en-GB"/>
              </w:rPr>
              <w:t xml:space="preserve">Measured methane concentration of mine gas captured from methane source </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lang w:val="en-GB"/>
              </w:rPr>
              <w:t>scf CH</w:t>
            </w:r>
            <w:r w:rsidRPr="00C60340">
              <w:rPr>
                <w:rFonts w:ascii="Arial" w:hAnsi="Arial" w:cs="Arial"/>
                <w:sz w:val="20"/>
                <w:szCs w:val="20"/>
                <w:vertAlign w:val="subscript"/>
                <w:lang w:val="en-GB"/>
              </w:rPr>
              <w:t>4</w:t>
            </w:r>
            <w:r>
              <w:rPr>
                <w:rFonts w:ascii="Arial" w:hAnsi="Arial" w:cs="Arial"/>
                <w:sz w:val="20"/>
                <w:szCs w:val="20"/>
                <w:vertAlign w:val="subscript"/>
                <w:lang w:val="en-GB"/>
              </w:rPr>
              <w:t xml:space="preserve"> </w:t>
            </w:r>
            <w:r w:rsidRPr="00C60340">
              <w:rPr>
                <w:rFonts w:ascii="Arial" w:hAnsi="Arial" w:cs="Arial"/>
                <w:sz w:val="20"/>
                <w:szCs w:val="20"/>
                <w:lang w:val="en-GB"/>
              </w:rPr>
              <w:t>/</w:t>
            </w:r>
            <w:r>
              <w:rPr>
                <w:rFonts w:ascii="Arial" w:hAnsi="Arial" w:cs="Arial"/>
                <w:sz w:val="20"/>
                <w:szCs w:val="20"/>
                <w:lang w:val="en-GB"/>
              </w:rPr>
              <w:t xml:space="preserve"> </w:t>
            </w:r>
            <w:r w:rsidRPr="00C60340">
              <w:rPr>
                <w:rFonts w:ascii="Arial" w:hAnsi="Arial" w:cs="Arial"/>
                <w:sz w:val="20"/>
                <w:szCs w:val="20"/>
                <w:lang w:val="en-GB"/>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Continuously</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 c</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Readings taken every two minutes to calculate average methane concentration per hour. Readings and application in equations must be done independently for each methane source</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PSW</w:t>
            </w:r>
            <w:r w:rsidRPr="00C60340">
              <w:rPr>
                <w:rFonts w:ascii="Arial" w:hAnsi="Arial" w:cs="Arial"/>
                <w:sz w:val="20"/>
                <w:szCs w:val="20"/>
                <w:vertAlign w:val="subscript"/>
              </w:rPr>
              <w:t>P,i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pre-mining surface wells sent to qualifying and non-qualifying devices for destruction through use i during the reporting period.  For qualifying devices, only the eligible amount per Equation 5.26 in accordance with sections 5.3.1(k), (l), and (m) must be quantified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6.31</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PIB</w:t>
            </w:r>
            <w:r w:rsidRPr="00C60340">
              <w:rPr>
                <w:rFonts w:ascii="Arial" w:hAnsi="Arial" w:cs="Arial"/>
                <w:sz w:val="20"/>
                <w:szCs w:val="20"/>
                <w:vertAlign w:val="subscript"/>
              </w:rPr>
              <w:t>P,i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pre-mining in-mine boreholes sent to qualifying and non-qualifying devices for destruction through use i during the reporting period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lastRenderedPageBreak/>
              <w:t>5.25</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ECW</w:t>
            </w:r>
            <w:r w:rsidRPr="00C60340">
              <w:rPr>
                <w:rFonts w:ascii="Arial" w:hAnsi="Arial" w:cs="Arial"/>
                <w:sz w:val="20"/>
                <w:szCs w:val="20"/>
                <w:vertAlign w:val="subscript"/>
              </w:rPr>
              <w:t>P,i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existing coal bed methane wells that would otherwise be shut-in and abandoned as a result of encroaching mining sent to qualifying and non-qualifying devices for destruction through use i during the reporting period.  For qualifying devices, only the eligible amount per Equation 5.27 in accordance with sections 5.3.1(k), (l), and (m) must be quantified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AWR</w:t>
            </w:r>
            <w:r w:rsidRPr="00C60340">
              <w:rPr>
                <w:rFonts w:ascii="Arial" w:hAnsi="Arial" w:cs="Arial"/>
                <w:sz w:val="20"/>
                <w:szCs w:val="20"/>
                <w:vertAlign w:val="subscript"/>
              </w:rPr>
              <w:t>P,i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abandoned wells that are reactivated sent to qualifying and non-qualifying devices for destruction through use i during the reporting period.  For qualifying devices, only the eligible amount per Equation 5.28 in accordance with sections 5.3.1(k), (l), and (m) must be quantified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lastRenderedPageBreak/>
              <w:t>5.25</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CDW</w:t>
            </w:r>
            <w:r w:rsidRPr="00C60340">
              <w:rPr>
                <w:rFonts w:ascii="Arial" w:hAnsi="Arial" w:cs="Arial"/>
                <w:sz w:val="20"/>
                <w:szCs w:val="20"/>
                <w:vertAlign w:val="subscript"/>
              </w:rPr>
              <w:t>P,i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converted dewatering wells sent to qualifying and non-qualifying devices for destruction through use i during the reporting period.  For qualifying devices, only the eligible amount per Equation 5.29 in accordance with sections 5.3.1(k), (l), and (m) must be quantified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PSWnqd</w:t>
            </w:r>
            <w:r w:rsidRPr="00C60340">
              <w:rPr>
                <w:rFonts w:ascii="Arial" w:hAnsi="Arial" w:cs="Arial"/>
                <w:sz w:val="20"/>
                <w:szCs w:val="20"/>
                <w:vertAlign w:val="subscript"/>
              </w:rPr>
              <w:t>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pre-mining surface wells sent to non-qualifying devices for destruction through use i during the reporting period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ECWnqd</w:t>
            </w:r>
            <w:r w:rsidRPr="00C60340">
              <w:rPr>
                <w:rFonts w:ascii="Arial" w:hAnsi="Arial" w:cs="Arial"/>
                <w:sz w:val="20"/>
                <w:szCs w:val="20"/>
                <w:vertAlign w:val="subscript"/>
              </w:rPr>
              <w:t>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existing coal bed methane wells that would otherwise be shut-in and abandoned as a result of encroaching mining sent to non-qualifying devices for destruction through use i during the reporting period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lastRenderedPageBreak/>
              <w:t>5.25</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AWRnqd</w:t>
            </w:r>
            <w:r w:rsidRPr="00C60340">
              <w:rPr>
                <w:rFonts w:ascii="Arial" w:hAnsi="Arial" w:cs="Arial"/>
                <w:sz w:val="20"/>
                <w:szCs w:val="20"/>
                <w:vertAlign w:val="subscript"/>
              </w:rPr>
              <w:t>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abandoned wells that are reactivated sent to non-qualifying devices for destruction through use i during the reporting period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5.25</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CDWnqd</w:t>
            </w:r>
            <w:r w:rsidRPr="00C60340">
              <w:rPr>
                <w:rFonts w:ascii="Arial" w:hAnsi="Arial" w:cs="Arial"/>
                <w:sz w:val="20"/>
                <w:szCs w:val="20"/>
                <w:vertAlign w:val="subscript"/>
              </w:rPr>
              <w:t>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converted dewatering wells sent to non-qualifying devices for destruction through use i during the reporting period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5.26</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PSWe</w:t>
            </w:r>
            <w:r w:rsidRPr="00C60340">
              <w:rPr>
                <w:rFonts w:ascii="Arial" w:hAnsi="Arial" w:cs="Arial"/>
                <w:sz w:val="20"/>
                <w:szCs w:val="20"/>
                <w:vertAlign w:val="subscript"/>
              </w:rPr>
              <w:t>pre,i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sent to qualifying destruction devices, from the offset project commencement date through the end of the current reporting period, captured from pre-mining surface wells that were mined through during the current reporting period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5.26</w:t>
            </w: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PSWe</w:t>
            </w:r>
            <w:r w:rsidRPr="00C60340">
              <w:rPr>
                <w:rFonts w:ascii="Arial" w:hAnsi="Arial" w:cs="Arial"/>
                <w:sz w:val="20"/>
                <w:szCs w:val="20"/>
                <w:vertAlign w:val="subscript"/>
              </w:rPr>
              <w:t>post,i</w:t>
            </w:r>
          </w:p>
          <w:p w:rsidR="0082069A" w:rsidRPr="00C60340" w:rsidRDefault="0082069A" w:rsidP="00795CC1">
            <w:pPr>
              <w:pStyle w:val="NoSpacing"/>
              <w:rPr>
                <w:rFonts w:ascii="Arial" w:hAnsi="Arial" w:cs="Arial"/>
                <w:sz w:val="20"/>
                <w:szCs w:val="20"/>
              </w:rPr>
            </w:pP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sent to qualifying destruction devices in the current reporting period captured from pre-mining surface wells that were mined through during earlier reporting periods</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lastRenderedPageBreak/>
              <w:t>5.27</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ECWe</w:t>
            </w:r>
            <w:r w:rsidRPr="00C60340">
              <w:rPr>
                <w:rFonts w:ascii="Arial" w:hAnsi="Arial" w:cs="Arial"/>
                <w:sz w:val="20"/>
                <w:szCs w:val="20"/>
                <w:vertAlign w:val="subscript"/>
              </w:rPr>
              <w:t>pre,i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sent to qualifying destruction devices, from the offset project commencement date through the end of the current reporting period, captured from existing coal bed methane wells that would otherwise be shut-in and abandoned as a result of encroaching mining that were mined through during the current reporting period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5.27</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ECWe</w:t>
            </w:r>
            <w:r w:rsidRPr="00C60340">
              <w:rPr>
                <w:rFonts w:ascii="Arial" w:hAnsi="Arial" w:cs="Arial"/>
                <w:sz w:val="20"/>
                <w:szCs w:val="20"/>
                <w:vertAlign w:val="subscript"/>
              </w:rPr>
              <w:t>post,i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sent to qualifying destruction devices in the current reporting period captured from existing coal bed methane wells that would otherwise be shut-in and abandoned as a result of encroaching mining that were mined through during earlier reporting periods</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lastRenderedPageBreak/>
              <w:t>5.28</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AWRe</w:t>
            </w:r>
            <w:r w:rsidRPr="00C60340">
              <w:rPr>
                <w:rFonts w:ascii="Arial" w:hAnsi="Arial" w:cs="Arial"/>
                <w:sz w:val="20"/>
                <w:szCs w:val="20"/>
                <w:vertAlign w:val="subscript"/>
              </w:rPr>
              <w:t>pre,i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sent to qualifying destruction devices, from the offset project commencement date through the end of the current reporting period, captured from abandoned wells that are reactivated that were mined through during the current reporting period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5.28</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AWRe</w:t>
            </w:r>
            <w:r w:rsidRPr="00C60340">
              <w:rPr>
                <w:rFonts w:ascii="Arial" w:hAnsi="Arial" w:cs="Arial"/>
                <w:sz w:val="20"/>
                <w:szCs w:val="20"/>
                <w:vertAlign w:val="subscript"/>
              </w:rPr>
              <w:t>post,i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sent to qualifying destruction devices in the current reporting period captured from abandoned wells that are reactivated that were mined through during earlier reporting periods</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5.29</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CDWe</w:t>
            </w:r>
            <w:r w:rsidRPr="00C60340">
              <w:rPr>
                <w:rFonts w:ascii="Arial" w:hAnsi="Arial" w:cs="Arial"/>
                <w:sz w:val="20"/>
                <w:szCs w:val="20"/>
                <w:vertAlign w:val="subscript"/>
              </w:rPr>
              <w:t>pre,i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sent to qualifying destruction devices, from the offset project commencement date through the end of the current reporting period, captured from converted dewatering wells that were mined through during the current reporting period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lastRenderedPageBreak/>
              <w:t>5.29</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CDWe</w:t>
            </w:r>
            <w:r w:rsidRPr="00C60340">
              <w:rPr>
                <w:rFonts w:ascii="Arial" w:hAnsi="Arial" w:cs="Arial"/>
                <w:sz w:val="20"/>
                <w:szCs w:val="20"/>
                <w:vertAlign w:val="subscript"/>
              </w:rPr>
              <w:t>post,i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sent to qualifying destruction devices in the current reporting period captured from converted dewatering wells that were mined through during earlier reporting periods</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5.31</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CONS</w:t>
            </w:r>
            <w:r w:rsidRPr="00C60340">
              <w:rPr>
                <w:rFonts w:ascii="Arial" w:hAnsi="Arial" w:cs="Arial"/>
                <w:sz w:val="20"/>
                <w:szCs w:val="20"/>
                <w:vertAlign w:val="subscript"/>
              </w:rPr>
              <w:t>ELEC</w:t>
            </w:r>
          </w:p>
          <w:p w:rsidR="0082069A" w:rsidRPr="00C60340" w:rsidRDefault="0082069A" w:rsidP="00795CC1">
            <w:pPr>
              <w:pStyle w:val="NoSpacing"/>
              <w:rPr>
                <w:rFonts w:ascii="Arial" w:hAnsi="Arial" w:cs="Arial"/>
                <w:sz w:val="20"/>
                <w:szCs w:val="20"/>
              </w:rPr>
            </w:pP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 xml:space="preserve">Additional electricity consumption for the capture and destruction of methane during the reporting period </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MWh</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o</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From electricity use records</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5.31</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CONS</w:t>
            </w:r>
            <w:r w:rsidRPr="00C60340">
              <w:rPr>
                <w:rFonts w:ascii="Arial" w:hAnsi="Arial" w:cs="Arial"/>
                <w:sz w:val="20"/>
                <w:szCs w:val="20"/>
                <w:vertAlign w:val="subscript"/>
              </w:rPr>
              <w:t>HEAT</w:t>
            </w:r>
          </w:p>
          <w:p w:rsidR="0082069A" w:rsidRPr="00C60340" w:rsidRDefault="0082069A" w:rsidP="00795CC1">
            <w:pPr>
              <w:pStyle w:val="NoSpacing"/>
              <w:rPr>
                <w:rFonts w:ascii="Arial" w:hAnsi="Arial" w:cs="Arial"/>
                <w:sz w:val="20"/>
                <w:szCs w:val="20"/>
              </w:rPr>
            </w:pP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 xml:space="preserve">Additional heat consumption for the capture and destruction of methane during the reporting period </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o</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From purchased heat records</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5.31</w:t>
            </w:r>
          </w:p>
          <w:p w:rsidR="0082069A" w:rsidRPr="00C60340" w:rsidRDefault="0082069A" w:rsidP="00795CC1">
            <w:pPr>
              <w:pStyle w:val="NoSpacing"/>
              <w:rPr>
                <w:rFonts w:ascii="Arial" w:hAnsi="Arial" w:cs="Arial"/>
                <w:sz w:val="20"/>
                <w:szCs w:val="20"/>
              </w:rPr>
            </w:pP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CONS</w:t>
            </w:r>
            <w:r w:rsidRPr="00C60340">
              <w:rPr>
                <w:rFonts w:ascii="Arial" w:hAnsi="Arial" w:cs="Arial"/>
                <w:sz w:val="20"/>
                <w:szCs w:val="20"/>
                <w:vertAlign w:val="subscript"/>
              </w:rPr>
              <w:t>FF</w:t>
            </w:r>
          </w:p>
          <w:p w:rsidR="0082069A" w:rsidRPr="00C60340" w:rsidRDefault="0082069A" w:rsidP="00795CC1">
            <w:pPr>
              <w:pStyle w:val="NoSpacing"/>
              <w:rPr>
                <w:rFonts w:ascii="Arial" w:hAnsi="Arial" w:cs="Arial"/>
                <w:sz w:val="20"/>
                <w:szCs w:val="20"/>
              </w:rPr>
            </w:pP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Additional fossil fuel consumption for the capture and destruction of methane during the reporting period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o</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From fuel use records</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5.33</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5.34</w:t>
            </w: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PSW</w:t>
            </w:r>
            <w:r w:rsidRPr="00C60340">
              <w:rPr>
                <w:rFonts w:ascii="Arial" w:hAnsi="Arial" w:cs="Arial"/>
                <w:sz w:val="20"/>
                <w:szCs w:val="20"/>
                <w:vertAlign w:val="subscript"/>
              </w:rPr>
              <w:t>P,all</w:t>
            </w:r>
            <w:r w:rsidRPr="00C60340">
              <w:rPr>
                <w:rFonts w:ascii="Arial" w:hAnsi="Arial" w:cs="Arial"/>
                <w:sz w:val="20"/>
                <w:szCs w:val="20"/>
              </w:rPr>
              <w:t>,</w:t>
            </w:r>
            <w:r w:rsidRPr="00C60340">
              <w:rPr>
                <w:rFonts w:ascii="Arial" w:hAnsi="Arial" w:cs="Arial"/>
                <w:sz w:val="20"/>
                <w:szCs w:val="20"/>
                <w:vertAlign w:val="subscript"/>
              </w:rPr>
              <w:t>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pre-mining surface wells sent to qualifying and non-qualifying devices for destruction through use i during the reporting period.  For qualifying devices, all MG, whether from a mined through well or not, must be quantified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lastRenderedPageBreak/>
              <w:t>5.33</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5.34</w:t>
            </w: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ECW</w:t>
            </w:r>
            <w:r w:rsidRPr="00C60340">
              <w:rPr>
                <w:rFonts w:ascii="Arial" w:hAnsi="Arial" w:cs="Arial"/>
                <w:sz w:val="20"/>
                <w:szCs w:val="20"/>
                <w:vertAlign w:val="subscript"/>
              </w:rPr>
              <w:t>P,all,i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existing coal bed methane wells that would otherwise be shut-in and abandoned as a result of encroaching mining sent to qualifying and non-qualifying devices for destruction through use i during the reporting period.  For qualifying devices, all MG, whether from a mined through well or not, must be quantified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5.33</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5.34</w:t>
            </w: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AWR</w:t>
            </w:r>
            <w:r w:rsidRPr="00C60340">
              <w:rPr>
                <w:rFonts w:ascii="Arial" w:hAnsi="Arial" w:cs="Arial"/>
                <w:sz w:val="20"/>
                <w:szCs w:val="20"/>
                <w:vertAlign w:val="subscript"/>
              </w:rPr>
              <w:t>P,all,i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abandoned wells that are reactivated sent to qualifying and non-qualifying devices for destruction through use i during the reporting period.  For qualifying devices, all MG, whether from a mined through well or not, must be quantified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lastRenderedPageBreak/>
              <w:t>5.33</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5.34</w:t>
            </w: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CDW</w:t>
            </w:r>
            <w:r w:rsidRPr="00C60340">
              <w:rPr>
                <w:rFonts w:ascii="Arial" w:hAnsi="Arial" w:cs="Arial"/>
                <w:sz w:val="20"/>
                <w:szCs w:val="20"/>
                <w:vertAlign w:val="subscript"/>
              </w:rPr>
              <w:t>P,all,i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Volume of MG from converted dewatering wells sent to qualifying and non-qualifying devices for destruction through use i during the reporting period.  For qualifying devices, all MG, whether from a mined through well or not, must be quantified</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Every reporting period</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5.33</w:t>
            </w:r>
          </w:p>
          <w:p w:rsidR="0082069A" w:rsidRPr="00C60340" w:rsidRDefault="0082069A" w:rsidP="00795CC1">
            <w:pPr>
              <w:pStyle w:val="NoSpacing"/>
              <w:rPr>
                <w:rFonts w:ascii="Arial" w:hAnsi="Arial" w:cs="Arial"/>
                <w:sz w:val="20"/>
                <w:szCs w:val="20"/>
              </w:rPr>
            </w:pPr>
            <w:r w:rsidRPr="00C60340">
              <w:rPr>
                <w:rFonts w:ascii="Arial" w:hAnsi="Arial" w:cs="Arial"/>
                <w:sz w:val="20"/>
                <w:szCs w:val="20"/>
              </w:rPr>
              <w:t>5.34</w:t>
            </w: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DE</w:t>
            </w:r>
            <w:r w:rsidRPr="00C60340">
              <w:rPr>
                <w:rFonts w:ascii="Arial" w:hAnsi="Arial" w:cs="Arial"/>
                <w:sz w:val="20"/>
                <w:szCs w:val="20"/>
                <w:vertAlign w:val="subscript"/>
              </w:rPr>
              <w:t>i</w:t>
            </w: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Efficiency of methane destruction device i</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Annually</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r or m</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Default methane destruction efficiencies provided in Appendix B or site-specific methane destruction efficiencies determined using an ARB approved methodology</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5.35</w:t>
            </w:r>
          </w:p>
        </w:tc>
        <w:tc>
          <w:tcPr>
            <w:tcW w:w="139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MG</w:t>
            </w:r>
            <w:r w:rsidRPr="00C60340">
              <w:rPr>
                <w:rFonts w:ascii="Arial" w:hAnsi="Arial" w:cs="Arial"/>
                <w:sz w:val="20"/>
                <w:szCs w:val="20"/>
                <w:vertAlign w:val="subscript"/>
              </w:rPr>
              <w:t>meas,i,y</w:t>
            </w:r>
          </w:p>
          <w:p w:rsidR="0082069A" w:rsidRPr="00C60340" w:rsidRDefault="0082069A" w:rsidP="00795CC1">
            <w:pPr>
              <w:pStyle w:val="NoSpacing"/>
              <w:rPr>
                <w:rFonts w:ascii="Arial" w:hAnsi="Arial" w:cs="Arial"/>
                <w:sz w:val="20"/>
                <w:szCs w:val="20"/>
              </w:rPr>
            </w:pP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 xml:space="preserve">Measured volume of MG collected for the time interval y at utilization type i </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(scf/unit of time)</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Continuously</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w:t>
            </w:r>
          </w:p>
        </w:tc>
        <w:tc>
          <w:tcPr>
            <w:tcW w:w="146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Adjusted, if applicable, to STP using Equation 5.35</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5.35</w:t>
            </w: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T</w:t>
            </w:r>
            <w:r w:rsidRPr="00C60340">
              <w:rPr>
                <w:rFonts w:ascii="Arial" w:hAnsi="Arial" w:cs="Arial"/>
                <w:sz w:val="20"/>
                <w:szCs w:val="20"/>
                <w:vertAlign w:val="subscript"/>
              </w:rPr>
              <w:t>MG,y</w:t>
            </w:r>
          </w:p>
          <w:p w:rsidR="0082069A" w:rsidRPr="00C60340" w:rsidRDefault="0082069A" w:rsidP="00795CC1">
            <w:pPr>
              <w:pStyle w:val="NoSpacing"/>
              <w:rPr>
                <w:rFonts w:ascii="Arial" w:hAnsi="Arial" w:cs="Arial"/>
                <w:sz w:val="20"/>
                <w:szCs w:val="20"/>
              </w:rPr>
            </w:pP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 xml:space="preserve">Measured temperature of MG for the time interval y, °R=°F+460 </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°R</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Continuously</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 c</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Readings taken at least every hour to calculate temperature for time interval y</w:t>
            </w:r>
          </w:p>
        </w:tc>
      </w:tr>
      <w:tr w:rsidR="0082069A" w:rsidRPr="00C60340" w:rsidTr="00795CC1">
        <w:trPr>
          <w:cantSplit/>
        </w:trPr>
        <w:tc>
          <w:tcPr>
            <w:tcW w:w="6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5.35</w:t>
            </w:r>
          </w:p>
        </w:tc>
        <w:tc>
          <w:tcPr>
            <w:tcW w:w="1392" w:type="dxa"/>
          </w:tcPr>
          <w:p w:rsidR="0082069A" w:rsidRPr="00C60340" w:rsidRDefault="0082069A" w:rsidP="00795CC1">
            <w:pPr>
              <w:pStyle w:val="NoSpacing"/>
              <w:rPr>
                <w:rFonts w:ascii="Arial" w:hAnsi="Arial" w:cs="Arial"/>
                <w:sz w:val="20"/>
                <w:szCs w:val="20"/>
                <w:vertAlign w:val="subscript"/>
              </w:rPr>
            </w:pPr>
            <w:r w:rsidRPr="00C60340">
              <w:rPr>
                <w:rFonts w:ascii="Arial" w:hAnsi="Arial" w:cs="Arial"/>
                <w:sz w:val="20"/>
                <w:szCs w:val="20"/>
              </w:rPr>
              <w:t>P</w:t>
            </w:r>
            <w:r w:rsidRPr="00C60340">
              <w:rPr>
                <w:rFonts w:ascii="Arial" w:hAnsi="Arial" w:cs="Arial"/>
                <w:sz w:val="20"/>
                <w:szCs w:val="20"/>
                <w:vertAlign w:val="subscript"/>
              </w:rPr>
              <w:t>MG,y</w:t>
            </w:r>
          </w:p>
          <w:p w:rsidR="0082069A" w:rsidRPr="00C60340" w:rsidRDefault="0082069A" w:rsidP="00795CC1">
            <w:pPr>
              <w:pStyle w:val="NoSpacing"/>
              <w:rPr>
                <w:rFonts w:ascii="Arial" w:hAnsi="Arial" w:cs="Arial"/>
                <w:sz w:val="20"/>
                <w:szCs w:val="20"/>
              </w:rPr>
            </w:pPr>
          </w:p>
        </w:tc>
        <w:tc>
          <w:tcPr>
            <w:tcW w:w="176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 xml:space="preserve">Measured pressure of MG for the time interval y </w:t>
            </w:r>
          </w:p>
        </w:tc>
        <w:tc>
          <w:tcPr>
            <w:tcW w:w="1025"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atm</w:t>
            </w:r>
          </w:p>
        </w:tc>
        <w:tc>
          <w:tcPr>
            <w:tcW w:w="1620"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Continuously</w:t>
            </w:r>
          </w:p>
        </w:tc>
        <w:tc>
          <w:tcPr>
            <w:tcW w:w="1706"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m, c</w:t>
            </w:r>
          </w:p>
        </w:tc>
        <w:tc>
          <w:tcPr>
            <w:tcW w:w="1462" w:type="dxa"/>
          </w:tcPr>
          <w:p w:rsidR="0082069A" w:rsidRPr="00C60340" w:rsidRDefault="0082069A" w:rsidP="00795CC1">
            <w:pPr>
              <w:pStyle w:val="NoSpacing"/>
              <w:rPr>
                <w:rFonts w:ascii="Arial" w:hAnsi="Arial" w:cs="Arial"/>
                <w:sz w:val="20"/>
                <w:szCs w:val="20"/>
              </w:rPr>
            </w:pPr>
            <w:r w:rsidRPr="00C60340">
              <w:rPr>
                <w:rFonts w:ascii="Arial" w:hAnsi="Arial" w:cs="Arial"/>
                <w:sz w:val="20"/>
                <w:szCs w:val="20"/>
              </w:rPr>
              <w:t>Readings taken at least every hour to calculate temperature for time interval y</w:t>
            </w:r>
          </w:p>
        </w:tc>
      </w:tr>
    </w:tbl>
    <w:p w:rsidR="00775C55" w:rsidRPr="00720D9E" w:rsidRDefault="00775C55" w:rsidP="00D973CA">
      <w:pPr>
        <w:autoSpaceDE w:val="0"/>
        <w:autoSpaceDN w:val="0"/>
        <w:adjustRightInd w:val="0"/>
        <w:spacing w:line="240" w:lineRule="auto"/>
      </w:pPr>
    </w:p>
    <w:p w:rsidR="00E50F35" w:rsidRPr="00720D9E" w:rsidRDefault="00E50F35" w:rsidP="00E50F35">
      <w:pPr>
        <w:pStyle w:val="Heading2"/>
      </w:pPr>
      <w:bookmarkStart w:id="56" w:name="_Toc364243230"/>
      <w:r w:rsidRPr="00720D9E">
        <w:lastRenderedPageBreak/>
        <w:t xml:space="preserve">§ </w:t>
      </w:r>
      <w:r w:rsidR="00645452" w:rsidRPr="00720D9E">
        <w:t>6.7</w:t>
      </w:r>
      <w:r w:rsidRPr="00720D9E">
        <w:t xml:space="preserve">. Abandoned Underground Mine Methane Recovery </w:t>
      </w:r>
      <w:r w:rsidR="004D228E" w:rsidRPr="00720D9E">
        <w:t>Activities</w:t>
      </w:r>
      <w:r w:rsidRPr="00720D9E">
        <w:t>.</w:t>
      </w:r>
      <w:bookmarkEnd w:id="56"/>
    </w:p>
    <w:p w:rsidR="00D16302" w:rsidRPr="00720D9E" w:rsidRDefault="00306A0F" w:rsidP="0082570F">
      <w:pPr>
        <w:pStyle w:val="ListParagraph"/>
        <w:numPr>
          <w:ilvl w:val="0"/>
          <w:numId w:val="42"/>
        </w:numPr>
        <w:ind w:hanging="720"/>
      </w:pPr>
      <w:r w:rsidRPr="00720D9E">
        <w:t>AMM</w:t>
      </w:r>
      <w:r w:rsidR="00D16302" w:rsidRPr="00720D9E">
        <w:t xml:space="preserve"> </w:t>
      </w:r>
      <w:r w:rsidR="0048014B" w:rsidRPr="00720D9E">
        <w:t xml:space="preserve">from the drainage system </w:t>
      </w:r>
      <w:r w:rsidR="00523499" w:rsidRPr="00720D9E">
        <w:t>must</w:t>
      </w:r>
      <w:r w:rsidR="00D16302" w:rsidRPr="00720D9E">
        <w:t xml:space="preserve"> be measured continuously</w:t>
      </w:r>
      <w:r w:rsidR="0048014B" w:rsidRPr="00720D9E">
        <w:t>.  Offset Project Operators must record the AMM flow rate</w:t>
      </w:r>
      <w:r w:rsidR="00D16302" w:rsidRPr="00720D9E">
        <w:t xml:space="preserve"> every 15 minutes</w:t>
      </w:r>
      <w:r w:rsidR="0048014B" w:rsidRPr="00720D9E">
        <w:t>, adjusted for temperature and pressure,</w:t>
      </w:r>
      <w:r w:rsidR="00D16302" w:rsidRPr="00720D9E">
        <w:t xml:space="preserve"> or </w:t>
      </w:r>
      <w:r w:rsidR="0048014B" w:rsidRPr="00720D9E">
        <w:t xml:space="preserve">record the </w:t>
      </w:r>
      <w:r w:rsidR="00D16302" w:rsidRPr="00720D9E">
        <w:t>totalized</w:t>
      </w:r>
      <w:r w:rsidR="0048014B" w:rsidRPr="00720D9E">
        <w:t xml:space="preserve"> mine gas volume</w:t>
      </w:r>
      <w:r w:rsidR="00D16302" w:rsidRPr="00720D9E">
        <w:t xml:space="preserve"> at least daily, adjusted for temperature and pressure.</w:t>
      </w:r>
    </w:p>
    <w:p w:rsidR="00D16302" w:rsidRPr="00720D9E" w:rsidRDefault="00306A0F" w:rsidP="0082570F">
      <w:pPr>
        <w:pStyle w:val="ListParagraph"/>
        <w:numPr>
          <w:ilvl w:val="0"/>
          <w:numId w:val="42"/>
        </w:numPr>
        <w:ind w:hanging="720"/>
      </w:pPr>
      <w:r w:rsidRPr="00720D9E">
        <w:t>AMM</w:t>
      </w:r>
      <w:r w:rsidR="00D16302" w:rsidRPr="00720D9E">
        <w:t xml:space="preserve"> delivered to a destruction device </w:t>
      </w:r>
      <w:r w:rsidR="00523499" w:rsidRPr="00720D9E">
        <w:t>must</w:t>
      </w:r>
      <w:r w:rsidR="00D16302" w:rsidRPr="00720D9E">
        <w:t xml:space="preserve"> be measured continuously</w:t>
      </w:r>
      <w:r w:rsidR="0048014B" w:rsidRPr="00720D9E">
        <w:t>.  Offset Project Operators must record the AMM flow rate</w:t>
      </w:r>
      <w:r w:rsidR="00D16302" w:rsidRPr="00720D9E">
        <w:t xml:space="preserve"> every 15 minutes</w:t>
      </w:r>
      <w:r w:rsidR="0048014B" w:rsidRPr="00720D9E">
        <w:t>, adjusted for temperature and pressure</w:t>
      </w:r>
      <w:r w:rsidR="00D16302" w:rsidRPr="00720D9E">
        <w:t xml:space="preserve"> or </w:t>
      </w:r>
      <w:r w:rsidR="0048014B" w:rsidRPr="00720D9E">
        <w:t xml:space="preserve">record the </w:t>
      </w:r>
      <w:r w:rsidR="00D16302" w:rsidRPr="00720D9E">
        <w:t xml:space="preserve">totalized </w:t>
      </w:r>
      <w:r w:rsidR="0048014B" w:rsidRPr="00720D9E">
        <w:t>mine gas volume</w:t>
      </w:r>
      <w:r w:rsidR="00D16302" w:rsidRPr="00720D9E">
        <w:t xml:space="preserve"> at least daily, adjusted for temperature and pressure.  The flow of gas to each destruction device </w:t>
      </w:r>
      <w:r w:rsidR="00523499" w:rsidRPr="00720D9E">
        <w:t>must</w:t>
      </w:r>
      <w:r w:rsidR="00D16302" w:rsidRPr="00720D9E">
        <w:t xml:space="preserve"> be monitored separately for each destruction device, unless: </w:t>
      </w:r>
    </w:p>
    <w:p w:rsidR="00D16302" w:rsidRPr="00720D9E" w:rsidRDefault="00D16302" w:rsidP="0082570F">
      <w:pPr>
        <w:pStyle w:val="ListParagraph"/>
        <w:numPr>
          <w:ilvl w:val="1"/>
          <w:numId w:val="42"/>
        </w:numPr>
        <w:ind w:hanging="720"/>
      </w:pPr>
      <w:r w:rsidRPr="00720D9E">
        <w:t>a project consists of destruction devices that are of identical efficiency and verified to be operational throughout the reporting period; then a single flow meter may be used to monitor gas flow to all destruction devices; or</w:t>
      </w:r>
    </w:p>
    <w:p w:rsidR="00D16302" w:rsidRPr="00720D9E" w:rsidRDefault="00D16302" w:rsidP="0082570F">
      <w:pPr>
        <w:pStyle w:val="ListParagraph"/>
        <w:numPr>
          <w:ilvl w:val="1"/>
          <w:numId w:val="42"/>
        </w:numPr>
        <w:ind w:hanging="720"/>
      </w:pPr>
      <w:r w:rsidRPr="00720D9E">
        <w:t xml:space="preserve">a project consists of destruction devices that are not of identical efficiency, in which case the destruction efficiency of the least efficient destruction device </w:t>
      </w:r>
      <w:r w:rsidR="00523499" w:rsidRPr="00720D9E">
        <w:t>must</w:t>
      </w:r>
      <w:r w:rsidRPr="00720D9E">
        <w:t xml:space="preserve"> be used as the destruction efficiency for all destruction devices monitored by that meter.</w:t>
      </w:r>
    </w:p>
    <w:p w:rsidR="00D16302" w:rsidRPr="00720D9E" w:rsidRDefault="00D16302" w:rsidP="0082570F">
      <w:pPr>
        <w:pStyle w:val="ListParagraph"/>
        <w:numPr>
          <w:ilvl w:val="0"/>
          <w:numId w:val="42"/>
        </w:numPr>
        <w:ind w:hanging="720"/>
      </w:pPr>
      <w:r w:rsidRPr="00720D9E">
        <w:t xml:space="preserve">If a project using a single meter to monitor gas flow to multiple destruction devices has any periods </w:t>
      </w:r>
      <w:r w:rsidR="00BC696A" w:rsidRPr="00720D9E">
        <w:t xml:space="preserve">of time </w:t>
      </w:r>
      <w:r w:rsidRPr="00720D9E">
        <w:t xml:space="preserve">when not all destruction devices downstream of a single flow meter are operational, methane destruction from the set of downstream devices during these periods </w:t>
      </w:r>
      <w:r w:rsidR="00BC696A" w:rsidRPr="00720D9E">
        <w:t xml:space="preserve">of time </w:t>
      </w:r>
      <w:r w:rsidRPr="00720D9E">
        <w:t xml:space="preserve">will only be eligible provided that the </w:t>
      </w:r>
      <w:r w:rsidR="0001402D" w:rsidRPr="00720D9E">
        <w:t xml:space="preserve">offset </w:t>
      </w:r>
      <w:r w:rsidRPr="00720D9E">
        <w:t>verifier can confirm all of the following requirements and conditions are met:</w:t>
      </w:r>
    </w:p>
    <w:p w:rsidR="00D16302" w:rsidRPr="00720D9E" w:rsidRDefault="00D16302" w:rsidP="0082570F">
      <w:pPr>
        <w:pStyle w:val="ListParagraph"/>
        <w:numPr>
          <w:ilvl w:val="1"/>
          <w:numId w:val="42"/>
        </w:numPr>
        <w:ind w:hanging="720"/>
      </w:pPr>
      <w:r w:rsidRPr="00720D9E">
        <w:t xml:space="preserve">The destruction efficiency of the least efficient downstream destruction device in operation </w:t>
      </w:r>
      <w:r w:rsidR="00523499" w:rsidRPr="00720D9E">
        <w:t>must</w:t>
      </w:r>
      <w:r w:rsidRPr="00720D9E">
        <w:t xml:space="preserve"> be used as the destruction efficiency for all destruction devices downstream of the single meter; and</w:t>
      </w:r>
    </w:p>
    <w:p w:rsidR="00D16302" w:rsidRPr="00720D9E" w:rsidRDefault="00D16302" w:rsidP="0082570F">
      <w:pPr>
        <w:pStyle w:val="ListParagraph"/>
        <w:numPr>
          <w:ilvl w:val="1"/>
          <w:numId w:val="42"/>
        </w:numPr>
        <w:ind w:hanging="720"/>
      </w:pPr>
      <w:r w:rsidRPr="00720D9E">
        <w:t>All devices are either equipped with valves on the input gas line that close automatically if the device becomes non-operational (requiring no manual intervention), or designed in such a manner that it is physically impossible for gas to pass through while the device is non-operational; and</w:t>
      </w:r>
    </w:p>
    <w:p w:rsidR="00D16302" w:rsidRPr="00720D9E" w:rsidRDefault="00D16302" w:rsidP="0082570F">
      <w:pPr>
        <w:pStyle w:val="ListParagraph"/>
        <w:numPr>
          <w:ilvl w:val="1"/>
          <w:numId w:val="42"/>
        </w:numPr>
        <w:ind w:hanging="720"/>
      </w:pPr>
      <w:r w:rsidRPr="00720D9E">
        <w:lastRenderedPageBreak/>
        <w:t xml:space="preserve">For any period </w:t>
      </w:r>
      <w:r w:rsidR="00BC696A" w:rsidRPr="00720D9E">
        <w:t xml:space="preserve">of time </w:t>
      </w:r>
      <w:r w:rsidRPr="00720D9E">
        <w:t>during which one or more downstream destruction devices are not operational, it must be documented that the remaining operational devices have the capacity to destroy the maximum gas flow recorded during the period.</w:t>
      </w:r>
    </w:p>
    <w:p w:rsidR="00D16302" w:rsidRPr="00720D9E" w:rsidRDefault="001A77A4" w:rsidP="0082570F">
      <w:pPr>
        <w:pStyle w:val="ListParagraph"/>
        <w:numPr>
          <w:ilvl w:val="0"/>
          <w:numId w:val="42"/>
        </w:numPr>
        <w:ind w:hanging="720"/>
      </w:pPr>
      <w:r w:rsidRPr="00720D9E">
        <w:t>The</w:t>
      </w:r>
      <w:r w:rsidR="00D16302" w:rsidRPr="00720D9E">
        <w:t xml:space="preserve"> methane</w:t>
      </w:r>
      <w:r w:rsidRPr="00720D9E">
        <w:t xml:space="preserve"> concentration of</w:t>
      </w:r>
      <w:r w:rsidR="00D16302" w:rsidRPr="00720D9E">
        <w:t xml:space="preserve"> the </w:t>
      </w:r>
      <w:r w:rsidRPr="00720D9E">
        <w:t>MG</w:t>
      </w:r>
      <w:r w:rsidR="00D16302" w:rsidRPr="00720D9E">
        <w:t xml:space="preserve"> </w:t>
      </w:r>
      <w:r w:rsidR="00D8234F" w:rsidRPr="00720D9E">
        <w:t xml:space="preserve">extracted from each methane source </w:t>
      </w:r>
      <w:r w:rsidR="00523499" w:rsidRPr="00720D9E">
        <w:t>must</w:t>
      </w:r>
      <w:r w:rsidR="00D16302" w:rsidRPr="00720D9E">
        <w:t xml:space="preserve"> be measured continuously, recorded every 15 minutes and averaged at least daily.</w:t>
      </w:r>
    </w:p>
    <w:p w:rsidR="00D16302" w:rsidRPr="00720D9E" w:rsidRDefault="00D16302" w:rsidP="0082570F">
      <w:pPr>
        <w:pStyle w:val="ListParagraph"/>
        <w:numPr>
          <w:ilvl w:val="0"/>
          <w:numId w:val="42"/>
        </w:numPr>
        <w:ind w:hanging="720"/>
      </w:pPr>
      <w:r w:rsidRPr="00720D9E">
        <w:t>If required in order to adjust the flow</w:t>
      </w:r>
      <w:r w:rsidR="00F5081A" w:rsidRPr="00720D9E">
        <w:t xml:space="preserve"> rate or volume</w:t>
      </w:r>
      <w:r w:rsidRPr="00720D9E">
        <w:t xml:space="preserve"> of </w:t>
      </w:r>
      <w:r w:rsidR="00306A0F" w:rsidRPr="00720D9E">
        <w:t>AMM</w:t>
      </w:r>
      <w:r w:rsidRPr="00720D9E">
        <w:t xml:space="preserve">, the temperature and pressure of the </w:t>
      </w:r>
      <w:r w:rsidR="00306A0F" w:rsidRPr="00720D9E">
        <w:t>AMM</w:t>
      </w:r>
      <w:r w:rsidRPr="00720D9E">
        <w:t xml:space="preserve"> </w:t>
      </w:r>
      <w:r w:rsidR="00523499" w:rsidRPr="00720D9E">
        <w:t>must</w:t>
      </w:r>
      <w:r w:rsidRPr="00720D9E">
        <w:t xml:space="preserve"> be measured continuously and recorded at least every hour to calculate hourly temperature and pressure.</w:t>
      </w:r>
    </w:p>
    <w:p w:rsidR="00D8234F" w:rsidRPr="00720D9E" w:rsidRDefault="00BC696A" w:rsidP="0082570F">
      <w:pPr>
        <w:pStyle w:val="ListParagraph"/>
        <w:numPr>
          <w:ilvl w:val="0"/>
          <w:numId w:val="42"/>
        </w:numPr>
        <w:ind w:hanging="720"/>
      </w:pPr>
      <w:r w:rsidRPr="00720D9E">
        <w:rPr>
          <w:color w:val="auto"/>
        </w:rPr>
        <w:t>Offset Project Operators or Authorized Project Designees</w:t>
      </w:r>
      <w:r w:rsidRPr="00720D9E">
        <w:t xml:space="preserve"> </w:t>
      </w:r>
      <w:r w:rsidR="00D8234F" w:rsidRPr="00720D9E">
        <w:t>that elect to derive mine-specific hyperbolic emission rate decline curve coefficients using measured data from pre-existing wells or boreholes open to the atmosphere must adhere to adhere to the following:</w:t>
      </w:r>
    </w:p>
    <w:p w:rsidR="00D8234F" w:rsidRPr="00720D9E" w:rsidRDefault="00BC696A" w:rsidP="00D8234F">
      <w:pPr>
        <w:pStyle w:val="ListParagraph"/>
        <w:numPr>
          <w:ilvl w:val="1"/>
          <w:numId w:val="42"/>
        </w:numPr>
        <w:ind w:hanging="720"/>
      </w:pPr>
      <w:r w:rsidRPr="00720D9E">
        <w:rPr>
          <w:color w:val="auto"/>
        </w:rPr>
        <w:t>Offset Project Operators and Authorized Project Designees</w:t>
      </w:r>
      <w:r w:rsidRPr="00720D9E">
        <w:t xml:space="preserve"> </w:t>
      </w:r>
      <w:r w:rsidR="001A77A4" w:rsidRPr="00720D9E">
        <w:t>must monitor the:</w:t>
      </w:r>
    </w:p>
    <w:p w:rsidR="001A77A4" w:rsidRPr="00720D9E" w:rsidRDefault="001A77A4" w:rsidP="001A77A4">
      <w:pPr>
        <w:pStyle w:val="ListParagraph"/>
        <w:numPr>
          <w:ilvl w:val="2"/>
          <w:numId w:val="42"/>
        </w:numPr>
        <w:ind w:hanging="720"/>
        <w:rPr>
          <w:lang w:val="en-GB"/>
        </w:rPr>
      </w:pPr>
      <w:r w:rsidRPr="00720D9E">
        <w:rPr>
          <w:lang w:val="en-GB"/>
        </w:rPr>
        <w:t xml:space="preserve">MG flow rates; </w:t>
      </w:r>
    </w:p>
    <w:p w:rsidR="001E5525" w:rsidRPr="00720D9E" w:rsidRDefault="001E5525" w:rsidP="001E5525">
      <w:pPr>
        <w:pStyle w:val="ListParagraph"/>
        <w:numPr>
          <w:ilvl w:val="2"/>
          <w:numId w:val="42"/>
        </w:numPr>
        <w:ind w:hanging="720"/>
        <w:rPr>
          <w:lang w:val="en-GB"/>
        </w:rPr>
      </w:pPr>
      <w:r w:rsidRPr="00720D9E">
        <w:rPr>
          <w:lang w:val="en-GB"/>
        </w:rPr>
        <w:t>local barometric pressure; and</w:t>
      </w:r>
    </w:p>
    <w:p w:rsidR="001E5525" w:rsidRPr="00720D9E" w:rsidRDefault="001E5525" w:rsidP="001E5525">
      <w:pPr>
        <w:pStyle w:val="ListParagraph"/>
        <w:numPr>
          <w:ilvl w:val="2"/>
          <w:numId w:val="42"/>
        </w:numPr>
        <w:ind w:hanging="720"/>
        <w:rPr>
          <w:lang w:val="en-GB"/>
        </w:rPr>
      </w:pPr>
      <w:r w:rsidRPr="00720D9E">
        <w:rPr>
          <w:lang w:val="en-GB"/>
        </w:rPr>
        <w:t>methane concentration of MG</w:t>
      </w:r>
    </w:p>
    <w:p w:rsidR="00CA6E87" w:rsidRPr="00720D9E" w:rsidRDefault="00CA6E87" w:rsidP="00CA6E87">
      <w:pPr>
        <w:pStyle w:val="ListParagraph"/>
        <w:numPr>
          <w:ilvl w:val="1"/>
          <w:numId w:val="42"/>
        </w:numPr>
        <w:ind w:hanging="720"/>
        <w:rPr>
          <w:lang w:val="en-GB"/>
        </w:rPr>
      </w:pPr>
      <w:r w:rsidRPr="00720D9E">
        <w:rPr>
          <w:lang w:val="en-GB"/>
        </w:rPr>
        <w:t xml:space="preserve">Data must be monitored over a 72 hour period on at least three separate occasions each separated by a minimum of 90 days. </w:t>
      </w:r>
    </w:p>
    <w:p w:rsidR="001A77A4" w:rsidRPr="00720D9E" w:rsidRDefault="001A77A4" w:rsidP="00CA6E87">
      <w:pPr>
        <w:pStyle w:val="ListParagraph"/>
        <w:numPr>
          <w:ilvl w:val="1"/>
          <w:numId w:val="42"/>
        </w:numPr>
        <w:ind w:hanging="720"/>
        <w:rPr>
          <w:lang w:val="en-GB"/>
        </w:rPr>
      </w:pPr>
      <w:r w:rsidRPr="00720D9E">
        <w:rPr>
          <w:lang w:val="en-GB"/>
        </w:rPr>
        <w:t xml:space="preserve">MG flow </w:t>
      </w:r>
      <w:r w:rsidR="001E5525" w:rsidRPr="00720D9E">
        <w:rPr>
          <w:lang w:val="en-GB"/>
        </w:rPr>
        <w:t xml:space="preserve">rate and the barometric pressure </w:t>
      </w:r>
      <w:r w:rsidRPr="00720D9E">
        <w:rPr>
          <w:lang w:val="en-GB"/>
        </w:rPr>
        <w:t xml:space="preserve">must be monitored continuously and recorded at least on an hourly basis. </w:t>
      </w:r>
    </w:p>
    <w:p w:rsidR="001A77A4" w:rsidRPr="00720D9E" w:rsidRDefault="001A77A4" w:rsidP="001A77A4">
      <w:pPr>
        <w:pStyle w:val="ListParagraph"/>
        <w:numPr>
          <w:ilvl w:val="1"/>
          <w:numId w:val="42"/>
        </w:numPr>
        <w:ind w:hanging="720"/>
        <w:rPr>
          <w:lang w:val="en-GB"/>
        </w:rPr>
      </w:pPr>
      <w:r w:rsidRPr="00720D9E">
        <w:rPr>
          <w:lang w:val="en-GB"/>
        </w:rPr>
        <w:t>Methane concentration must be measured at least daily</w:t>
      </w:r>
      <w:r w:rsidR="00CA6E87" w:rsidRPr="00720D9E">
        <w:rPr>
          <w:lang w:val="en-GB"/>
        </w:rPr>
        <w:t>.</w:t>
      </w:r>
    </w:p>
    <w:p w:rsidR="00D16302" w:rsidRPr="00720D9E" w:rsidRDefault="00BC696A" w:rsidP="0082570F">
      <w:pPr>
        <w:pStyle w:val="ListParagraph"/>
        <w:numPr>
          <w:ilvl w:val="0"/>
          <w:numId w:val="42"/>
        </w:numPr>
        <w:ind w:hanging="720"/>
      </w:pPr>
      <w:r w:rsidRPr="00720D9E">
        <w:rPr>
          <w:color w:val="auto"/>
        </w:rPr>
        <w:t>Offset Project Operators and Authorized Project Designees</w:t>
      </w:r>
      <w:r w:rsidRPr="00720D9E" w:rsidDel="00BC696A">
        <w:t xml:space="preserve"> </w:t>
      </w:r>
      <w:r w:rsidR="00D16302" w:rsidRPr="00720D9E">
        <w:t xml:space="preserve">must monitor the parameters prescribed in Table </w:t>
      </w:r>
      <w:r w:rsidRPr="00720D9E">
        <w:t>6</w:t>
      </w:r>
      <w:r w:rsidR="00D16302" w:rsidRPr="00720D9E">
        <w:t>.</w:t>
      </w:r>
      <w:r w:rsidR="00306A0F" w:rsidRPr="00720D9E">
        <w:t>4</w:t>
      </w:r>
      <w:r w:rsidR="00D16302" w:rsidRPr="00720D9E">
        <w:t>.</w:t>
      </w:r>
    </w:p>
    <w:p w:rsidR="00E50F35" w:rsidRPr="00720D9E" w:rsidRDefault="00E50F35" w:rsidP="00F70189">
      <w:pPr>
        <w:pStyle w:val="Heading3"/>
      </w:pPr>
      <w:bookmarkStart w:id="57" w:name="_Toc364243231"/>
      <w:r w:rsidRPr="00720D9E">
        <w:rPr>
          <w:rStyle w:val="Heading6Char"/>
          <w:b/>
          <w:iCs w:val="0"/>
          <w:sz w:val="24"/>
        </w:rPr>
        <w:t xml:space="preserve">Table </w:t>
      </w:r>
      <w:r w:rsidR="00645452" w:rsidRPr="00720D9E">
        <w:rPr>
          <w:rStyle w:val="Heading6Char"/>
          <w:b/>
          <w:iCs w:val="0"/>
          <w:sz w:val="24"/>
        </w:rPr>
        <w:t>6</w:t>
      </w:r>
      <w:r w:rsidRPr="00720D9E">
        <w:rPr>
          <w:rStyle w:val="Heading6Char"/>
          <w:b/>
          <w:iCs w:val="0"/>
          <w:sz w:val="24"/>
        </w:rPr>
        <w:t>.4.</w:t>
      </w:r>
      <w:r w:rsidRPr="00720D9E">
        <w:t xml:space="preserve"> Abandoned Underground Mine Methane Recovery </w:t>
      </w:r>
      <w:r w:rsidR="00DE42B3" w:rsidRPr="00720D9E">
        <w:t>Activity</w:t>
      </w:r>
      <w:r w:rsidRPr="00720D9E">
        <w:t xml:space="preserve"> Monitoring Parameters</w:t>
      </w:r>
      <w:r w:rsidR="0056242F" w:rsidRPr="00720D9E">
        <w:t xml:space="preserve"> – Quantification Methodology</w:t>
      </w:r>
      <w:bookmarkEnd w:id="57"/>
    </w:p>
    <w:tbl>
      <w:tblPr>
        <w:tblStyle w:val="TableGrid"/>
        <w:tblW w:w="0" w:type="auto"/>
        <w:tblLayout w:type="fixed"/>
        <w:tblLook w:val="04A0" w:firstRow="1" w:lastRow="0" w:firstColumn="1" w:lastColumn="0" w:noHBand="0" w:noVBand="1"/>
      </w:tblPr>
      <w:tblGrid>
        <w:gridCol w:w="606"/>
        <w:gridCol w:w="1392"/>
        <w:gridCol w:w="1769"/>
        <w:gridCol w:w="1021"/>
        <w:gridCol w:w="1613"/>
        <w:gridCol w:w="1717"/>
        <w:gridCol w:w="1458"/>
      </w:tblGrid>
      <w:tr w:rsidR="00FF4E38" w:rsidRPr="006A4333" w:rsidTr="00795CC1">
        <w:tc>
          <w:tcPr>
            <w:tcW w:w="606" w:type="dxa"/>
            <w:shd w:val="pct12" w:color="auto" w:fill="auto"/>
          </w:tcPr>
          <w:p w:rsidR="00FF4E38" w:rsidRPr="006A4333" w:rsidRDefault="00FF4E38" w:rsidP="00795CC1">
            <w:pPr>
              <w:pStyle w:val="NoSpacing"/>
              <w:jc w:val="center"/>
              <w:rPr>
                <w:rFonts w:ascii="Arial" w:hAnsi="Arial" w:cs="Arial"/>
                <w:b/>
                <w:sz w:val="20"/>
                <w:szCs w:val="20"/>
              </w:rPr>
            </w:pPr>
            <w:r w:rsidRPr="006A4333">
              <w:rPr>
                <w:rFonts w:ascii="Arial" w:hAnsi="Arial" w:cs="Arial"/>
                <w:b/>
                <w:sz w:val="20"/>
                <w:szCs w:val="20"/>
              </w:rPr>
              <w:t>Eq. #</w:t>
            </w:r>
          </w:p>
        </w:tc>
        <w:tc>
          <w:tcPr>
            <w:tcW w:w="1392" w:type="dxa"/>
            <w:shd w:val="pct12" w:color="auto" w:fill="auto"/>
          </w:tcPr>
          <w:p w:rsidR="00FF4E38" w:rsidRPr="006A4333" w:rsidRDefault="00FF4E38" w:rsidP="00795CC1">
            <w:pPr>
              <w:pStyle w:val="NoSpacing"/>
              <w:jc w:val="center"/>
              <w:rPr>
                <w:rFonts w:ascii="Arial" w:hAnsi="Arial" w:cs="Arial"/>
                <w:b/>
                <w:sz w:val="20"/>
                <w:szCs w:val="20"/>
              </w:rPr>
            </w:pPr>
            <w:r w:rsidRPr="006A4333">
              <w:rPr>
                <w:rFonts w:ascii="Arial" w:hAnsi="Arial" w:cs="Arial"/>
                <w:b/>
                <w:sz w:val="20"/>
                <w:szCs w:val="20"/>
              </w:rPr>
              <w:t>Parameter</w:t>
            </w:r>
          </w:p>
          <w:p w:rsidR="00FF4E38" w:rsidRPr="006A4333" w:rsidRDefault="00FF4E38" w:rsidP="00795CC1">
            <w:pPr>
              <w:pStyle w:val="NoSpacing"/>
              <w:jc w:val="center"/>
              <w:rPr>
                <w:rFonts w:ascii="Arial" w:hAnsi="Arial" w:cs="Arial"/>
                <w:b/>
                <w:sz w:val="20"/>
                <w:szCs w:val="20"/>
              </w:rPr>
            </w:pPr>
          </w:p>
        </w:tc>
        <w:tc>
          <w:tcPr>
            <w:tcW w:w="1769" w:type="dxa"/>
            <w:shd w:val="pct12" w:color="auto" w:fill="auto"/>
          </w:tcPr>
          <w:p w:rsidR="00FF4E38" w:rsidRPr="006A4333" w:rsidRDefault="00FF4E38" w:rsidP="00795CC1">
            <w:pPr>
              <w:pStyle w:val="NoSpacing"/>
              <w:jc w:val="center"/>
              <w:rPr>
                <w:rFonts w:ascii="Arial" w:hAnsi="Arial" w:cs="Arial"/>
                <w:b/>
                <w:sz w:val="20"/>
                <w:szCs w:val="20"/>
              </w:rPr>
            </w:pPr>
            <w:r w:rsidRPr="006A4333">
              <w:rPr>
                <w:rFonts w:ascii="Arial" w:hAnsi="Arial" w:cs="Arial"/>
                <w:b/>
                <w:sz w:val="20"/>
                <w:szCs w:val="20"/>
              </w:rPr>
              <w:t>Description</w:t>
            </w:r>
          </w:p>
        </w:tc>
        <w:tc>
          <w:tcPr>
            <w:tcW w:w="1021" w:type="dxa"/>
            <w:shd w:val="pct12" w:color="auto" w:fill="auto"/>
          </w:tcPr>
          <w:p w:rsidR="00FF4E38" w:rsidRPr="006A4333" w:rsidRDefault="00FF4E38" w:rsidP="00795CC1">
            <w:pPr>
              <w:pStyle w:val="NoSpacing"/>
              <w:jc w:val="center"/>
              <w:rPr>
                <w:rFonts w:ascii="Arial" w:hAnsi="Arial" w:cs="Arial"/>
                <w:b/>
                <w:sz w:val="20"/>
                <w:szCs w:val="20"/>
              </w:rPr>
            </w:pPr>
            <w:r w:rsidRPr="006A4333">
              <w:rPr>
                <w:rFonts w:ascii="Arial" w:hAnsi="Arial" w:cs="Arial"/>
                <w:b/>
                <w:sz w:val="20"/>
                <w:szCs w:val="20"/>
              </w:rPr>
              <w:t>Data Unit</w:t>
            </w:r>
          </w:p>
        </w:tc>
        <w:tc>
          <w:tcPr>
            <w:tcW w:w="1613" w:type="dxa"/>
            <w:shd w:val="pct12" w:color="auto" w:fill="auto"/>
          </w:tcPr>
          <w:p w:rsidR="00FF4E38" w:rsidRPr="006A4333" w:rsidRDefault="00FF4E38" w:rsidP="00795CC1">
            <w:pPr>
              <w:pStyle w:val="NoSpacing"/>
              <w:jc w:val="center"/>
              <w:rPr>
                <w:rFonts w:ascii="Arial" w:hAnsi="Arial" w:cs="Arial"/>
                <w:b/>
                <w:sz w:val="20"/>
                <w:szCs w:val="20"/>
              </w:rPr>
            </w:pPr>
            <w:r w:rsidRPr="006A4333">
              <w:rPr>
                <w:rFonts w:ascii="Arial" w:hAnsi="Arial" w:cs="Arial"/>
                <w:b/>
                <w:sz w:val="20"/>
                <w:szCs w:val="20"/>
              </w:rPr>
              <w:t>Measurement Frequency</w:t>
            </w:r>
          </w:p>
        </w:tc>
        <w:tc>
          <w:tcPr>
            <w:tcW w:w="1717" w:type="dxa"/>
            <w:shd w:val="pct12" w:color="auto" w:fill="auto"/>
          </w:tcPr>
          <w:p w:rsidR="00FF4E38" w:rsidRPr="006A4333" w:rsidRDefault="00FF4E38" w:rsidP="00795CC1">
            <w:pPr>
              <w:pStyle w:val="NoSpacing"/>
              <w:jc w:val="center"/>
              <w:rPr>
                <w:rFonts w:ascii="Arial" w:hAnsi="Arial" w:cs="Arial"/>
                <w:b/>
                <w:sz w:val="20"/>
                <w:szCs w:val="20"/>
              </w:rPr>
            </w:pPr>
            <w:r w:rsidRPr="006A4333">
              <w:rPr>
                <w:rFonts w:ascii="Arial" w:hAnsi="Arial" w:cs="Arial"/>
                <w:b/>
                <w:sz w:val="20"/>
                <w:szCs w:val="20"/>
              </w:rPr>
              <w:t>Calculated</w:t>
            </w:r>
            <w:r>
              <w:rPr>
                <w:rFonts w:ascii="Arial" w:hAnsi="Arial" w:cs="Arial"/>
                <w:b/>
                <w:sz w:val="20"/>
                <w:szCs w:val="20"/>
              </w:rPr>
              <w:t xml:space="preserve"> (c)</w:t>
            </w:r>
            <w:r w:rsidRPr="006A4333">
              <w:rPr>
                <w:rFonts w:ascii="Arial" w:hAnsi="Arial" w:cs="Arial"/>
                <w:b/>
                <w:sz w:val="20"/>
                <w:szCs w:val="20"/>
              </w:rPr>
              <w:t>, Measured</w:t>
            </w:r>
            <w:r>
              <w:rPr>
                <w:rFonts w:ascii="Arial" w:hAnsi="Arial" w:cs="Arial"/>
                <w:b/>
                <w:sz w:val="20"/>
                <w:szCs w:val="20"/>
              </w:rPr>
              <w:t xml:space="preserve"> (m)</w:t>
            </w:r>
            <w:r w:rsidRPr="006A4333">
              <w:rPr>
                <w:rFonts w:ascii="Arial" w:hAnsi="Arial" w:cs="Arial"/>
                <w:b/>
                <w:sz w:val="20"/>
                <w:szCs w:val="20"/>
              </w:rPr>
              <w:t>, Operating Records</w:t>
            </w:r>
            <w:r>
              <w:rPr>
                <w:rFonts w:ascii="Arial" w:hAnsi="Arial" w:cs="Arial"/>
                <w:b/>
                <w:sz w:val="20"/>
                <w:szCs w:val="20"/>
              </w:rPr>
              <w:t xml:space="preserve"> (o)</w:t>
            </w:r>
            <w:r w:rsidRPr="006A4333">
              <w:rPr>
                <w:rFonts w:ascii="Arial" w:hAnsi="Arial" w:cs="Arial"/>
                <w:b/>
                <w:sz w:val="20"/>
                <w:szCs w:val="20"/>
              </w:rPr>
              <w:t>, Reference</w:t>
            </w:r>
            <w:r>
              <w:rPr>
                <w:rFonts w:ascii="Arial" w:hAnsi="Arial" w:cs="Arial"/>
                <w:b/>
                <w:sz w:val="20"/>
                <w:szCs w:val="20"/>
              </w:rPr>
              <w:t xml:space="preserve"> (r)</w:t>
            </w:r>
          </w:p>
        </w:tc>
        <w:tc>
          <w:tcPr>
            <w:tcW w:w="1458" w:type="dxa"/>
            <w:shd w:val="pct12" w:color="auto" w:fill="auto"/>
          </w:tcPr>
          <w:p w:rsidR="00FF4E38" w:rsidRPr="006A4333" w:rsidRDefault="00FF4E38" w:rsidP="00795CC1">
            <w:pPr>
              <w:pStyle w:val="NoSpacing"/>
              <w:jc w:val="center"/>
              <w:rPr>
                <w:rFonts w:ascii="Arial" w:hAnsi="Arial" w:cs="Arial"/>
                <w:b/>
                <w:sz w:val="20"/>
                <w:szCs w:val="20"/>
              </w:rPr>
            </w:pPr>
            <w:r w:rsidRPr="006A4333">
              <w:rPr>
                <w:rFonts w:ascii="Arial" w:hAnsi="Arial" w:cs="Arial"/>
                <w:b/>
                <w:sz w:val="20"/>
                <w:szCs w:val="20"/>
              </w:rPr>
              <w:t>Comment</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lastRenderedPageBreak/>
              <w:t>5.39</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PSW</w:t>
            </w:r>
            <w:r w:rsidRPr="006A4333">
              <w:rPr>
                <w:rFonts w:ascii="Arial" w:hAnsi="Arial" w:cs="Arial"/>
                <w:sz w:val="20"/>
                <w:szCs w:val="20"/>
                <w:vertAlign w:val="subscript"/>
              </w:rPr>
              <w:t>B,i</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Volume of MG from pre-mining surface wells sent to non-qualifying devices for destruction through use i during the reporting period</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Estimated at offset project commencement; calculated annually if non-qualifying device continues to operate after project start</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 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 xml:space="preserve">The greater of the two values calculated per section 5.4.1(f). </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5.39</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PIB</w:t>
            </w:r>
            <w:r w:rsidRPr="006A4333">
              <w:rPr>
                <w:rFonts w:ascii="Arial" w:hAnsi="Arial" w:cs="Arial"/>
                <w:sz w:val="20"/>
                <w:szCs w:val="20"/>
                <w:vertAlign w:val="subscript"/>
              </w:rPr>
              <w:t>B,i</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Volume of MG from pre-mining in-mine boreholes sent to non-qualifying devices for destruction through use i during the reporting period</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Estimated at offset project commencement; calculated annually if non-qualifying device continues to operate after project start</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 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The greater of the two values calculated per section 5.4.1(f).</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5.39</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PGW</w:t>
            </w:r>
            <w:r w:rsidRPr="006A4333">
              <w:rPr>
                <w:rFonts w:ascii="Arial" w:hAnsi="Arial" w:cs="Arial"/>
                <w:sz w:val="20"/>
                <w:szCs w:val="20"/>
                <w:vertAlign w:val="subscript"/>
              </w:rPr>
              <w:t>B,i</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Volume of MG from post-mining gob wells sent to non-qualifying devices for destruction through use i during the reporting period</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Estimated at offset project commencement; calculated annually if non-qualifying device continues to operate after project start</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 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The greater of the two values calculated per section 5.4.1(f).</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5.39</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NSW</w:t>
            </w:r>
            <w:r w:rsidRPr="006A4333">
              <w:rPr>
                <w:rFonts w:ascii="Arial" w:hAnsi="Arial" w:cs="Arial"/>
                <w:sz w:val="20"/>
                <w:szCs w:val="20"/>
                <w:vertAlign w:val="subscript"/>
              </w:rPr>
              <w:t>B,i</w:t>
            </w:r>
            <w:r w:rsidRPr="006A4333">
              <w:rPr>
                <w:rFonts w:ascii="Arial" w:hAnsi="Arial" w:cs="Arial"/>
                <w:sz w:val="20"/>
                <w:szCs w:val="20"/>
              </w:rPr>
              <w:tab/>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lang w:val="en-GB"/>
              </w:rPr>
              <w:t>Volume of MG from newly drilled surface wells sent to non-qualifying devices for destruction through use i during the reporting period</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Estimated at offset project commencement; calculated annually if non-qualifying device continues to operate after project start</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 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The greater of the two values calculated per section 5.4.1(f).</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5.39</w:t>
            </w:r>
          </w:p>
          <w:p w:rsidR="00FF4E38" w:rsidRPr="006A4333" w:rsidRDefault="00FF4E38" w:rsidP="00795CC1">
            <w:pPr>
              <w:pStyle w:val="NoSpacing"/>
              <w:rPr>
                <w:rFonts w:ascii="Arial" w:hAnsi="Arial" w:cs="Arial"/>
                <w:sz w:val="20"/>
                <w:szCs w:val="20"/>
              </w:rPr>
            </w:pPr>
            <w:r w:rsidRPr="006A4333">
              <w:rPr>
                <w:rFonts w:ascii="Arial" w:hAnsi="Arial" w:cs="Arial"/>
                <w:sz w:val="20"/>
                <w:szCs w:val="20"/>
              </w:rPr>
              <w:t>5.46</w:t>
            </w:r>
          </w:p>
          <w:p w:rsidR="00FF4E38" w:rsidRPr="006A4333" w:rsidRDefault="00FF4E38" w:rsidP="00795CC1">
            <w:pPr>
              <w:pStyle w:val="NoSpacing"/>
              <w:rPr>
                <w:rFonts w:ascii="Arial" w:hAnsi="Arial" w:cs="Arial"/>
                <w:sz w:val="20"/>
                <w:szCs w:val="20"/>
              </w:rPr>
            </w:pPr>
            <w:r w:rsidRPr="006A4333">
              <w:rPr>
                <w:rFonts w:ascii="Arial" w:hAnsi="Arial" w:cs="Arial"/>
                <w:sz w:val="20"/>
                <w:szCs w:val="20"/>
              </w:rPr>
              <w:t>5.47</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lang w:val="en-GB"/>
              </w:rPr>
              <w:t>C</w:t>
            </w:r>
            <w:r w:rsidRPr="006A4333">
              <w:rPr>
                <w:rFonts w:ascii="Arial" w:hAnsi="Arial" w:cs="Arial"/>
                <w:sz w:val="20"/>
                <w:szCs w:val="20"/>
                <w:vertAlign w:val="subscript"/>
                <w:lang w:val="en-GB"/>
              </w:rPr>
              <w:t>CH4</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lang w:val="en-GB"/>
              </w:rPr>
              <w:t xml:space="preserve">Measured methane concentration of mine gas captured from methane source </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lang w:val="en-GB"/>
              </w:rPr>
              <w:t>scf CH</w:t>
            </w:r>
            <w:r w:rsidRPr="006A4333">
              <w:rPr>
                <w:rFonts w:ascii="Arial" w:hAnsi="Arial" w:cs="Arial"/>
                <w:sz w:val="20"/>
                <w:szCs w:val="20"/>
                <w:vertAlign w:val="subscript"/>
                <w:lang w:val="en-GB"/>
              </w:rPr>
              <w:t xml:space="preserve">4 </w:t>
            </w:r>
            <w:r w:rsidRPr="006A4333">
              <w:rPr>
                <w:rFonts w:ascii="Arial" w:hAnsi="Arial" w:cs="Arial"/>
                <w:sz w:val="20"/>
                <w:szCs w:val="20"/>
                <w:lang w:val="en-GB"/>
              </w:rPr>
              <w:t>/ scf</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Continuously</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 c</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Readings taken every two minutes to calculate average methane concentration per hour. Readings and application in equations must be done independently for each methane source.</w:t>
            </w:r>
          </w:p>
          <w:p w:rsidR="00FF4E38" w:rsidRPr="006A4333" w:rsidRDefault="00FF4E38" w:rsidP="00795CC1">
            <w:pPr>
              <w:pStyle w:val="NoSpacing"/>
              <w:rPr>
                <w:rFonts w:ascii="Arial" w:hAnsi="Arial" w:cs="Arial"/>
                <w:sz w:val="20"/>
                <w:szCs w:val="20"/>
              </w:rPr>
            </w:pPr>
            <w:r w:rsidRPr="006A4333">
              <w:rPr>
                <w:rFonts w:ascii="Arial" w:hAnsi="Arial" w:cs="Arial"/>
                <w:sz w:val="20"/>
                <w:szCs w:val="20"/>
              </w:rPr>
              <w:lastRenderedPageBreak/>
              <w:t>When used to derive mine-specific hyperbolic emission rate decline curve coefficients, must be measured at least daily during the monitoring period.</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lastRenderedPageBreak/>
              <w:t>5.41</w:t>
            </w:r>
          </w:p>
          <w:p w:rsidR="00FF4E38" w:rsidRPr="006A4333" w:rsidRDefault="00FF4E38" w:rsidP="00795CC1">
            <w:pPr>
              <w:pStyle w:val="NoSpacing"/>
              <w:rPr>
                <w:rFonts w:ascii="Arial" w:hAnsi="Arial" w:cs="Arial"/>
                <w:sz w:val="20"/>
                <w:szCs w:val="20"/>
              </w:rPr>
            </w:pP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i/>
                <w:sz w:val="20"/>
                <w:szCs w:val="20"/>
              </w:rPr>
              <w:t>ER</w:t>
            </w:r>
            <w:r w:rsidRPr="006A4333">
              <w:rPr>
                <w:rFonts w:ascii="Arial" w:hAnsi="Arial" w:cs="Arial"/>
                <w:i/>
                <w:sz w:val="20"/>
                <w:szCs w:val="20"/>
                <w:vertAlign w:val="subscript"/>
              </w:rPr>
              <w:t>AMM,to</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 xml:space="preserve">Emission rate of AMM at the time of mine closure </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scf/d</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At offset project commencement</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o</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Available from public agency (i.e., MSHA, EPA, etc.)</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5.41</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t</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Time elapsed from the date of mine closure to midpoint of the reporting period</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days</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At offset project commencement</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o</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Available from public agency (i.e., MSHA, EPA, etc.)</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5.42</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ER</w:t>
            </w:r>
            <w:r w:rsidRPr="006A4333">
              <w:rPr>
                <w:rFonts w:ascii="Arial" w:hAnsi="Arial" w:cs="Arial"/>
                <w:sz w:val="20"/>
                <w:szCs w:val="20"/>
                <w:vertAlign w:val="subscript"/>
              </w:rPr>
              <w:t>meas,y</w:t>
            </w:r>
          </w:p>
          <w:p w:rsidR="00FF4E38" w:rsidRPr="006A4333" w:rsidRDefault="00FF4E38" w:rsidP="00795CC1">
            <w:pPr>
              <w:pStyle w:val="NoSpacing"/>
              <w:rPr>
                <w:rFonts w:ascii="Arial" w:hAnsi="Arial" w:cs="Arial"/>
                <w:sz w:val="20"/>
                <w:szCs w:val="20"/>
              </w:rPr>
            </w:pP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 xml:space="preserve">Measured emission rate of MG venting from </w:t>
            </w:r>
            <w:r w:rsidRPr="006A4333">
              <w:rPr>
                <w:rFonts w:ascii="Arial" w:hAnsi="Arial" w:cs="Arial"/>
                <w:sz w:val="20"/>
                <w:szCs w:val="20"/>
                <w:lang w:val="en-GB"/>
              </w:rPr>
              <w:t>pre-existing wells or boreholes open to the atmosphere</w:t>
            </w:r>
            <w:r w:rsidRPr="006A4333">
              <w:rPr>
                <w:rFonts w:ascii="Arial" w:hAnsi="Arial" w:cs="Arial"/>
                <w:sz w:val="20"/>
                <w:szCs w:val="20"/>
              </w:rPr>
              <w:t xml:space="preserve"> during time interval y</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(scf/unit of time)</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Continuously</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w:t>
            </w:r>
          </w:p>
        </w:tc>
        <w:tc>
          <w:tcPr>
            <w:tcW w:w="1458" w:type="dxa"/>
          </w:tcPr>
          <w:p w:rsidR="00FF4E38" w:rsidRPr="006A4333" w:rsidRDefault="00FF4E38" w:rsidP="00795CC1">
            <w:pPr>
              <w:pStyle w:val="NoSpacing"/>
              <w:rPr>
                <w:rFonts w:ascii="Arial" w:hAnsi="Arial" w:cs="Arial"/>
                <w:sz w:val="20"/>
                <w:szCs w:val="20"/>
                <w:vertAlign w:val="subscript"/>
              </w:rPr>
            </w:pPr>
            <w:r w:rsidRPr="006A4333">
              <w:rPr>
                <w:rFonts w:ascii="Arial" w:hAnsi="Arial" w:cs="Arial"/>
                <w:sz w:val="20"/>
                <w:szCs w:val="20"/>
              </w:rPr>
              <w:t>Adjusted, if applicable, to STP using Equation 5.39</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5.42</w:t>
            </w:r>
          </w:p>
          <w:p w:rsidR="00FF4E38" w:rsidRPr="006A4333" w:rsidRDefault="00FF4E38" w:rsidP="00795CC1">
            <w:pPr>
              <w:pStyle w:val="NoSpacing"/>
              <w:rPr>
                <w:rFonts w:ascii="Arial" w:hAnsi="Arial" w:cs="Arial"/>
                <w:sz w:val="20"/>
                <w:szCs w:val="20"/>
              </w:rPr>
            </w:pPr>
            <w:r w:rsidRPr="006A4333">
              <w:rPr>
                <w:rFonts w:ascii="Arial" w:hAnsi="Arial" w:cs="Arial"/>
                <w:sz w:val="20"/>
                <w:szCs w:val="20"/>
              </w:rPr>
              <w:t>5.48</w:t>
            </w:r>
          </w:p>
        </w:tc>
        <w:tc>
          <w:tcPr>
            <w:tcW w:w="1392" w:type="dxa"/>
          </w:tcPr>
          <w:p w:rsidR="00FF4E38" w:rsidRPr="006A4333" w:rsidRDefault="00FF4E38" w:rsidP="00795CC1">
            <w:pPr>
              <w:pStyle w:val="NoSpacing"/>
              <w:rPr>
                <w:rFonts w:ascii="Arial" w:hAnsi="Arial" w:cs="Arial"/>
                <w:sz w:val="20"/>
                <w:szCs w:val="20"/>
                <w:vertAlign w:val="subscript"/>
              </w:rPr>
            </w:pPr>
            <w:r w:rsidRPr="006A4333">
              <w:rPr>
                <w:rFonts w:ascii="Arial" w:hAnsi="Arial" w:cs="Arial"/>
                <w:sz w:val="20"/>
                <w:szCs w:val="20"/>
              </w:rPr>
              <w:t>T</w:t>
            </w:r>
            <w:r w:rsidRPr="006A4333">
              <w:rPr>
                <w:rFonts w:ascii="Arial" w:hAnsi="Arial" w:cs="Arial"/>
                <w:sz w:val="20"/>
                <w:szCs w:val="20"/>
                <w:vertAlign w:val="subscript"/>
              </w:rPr>
              <w:t>MG,y</w:t>
            </w:r>
          </w:p>
          <w:p w:rsidR="00FF4E38" w:rsidRPr="006A4333" w:rsidRDefault="00FF4E38" w:rsidP="00795CC1">
            <w:pPr>
              <w:pStyle w:val="NoSpacing"/>
              <w:rPr>
                <w:rFonts w:ascii="Arial" w:hAnsi="Arial" w:cs="Arial"/>
                <w:sz w:val="20"/>
                <w:szCs w:val="20"/>
              </w:rPr>
            </w:pP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 xml:space="preserve">Measured temperature of MG for the time interval y, °R=°F+460 </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°R</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Continuously</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 c</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Readings taken at least every hour to calculate temperature for time interval y</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5.42</w:t>
            </w:r>
          </w:p>
          <w:p w:rsidR="00FF4E38" w:rsidRPr="006A4333" w:rsidRDefault="00FF4E38" w:rsidP="00795CC1">
            <w:pPr>
              <w:pStyle w:val="NoSpacing"/>
              <w:rPr>
                <w:rFonts w:ascii="Arial" w:hAnsi="Arial" w:cs="Arial"/>
                <w:sz w:val="20"/>
                <w:szCs w:val="20"/>
              </w:rPr>
            </w:pPr>
            <w:r w:rsidRPr="006A4333">
              <w:rPr>
                <w:rFonts w:ascii="Arial" w:hAnsi="Arial" w:cs="Arial"/>
                <w:sz w:val="20"/>
                <w:szCs w:val="20"/>
              </w:rPr>
              <w:t>5.48</w:t>
            </w:r>
          </w:p>
        </w:tc>
        <w:tc>
          <w:tcPr>
            <w:tcW w:w="1392" w:type="dxa"/>
          </w:tcPr>
          <w:p w:rsidR="00FF4E38" w:rsidRPr="006A4333" w:rsidRDefault="00FF4E38" w:rsidP="00795CC1">
            <w:pPr>
              <w:pStyle w:val="NoSpacing"/>
              <w:rPr>
                <w:rFonts w:ascii="Arial" w:hAnsi="Arial" w:cs="Arial"/>
                <w:sz w:val="20"/>
                <w:szCs w:val="20"/>
                <w:vertAlign w:val="subscript"/>
              </w:rPr>
            </w:pPr>
            <w:r w:rsidRPr="006A4333">
              <w:rPr>
                <w:rFonts w:ascii="Arial" w:hAnsi="Arial" w:cs="Arial"/>
                <w:sz w:val="20"/>
                <w:szCs w:val="20"/>
              </w:rPr>
              <w:t>P</w:t>
            </w:r>
            <w:r w:rsidRPr="006A4333">
              <w:rPr>
                <w:rFonts w:ascii="Arial" w:hAnsi="Arial" w:cs="Arial"/>
                <w:sz w:val="20"/>
                <w:szCs w:val="20"/>
                <w:vertAlign w:val="subscript"/>
              </w:rPr>
              <w:t>MG,y</w:t>
            </w:r>
          </w:p>
          <w:p w:rsidR="00FF4E38" w:rsidRPr="006A4333" w:rsidRDefault="00FF4E38" w:rsidP="00795CC1">
            <w:pPr>
              <w:pStyle w:val="NoSpacing"/>
              <w:rPr>
                <w:rFonts w:ascii="Arial" w:hAnsi="Arial" w:cs="Arial"/>
                <w:sz w:val="20"/>
                <w:szCs w:val="20"/>
              </w:rPr>
            </w:pP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 xml:space="preserve">Measured pressure of MG for the time interval y </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atm</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Continuously</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 c</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Readings taken at least every hour to calculate temperature for time interval y</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5.44</w:t>
            </w:r>
          </w:p>
          <w:p w:rsidR="00FF4E38" w:rsidRPr="006A4333" w:rsidRDefault="00FF4E38" w:rsidP="00795CC1">
            <w:pPr>
              <w:pStyle w:val="NoSpacing"/>
              <w:rPr>
                <w:rFonts w:ascii="Arial" w:hAnsi="Arial" w:cs="Arial"/>
                <w:sz w:val="20"/>
                <w:szCs w:val="20"/>
              </w:rPr>
            </w:pPr>
          </w:p>
        </w:tc>
        <w:tc>
          <w:tcPr>
            <w:tcW w:w="1392" w:type="dxa"/>
          </w:tcPr>
          <w:p w:rsidR="00FF4E38" w:rsidRPr="006A4333" w:rsidRDefault="00FF4E38" w:rsidP="00795CC1">
            <w:pPr>
              <w:pStyle w:val="NoSpacing"/>
              <w:rPr>
                <w:rFonts w:ascii="Arial" w:hAnsi="Arial" w:cs="Arial"/>
                <w:sz w:val="20"/>
                <w:szCs w:val="20"/>
                <w:vertAlign w:val="subscript"/>
              </w:rPr>
            </w:pPr>
            <w:r w:rsidRPr="006A4333">
              <w:rPr>
                <w:rFonts w:ascii="Arial" w:hAnsi="Arial" w:cs="Arial"/>
                <w:sz w:val="20"/>
                <w:szCs w:val="20"/>
              </w:rPr>
              <w:t>CONS</w:t>
            </w:r>
            <w:r w:rsidRPr="006A4333">
              <w:rPr>
                <w:rFonts w:ascii="Arial" w:hAnsi="Arial" w:cs="Arial"/>
                <w:sz w:val="20"/>
                <w:szCs w:val="20"/>
                <w:vertAlign w:val="subscript"/>
              </w:rPr>
              <w:t>ELEC</w:t>
            </w:r>
          </w:p>
          <w:p w:rsidR="00FF4E38" w:rsidRPr="006A4333" w:rsidRDefault="00FF4E38" w:rsidP="00795CC1">
            <w:pPr>
              <w:pStyle w:val="NoSpacing"/>
              <w:rPr>
                <w:rFonts w:ascii="Arial" w:hAnsi="Arial" w:cs="Arial"/>
                <w:sz w:val="20"/>
                <w:szCs w:val="20"/>
              </w:rPr>
            </w:pP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 xml:space="preserve">Additional electricity consumption for the capture and destruction of methane during the reporting period </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MWh</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Every reporting period</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o</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From electricity use records</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5.44</w:t>
            </w:r>
          </w:p>
          <w:p w:rsidR="00FF4E38" w:rsidRPr="006A4333" w:rsidRDefault="00FF4E38" w:rsidP="00795CC1">
            <w:pPr>
              <w:pStyle w:val="NoSpacing"/>
              <w:rPr>
                <w:rFonts w:ascii="Arial" w:hAnsi="Arial" w:cs="Arial"/>
                <w:sz w:val="20"/>
                <w:szCs w:val="20"/>
              </w:rPr>
            </w:pPr>
          </w:p>
        </w:tc>
        <w:tc>
          <w:tcPr>
            <w:tcW w:w="1392" w:type="dxa"/>
          </w:tcPr>
          <w:p w:rsidR="00FF4E38" w:rsidRPr="006A4333" w:rsidRDefault="00FF4E38" w:rsidP="00795CC1">
            <w:pPr>
              <w:pStyle w:val="NoSpacing"/>
              <w:rPr>
                <w:rFonts w:ascii="Arial" w:hAnsi="Arial" w:cs="Arial"/>
                <w:sz w:val="20"/>
                <w:szCs w:val="20"/>
                <w:vertAlign w:val="subscript"/>
              </w:rPr>
            </w:pPr>
            <w:r w:rsidRPr="006A4333">
              <w:rPr>
                <w:rFonts w:ascii="Arial" w:hAnsi="Arial" w:cs="Arial"/>
                <w:sz w:val="20"/>
                <w:szCs w:val="20"/>
              </w:rPr>
              <w:lastRenderedPageBreak/>
              <w:t>CONS</w:t>
            </w:r>
            <w:r w:rsidRPr="006A4333">
              <w:rPr>
                <w:rFonts w:ascii="Arial" w:hAnsi="Arial" w:cs="Arial"/>
                <w:sz w:val="20"/>
                <w:szCs w:val="20"/>
                <w:vertAlign w:val="subscript"/>
              </w:rPr>
              <w:t>HEAT</w:t>
            </w:r>
          </w:p>
          <w:p w:rsidR="00FF4E38" w:rsidRPr="006A4333" w:rsidRDefault="00FF4E38" w:rsidP="00795CC1">
            <w:pPr>
              <w:pStyle w:val="NoSpacing"/>
              <w:rPr>
                <w:rFonts w:ascii="Arial" w:hAnsi="Arial" w:cs="Arial"/>
                <w:sz w:val="20"/>
                <w:szCs w:val="20"/>
              </w:rPr>
            </w:pP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lastRenderedPageBreak/>
              <w:t xml:space="preserve">Additional heat </w:t>
            </w:r>
            <w:r w:rsidRPr="006A4333">
              <w:rPr>
                <w:rFonts w:ascii="Arial" w:hAnsi="Arial" w:cs="Arial"/>
                <w:sz w:val="20"/>
                <w:szCs w:val="20"/>
              </w:rPr>
              <w:lastRenderedPageBreak/>
              <w:t xml:space="preserve">consumption for the capture and destruction of methane during the reporting period </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lastRenderedPageBreak/>
              <w:t>Volume</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 xml:space="preserve">Every reporting </w:t>
            </w:r>
            <w:r w:rsidRPr="006A4333">
              <w:rPr>
                <w:rFonts w:ascii="Arial" w:hAnsi="Arial" w:cs="Arial"/>
                <w:sz w:val="20"/>
                <w:szCs w:val="20"/>
              </w:rPr>
              <w:lastRenderedPageBreak/>
              <w:t>period</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lastRenderedPageBreak/>
              <w:t>o</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 xml:space="preserve">From </w:t>
            </w:r>
            <w:r w:rsidRPr="006A4333">
              <w:rPr>
                <w:rFonts w:ascii="Arial" w:hAnsi="Arial" w:cs="Arial"/>
                <w:sz w:val="20"/>
                <w:szCs w:val="20"/>
              </w:rPr>
              <w:lastRenderedPageBreak/>
              <w:t>purchased heat records</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lastRenderedPageBreak/>
              <w:t>5.44</w:t>
            </w:r>
          </w:p>
          <w:p w:rsidR="00FF4E38" w:rsidRPr="006A4333" w:rsidRDefault="00FF4E38" w:rsidP="00795CC1">
            <w:pPr>
              <w:pStyle w:val="NoSpacing"/>
              <w:rPr>
                <w:rFonts w:ascii="Arial" w:hAnsi="Arial" w:cs="Arial"/>
                <w:sz w:val="20"/>
                <w:szCs w:val="20"/>
              </w:rPr>
            </w:pPr>
          </w:p>
        </w:tc>
        <w:tc>
          <w:tcPr>
            <w:tcW w:w="1392" w:type="dxa"/>
          </w:tcPr>
          <w:p w:rsidR="00FF4E38" w:rsidRPr="006A4333" w:rsidRDefault="00FF4E38" w:rsidP="00795CC1">
            <w:pPr>
              <w:pStyle w:val="NoSpacing"/>
              <w:rPr>
                <w:rFonts w:ascii="Arial" w:hAnsi="Arial" w:cs="Arial"/>
                <w:sz w:val="20"/>
                <w:szCs w:val="20"/>
                <w:vertAlign w:val="subscript"/>
              </w:rPr>
            </w:pPr>
            <w:r w:rsidRPr="006A4333">
              <w:rPr>
                <w:rFonts w:ascii="Arial" w:hAnsi="Arial" w:cs="Arial"/>
                <w:sz w:val="20"/>
                <w:szCs w:val="20"/>
              </w:rPr>
              <w:t>CONS</w:t>
            </w:r>
            <w:r w:rsidRPr="006A4333">
              <w:rPr>
                <w:rFonts w:ascii="Arial" w:hAnsi="Arial" w:cs="Arial"/>
                <w:sz w:val="20"/>
                <w:szCs w:val="20"/>
                <w:vertAlign w:val="subscript"/>
              </w:rPr>
              <w:t>FF</w:t>
            </w:r>
          </w:p>
          <w:p w:rsidR="00FF4E38" w:rsidRPr="006A4333" w:rsidRDefault="00FF4E38" w:rsidP="00795CC1">
            <w:pPr>
              <w:pStyle w:val="NoSpacing"/>
              <w:rPr>
                <w:rFonts w:ascii="Arial" w:hAnsi="Arial" w:cs="Arial"/>
                <w:sz w:val="20"/>
                <w:szCs w:val="20"/>
              </w:rPr>
            </w:pP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Additional fossil fuel consumption for the capture and destruction of methane during the reporting period</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Volume</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Every reporting period</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o</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From fuel use records</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5.46</w:t>
            </w:r>
          </w:p>
          <w:p w:rsidR="00FF4E38" w:rsidRPr="006A4333" w:rsidRDefault="00FF4E38" w:rsidP="00795CC1">
            <w:pPr>
              <w:pStyle w:val="NoSpacing"/>
              <w:rPr>
                <w:rFonts w:ascii="Arial" w:hAnsi="Arial" w:cs="Arial"/>
                <w:sz w:val="20"/>
                <w:szCs w:val="20"/>
              </w:rPr>
            </w:pPr>
            <w:r w:rsidRPr="006A4333">
              <w:rPr>
                <w:rFonts w:ascii="Arial" w:hAnsi="Arial" w:cs="Arial"/>
                <w:sz w:val="20"/>
                <w:szCs w:val="20"/>
              </w:rPr>
              <w:t>5.47</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PSW</w:t>
            </w:r>
            <w:r w:rsidRPr="006A4333">
              <w:rPr>
                <w:rFonts w:ascii="Arial" w:hAnsi="Arial" w:cs="Arial"/>
                <w:sz w:val="20"/>
                <w:szCs w:val="20"/>
                <w:vertAlign w:val="subscript"/>
              </w:rPr>
              <w:t>P,i</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Volume of MG from pre-mining surface wells sent to qualifying and non-qualifying devices for destruction through use i during the reporting period</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Every reporting period</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Adjusted, if applicable, to STP using Equation 5.43</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5.46</w:t>
            </w:r>
          </w:p>
          <w:p w:rsidR="00FF4E38" w:rsidRPr="006A4333" w:rsidRDefault="00FF4E38" w:rsidP="00795CC1">
            <w:pPr>
              <w:pStyle w:val="NoSpacing"/>
              <w:rPr>
                <w:rFonts w:ascii="Arial" w:hAnsi="Arial" w:cs="Arial"/>
                <w:sz w:val="20"/>
                <w:szCs w:val="20"/>
              </w:rPr>
            </w:pPr>
            <w:r w:rsidRPr="006A4333">
              <w:rPr>
                <w:rFonts w:ascii="Arial" w:hAnsi="Arial" w:cs="Arial"/>
                <w:sz w:val="20"/>
                <w:szCs w:val="20"/>
              </w:rPr>
              <w:t>5.47</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PIB</w:t>
            </w:r>
            <w:r w:rsidRPr="006A4333">
              <w:rPr>
                <w:rFonts w:ascii="Arial" w:hAnsi="Arial" w:cs="Arial"/>
                <w:sz w:val="20"/>
                <w:szCs w:val="20"/>
                <w:vertAlign w:val="subscript"/>
              </w:rPr>
              <w:t>P,i</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Volume of MG from pre-mining in-mine boreholes sent to by qualifying and non-qualifying devices for destruction through use i during the reporting period</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Every reporting period</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Adjusted, if applicable, to STP using Equation 5.43</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5.46</w:t>
            </w:r>
          </w:p>
          <w:p w:rsidR="00FF4E38" w:rsidRPr="006A4333" w:rsidRDefault="00FF4E38" w:rsidP="00795CC1">
            <w:pPr>
              <w:pStyle w:val="NoSpacing"/>
              <w:rPr>
                <w:rFonts w:ascii="Arial" w:hAnsi="Arial" w:cs="Arial"/>
                <w:sz w:val="20"/>
                <w:szCs w:val="20"/>
              </w:rPr>
            </w:pPr>
            <w:r w:rsidRPr="006A4333">
              <w:rPr>
                <w:rFonts w:ascii="Arial" w:hAnsi="Arial" w:cs="Arial"/>
                <w:sz w:val="20"/>
                <w:szCs w:val="20"/>
              </w:rPr>
              <w:t>5.47</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PGW</w:t>
            </w:r>
            <w:r w:rsidRPr="006A4333">
              <w:rPr>
                <w:rFonts w:ascii="Arial" w:hAnsi="Arial" w:cs="Arial"/>
                <w:sz w:val="20"/>
                <w:szCs w:val="20"/>
                <w:vertAlign w:val="subscript"/>
              </w:rPr>
              <w:t>P,i</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 xml:space="preserve">Volume of MG from post-mining gob wells sent to qualifying and non-qualifying devices for destruction through use i during the reporting period  </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Every reporting period</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Adjusted, if applicable, to STP using Equation 5.43</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5.46</w:t>
            </w:r>
          </w:p>
          <w:p w:rsidR="00FF4E38" w:rsidRPr="006A4333" w:rsidRDefault="00FF4E38" w:rsidP="00795CC1">
            <w:pPr>
              <w:pStyle w:val="NoSpacing"/>
              <w:rPr>
                <w:rFonts w:ascii="Arial" w:hAnsi="Arial" w:cs="Arial"/>
                <w:sz w:val="20"/>
                <w:szCs w:val="20"/>
              </w:rPr>
            </w:pPr>
            <w:r w:rsidRPr="006A4333">
              <w:rPr>
                <w:rFonts w:ascii="Arial" w:hAnsi="Arial" w:cs="Arial"/>
                <w:sz w:val="20"/>
                <w:szCs w:val="20"/>
              </w:rPr>
              <w:t>5.47</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NSW</w:t>
            </w:r>
            <w:r w:rsidRPr="006A4333">
              <w:rPr>
                <w:rFonts w:ascii="Arial" w:hAnsi="Arial" w:cs="Arial"/>
                <w:sz w:val="20"/>
                <w:szCs w:val="20"/>
                <w:vertAlign w:val="subscript"/>
              </w:rPr>
              <w:t>P,i</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lang w:val="en-GB"/>
              </w:rPr>
              <w:t>Volume of MG from newly drilled surface wells sent to qualifying and non-qualifying devices for destruction through use i during the reporting period</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Every reporting period</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Adjusted, if applicable, to STP using Equation 5.43</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lastRenderedPageBreak/>
              <w:t>5.46</w:t>
            </w:r>
          </w:p>
          <w:p w:rsidR="00FF4E38" w:rsidRPr="006A4333" w:rsidRDefault="00FF4E38" w:rsidP="00795CC1">
            <w:pPr>
              <w:pStyle w:val="NoSpacing"/>
              <w:rPr>
                <w:rFonts w:ascii="Arial" w:hAnsi="Arial" w:cs="Arial"/>
                <w:sz w:val="20"/>
                <w:szCs w:val="20"/>
              </w:rPr>
            </w:pPr>
            <w:r w:rsidRPr="006A4333">
              <w:rPr>
                <w:rFonts w:ascii="Arial" w:hAnsi="Arial" w:cs="Arial"/>
                <w:sz w:val="20"/>
                <w:szCs w:val="20"/>
              </w:rPr>
              <w:t>5.47</w:t>
            </w:r>
          </w:p>
          <w:p w:rsidR="00FF4E38" w:rsidRPr="006A4333" w:rsidRDefault="00FF4E38" w:rsidP="00795CC1">
            <w:pPr>
              <w:pStyle w:val="NoSpacing"/>
              <w:rPr>
                <w:rFonts w:ascii="Arial" w:hAnsi="Arial" w:cs="Arial"/>
                <w:sz w:val="20"/>
                <w:szCs w:val="20"/>
              </w:rPr>
            </w:pPr>
          </w:p>
        </w:tc>
        <w:tc>
          <w:tcPr>
            <w:tcW w:w="1392" w:type="dxa"/>
          </w:tcPr>
          <w:p w:rsidR="00FF4E38" w:rsidRPr="006A4333" w:rsidRDefault="00FF4E38" w:rsidP="00795CC1">
            <w:pPr>
              <w:pStyle w:val="NoSpacing"/>
              <w:rPr>
                <w:rFonts w:ascii="Arial" w:hAnsi="Arial" w:cs="Arial"/>
                <w:sz w:val="20"/>
                <w:szCs w:val="20"/>
                <w:vertAlign w:val="subscript"/>
              </w:rPr>
            </w:pPr>
            <w:r w:rsidRPr="006A4333">
              <w:rPr>
                <w:rFonts w:ascii="Arial" w:hAnsi="Arial" w:cs="Arial"/>
                <w:sz w:val="20"/>
                <w:szCs w:val="20"/>
              </w:rPr>
              <w:t>DE</w:t>
            </w:r>
            <w:r w:rsidRPr="006A4333">
              <w:rPr>
                <w:rFonts w:ascii="Arial" w:hAnsi="Arial" w:cs="Arial"/>
                <w:sz w:val="20"/>
                <w:szCs w:val="20"/>
                <w:vertAlign w:val="subscript"/>
              </w:rPr>
              <w:t>i</w:t>
            </w: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Efficiency of methane destruction device i</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Annually</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r or 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Default methane destruction efficiencies provided in Appendix B or site-specific methane destruction efficiencies determined using an ARB approved methodology</w:t>
            </w:r>
          </w:p>
        </w:tc>
      </w:tr>
      <w:tr w:rsidR="00FF4E38" w:rsidRPr="006A4333" w:rsidTr="00795CC1">
        <w:tc>
          <w:tcPr>
            <w:tcW w:w="606"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5.48</w:t>
            </w:r>
          </w:p>
        </w:tc>
        <w:tc>
          <w:tcPr>
            <w:tcW w:w="1392"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MG</w:t>
            </w:r>
            <w:r w:rsidRPr="006A4333">
              <w:rPr>
                <w:rFonts w:ascii="Arial" w:hAnsi="Arial" w:cs="Arial"/>
                <w:sz w:val="20"/>
                <w:szCs w:val="20"/>
                <w:vertAlign w:val="subscript"/>
              </w:rPr>
              <w:t>meas,i,y</w:t>
            </w:r>
          </w:p>
          <w:p w:rsidR="00FF4E38" w:rsidRPr="006A4333" w:rsidRDefault="00FF4E38" w:rsidP="00795CC1">
            <w:pPr>
              <w:pStyle w:val="NoSpacing"/>
              <w:rPr>
                <w:rFonts w:ascii="Arial" w:hAnsi="Arial" w:cs="Arial"/>
                <w:sz w:val="20"/>
                <w:szCs w:val="20"/>
              </w:rPr>
            </w:pPr>
          </w:p>
        </w:tc>
        <w:tc>
          <w:tcPr>
            <w:tcW w:w="1769"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 xml:space="preserve">Measured volume of MG collected for the time interval y at utilization type i </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(scf/unit of time)</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Continuously</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w:t>
            </w:r>
          </w:p>
        </w:tc>
        <w:tc>
          <w:tcPr>
            <w:tcW w:w="1458" w:type="dxa"/>
          </w:tcPr>
          <w:p w:rsidR="00FF4E38" w:rsidRPr="006A4333" w:rsidRDefault="00FF4E38" w:rsidP="00795CC1">
            <w:pPr>
              <w:pStyle w:val="NoSpacing"/>
              <w:rPr>
                <w:rFonts w:ascii="Arial" w:hAnsi="Arial" w:cs="Arial"/>
                <w:sz w:val="20"/>
                <w:szCs w:val="20"/>
                <w:vertAlign w:val="subscript"/>
              </w:rPr>
            </w:pPr>
            <w:r w:rsidRPr="006A4333">
              <w:rPr>
                <w:rFonts w:ascii="Arial" w:hAnsi="Arial" w:cs="Arial"/>
                <w:sz w:val="20"/>
                <w:szCs w:val="20"/>
              </w:rPr>
              <w:t>Adjusted, if applicable, to STP using Equation 5.32</w:t>
            </w:r>
          </w:p>
        </w:tc>
      </w:tr>
      <w:tr w:rsidR="00FF4E38" w:rsidRPr="006A4333" w:rsidTr="00795CC1">
        <w:tc>
          <w:tcPr>
            <w:tcW w:w="9576" w:type="dxa"/>
            <w:gridSpan w:val="7"/>
            <w:shd w:val="pct12" w:color="auto" w:fill="auto"/>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Monitoring Parameters for Deriving Mine-Specific Hyperbolic Emission Rate Decline Curve Coefficients</w:t>
            </w:r>
          </w:p>
        </w:tc>
      </w:tr>
      <w:tr w:rsidR="00FF4E38" w:rsidRPr="006A4333" w:rsidTr="00795CC1">
        <w:tc>
          <w:tcPr>
            <w:tcW w:w="3767" w:type="dxa"/>
            <w:gridSpan w:val="3"/>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Description</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Data Unit</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Measurement Frequency</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Calculated (c), Measured (m)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Comment</w:t>
            </w:r>
          </w:p>
        </w:tc>
      </w:tr>
      <w:tr w:rsidR="00FF4E38" w:rsidRPr="006A4333" w:rsidTr="00795CC1">
        <w:tc>
          <w:tcPr>
            <w:tcW w:w="3767" w:type="dxa"/>
            <w:gridSpan w:val="3"/>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MG flow rate</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(mscf/d)</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Continuously</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 c</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lang w:val="en-GB"/>
              </w:rPr>
              <w:t>Recordings taken at least on an hourly basis during the monitoring period</w:t>
            </w:r>
          </w:p>
        </w:tc>
      </w:tr>
      <w:tr w:rsidR="00FF4E38" w:rsidRPr="006A4333" w:rsidTr="00795CC1">
        <w:tc>
          <w:tcPr>
            <w:tcW w:w="3767" w:type="dxa"/>
            <w:gridSpan w:val="3"/>
          </w:tcPr>
          <w:p w:rsidR="00FF4E38" w:rsidRPr="006A4333" w:rsidRDefault="00FF4E38" w:rsidP="00795CC1">
            <w:pPr>
              <w:pStyle w:val="NoSpacing"/>
              <w:rPr>
                <w:rFonts w:ascii="Arial" w:hAnsi="Arial" w:cs="Arial"/>
                <w:sz w:val="20"/>
                <w:szCs w:val="20"/>
                <w:lang w:val="en-GB"/>
              </w:rPr>
            </w:pPr>
            <w:r w:rsidRPr="006A4333">
              <w:rPr>
                <w:rFonts w:ascii="Arial" w:hAnsi="Arial" w:cs="Arial"/>
                <w:sz w:val="20"/>
                <w:szCs w:val="20"/>
                <w:lang w:val="en-GB"/>
              </w:rPr>
              <w:t>Local barometric pressure</w:t>
            </w:r>
          </w:p>
          <w:p w:rsidR="00FF4E38" w:rsidRPr="006A4333" w:rsidRDefault="00FF4E38" w:rsidP="00795CC1">
            <w:pPr>
              <w:pStyle w:val="NoSpacing"/>
              <w:rPr>
                <w:rFonts w:ascii="Arial" w:hAnsi="Arial" w:cs="Arial"/>
                <w:sz w:val="20"/>
                <w:szCs w:val="20"/>
              </w:rPr>
            </w:pP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atm</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Continuously</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lang w:val="en-GB"/>
              </w:rPr>
              <w:t>Recordings taken at least on an hourly basis during the monitoring period</w:t>
            </w:r>
          </w:p>
        </w:tc>
      </w:tr>
      <w:tr w:rsidR="00FF4E38" w:rsidRPr="006A4333" w:rsidTr="00795CC1">
        <w:tc>
          <w:tcPr>
            <w:tcW w:w="3767" w:type="dxa"/>
            <w:gridSpan w:val="3"/>
          </w:tcPr>
          <w:p w:rsidR="00FF4E38" w:rsidRPr="006A4333" w:rsidRDefault="00FF4E38" w:rsidP="00795CC1">
            <w:pPr>
              <w:pStyle w:val="NoSpacing"/>
              <w:rPr>
                <w:rFonts w:ascii="Arial" w:hAnsi="Arial" w:cs="Arial"/>
                <w:sz w:val="20"/>
                <w:szCs w:val="20"/>
              </w:rPr>
            </w:pPr>
            <w:r w:rsidRPr="006A4333">
              <w:rPr>
                <w:rFonts w:ascii="Arial" w:hAnsi="Arial" w:cs="Arial"/>
                <w:sz w:val="20"/>
                <w:szCs w:val="20"/>
                <w:lang w:val="en-GB"/>
              </w:rPr>
              <w:t xml:space="preserve">Measured methane concentration of mine gas captured from methane source </w:t>
            </w:r>
          </w:p>
        </w:tc>
        <w:tc>
          <w:tcPr>
            <w:tcW w:w="1021"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lang w:val="en-GB"/>
              </w:rPr>
              <w:t>scf CH</w:t>
            </w:r>
            <w:r w:rsidRPr="006A4333">
              <w:rPr>
                <w:rFonts w:ascii="Arial" w:hAnsi="Arial" w:cs="Arial"/>
                <w:sz w:val="20"/>
                <w:szCs w:val="20"/>
                <w:vertAlign w:val="subscript"/>
                <w:lang w:val="en-GB"/>
              </w:rPr>
              <w:t>4</w:t>
            </w:r>
            <w:r w:rsidRPr="006A4333">
              <w:rPr>
                <w:rFonts w:ascii="Arial" w:hAnsi="Arial" w:cs="Arial"/>
                <w:sz w:val="20"/>
                <w:szCs w:val="20"/>
                <w:lang w:val="en-GB"/>
              </w:rPr>
              <w:t>/scf</w:t>
            </w:r>
          </w:p>
        </w:tc>
        <w:tc>
          <w:tcPr>
            <w:tcW w:w="1613"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Continuously</w:t>
            </w:r>
          </w:p>
        </w:tc>
        <w:tc>
          <w:tcPr>
            <w:tcW w:w="1717"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m</w:t>
            </w:r>
          </w:p>
        </w:tc>
        <w:tc>
          <w:tcPr>
            <w:tcW w:w="1458" w:type="dxa"/>
          </w:tcPr>
          <w:p w:rsidR="00FF4E38" w:rsidRPr="006A4333" w:rsidRDefault="00FF4E38" w:rsidP="00795CC1">
            <w:pPr>
              <w:pStyle w:val="NoSpacing"/>
              <w:rPr>
                <w:rFonts w:ascii="Arial" w:hAnsi="Arial" w:cs="Arial"/>
                <w:sz w:val="20"/>
                <w:szCs w:val="20"/>
              </w:rPr>
            </w:pPr>
            <w:r w:rsidRPr="006A4333">
              <w:rPr>
                <w:rFonts w:ascii="Arial" w:hAnsi="Arial" w:cs="Arial"/>
                <w:sz w:val="20"/>
                <w:szCs w:val="20"/>
              </w:rPr>
              <w:t>Readings taken at least daily during the monitoring period.</w:t>
            </w:r>
          </w:p>
        </w:tc>
      </w:tr>
    </w:tbl>
    <w:p w:rsidR="00436E82" w:rsidRPr="00720D9E" w:rsidRDefault="00D25B46" w:rsidP="00436E82">
      <w:pPr>
        <w:pStyle w:val="Heading1"/>
      </w:pPr>
      <w:bookmarkStart w:id="58" w:name="_Toc364243232"/>
      <w:r w:rsidRPr="00720D9E">
        <w:t>Chapter</w:t>
      </w:r>
      <w:r w:rsidR="00526AA3" w:rsidRPr="00720D9E">
        <w:t xml:space="preserve"> </w:t>
      </w:r>
      <w:r w:rsidR="006F24A1" w:rsidRPr="00720D9E">
        <w:t>7</w:t>
      </w:r>
      <w:r w:rsidR="00436E82" w:rsidRPr="00720D9E">
        <w:t>.  Reporting</w:t>
      </w:r>
      <w:bookmarkEnd w:id="58"/>
    </w:p>
    <w:p w:rsidR="00843F9E" w:rsidRPr="00720D9E" w:rsidRDefault="00843F9E" w:rsidP="00843F9E">
      <w:r w:rsidRPr="00720D9E">
        <w:t xml:space="preserve">In addition to the offset project requirements set forth in the Regulation, mine methane capture offset projects must adhere to the project listing and reporting </w:t>
      </w:r>
      <w:r w:rsidR="00F444F8" w:rsidRPr="00720D9E">
        <w:t xml:space="preserve">eligibility requirements below. </w:t>
      </w:r>
    </w:p>
    <w:p w:rsidR="00436E82" w:rsidRPr="00720D9E" w:rsidRDefault="00526AA3" w:rsidP="00436E82">
      <w:pPr>
        <w:pStyle w:val="Heading2"/>
      </w:pPr>
      <w:bookmarkStart w:id="59" w:name="_Toc364243233"/>
      <w:r w:rsidRPr="00720D9E">
        <w:lastRenderedPageBreak/>
        <w:t xml:space="preserve">§ </w:t>
      </w:r>
      <w:r w:rsidR="00645452" w:rsidRPr="00720D9E">
        <w:t>7.1</w:t>
      </w:r>
      <w:r w:rsidR="00480477" w:rsidRPr="00720D9E">
        <w:t>.</w:t>
      </w:r>
      <w:r w:rsidRPr="00720D9E">
        <w:t xml:space="preserve"> </w:t>
      </w:r>
      <w:r w:rsidR="00436E82" w:rsidRPr="00720D9E">
        <w:t>Listing Requirements</w:t>
      </w:r>
      <w:r w:rsidR="00480477" w:rsidRPr="00720D9E">
        <w:t>.</w:t>
      </w:r>
      <w:bookmarkEnd w:id="59"/>
    </w:p>
    <w:p w:rsidR="00511B35" w:rsidRPr="00720D9E" w:rsidRDefault="00F444F8" w:rsidP="0082570F">
      <w:pPr>
        <w:pStyle w:val="ListParagraph"/>
        <w:numPr>
          <w:ilvl w:val="0"/>
          <w:numId w:val="44"/>
        </w:numPr>
        <w:ind w:hanging="720"/>
      </w:pPr>
      <w:r w:rsidRPr="00720D9E">
        <w:t xml:space="preserve">Listing information must be submitted </w:t>
      </w:r>
      <w:r w:rsidR="00BC696A" w:rsidRPr="00720D9E">
        <w:t xml:space="preserve">by the </w:t>
      </w:r>
      <w:r w:rsidR="00BC696A" w:rsidRPr="00720D9E">
        <w:rPr>
          <w:color w:val="auto"/>
        </w:rPr>
        <w:t>Offset Project Operator or Authorized Project Designee</w:t>
      </w:r>
      <w:r w:rsidR="00BC696A" w:rsidRPr="00720D9E">
        <w:t xml:space="preserve"> </w:t>
      </w:r>
      <w:r w:rsidRPr="00720D9E">
        <w:t xml:space="preserve">no later than the date </w:t>
      </w:r>
      <w:r w:rsidR="00BC696A" w:rsidRPr="00720D9E">
        <w:t xml:space="preserve">on </w:t>
      </w:r>
      <w:r w:rsidRPr="00720D9E">
        <w:t xml:space="preserve">which the </w:t>
      </w:r>
      <w:r w:rsidR="00BC696A" w:rsidRPr="00720D9E">
        <w:rPr>
          <w:color w:val="auto"/>
        </w:rPr>
        <w:t>Offset Project Operator or Authorized Project Designee</w:t>
      </w:r>
      <w:r w:rsidRPr="00720D9E">
        <w:t xml:space="preserve"> submits the first Offset Project Data Report.  </w:t>
      </w:r>
    </w:p>
    <w:p w:rsidR="00F444F8" w:rsidRPr="00720D9E" w:rsidRDefault="00F444F8" w:rsidP="0082570F">
      <w:pPr>
        <w:pStyle w:val="ListParagraph"/>
        <w:numPr>
          <w:ilvl w:val="0"/>
          <w:numId w:val="44"/>
        </w:numPr>
        <w:ind w:hanging="720"/>
      </w:pPr>
      <w:r w:rsidRPr="00720D9E">
        <w:t xml:space="preserve">In order for a mine methane capture compliance offset project to be listed, the </w:t>
      </w:r>
      <w:r w:rsidR="00BC696A" w:rsidRPr="00720D9E">
        <w:rPr>
          <w:color w:val="auto"/>
        </w:rPr>
        <w:t>Offset Project Operator or Authorized Project Designee</w:t>
      </w:r>
      <w:r w:rsidR="00BC696A" w:rsidRPr="00720D9E" w:rsidDel="00BC696A">
        <w:t xml:space="preserve"> </w:t>
      </w:r>
      <w:r w:rsidR="00564D4A" w:rsidRPr="00720D9E">
        <w:t>must submit the information required by the Regulation</w:t>
      </w:r>
      <w:r w:rsidR="00BC696A" w:rsidRPr="00720D9E">
        <w:t>,</w:t>
      </w:r>
      <w:r w:rsidR="00564D4A" w:rsidRPr="00720D9E">
        <w:t xml:space="preserve"> in addition to the following</w:t>
      </w:r>
      <w:r w:rsidR="00BC696A" w:rsidRPr="00720D9E">
        <w:t xml:space="preserve"> information</w:t>
      </w:r>
      <w:r w:rsidRPr="00720D9E">
        <w:t>:</w:t>
      </w:r>
    </w:p>
    <w:p w:rsidR="007818C0" w:rsidRPr="00720D9E" w:rsidRDefault="007818C0" w:rsidP="0082570F">
      <w:pPr>
        <w:pStyle w:val="ListParagraph"/>
        <w:numPr>
          <w:ilvl w:val="0"/>
          <w:numId w:val="43"/>
        </w:numPr>
        <w:ind w:left="1440" w:hanging="720"/>
      </w:pPr>
      <w:r w:rsidRPr="00720D9E">
        <w:t>Offset project name.</w:t>
      </w:r>
    </w:p>
    <w:p w:rsidR="007818C0" w:rsidRPr="00720D9E" w:rsidRDefault="007818C0" w:rsidP="0082570F">
      <w:pPr>
        <w:pStyle w:val="ListParagraph"/>
        <w:numPr>
          <w:ilvl w:val="0"/>
          <w:numId w:val="43"/>
        </w:numPr>
        <w:ind w:left="1440" w:hanging="720"/>
      </w:pPr>
      <w:r w:rsidRPr="00720D9E">
        <w:t xml:space="preserve">Mine methane capture </w:t>
      </w:r>
      <w:r w:rsidR="00293E44" w:rsidRPr="00720D9E">
        <w:t>activity</w:t>
      </w:r>
      <w:r w:rsidRPr="00720D9E">
        <w:t xml:space="preserve"> type (i.e., active underground mine VAM </w:t>
      </w:r>
      <w:r w:rsidR="00293E44" w:rsidRPr="00720D9E">
        <w:t>activity</w:t>
      </w:r>
      <w:r w:rsidRPr="00720D9E">
        <w:t xml:space="preserve">, active underground mine methane drainage </w:t>
      </w:r>
      <w:r w:rsidR="00293E44" w:rsidRPr="00720D9E">
        <w:t>activity</w:t>
      </w:r>
      <w:r w:rsidRPr="00720D9E">
        <w:t xml:space="preserve">, active surface mine methane drainage </w:t>
      </w:r>
      <w:r w:rsidR="00293E44" w:rsidRPr="00720D9E">
        <w:t>activity</w:t>
      </w:r>
      <w:r w:rsidRPr="00720D9E">
        <w:t xml:space="preserve">, or abandoned underground mine methane recovery </w:t>
      </w:r>
      <w:r w:rsidR="00293E44" w:rsidRPr="00720D9E">
        <w:t>activity</w:t>
      </w:r>
      <w:r w:rsidRPr="00720D9E">
        <w:t>).</w:t>
      </w:r>
    </w:p>
    <w:p w:rsidR="007818C0" w:rsidRPr="00720D9E" w:rsidRDefault="007818C0" w:rsidP="0082570F">
      <w:pPr>
        <w:pStyle w:val="ListParagraph"/>
        <w:numPr>
          <w:ilvl w:val="0"/>
          <w:numId w:val="43"/>
        </w:numPr>
        <w:ind w:left="1440" w:hanging="720"/>
      </w:pPr>
      <w:r w:rsidRPr="00720D9E">
        <w:t>Contact information including name, phone number, mailing address, physical address (if different from mailing address), and email address for the:</w:t>
      </w:r>
    </w:p>
    <w:p w:rsidR="007818C0" w:rsidRPr="00720D9E" w:rsidRDefault="007818C0" w:rsidP="0082570F">
      <w:pPr>
        <w:pStyle w:val="ListParagraph"/>
        <w:numPr>
          <w:ilvl w:val="1"/>
          <w:numId w:val="45"/>
        </w:numPr>
        <w:ind w:left="2160" w:hanging="720"/>
      </w:pPr>
      <w:r w:rsidRPr="00720D9E">
        <w:t>Offset Project Operator; and</w:t>
      </w:r>
    </w:p>
    <w:p w:rsidR="007818C0" w:rsidRPr="00720D9E" w:rsidRDefault="007818C0" w:rsidP="0082570F">
      <w:pPr>
        <w:pStyle w:val="ListParagraph"/>
        <w:numPr>
          <w:ilvl w:val="1"/>
          <w:numId w:val="45"/>
        </w:numPr>
        <w:ind w:left="2160" w:hanging="720"/>
      </w:pPr>
      <w:r w:rsidRPr="00720D9E">
        <w:t>Authorized Project Designee (if applicable).</w:t>
      </w:r>
    </w:p>
    <w:p w:rsidR="007818C0" w:rsidRPr="00720D9E" w:rsidRDefault="007818C0" w:rsidP="0082570F">
      <w:pPr>
        <w:pStyle w:val="ListParagraph"/>
        <w:numPr>
          <w:ilvl w:val="0"/>
          <w:numId w:val="43"/>
        </w:numPr>
        <w:ind w:left="1440" w:hanging="720"/>
      </w:pPr>
      <w:r w:rsidRPr="00720D9E">
        <w:t xml:space="preserve">CITSS ID number for the: </w:t>
      </w:r>
    </w:p>
    <w:p w:rsidR="007818C0" w:rsidRPr="00720D9E" w:rsidRDefault="007818C0" w:rsidP="0082570F">
      <w:pPr>
        <w:pStyle w:val="ListParagraph"/>
        <w:numPr>
          <w:ilvl w:val="1"/>
          <w:numId w:val="43"/>
        </w:numPr>
        <w:ind w:left="2160" w:hanging="720"/>
      </w:pPr>
      <w:r w:rsidRPr="00720D9E">
        <w:t>Offset Project Operator; and</w:t>
      </w:r>
    </w:p>
    <w:p w:rsidR="007818C0" w:rsidRPr="00720D9E" w:rsidRDefault="007818C0" w:rsidP="0082570F">
      <w:pPr>
        <w:pStyle w:val="ListParagraph"/>
        <w:numPr>
          <w:ilvl w:val="1"/>
          <w:numId w:val="43"/>
        </w:numPr>
        <w:ind w:left="2160" w:hanging="720"/>
      </w:pPr>
      <w:r w:rsidRPr="00720D9E">
        <w:t>Authorized Project Designee (if applicable).</w:t>
      </w:r>
    </w:p>
    <w:p w:rsidR="00325B04" w:rsidRPr="00720D9E" w:rsidRDefault="007818C0" w:rsidP="0082570F">
      <w:pPr>
        <w:pStyle w:val="ListParagraph"/>
        <w:numPr>
          <w:ilvl w:val="0"/>
          <w:numId w:val="43"/>
        </w:numPr>
        <w:ind w:left="1440" w:hanging="720"/>
      </w:pPr>
      <w:r w:rsidRPr="00720D9E">
        <w:t xml:space="preserve">Contact information including name, phone number, email address and, if applicable, the organizational affiliation </w:t>
      </w:r>
      <w:r w:rsidR="00325B04" w:rsidRPr="00720D9E">
        <w:t>for:</w:t>
      </w:r>
    </w:p>
    <w:p w:rsidR="00325B04" w:rsidRPr="00720D9E" w:rsidRDefault="007818C0" w:rsidP="0082570F">
      <w:pPr>
        <w:pStyle w:val="ListParagraph"/>
        <w:numPr>
          <w:ilvl w:val="1"/>
          <w:numId w:val="43"/>
        </w:numPr>
        <w:ind w:left="2160" w:hanging="720"/>
      </w:pPr>
      <w:r w:rsidRPr="00720D9E">
        <w:t>the person submitting the information</w:t>
      </w:r>
      <w:r w:rsidR="00325B04" w:rsidRPr="00720D9E">
        <w:t>;</w:t>
      </w:r>
    </w:p>
    <w:p w:rsidR="00325B04" w:rsidRPr="00720D9E" w:rsidRDefault="00325B04" w:rsidP="0082570F">
      <w:pPr>
        <w:pStyle w:val="ListParagraph"/>
        <w:numPr>
          <w:ilvl w:val="1"/>
          <w:numId w:val="43"/>
        </w:numPr>
        <w:ind w:left="2160" w:hanging="720"/>
      </w:pPr>
      <w:r w:rsidRPr="00720D9E">
        <w:t>technical consultants.</w:t>
      </w:r>
    </w:p>
    <w:p w:rsidR="00325B04" w:rsidRPr="00720D9E" w:rsidRDefault="00325B04" w:rsidP="0082570F">
      <w:pPr>
        <w:pStyle w:val="ListParagraph"/>
        <w:numPr>
          <w:ilvl w:val="0"/>
          <w:numId w:val="43"/>
        </w:numPr>
        <w:ind w:left="1440" w:hanging="720"/>
      </w:pPr>
      <w:r w:rsidRPr="00720D9E">
        <w:t>Date of form completion.</w:t>
      </w:r>
    </w:p>
    <w:p w:rsidR="00325B04" w:rsidRPr="00720D9E" w:rsidRDefault="00325B04" w:rsidP="0082570F">
      <w:pPr>
        <w:pStyle w:val="ListParagraph"/>
        <w:numPr>
          <w:ilvl w:val="0"/>
          <w:numId w:val="43"/>
        </w:numPr>
        <w:ind w:left="1440" w:hanging="720"/>
      </w:pPr>
      <w:r w:rsidRPr="00720D9E">
        <w:t>*Name and mailing address of mine owner(s) and parent company(ies), if different from owner.</w:t>
      </w:r>
    </w:p>
    <w:p w:rsidR="00325B04" w:rsidRPr="00720D9E" w:rsidRDefault="00325B04" w:rsidP="0082570F">
      <w:pPr>
        <w:pStyle w:val="ListParagraph"/>
        <w:numPr>
          <w:ilvl w:val="0"/>
          <w:numId w:val="43"/>
        </w:numPr>
        <w:ind w:left="1440" w:hanging="720"/>
      </w:pPr>
      <w:r w:rsidRPr="00720D9E">
        <w:t>*Name and mailing address of surface owner(s), if different from mine owner.</w:t>
      </w:r>
    </w:p>
    <w:p w:rsidR="00325B04" w:rsidRPr="00720D9E" w:rsidRDefault="00325B04" w:rsidP="0082570F">
      <w:pPr>
        <w:pStyle w:val="ListParagraph"/>
        <w:numPr>
          <w:ilvl w:val="0"/>
          <w:numId w:val="43"/>
        </w:numPr>
        <w:ind w:left="1440" w:hanging="720"/>
      </w:pPr>
      <w:r w:rsidRPr="00720D9E">
        <w:lastRenderedPageBreak/>
        <w:t>*Name and mailing address of mineral owner(s), if different from mine owner.</w:t>
      </w:r>
    </w:p>
    <w:p w:rsidR="00325B04" w:rsidRPr="00720D9E" w:rsidRDefault="00325B04" w:rsidP="0082570F">
      <w:pPr>
        <w:pStyle w:val="ListParagraph"/>
        <w:numPr>
          <w:ilvl w:val="0"/>
          <w:numId w:val="43"/>
        </w:numPr>
        <w:ind w:left="1440" w:hanging="720"/>
      </w:pPr>
      <w:r w:rsidRPr="00720D9E">
        <w:t>*Name and mailing address of mine operator(s), if different from mine owner.</w:t>
      </w:r>
    </w:p>
    <w:p w:rsidR="00325B04" w:rsidRPr="00720D9E" w:rsidRDefault="00325B04" w:rsidP="0082570F">
      <w:pPr>
        <w:pStyle w:val="ListParagraph"/>
        <w:numPr>
          <w:ilvl w:val="0"/>
          <w:numId w:val="43"/>
        </w:numPr>
        <w:ind w:left="1440" w:hanging="720"/>
      </w:pPr>
      <w:r w:rsidRPr="00720D9E">
        <w:t>*Name and mailing address of methane destruction system owner(s), if different from mine owner.</w:t>
      </w:r>
    </w:p>
    <w:p w:rsidR="00325B04" w:rsidRPr="00720D9E" w:rsidRDefault="00325B04" w:rsidP="0082570F">
      <w:pPr>
        <w:pStyle w:val="ListParagraph"/>
        <w:numPr>
          <w:ilvl w:val="0"/>
          <w:numId w:val="43"/>
        </w:numPr>
        <w:ind w:left="1440" w:hanging="720"/>
      </w:pPr>
      <w:r w:rsidRPr="00720D9E">
        <w:t>Other parties with a material interest.</w:t>
      </w:r>
    </w:p>
    <w:p w:rsidR="00325B04" w:rsidRPr="00720D9E" w:rsidRDefault="00325B04" w:rsidP="0082570F">
      <w:pPr>
        <w:pStyle w:val="ListParagraph"/>
        <w:numPr>
          <w:ilvl w:val="0"/>
          <w:numId w:val="43"/>
        </w:numPr>
        <w:ind w:left="1440" w:hanging="720"/>
      </w:pPr>
      <w:r w:rsidRPr="00720D9E">
        <w:t>A description of the mine and resource ownership and operation structures.</w:t>
      </w:r>
    </w:p>
    <w:p w:rsidR="00325B04" w:rsidRPr="00720D9E" w:rsidRDefault="00325B04" w:rsidP="0082570F">
      <w:pPr>
        <w:pStyle w:val="ListParagraph"/>
        <w:numPr>
          <w:ilvl w:val="0"/>
          <w:numId w:val="43"/>
        </w:numPr>
        <w:ind w:left="1440" w:hanging="720"/>
      </w:pPr>
      <w:r w:rsidRPr="00720D9E">
        <w:t>*Documentation (e.g.</w:t>
      </w:r>
      <w:r w:rsidR="00BC696A" w:rsidRPr="00720D9E">
        <w:t>,</w:t>
      </w:r>
      <w:r w:rsidRPr="00720D9E">
        <w:t xml:space="preserve"> title report, coal lease, gas lease, etc.) showing the </w:t>
      </w:r>
      <w:r w:rsidR="00BC696A" w:rsidRPr="00720D9E">
        <w:t xml:space="preserve">Offset Project Operator’s </w:t>
      </w:r>
      <w:r w:rsidRPr="00720D9E">
        <w:t xml:space="preserve">legal authority to implement the offset project. </w:t>
      </w:r>
    </w:p>
    <w:p w:rsidR="007818C0" w:rsidRPr="00720D9E" w:rsidRDefault="007818C0" w:rsidP="0082570F">
      <w:pPr>
        <w:pStyle w:val="ListParagraph"/>
        <w:numPr>
          <w:ilvl w:val="0"/>
          <w:numId w:val="43"/>
        </w:numPr>
        <w:ind w:left="1440" w:hanging="720"/>
      </w:pPr>
      <w:r w:rsidRPr="00720D9E">
        <w:t>*Physical address and latitude and longitude coordinates of mine site.</w:t>
      </w:r>
    </w:p>
    <w:p w:rsidR="00325B04" w:rsidRPr="00720D9E" w:rsidRDefault="00325B04" w:rsidP="0082570F">
      <w:pPr>
        <w:pStyle w:val="ListParagraph"/>
        <w:numPr>
          <w:ilvl w:val="0"/>
          <w:numId w:val="43"/>
        </w:numPr>
        <w:ind w:left="1440" w:hanging="720"/>
      </w:pPr>
      <w:r w:rsidRPr="00720D9E">
        <w:t>*Indicate if the project occurs on private or public lands and further specify if the project occurs on any of the following categories of land:</w:t>
      </w:r>
    </w:p>
    <w:p w:rsidR="00325B04" w:rsidRPr="00720D9E" w:rsidRDefault="00325B04" w:rsidP="0082570F">
      <w:pPr>
        <w:pStyle w:val="ListParagraph"/>
        <w:numPr>
          <w:ilvl w:val="1"/>
          <w:numId w:val="46"/>
        </w:numPr>
        <w:ind w:left="2160" w:hanging="720"/>
      </w:pPr>
      <w:r w:rsidRPr="00720D9E">
        <w:t xml:space="preserve">Land that is owned by, or subject to an ownership or possessory interest of a Tribe; </w:t>
      </w:r>
    </w:p>
    <w:p w:rsidR="00325B04" w:rsidRPr="00720D9E" w:rsidRDefault="00325B04" w:rsidP="0082570F">
      <w:pPr>
        <w:pStyle w:val="ListParagraph"/>
        <w:numPr>
          <w:ilvl w:val="1"/>
          <w:numId w:val="46"/>
        </w:numPr>
        <w:ind w:left="2160" w:hanging="720"/>
      </w:pPr>
      <w:r w:rsidRPr="00720D9E">
        <w:t xml:space="preserve">Land that is “Indian lands” of a Tribe, as defined by 25 U.S.C. §81(a)(1); or </w:t>
      </w:r>
    </w:p>
    <w:p w:rsidR="00325B04" w:rsidRPr="00720D9E" w:rsidRDefault="00325B04" w:rsidP="0082570F">
      <w:pPr>
        <w:pStyle w:val="ListParagraph"/>
        <w:numPr>
          <w:ilvl w:val="1"/>
          <w:numId w:val="46"/>
        </w:numPr>
        <w:ind w:left="2160" w:hanging="720"/>
      </w:pPr>
      <w:r w:rsidRPr="00720D9E">
        <w:t>Land that is owned by any person, entity, or Tribe, within the external borders of such Indian lands.</w:t>
      </w:r>
    </w:p>
    <w:p w:rsidR="00325B04" w:rsidRPr="00720D9E" w:rsidRDefault="00325B04" w:rsidP="0082570F">
      <w:pPr>
        <w:pStyle w:val="ListParagraph"/>
        <w:numPr>
          <w:ilvl w:val="0"/>
          <w:numId w:val="43"/>
        </w:numPr>
        <w:ind w:left="1440" w:hanging="720"/>
      </w:pPr>
      <w:r w:rsidRPr="00720D9E">
        <w:t>*If the project is located on one the above categories of land,</w:t>
      </w:r>
      <w:r w:rsidR="00BC696A" w:rsidRPr="00720D9E">
        <w:t xml:space="preserve"> a description and copies of</w:t>
      </w:r>
      <w:r w:rsidRPr="00720D9E">
        <w:t xml:space="preserve"> documentation demonstrating that the land is owned by</w:t>
      </w:r>
      <w:r w:rsidR="00BC696A" w:rsidRPr="00720D9E">
        <w:t xml:space="preserve"> (or subject to an ownership or possessory interest of)</w:t>
      </w:r>
      <w:r w:rsidRPr="00720D9E">
        <w:t xml:space="preserve"> a tribe or private entities.</w:t>
      </w:r>
    </w:p>
    <w:p w:rsidR="00325B04" w:rsidRPr="00720D9E" w:rsidRDefault="00325B04" w:rsidP="0082570F">
      <w:pPr>
        <w:pStyle w:val="ListParagraph"/>
        <w:numPr>
          <w:ilvl w:val="0"/>
          <w:numId w:val="43"/>
        </w:numPr>
        <w:ind w:left="1440" w:hanging="720"/>
      </w:pPr>
      <w:r w:rsidRPr="00720D9E">
        <w:t>*MSHA mine identification number.</w:t>
      </w:r>
    </w:p>
    <w:p w:rsidR="00325B04" w:rsidRPr="00720D9E" w:rsidRDefault="00325B04" w:rsidP="0082570F">
      <w:pPr>
        <w:pStyle w:val="ListParagraph"/>
        <w:numPr>
          <w:ilvl w:val="0"/>
          <w:numId w:val="43"/>
        </w:numPr>
        <w:ind w:left="1440" w:hanging="720"/>
      </w:pPr>
      <w:r w:rsidRPr="00720D9E">
        <w:t>*MSHA classifications.</w:t>
      </w:r>
    </w:p>
    <w:p w:rsidR="00325B04" w:rsidRPr="00720D9E" w:rsidRDefault="00325B04" w:rsidP="0082570F">
      <w:pPr>
        <w:pStyle w:val="ListParagraph"/>
        <w:numPr>
          <w:ilvl w:val="1"/>
          <w:numId w:val="43"/>
        </w:numPr>
        <w:ind w:left="2160" w:hanging="720"/>
      </w:pPr>
      <w:r w:rsidRPr="00720D9E">
        <w:t>coal or metal and nonmetal;</w:t>
      </w:r>
    </w:p>
    <w:p w:rsidR="00325B04" w:rsidRPr="00720D9E" w:rsidRDefault="00325B04" w:rsidP="0082570F">
      <w:pPr>
        <w:pStyle w:val="ListParagraph"/>
        <w:numPr>
          <w:ilvl w:val="1"/>
          <w:numId w:val="43"/>
        </w:numPr>
        <w:ind w:left="2160" w:hanging="720"/>
      </w:pPr>
      <w:r w:rsidRPr="00720D9E">
        <w:t>underground or surface; and</w:t>
      </w:r>
    </w:p>
    <w:p w:rsidR="00325B04" w:rsidRPr="00720D9E" w:rsidRDefault="00325B04" w:rsidP="0082570F">
      <w:pPr>
        <w:pStyle w:val="ListParagraph"/>
        <w:numPr>
          <w:ilvl w:val="1"/>
          <w:numId w:val="43"/>
        </w:numPr>
        <w:ind w:left="2160" w:hanging="720"/>
      </w:pPr>
      <w:r w:rsidRPr="00720D9E">
        <w:t xml:space="preserve">active or abandoned. </w:t>
      </w:r>
    </w:p>
    <w:p w:rsidR="00325B04" w:rsidRPr="00720D9E" w:rsidRDefault="00325B04" w:rsidP="0082570F">
      <w:pPr>
        <w:pStyle w:val="ListParagraph"/>
        <w:numPr>
          <w:ilvl w:val="0"/>
          <w:numId w:val="43"/>
        </w:numPr>
        <w:ind w:left="1440" w:hanging="720"/>
      </w:pPr>
      <w:r w:rsidRPr="00720D9E">
        <w:t>Mine basin</w:t>
      </w:r>
      <w:r w:rsidR="005106DD" w:rsidRPr="00720D9E">
        <w:t xml:space="preserve"> as defined by the American Association of Petroleum Geologists (AAPG) Geologic Note: AAPG-CSD Geological Provinces </w:t>
      </w:r>
      <w:r w:rsidR="005106DD" w:rsidRPr="00720D9E">
        <w:lastRenderedPageBreak/>
        <w:t>Code Map: AAPG Bulletin, Prepared by Richard F. Meyer, Laurie G. Wallace, and Fred J. Wagner, Jr., Volume 75, Number 10 (October 1991)</w:t>
      </w:r>
      <w:r w:rsidRPr="00720D9E">
        <w:t>.</w:t>
      </w:r>
    </w:p>
    <w:p w:rsidR="007818C0" w:rsidRPr="00720D9E" w:rsidRDefault="007818C0" w:rsidP="0082570F">
      <w:pPr>
        <w:pStyle w:val="ListParagraph"/>
        <w:numPr>
          <w:ilvl w:val="0"/>
          <w:numId w:val="43"/>
        </w:numPr>
        <w:ind w:left="1440" w:hanging="720"/>
      </w:pPr>
      <w:r w:rsidRPr="00720D9E">
        <w:t>*Mining method(s) employed (e.g., longwall, room and pillar, open-pit, etc.).</w:t>
      </w:r>
    </w:p>
    <w:p w:rsidR="007818C0" w:rsidRPr="00720D9E" w:rsidRDefault="007818C0" w:rsidP="0082570F">
      <w:pPr>
        <w:pStyle w:val="ListParagraph"/>
        <w:numPr>
          <w:ilvl w:val="0"/>
          <w:numId w:val="43"/>
        </w:numPr>
        <w:ind w:left="1440" w:hanging="720"/>
      </w:pPr>
      <w:r w:rsidRPr="00720D9E">
        <w:t>*Average annual mineral production (specify mineral produced and unit).</w:t>
      </w:r>
    </w:p>
    <w:p w:rsidR="007818C0" w:rsidRPr="00720D9E" w:rsidRDefault="007818C0" w:rsidP="0082570F">
      <w:pPr>
        <w:pStyle w:val="ListParagraph"/>
        <w:numPr>
          <w:ilvl w:val="0"/>
          <w:numId w:val="43"/>
        </w:numPr>
        <w:ind w:left="1440" w:hanging="720"/>
      </w:pPr>
      <w:r w:rsidRPr="00720D9E">
        <w:t>*Year of initial production.</w:t>
      </w:r>
    </w:p>
    <w:p w:rsidR="007818C0" w:rsidRPr="00720D9E" w:rsidRDefault="007818C0" w:rsidP="0082570F">
      <w:pPr>
        <w:pStyle w:val="ListParagraph"/>
        <w:numPr>
          <w:ilvl w:val="0"/>
          <w:numId w:val="43"/>
        </w:numPr>
        <w:ind w:left="1440" w:hanging="720"/>
      </w:pPr>
      <w:r w:rsidRPr="00720D9E">
        <w:t>*Year of closure (estimate if mine is not yet closed).</w:t>
      </w:r>
    </w:p>
    <w:p w:rsidR="007818C0" w:rsidRPr="00720D9E" w:rsidRDefault="007818C0" w:rsidP="0082570F">
      <w:pPr>
        <w:pStyle w:val="ListParagraph"/>
        <w:numPr>
          <w:ilvl w:val="0"/>
          <w:numId w:val="43"/>
        </w:numPr>
        <w:ind w:left="1440" w:hanging="720"/>
      </w:pPr>
      <w:r w:rsidRPr="00720D9E">
        <w:t>Name of state and/or federal agency(ies) responsible for issuing mine leases and/or permits.</w:t>
      </w:r>
    </w:p>
    <w:p w:rsidR="00282850" w:rsidRPr="00720D9E" w:rsidRDefault="00282850" w:rsidP="0082570F">
      <w:pPr>
        <w:pStyle w:val="ListParagraph"/>
        <w:numPr>
          <w:ilvl w:val="0"/>
          <w:numId w:val="43"/>
        </w:numPr>
        <w:ind w:left="1440" w:hanging="720"/>
      </w:pPr>
      <w:r w:rsidRPr="00720D9E">
        <w:t>List any permits obtained, or to be obtained, to build and operate the project.</w:t>
      </w:r>
    </w:p>
    <w:p w:rsidR="007818C0" w:rsidRPr="00720D9E" w:rsidRDefault="007818C0" w:rsidP="0082570F">
      <w:pPr>
        <w:pStyle w:val="ListParagraph"/>
        <w:numPr>
          <w:ilvl w:val="0"/>
          <w:numId w:val="43"/>
        </w:numPr>
        <w:ind w:left="1440" w:hanging="720"/>
      </w:pPr>
      <w:r w:rsidRPr="00720D9E">
        <w:t xml:space="preserve">For active underground mine VAM </w:t>
      </w:r>
      <w:r w:rsidR="00293E44" w:rsidRPr="00720D9E">
        <w:t>activities</w:t>
      </w:r>
      <w:r w:rsidRPr="00720D9E">
        <w:t xml:space="preserve">, active underground mine methane drainage </w:t>
      </w:r>
      <w:r w:rsidR="00293E44" w:rsidRPr="00720D9E">
        <w:t>activities</w:t>
      </w:r>
      <w:r w:rsidRPr="00720D9E">
        <w:t xml:space="preserve">, and active surface mine methane drainage </w:t>
      </w:r>
      <w:r w:rsidR="00293E44" w:rsidRPr="00720D9E">
        <w:t>activities</w:t>
      </w:r>
      <w:r w:rsidRPr="00720D9E">
        <w:t xml:space="preserve">, </w:t>
      </w:r>
      <w:r w:rsidR="0079791B" w:rsidRPr="00720D9E">
        <w:t>up-to-date</w:t>
      </w:r>
      <w:r w:rsidRPr="00720D9E">
        <w:t xml:space="preserve"> mine plan</w:t>
      </w:r>
      <w:r w:rsidR="0079791B" w:rsidRPr="00720D9E">
        <w:t>, mine ventilation plan,</w:t>
      </w:r>
      <w:r w:rsidRPr="00720D9E">
        <w:t xml:space="preserve"> and mine map submitted to </w:t>
      </w:r>
      <w:r w:rsidR="0079791B" w:rsidRPr="00720D9E">
        <w:t xml:space="preserve">MSHA and/or </w:t>
      </w:r>
      <w:r w:rsidRPr="00720D9E">
        <w:t>appropriate state or federal agency responsible for mine leasing/permitting.</w:t>
      </w:r>
    </w:p>
    <w:p w:rsidR="007818C0" w:rsidRPr="00720D9E" w:rsidRDefault="007818C0" w:rsidP="0082570F">
      <w:pPr>
        <w:pStyle w:val="ListParagraph"/>
        <w:numPr>
          <w:ilvl w:val="0"/>
          <w:numId w:val="43"/>
        </w:numPr>
        <w:ind w:left="1440" w:hanging="720"/>
      </w:pPr>
      <w:r w:rsidRPr="00720D9E">
        <w:t xml:space="preserve">*For abandoned mine methane recovery </w:t>
      </w:r>
      <w:r w:rsidR="00293E44" w:rsidRPr="00720D9E">
        <w:t>activities</w:t>
      </w:r>
      <w:r w:rsidRPr="00720D9E">
        <w:t>, the final mine maps submitted to appropriate state or federal environmental or mining agencies upon closure.</w:t>
      </w:r>
    </w:p>
    <w:p w:rsidR="002E3797" w:rsidRPr="00720D9E" w:rsidRDefault="007818C0" w:rsidP="0082570F">
      <w:pPr>
        <w:pStyle w:val="ListParagraph"/>
        <w:numPr>
          <w:ilvl w:val="0"/>
          <w:numId w:val="43"/>
        </w:numPr>
        <w:ind w:left="1440" w:hanging="720"/>
      </w:pPr>
      <w:r w:rsidRPr="00720D9E">
        <w:t>Offset project commencement date and specification of the action(s) that identify the commencement date.</w:t>
      </w:r>
    </w:p>
    <w:p w:rsidR="002E3797" w:rsidRPr="00720D9E" w:rsidRDefault="00325B04" w:rsidP="0082570F">
      <w:pPr>
        <w:pStyle w:val="ListParagraph"/>
        <w:numPr>
          <w:ilvl w:val="0"/>
          <w:numId w:val="43"/>
        </w:numPr>
        <w:ind w:left="1440" w:hanging="720"/>
      </w:pPr>
      <w:r w:rsidRPr="00720D9E">
        <w:t>First r</w:t>
      </w:r>
      <w:r w:rsidR="002E3797" w:rsidRPr="00720D9E">
        <w:t xml:space="preserve">eporting </w:t>
      </w:r>
      <w:r w:rsidRPr="00720D9E">
        <w:t>period.</w:t>
      </w:r>
    </w:p>
    <w:p w:rsidR="007818C0" w:rsidRPr="00720D9E" w:rsidRDefault="007818C0" w:rsidP="0082570F">
      <w:pPr>
        <w:pStyle w:val="ListParagraph"/>
        <w:numPr>
          <w:ilvl w:val="0"/>
          <w:numId w:val="43"/>
        </w:numPr>
        <w:ind w:left="1440" w:hanging="720"/>
      </w:pPr>
      <w:r w:rsidRPr="00720D9E">
        <w:t>A qualitative characterization and quantitative estimate of the baseline emissions at the mine including an explanation of how the quantitative estimate was reached.</w:t>
      </w:r>
    </w:p>
    <w:p w:rsidR="001A5D32" w:rsidRPr="00720D9E" w:rsidRDefault="003614C8" w:rsidP="0082570F">
      <w:pPr>
        <w:pStyle w:val="ListParagraph"/>
        <w:numPr>
          <w:ilvl w:val="0"/>
          <w:numId w:val="43"/>
        </w:numPr>
        <w:ind w:left="1440" w:hanging="720"/>
      </w:pPr>
      <w:r w:rsidRPr="00720D9E">
        <w:t>Describe</w:t>
      </w:r>
      <w:r w:rsidR="001A5D32" w:rsidRPr="00720D9E">
        <w:t xml:space="preserve"> any mine methane destruction </w:t>
      </w:r>
      <w:r w:rsidR="00512B9F" w:rsidRPr="00720D9E">
        <w:t>occurring</w:t>
      </w:r>
      <w:r w:rsidRPr="00720D9E">
        <w:t xml:space="preserve"> </w:t>
      </w:r>
      <w:r w:rsidR="00282850" w:rsidRPr="00720D9E">
        <w:t xml:space="preserve">at the mine </w:t>
      </w:r>
      <w:r w:rsidR="001A5D32" w:rsidRPr="00720D9E">
        <w:t xml:space="preserve">prior to the </w:t>
      </w:r>
      <w:r w:rsidR="004447DE" w:rsidRPr="00720D9E">
        <w:t xml:space="preserve">offset </w:t>
      </w:r>
      <w:r w:rsidR="001A5D32" w:rsidRPr="00720D9E">
        <w:t>project commencement date.  List the source of the methane destroyed, destruction device(s) used,</w:t>
      </w:r>
      <w:r w:rsidR="00282850" w:rsidRPr="00720D9E">
        <w:t xml:space="preserve"> and</w:t>
      </w:r>
      <w:r w:rsidR="001A5D32" w:rsidRPr="00720D9E">
        <w:t xml:space="preserve"> device operation dates</w:t>
      </w:r>
      <w:r w:rsidR="00282850" w:rsidRPr="00720D9E">
        <w:t>.</w:t>
      </w:r>
    </w:p>
    <w:p w:rsidR="00282850" w:rsidRPr="00720D9E" w:rsidRDefault="00282850" w:rsidP="0082570F">
      <w:pPr>
        <w:pStyle w:val="ListParagraph"/>
        <w:numPr>
          <w:ilvl w:val="0"/>
          <w:numId w:val="43"/>
        </w:numPr>
        <w:ind w:left="1440" w:hanging="720"/>
      </w:pPr>
      <w:r w:rsidRPr="00720D9E">
        <w:t xml:space="preserve">A description of the project activities that will lead to GHG emission reductions including the methane end-use management option(s), </w:t>
      </w:r>
      <w:r w:rsidRPr="00720D9E">
        <w:lastRenderedPageBreak/>
        <w:t>destruction devices, and metering and data collection systems to be employed by the project.</w:t>
      </w:r>
    </w:p>
    <w:p w:rsidR="00282850" w:rsidRPr="00720D9E" w:rsidRDefault="00282850" w:rsidP="0082570F">
      <w:pPr>
        <w:pStyle w:val="ListParagraph"/>
        <w:numPr>
          <w:ilvl w:val="0"/>
          <w:numId w:val="43"/>
        </w:numPr>
        <w:ind w:left="1440" w:hanging="720"/>
      </w:pPr>
      <w:r w:rsidRPr="00720D9E">
        <w:t xml:space="preserve">For active underground mine VAM </w:t>
      </w:r>
      <w:r w:rsidR="00293E44" w:rsidRPr="00720D9E">
        <w:t>activities</w:t>
      </w:r>
      <w:r w:rsidRPr="00720D9E">
        <w:t xml:space="preserve">, state whether supplemental methane will be used. </w:t>
      </w:r>
    </w:p>
    <w:p w:rsidR="00325B04" w:rsidRPr="00720D9E" w:rsidRDefault="00325B04" w:rsidP="0082570F">
      <w:pPr>
        <w:pStyle w:val="ListParagraph"/>
        <w:numPr>
          <w:ilvl w:val="0"/>
          <w:numId w:val="43"/>
        </w:numPr>
        <w:ind w:left="1440" w:hanging="720"/>
      </w:pPr>
      <w:r w:rsidRPr="00720D9E">
        <w:t>Declaration that the project is not being implemented as a result of any federal, state or local law, statute, regulation, court order or other legally binding mandate.</w:t>
      </w:r>
    </w:p>
    <w:p w:rsidR="00325B04" w:rsidRPr="00720D9E" w:rsidRDefault="00325B04" w:rsidP="0082570F">
      <w:pPr>
        <w:pStyle w:val="ListParagraph"/>
        <w:numPr>
          <w:ilvl w:val="0"/>
          <w:numId w:val="43"/>
        </w:numPr>
        <w:ind w:left="1440" w:hanging="720"/>
      </w:pPr>
      <w:r w:rsidRPr="00720D9E">
        <w:t>*Disclose if any GHG reductions associated with the offset project have ever been registered with or claimed by another registry or program, or sold to a third party prior to our listing.  Identify the registry or program as well as the vintage(s)</w:t>
      </w:r>
      <w:r w:rsidR="003614C8" w:rsidRPr="00720D9E">
        <w:t xml:space="preserve"> of credits issued,</w:t>
      </w:r>
      <w:r w:rsidRPr="00720D9E">
        <w:t xml:space="preserve"> reporting period</w:t>
      </w:r>
      <w:r w:rsidR="003614C8" w:rsidRPr="00720D9E">
        <w:t>(s), and verification bodies that have performed verification services.</w:t>
      </w:r>
    </w:p>
    <w:p w:rsidR="00325B04" w:rsidRPr="00720D9E" w:rsidRDefault="00325B04" w:rsidP="0082570F">
      <w:pPr>
        <w:pStyle w:val="ListParagraph"/>
        <w:numPr>
          <w:ilvl w:val="0"/>
          <w:numId w:val="43"/>
        </w:numPr>
        <w:ind w:left="1440" w:hanging="720"/>
      </w:pPr>
      <w:r w:rsidRPr="00720D9E">
        <w:t xml:space="preserve">State whether the project is </w:t>
      </w:r>
      <w:r w:rsidRPr="00720D9E">
        <w:rPr>
          <w:lang w:eastAsia="ar-SA"/>
        </w:rPr>
        <w:t xml:space="preserve">transitioning to the </w:t>
      </w:r>
      <w:r w:rsidRPr="00720D9E">
        <w:t>Compliance Offset Protocol Mine Methane Capture Projects</w:t>
      </w:r>
      <w:r w:rsidRPr="00720D9E">
        <w:rPr>
          <w:lang w:eastAsia="ar-SA"/>
        </w:rPr>
        <w:t>, after previously being listed as an early action offset project.</w:t>
      </w:r>
    </w:p>
    <w:p w:rsidR="00325B04" w:rsidRPr="00720D9E" w:rsidRDefault="00325B04" w:rsidP="0082570F">
      <w:pPr>
        <w:pStyle w:val="ListParagraph"/>
        <w:numPr>
          <w:ilvl w:val="0"/>
          <w:numId w:val="43"/>
        </w:numPr>
        <w:ind w:left="1440" w:hanging="720"/>
      </w:pPr>
      <w:r w:rsidRPr="00720D9E">
        <w:t>*List any programs par</w:t>
      </w:r>
      <w:r w:rsidR="00431AD7" w:rsidRPr="00720D9E">
        <w:t>ticipated in by the mine owner and</w:t>
      </w:r>
      <w:r w:rsidRPr="00720D9E">
        <w:t xml:space="preserve"> operator, either in the past or present, that encourage the capture and destruction of mine methane.  If applicable, include programs at mine locations other than the project site.  Specify dates of participation for each program</w:t>
      </w:r>
    </w:p>
    <w:p w:rsidR="007818C0" w:rsidRPr="00720D9E" w:rsidRDefault="00224675" w:rsidP="0082570F">
      <w:pPr>
        <w:pStyle w:val="ListParagraph"/>
        <w:numPr>
          <w:ilvl w:val="0"/>
          <w:numId w:val="43"/>
        </w:numPr>
        <w:ind w:left="1440" w:hanging="720"/>
      </w:pPr>
      <w:r w:rsidRPr="00720D9E">
        <w:t>*</w:t>
      </w:r>
      <w:r w:rsidR="007818C0" w:rsidRPr="00720D9E">
        <w:t>Bird’s-eye view map of the mine site that includes:</w:t>
      </w:r>
    </w:p>
    <w:p w:rsidR="007818C0" w:rsidRPr="00720D9E" w:rsidRDefault="007818C0" w:rsidP="0082570F">
      <w:pPr>
        <w:pStyle w:val="ListParagraph"/>
        <w:numPr>
          <w:ilvl w:val="1"/>
          <w:numId w:val="47"/>
        </w:numPr>
        <w:ind w:left="2160" w:hanging="720"/>
      </w:pPr>
      <w:r w:rsidRPr="00720D9E">
        <w:t>Longitude and latitude coordinates.</w:t>
      </w:r>
    </w:p>
    <w:p w:rsidR="007818C0" w:rsidRPr="00720D9E" w:rsidRDefault="007818C0" w:rsidP="0082570F">
      <w:pPr>
        <w:pStyle w:val="ListParagraph"/>
        <w:numPr>
          <w:ilvl w:val="1"/>
          <w:numId w:val="47"/>
        </w:numPr>
        <w:ind w:left="2160" w:hanging="720"/>
      </w:pPr>
      <w:r w:rsidRPr="00720D9E">
        <w:t>Governing jurisdictions.</w:t>
      </w:r>
    </w:p>
    <w:p w:rsidR="007818C0" w:rsidRPr="00720D9E" w:rsidRDefault="007818C0" w:rsidP="0082570F">
      <w:pPr>
        <w:pStyle w:val="ListParagraph"/>
        <w:numPr>
          <w:ilvl w:val="1"/>
          <w:numId w:val="47"/>
        </w:numPr>
        <w:ind w:left="2160" w:hanging="720"/>
      </w:pPr>
      <w:r w:rsidRPr="00720D9E">
        <w:t>Public and private roads.</w:t>
      </w:r>
    </w:p>
    <w:p w:rsidR="007818C0" w:rsidRPr="00720D9E" w:rsidRDefault="007818C0" w:rsidP="0082570F">
      <w:pPr>
        <w:pStyle w:val="ListParagraph"/>
        <w:numPr>
          <w:ilvl w:val="1"/>
          <w:numId w:val="47"/>
        </w:numPr>
        <w:ind w:left="2160" w:hanging="720"/>
      </w:pPr>
      <w:r w:rsidRPr="00720D9E">
        <w:t xml:space="preserve">Mine </w:t>
      </w:r>
      <w:r w:rsidR="002E3797" w:rsidRPr="00720D9E">
        <w:t xml:space="preserve">permit </w:t>
      </w:r>
      <w:r w:rsidRPr="00720D9E">
        <w:t>boundary.</w:t>
      </w:r>
    </w:p>
    <w:p w:rsidR="002E3797" w:rsidRPr="00720D9E" w:rsidRDefault="002E3797" w:rsidP="0082570F">
      <w:pPr>
        <w:pStyle w:val="ListParagraph"/>
        <w:numPr>
          <w:ilvl w:val="1"/>
          <w:numId w:val="47"/>
        </w:numPr>
        <w:ind w:left="2160" w:hanging="720"/>
      </w:pPr>
      <w:r w:rsidRPr="00720D9E">
        <w:t>Mine lease boundary, if applicable.</w:t>
      </w:r>
    </w:p>
    <w:p w:rsidR="007818C0" w:rsidRPr="00720D9E" w:rsidRDefault="007818C0" w:rsidP="0082570F">
      <w:pPr>
        <w:pStyle w:val="ListParagraph"/>
        <w:numPr>
          <w:ilvl w:val="1"/>
          <w:numId w:val="47"/>
        </w:numPr>
        <w:ind w:left="2160" w:hanging="720"/>
      </w:pPr>
      <w:r w:rsidRPr="00720D9E">
        <w:t xml:space="preserve">Location of existing ventilation shafts.  For active underground mine VAM </w:t>
      </w:r>
      <w:r w:rsidR="00293E44" w:rsidRPr="00720D9E">
        <w:t>activities,</w:t>
      </w:r>
      <w:r w:rsidRPr="00720D9E">
        <w:t xml:space="preserve"> indicate whether or not the shaft is part of the project.</w:t>
      </w:r>
    </w:p>
    <w:p w:rsidR="007818C0" w:rsidRPr="00720D9E" w:rsidRDefault="007818C0" w:rsidP="0082570F">
      <w:pPr>
        <w:pStyle w:val="ListParagraph"/>
        <w:numPr>
          <w:ilvl w:val="1"/>
          <w:numId w:val="47"/>
        </w:numPr>
        <w:ind w:left="2160" w:hanging="720"/>
      </w:pPr>
      <w:r w:rsidRPr="00720D9E">
        <w:t xml:space="preserve">Planned location of additional ventilation shafts.  For active underground mine VAM </w:t>
      </w:r>
      <w:r w:rsidR="00293E44" w:rsidRPr="00720D9E">
        <w:t>activities,</w:t>
      </w:r>
      <w:r w:rsidRPr="00720D9E">
        <w:t xml:space="preserve"> indicate whether or not the shaft will be part of the project.</w:t>
      </w:r>
    </w:p>
    <w:p w:rsidR="007818C0" w:rsidRPr="00720D9E" w:rsidRDefault="007818C0" w:rsidP="0082570F">
      <w:pPr>
        <w:pStyle w:val="ListParagraph"/>
        <w:numPr>
          <w:ilvl w:val="1"/>
          <w:numId w:val="47"/>
        </w:numPr>
        <w:ind w:left="2160" w:hanging="720"/>
      </w:pPr>
      <w:r w:rsidRPr="00720D9E">
        <w:lastRenderedPageBreak/>
        <w:t xml:space="preserve">Location of existing wells and boreholes.  For active underground mine methane drainage </w:t>
      </w:r>
      <w:r w:rsidR="00293E44" w:rsidRPr="00720D9E">
        <w:t>activities</w:t>
      </w:r>
      <w:r w:rsidRPr="00720D9E">
        <w:t xml:space="preserve">, active surface mine methane drainage </w:t>
      </w:r>
      <w:r w:rsidR="00293E44" w:rsidRPr="00720D9E">
        <w:t>activities</w:t>
      </w:r>
      <w:r w:rsidRPr="00720D9E">
        <w:t xml:space="preserve">, and abandoned underground mine methane recovery </w:t>
      </w:r>
      <w:r w:rsidR="00293E44" w:rsidRPr="00720D9E">
        <w:t>activities</w:t>
      </w:r>
      <w:r w:rsidRPr="00720D9E">
        <w:t>, assign a number to each existing well/borehole and, on a separate sheet of paper, indicate:</w:t>
      </w:r>
    </w:p>
    <w:p w:rsidR="007818C0" w:rsidRPr="00720D9E" w:rsidRDefault="007818C0" w:rsidP="0082570F">
      <w:pPr>
        <w:pStyle w:val="ListParagraph"/>
        <w:numPr>
          <w:ilvl w:val="2"/>
          <w:numId w:val="47"/>
        </w:numPr>
        <w:ind w:left="2880" w:hanging="720"/>
      </w:pPr>
      <w:r w:rsidRPr="00720D9E">
        <w:t>the source type (i.e., pre-mining surface well, pre-mining in-mine borehole, post-mining gob well, existing  coal bed methane (CBM) well that would otherwise be shut-in and abandoned, abandoned well that is re-activated, and converted dewatering wells</w:t>
      </w:r>
      <w:r w:rsidR="00D8094E" w:rsidRPr="00720D9E">
        <w:t>)</w:t>
      </w:r>
      <w:r w:rsidRPr="00720D9E">
        <w:t>;</w:t>
      </w:r>
    </w:p>
    <w:p w:rsidR="007818C0" w:rsidRPr="00720D9E" w:rsidRDefault="007818C0" w:rsidP="0082570F">
      <w:pPr>
        <w:pStyle w:val="ListParagraph"/>
        <w:numPr>
          <w:ilvl w:val="2"/>
          <w:numId w:val="47"/>
        </w:numPr>
        <w:ind w:left="2880" w:hanging="720"/>
      </w:pPr>
      <w:r w:rsidRPr="00720D9E">
        <w:t>whether or not the well/borehole is part of the project; and</w:t>
      </w:r>
    </w:p>
    <w:p w:rsidR="007818C0" w:rsidRPr="00720D9E" w:rsidRDefault="007818C0" w:rsidP="0082570F">
      <w:pPr>
        <w:pStyle w:val="ListParagraph"/>
        <w:numPr>
          <w:ilvl w:val="2"/>
          <w:numId w:val="47"/>
        </w:numPr>
        <w:ind w:left="2880" w:hanging="720"/>
      </w:pPr>
      <w:r w:rsidRPr="00720D9E">
        <w:t>for pre-mining surface wells, specify whether or not the well is mined through and when the well was, or is expected to be, mined through.</w:t>
      </w:r>
    </w:p>
    <w:p w:rsidR="007818C0" w:rsidRPr="00720D9E" w:rsidRDefault="00D86551" w:rsidP="0082570F">
      <w:pPr>
        <w:pStyle w:val="ListParagraph"/>
        <w:numPr>
          <w:ilvl w:val="1"/>
          <w:numId w:val="47"/>
        </w:numPr>
        <w:ind w:left="2160" w:hanging="720"/>
      </w:pPr>
      <w:r w:rsidRPr="00720D9E">
        <w:t>L</w:t>
      </w:r>
      <w:r w:rsidR="007818C0" w:rsidRPr="00720D9E">
        <w:t>ocation of additional wells and boreholes</w:t>
      </w:r>
      <w:r w:rsidRPr="00720D9E">
        <w:t xml:space="preserve"> planned to be drilled prior to </w:t>
      </w:r>
      <w:r w:rsidR="004447DE" w:rsidRPr="00720D9E">
        <w:t xml:space="preserve">offset </w:t>
      </w:r>
      <w:r w:rsidRPr="00720D9E">
        <w:t>project commencement</w:t>
      </w:r>
      <w:r w:rsidR="007818C0" w:rsidRPr="00720D9E">
        <w:t xml:space="preserve">.  For active underground mine methane drainage </w:t>
      </w:r>
      <w:r w:rsidR="00293E44" w:rsidRPr="00720D9E">
        <w:t>activities</w:t>
      </w:r>
      <w:r w:rsidR="007818C0" w:rsidRPr="00720D9E">
        <w:t xml:space="preserve">, active surface mine methane drainage </w:t>
      </w:r>
      <w:r w:rsidR="00293E44" w:rsidRPr="00720D9E">
        <w:t>activities</w:t>
      </w:r>
      <w:r w:rsidR="007818C0" w:rsidRPr="00720D9E">
        <w:t xml:space="preserve">, and abandoned underground mine methane recovery </w:t>
      </w:r>
      <w:r w:rsidR="00293E44" w:rsidRPr="00720D9E">
        <w:t>activities</w:t>
      </w:r>
      <w:r w:rsidR="007818C0" w:rsidRPr="00720D9E">
        <w:t>, assign a number to each well/borehole and, on a separate sheet of paper, indicate:</w:t>
      </w:r>
    </w:p>
    <w:p w:rsidR="007818C0" w:rsidRPr="00720D9E" w:rsidRDefault="007818C0" w:rsidP="0082570F">
      <w:pPr>
        <w:pStyle w:val="ListParagraph"/>
        <w:numPr>
          <w:ilvl w:val="2"/>
          <w:numId w:val="47"/>
        </w:numPr>
        <w:ind w:left="2880" w:hanging="720"/>
      </w:pPr>
      <w:r w:rsidRPr="00720D9E">
        <w:t xml:space="preserve">the source type (i.e., pre-mining surface well, pre-mining in-mine borehole, post-mining gob well); </w:t>
      </w:r>
    </w:p>
    <w:p w:rsidR="007818C0" w:rsidRPr="00720D9E" w:rsidRDefault="007818C0" w:rsidP="0082570F">
      <w:pPr>
        <w:pStyle w:val="ListParagraph"/>
        <w:numPr>
          <w:ilvl w:val="2"/>
          <w:numId w:val="47"/>
        </w:numPr>
        <w:ind w:left="2880" w:hanging="720"/>
      </w:pPr>
      <w:r w:rsidRPr="00720D9E">
        <w:t>whether or not the well/borehole will be part of the project; and</w:t>
      </w:r>
    </w:p>
    <w:p w:rsidR="007818C0" w:rsidRPr="00720D9E" w:rsidRDefault="007818C0" w:rsidP="0082570F">
      <w:pPr>
        <w:pStyle w:val="ListParagraph"/>
        <w:numPr>
          <w:ilvl w:val="2"/>
          <w:numId w:val="47"/>
        </w:numPr>
        <w:ind w:left="2880" w:hanging="720"/>
      </w:pPr>
      <w:r w:rsidRPr="00720D9E">
        <w:t>for pre-mining surface wells, specify when the well is expected to be mined through.</w:t>
      </w:r>
    </w:p>
    <w:p w:rsidR="007818C0" w:rsidRPr="00720D9E" w:rsidRDefault="007818C0" w:rsidP="0082570F">
      <w:pPr>
        <w:pStyle w:val="ListParagraph"/>
        <w:numPr>
          <w:ilvl w:val="1"/>
          <w:numId w:val="47"/>
        </w:numPr>
        <w:ind w:left="2160" w:hanging="720"/>
      </w:pPr>
      <w:r w:rsidRPr="00720D9E">
        <w:t>Location of existing equipment used to collect, process and/or enrich, store, meter, and destroy mine methane.  Assign a number to each piece of equipment and, on a separate sheet of paper, indicate:</w:t>
      </w:r>
    </w:p>
    <w:p w:rsidR="007818C0" w:rsidRPr="00720D9E" w:rsidRDefault="007818C0" w:rsidP="0082570F">
      <w:pPr>
        <w:pStyle w:val="ListParagraph"/>
        <w:numPr>
          <w:ilvl w:val="2"/>
          <w:numId w:val="47"/>
        </w:numPr>
        <w:ind w:left="2880" w:hanging="720"/>
      </w:pPr>
      <w:r w:rsidRPr="00720D9E">
        <w:t>the manufacturer and name of each piece of equipment;</w:t>
      </w:r>
    </w:p>
    <w:p w:rsidR="007818C0" w:rsidRPr="00720D9E" w:rsidRDefault="007818C0" w:rsidP="0082570F">
      <w:pPr>
        <w:pStyle w:val="ListParagraph"/>
        <w:numPr>
          <w:ilvl w:val="2"/>
          <w:numId w:val="47"/>
        </w:numPr>
        <w:ind w:left="2880" w:hanging="720"/>
      </w:pPr>
      <w:r w:rsidRPr="00720D9E">
        <w:lastRenderedPageBreak/>
        <w:t xml:space="preserve">the purpose of each piece of equipment; </w:t>
      </w:r>
    </w:p>
    <w:p w:rsidR="007818C0" w:rsidRPr="00720D9E" w:rsidRDefault="007818C0" w:rsidP="0082570F">
      <w:pPr>
        <w:pStyle w:val="ListParagraph"/>
        <w:numPr>
          <w:ilvl w:val="2"/>
          <w:numId w:val="47"/>
        </w:numPr>
        <w:ind w:left="2880" w:hanging="720"/>
      </w:pPr>
      <w:r w:rsidRPr="00720D9E">
        <w:t xml:space="preserve">the installation date of each piece of equipment; </w:t>
      </w:r>
    </w:p>
    <w:p w:rsidR="007818C0" w:rsidRPr="00720D9E" w:rsidRDefault="007818C0" w:rsidP="0082570F">
      <w:pPr>
        <w:pStyle w:val="ListParagraph"/>
        <w:numPr>
          <w:ilvl w:val="2"/>
          <w:numId w:val="47"/>
        </w:numPr>
        <w:ind w:left="2880" w:hanging="720"/>
      </w:pPr>
      <w:r w:rsidRPr="00720D9E">
        <w:t xml:space="preserve">for metering equipment, the date of the most recent inspection, cleaning and calibration of each piece of equipment; </w:t>
      </w:r>
    </w:p>
    <w:p w:rsidR="003B2BE3" w:rsidRPr="00720D9E" w:rsidRDefault="007818C0" w:rsidP="0082570F">
      <w:pPr>
        <w:pStyle w:val="ListParagraph"/>
        <w:numPr>
          <w:ilvl w:val="2"/>
          <w:numId w:val="47"/>
        </w:numPr>
        <w:ind w:left="2880" w:hanging="720"/>
      </w:pPr>
      <w:r w:rsidRPr="00720D9E">
        <w:t xml:space="preserve">for destruction devices, whether it is a qualifying or non-qualifying destruction device in accordance with </w:t>
      </w:r>
      <w:r w:rsidR="00D25B46" w:rsidRPr="00720D9E">
        <w:t>Chapter</w:t>
      </w:r>
      <w:r w:rsidRPr="00720D9E">
        <w:t xml:space="preserve"> </w:t>
      </w:r>
      <w:r w:rsidR="006F24A1" w:rsidRPr="00720D9E">
        <w:t>2</w:t>
      </w:r>
      <w:r w:rsidRPr="00720D9E">
        <w:t>;</w:t>
      </w:r>
    </w:p>
    <w:p w:rsidR="003B2BE3" w:rsidRPr="00720D9E" w:rsidRDefault="003B2BE3" w:rsidP="0082570F">
      <w:pPr>
        <w:pStyle w:val="ListParagraph"/>
        <w:numPr>
          <w:ilvl w:val="2"/>
          <w:numId w:val="47"/>
        </w:numPr>
        <w:ind w:left="2880" w:hanging="720"/>
      </w:pPr>
      <w:r w:rsidRPr="00720D9E">
        <w:t xml:space="preserve">for non-qualifying destruction devices that were operating at the mine prior to </w:t>
      </w:r>
      <w:r w:rsidR="004447DE" w:rsidRPr="00720D9E">
        <w:t xml:space="preserve">offset </w:t>
      </w:r>
      <w:r w:rsidRPr="00720D9E">
        <w:t xml:space="preserve">project commencement and during the year immediately preceding </w:t>
      </w:r>
      <w:r w:rsidR="004447DE" w:rsidRPr="00720D9E">
        <w:t xml:space="preserve">offset </w:t>
      </w:r>
      <w:r w:rsidRPr="00720D9E">
        <w:t xml:space="preserve">project commencement, provide the volume of VAM/MM/SMM/AMM destroyed by the device in the three-year period prior to </w:t>
      </w:r>
      <w:r w:rsidR="004447DE" w:rsidRPr="00720D9E">
        <w:t xml:space="preserve">offset </w:t>
      </w:r>
      <w:r w:rsidRPr="00720D9E">
        <w:t>project commencement (or during the length of time the devices are operational, if less than three years), averaged according to the length of the reporting period; and</w:t>
      </w:r>
    </w:p>
    <w:p w:rsidR="007818C0" w:rsidRPr="00720D9E" w:rsidRDefault="007818C0" w:rsidP="0082570F">
      <w:pPr>
        <w:pStyle w:val="ListParagraph"/>
        <w:numPr>
          <w:ilvl w:val="2"/>
          <w:numId w:val="47"/>
        </w:numPr>
        <w:ind w:left="2880" w:hanging="720"/>
      </w:pPr>
      <w:r w:rsidRPr="00720D9E">
        <w:t>for destruction devices that have been source-tested to develop site</w:t>
      </w:r>
      <w:r w:rsidR="006A5356" w:rsidRPr="00720D9E">
        <w:t>-</w:t>
      </w:r>
      <w:r w:rsidRPr="00720D9E">
        <w:t>specific device destruction efficiency, the date of the test and the resulting destruction efficiency.</w:t>
      </w:r>
    </w:p>
    <w:p w:rsidR="007818C0" w:rsidRPr="00720D9E" w:rsidRDefault="007818C0" w:rsidP="0082570F">
      <w:pPr>
        <w:pStyle w:val="ListParagraph"/>
        <w:numPr>
          <w:ilvl w:val="1"/>
          <w:numId w:val="47"/>
        </w:numPr>
        <w:ind w:left="2160" w:hanging="720"/>
      </w:pPr>
      <w:r w:rsidRPr="00720D9E">
        <w:t xml:space="preserve">Location of </w:t>
      </w:r>
      <w:r w:rsidR="00D86551" w:rsidRPr="00720D9E">
        <w:t>additional</w:t>
      </w:r>
      <w:r w:rsidRPr="00720D9E">
        <w:t xml:space="preserve"> equipment used to collect, process and/or enrich, store, meter, and destroy mine methane</w:t>
      </w:r>
      <w:r w:rsidR="00D86551" w:rsidRPr="00720D9E">
        <w:t xml:space="preserve"> planned to be installed prior to</w:t>
      </w:r>
      <w:r w:rsidR="004447DE" w:rsidRPr="00720D9E">
        <w:t xml:space="preserve"> offset</w:t>
      </w:r>
      <w:r w:rsidR="00D86551" w:rsidRPr="00720D9E">
        <w:t xml:space="preserve"> project commencement</w:t>
      </w:r>
      <w:r w:rsidRPr="00720D9E">
        <w:t>.  Assign a number to each piece of equipment and, on a separate sheet of paper, indicate:</w:t>
      </w:r>
    </w:p>
    <w:p w:rsidR="007818C0" w:rsidRPr="00720D9E" w:rsidRDefault="007818C0" w:rsidP="0082570F">
      <w:pPr>
        <w:pStyle w:val="ListParagraph"/>
        <w:numPr>
          <w:ilvl w:val="2"/>
          <w:numId w:val="47"/>
        </w:numPr>
        <w:ind w:left="2880" w:hanging="720"/>
      </w:pPr>
      <w:r w:rsidRPr="00720D9E">
        <w:t>the manufacturer</w:t>
      </w:r>
      <w:r w:rsidR="00BB6715" w:rsidRPr="00720D9E">
        <w:t>,</w:t>
      </w:r>
      <w:r w:rsidRPr="00720D9E">
        <w:t xml:space="preserve"> name</w:t>
      </w:r>
      <w:r w:rsidR="00BB6715" w:rsidRPr="00720D9E">
        <w:t>/model number, and serial number</w:t>
      </w:r>
      <w:r w:rsidRPr="00720D9E">
        <w:t xml:space="preserve"> of each piece of equipment;</w:t>
      </w:r>
    </w:p>
    <w:p w:rsidR="007818C0" w:rsidRPr="00720D9E" w:rsidRDefault="007818C0" w:rsidP="0082570F">
      <w:pPr>
        <w:pStyle w:val="ListParagraph"/>
        <w:numPr>
          <w:ilvl w:val="2"/>
          <w:numId w:val="47"/>
        </w:numPr>
        <w:ind w:left="2880" w:hanging="720"/>
      </w:pPr>
      <w:r w:rsidRPr="00720D9E">
        <w:t xml:space="preserve">the purpose of each piece of equipment; </w:t>
      </w:r>
    </w:p>
    <w:p w:rsidR="007818C0" w:rsidRPr="00720D9E" w:rsidRDefault="007818C0" w:rsidP="0082570F">
      <w:pPr>
        <w:pStyle w:val="ListParagraph"/>
        <w:numPr>
          <w:ilvl w:val="2"/>
          <w:numId w:val="47"/>
        </w:numPr>
        <w:ind w:left="2880" w:hanging="720"/>
      </w:pPr>
      <w:r w:rsidRPr="00720D9E">
        <w:t>the expected installation date of each piece of equipment; and</w:t>
      </w:r>
    </w:p>
    <w:p w:rsidR="007818C0" w:rsidRPr="00720D9E" w:rsidRDefault="007818C0" w:rsidP="0082570F">
      <w:pPr>
        <w:pStyle w:val="ListParagraph"/>
        <w:numPr>
          <w:ilvl w:val="2"/>
          <w:numId w:val="47"/>
        </w:numPr>
        <w:ind w:left="2880" w:hanging="720"/>
      </w:pPr>
      <w:r w:rsidRPr="00720D9E">
        <w:t xml:space="preserve">for destruction devices, whether it is a qualifying or non-qualifying destruction device in accordance with </w:t>
      </w:r>
      <w:r w:rsidR="00D25B46" w:rsidRPr="00720D9E">
        <w:t>Chapter</w:t>
      </w:r>
      <w:r w:rsidRPr="00720D9E">
        <w:t xml:space="preserve"> </w:t>
      </w:r>
      <w:r w:rsidR="006F24A1" w:rsidRPr="00720D9E">
        <w:t>2</w:t>
      </w:r>
      <w:r w:rsidRPr="00720D9E">
        <w:t>.</w:t>
      </w:r>
    </w:p>
    <w:p w:rsidR="007818C0" w:rsidRPr="00720D9E" w:rsidRDefault="007818C0" w:rsidP="0082570F">
      <w:pPr>
        <w:pStyle w:val="ListParagraph"/>
        <w:numPr>
          <w:ilvl w:val="0"/>
          <w:numId w:val="43"/>
        </w:numPr>
        <w:ind w:left="1440" w:hanging="720"/>
      </w:pPr>
      <w:r w:rsidRPr="00720D9E">
        <w:lastRenderedPageBreak/>
        <w:t>A geologic cross section diagram showing aboveground and underground conditions including:</w:t>
      </w:r>
    </w:p>
    <w:p w:rsidR="007818C0" w:rsidRPr="00720D9E" w:rsidRDefault="007818C0" w:rsidP="0082570F">
      <w:pPr>
        <w:pStyle w:val="ListParagraph"/>
        <w:numPr>
          <w:ilvl w:val="1"/>
          <w:numId w:val="48"/>
        </w:numPr>
        <w:ind w:left="2160" w:hanging="720"/>
      </w:pPr>
      <w:r w:rsidRPr="00720D9E">
        <w:rPr>
          <w:lang w:val="en-GB"/>
        </w:rPr>
        <w:t xml:space="preserve">Mined and unmined coal seam(s) from the surface to 50 meters below the lowest mined seam.  </w:t>
      </w:r>
    </w:p>
    <w:p w:rsidR="007818C0" w:rsidRPr="00720D9E" w:rsidRDefault="007818C0" w:rsidP="0082570F">
      <w:pPr>
        <w:pStyle w:val="ListParagraph"/>
        <w:numPr>
          <w:ilvl w:val="1"/>
          <w:numId w:val="48"/>
        </w:numPr>
        <w:ind w:left="2160" w:hanging="720"/>
      </w:pPr>
      <w:r w:rsidRPr="00720D9E">
        <w:t xml:space="preserve">Underground mine extents according to </w:t>
      </w:r>
      <w:r w:rsidR="0079791B" w:rsidRPr="00720D9E">
        <w:t>an up-to-date</w:t>
      </w:r>
      <w:r w:rsidRPr="00720D9E">
        <w:t xml:space="preserve"> mine plan.</w:t>
      </w:r>
    </w:p>
    <w:p w:rsidR="007818C0" w:rsidRPr="00720D9E" w:rsidRDefault="007818C0" w:rsidP="0082570F">
      <w:pPr>
        <w:pStyle w:val="ListParagraph"/>
        <w:numPr>
          <w:ilvl w:val="1"/>
          <w:numId w:val="48"/>
        </w:numPr>
        <w:ind w:left="2160" w:hanging="720"/>
      </w:pPr>
      <w:r w:rsidRPr="00720D9E">
        <w:rPr>
          <w:lang w:val="en-GB"/>
        </w:rPr>
        <w:t>Include the well depth of completion relative to the lowermost mined seam</w:t>
      </w:r>
      <w:r w:rsidR="00BC696A" w:rsidRPr="00720D9E">
        <w:rPr>
          <w:lang w:val="en-GB"/>
        </w:rPr>
        <w:t>.</w:t>
      </w:r>
      <w:r w:rsidRPr="00720D9E">
        <w:rPr>
          <w:lang w:val="en-GB"/>
        </w:rPr>
        <w:t xml:space="preserve"> </w:t>
      </w:r>
    </w:p>
    <w:p w:rsidR="007818C0" w:rsidRPr="00720D9E" w:rsidRDefault="007818C0" w:rsidP="0082570F">
      <w:pPr>
        <w:pStyle w:val="ListParagraph"/>
        <w:numPr>
          <w:ilvl w:val="1"/>
          <w:numId w:val="48"/>
        </w:numPr>
        <w:ind w:left="2160" w:hanging="720"/>
      </w:pPr>
      <w:r w:rsidRPr="00720D9E">
        <w:t>Mining progress indicating direction of mining.</w:t>
      </w:r>
    </w:p>
    <w:p w:rsidR="007818C0" w:rsidRPr="00720D9E" w:rsidRDefault="007818C0" w:rsidP="0082570F">
      <w:pPr>
        <w:pStyle w:val="ListParagraph"/>
        <w:numPr>
          <w:ilvl w:val="1"/>
          <w:numId w:val="48"/>
        </w:numPr>
        <w:ind w:left="2160" w:hanging="720"/>
      </w:pPr>
      <w:r w:rsidRPr="00720D9E">
        <w:t>Aboveground mine boundary.</w:t>
      </w:r>
    </w:p>
    <w:p w:rsidR="007818C0" w:rsidRPr="00720D9E" w:rsidRDefault="007818C0" w:rsidP="0082570F">
      <w:pPr>
        <w:pStyle w:val="ListParagraph"/>
        <w:numPr>
          <w:ilvl w:val="1"/>
          <w:numId w:val="48"/>
        </w:numPr>
        <w:ind w:left="2160" w:hanging="720"/>
      </w:pPr>
      <w:r w:rsidRPr="00720D9E">
        <w:t xml:space="preserve">For active underground mine VAM </w:t>
      </w:r>
      <w:r w:rsidR="00293E44" w:rsidRPr="00720D9E">
        <w:t>activities</w:t>
      </w:r>
      <w:r w:rsidRPr="00720D9E">
        <w:t>, all existing and planned ventilation shafts (labeled using the same numbering system as the map).</w:t>
      </w:r>
    </w:p>
    <w:p w:rsidR="007818C0" w:rsidRPr="00720D9E" w:rsidRDefault="007818C0" w:rsidP="0082570F">
      <w:pPr>
        <w:pStyle w:val="ListParagraph"/>
        <w:numPr>
          <w:ilvl w:val="1"/>
          <w:numId w:val="48"/>
        </w:numPr>
        <w:ind w:left="2160" w:hanging="720"/>
      </w:pPr>
      <w:r w:rsidRPr="00720D9E">
        <w:t xml:space="preserve">For active underground mine methane drainage </w:t>
      </w:r>
      <w:r w:rsidR="00293E44" w:rsidRPr="00720D9E">
        <w:t>activities</w:t>
      </w:r>
      <w:r w:rsidRPr="00720D9E">
        <w:t xml:space="preserve">, active surface mine methane drainage </w:t>
      </w:r>
      <w:r w:rsidR="00293E44" w:rsidRPr="00720D9E">
        <w:t>activities</w:t>
      </w:r>
      <w:r w:rsidRPr="00720D9E">
        <w:t xml:space="preserve"> and abandoned underground mine methane recovery </w:t>
      </w:r>
      <w:r w:rsidR="00293E44" w:rsidRPr="00720D9E">
        <w:t>activities</w:t>
      </w:r>
      <w:r w:rsidRPr="00720D9E">
        <w:t>, all existing and planned wells/boreholes (labeled using the same numbering system as the map). Include the depth and angle of existing pre-mining surface wells.</w:t>
      </w:r>
    </w:p>
    <w:p w:rsidR="007818C0" w:rsidRPr="00720D9E" w:rsidRDefault="007818C0" w:rsidP="0082570F">
      <w:pPr>
        <w:pStyle w:val="ListParagraph"/>
        <w:numPr>
          <w:ilvl w:val="1"/>
          <w:numId w:val="48"/>
        </w:numPr>
        <w:ind w:left="2160" w:hanging="720"/>
      </w:pPr>
      <w:r w:rsidRPr="00720D9E">
        <w:t>Existing and planned equipment used to collect, process and/or enrich, store, meter, and destroy mine methane (labeled using the same numbering system as the map).</w:t>
      </w:r>
    </w:p>
    <w:p w:rsidR="00150126" w:rsidRPr="00720D9E" w:rsidRDefault="00150126" w:rsidP="0082570F">
      <w:pPr>
        <w:pStyle w:val="ListParagraph"/>
        <w:numPr>
          <w:ilvl w:val="0"/>
          <w:numId w:val="44"/>
        </w:numPr>
        <w:ind w:hanging="720"/>
      </w:pPr>
      <w:r w:rsidRPr="00720D9E">
        <w:t xml:space="preserve">Abandoned mine methane recovery </w:t>
      </w:r>
      <w:r w:rsidR="00293E44" w:rsidRPr="00720D9E">
        <w:t>activities</w:t>
      </w:r>
      <w:r w:rsidRPr="00720D9E">
        <w:t xml:space="preserve"> that</w:t>
      </w:r>
      <w:r w:rsidR="007818C0" w:rsidRPr="00720D9E">
        <w:t xml:space="preserve"> are</w:t>
      </w:r>
      <w:r w:rsidRPr="00720D9E">
        <w:t xml:space="preserve"> </w:t>
      </w:r>
      <w:r w:rsidR="007818C0" w:rsidRPr="00720D9E">
        <w:t>comprised</w:t>
      </w:r>
      <w:r w:rsidRPr="00720D9E">
        <w:t xml:space="preserve"> of multiple mine</w:t>
      </w:r>
      <w:r w:rsidR="005106DD" w:rsidRPr="00720D9E">
        <w:t>s</w:t>
      </w:r>
      <w:r w:rsidRPr="00720D9E">
        <w:t xml:space="preserve"> as allowed for by section </w:t>
      </w:r>
      <w:r w:rsidR="00F53DCB" w:rsidRPr="00720D9E">
        <w:t>2.4</w:t>
      </w:r>
      <w:r w:rsidRPr="00720D9E">
        <w:t xml:space="preserve"> </w:t>
      </w:r>
      <w:r w:rsidR="007818C0" w:rsidRPr="00720D9E">
        <w:t xml:space="preserve">must </w:t>
      </w:r>
      <w:r w:rsidRPr="00720D9E">
        <w:t xml:space="preserve">provide </w:t>
      </w:r>
      <w:r w:rsidR="007818C0" w:rsidRPr="00720D9E">
        <w:t xml:space="preserve">the items marked with an asterisk </w:t>
      </w:r>
      <w:r w:rsidR="00847275" w:rsidRPr="00720D9E">
        <w:t xml:space="preserve">(*) </w:t>
      </w:r>
      <w:r w:rsidR="007818C0" w:rsidRPr="00720D9E">
        <w:t xml:space="preserve">for </w:t>
      </w:r>
      <w:r w:rsidRPr="00720D9E">
        <w:t xml:space="preserve">each </w:t>
      </w:r>
      <w:r w:rsidR="007818C0" w:rsidRPr="00720D9E">
        <w:t xml:space="preserve">involved </w:t>
      </w:r>
      <w:r w:rsidRPr="00720D9E">
        <w:t>mine.</w:t>
      </w:r>
    </w:p>
    <w:p w:rsidR="00436E82" w:rsidRPr="00720D9E" w:rsidRDefault="00526AA3" w:rsidP="00436E82">
      <w:pPr>
        <w:pStyle w:val="Heading2"/>
      </w:pPr>
      <w:bookmarkStart w:id="60" w:name="_Toc364243234"/>
      <w:r w:rsidRPr="00720D9E">
        <w:t xml:space="preserve">§ </w:t>
      </w:r>
      <w:r w:rsidR="00645452" w:rsidRPr="00720D9E">
        <w:t>7.2</w:t>
      </w:r>
      <w:r w:rsidR="00480477" w:rsidRPr="00720D9E">
        <w:t>.</w:t>
      </w:r>
      <w:r w:rsidRPr="00720D9E">
        <w:t xml:space="preserve"> </w:t>
      </w:r>
      <w:r w:rsidR="00436E82" w:rsidRPr="00720D9E">
        <w:t>Offset Project Data Report</w:t>
      </w:r>
      <w:r w:rsidR="00480477" w:rsidRPr="00720D9E">
        <w:t>.</w:t>
      </w:r>
      <w:bookmarkEnd w:id="60"/>
    </w:p>
    <w:p w:rsidR="005106DD" w:rsidRPr="00720D9E" w:rsidRDefault="00BC696A" w:rsidP="003638CE">
      <w:pPr>
        <w:pStyle w:val="ListParagraph"/>
        <w:numPr>
          <w:ilvl w:val="0"/>
          <w:numId w:val="49"/>
        </w:numPr>
        <w:ind w:hanging="720"/>
      </w:pPr>
      <w:r w:rsidRPr="00720D9E">
        <w:rPr>
          <w:color w:val="auto"/>
        </w:rPr>
        <w:t>Offset Project Operators or Authorized Project Designees</w:t>
      </w:r>
      <w:r w:rsidRPr="00720D9E" w:rsidDel="00BC696A">
        <w:t xml:space="preserve"> </w:t>
      </w:r>
      <w:r w:rsidR="0001271C" w:rsidRPr="00720D9E">
        <w:t>must submit an Offset Project Data Report</w:t>
      </w:r>
      <w:r w:rsidR="005106DD" w:rsidRPr="00720D9E">
        <w:t xml:space="preserve"> (OPDR) at the conclusion of e</w:t>
      </w:r>
      <w:r w:rsidR="0001271C" w:rsidRPr="00720D9E">
        <w:t>ach Reporting Period according to the reporting schedule in the Regulation.</w:t>
      </w:r>
    </w:p>
    <w:p w:rsidR="005106DD" w:rsidRPr="00720D9E" w:rsidRDefault="00BC696A" w:rsidP="003638CE">
      <w:pPr>
        <w:pStyle w:val="ListParagraph"/>
        <w:numPr>
          <w:ilvl w:val="0"/>
          <w:numId w:val="49"/>
        </w:numPr>
        <w:ind w:hanging="720"/>
      </w:pPr>
      <w:r w:rsidRPr="00720D9E">
        <w:rPr>
          <w:color w:val="auto"/>
        </w:rPr>
        <w:t>Offset Project Operators or Authorized Project Designees</w:t>
      </w:r>
      <w:r w:rsidRPr="00720D9E" w:rsidDel="00BC696A">
        <w:t xml:space="preserve"> </w:t>
      </w:r>
      <w:r w:rsidR="005106DD" w:rsidRPr="00720D9E">
        <w:t>must submit the information required by the Regulation</w:t>
      </w:r>
      <w:r w:rsidRPr="00720D9E">
        <w:t>,</w:t>
      </w:r>
      <w:r w:rsidR="005106DD" w:rsidRPr="00720D9E">
        <w:t xml:space="preserve"> in addition to the following</w:t>
      </w:r>
      <w:r w:rsidRPr="00720D9E">
        <w:t xml:space="preserve"> information</w:t>
      </w:r>
      <w:r w:rsidR="005106DD" w:rsidRPr="00720D9E">
        <w:t>:</w:t>
      </w:r>
    </w:p>
    <w:p w:rsidR="0001271C" w:rsidRPr="00720D9E" w:rsidRDefault="0001271C" w:rsidP="003638CE">
      <w:pPr>
        <w:pStyle w:val="ListParagraph"/>
        <w:numPr>
          <w:ilvl w:val="0"/>
          <w:numId w:val="50"/>
        </w:numPr>
        <w:ind w:left="1440" w:hanging="720"/>
      </w:pPr>
      <w:r w:rsidRPr="00720D9E">
        <w:t>Offset project name.</w:t>
      </w:r>
    </w:p>
    <w:p w:rsidR="0001271C" w:rsidRPr="00720D9E" w:rsidRDefault="0001271C" w:rsidP="003638CE">
      <w:pPr>
        <w:pStyle w:val="ListParagraph"/>
        <w:numPr>
          <w:ilvl w:val="0"/>
          <w:numId w:val="50"/>
        </w:numPr>
        <w:ind w:left="1440" w:hanging="720"/>
      </w:pPr>
      <w:r w:rsidRPr="00720D9E">
        <w:lastRenderedPageBreak/>
        <w:t xml:space="preserve">Mine methane capture </w:t>
      </w:r>
      <w:r w:rsidR="00293E44" w:rsidRPr="00720D9E">
        <w:t>activity</w:t>
      </w:r>
      <w:r w:rsidRPr="00720D9E">
        <w:t xml:space="preserve"> type (i.e., active underground mine VAM </w:t>
      </w:r>
      <w:r w:rsidR="00293E44" w:rsidRPr="00720D9E">
        <w:t>activity</w:t>
      </w:r>
      <w:r w:rsidRPr="00720D9E">
        <w:t xml:space="preserve">, active underground mine methane drainage </w:t>
      </w:r>
      <w:r w:rsidR="00293E44" w:rsidRPr="00720D9E">
        <w:t>activity</w:t>
      </w:r>
      <w:r w:rsidRPr="00720D9E">
        <w:t xml:space="preserve">, active surface mine methane drainage </w:t>
      </w:r>
      <w:r w:rsidR="00293E44" w:rsidRPr="00720D9E">
        <w:t>activity</w:t>
      </w:r>
      <w:r w:rsidRPr="00720D9E">
        <w:t xml:space="preserve">, or abandoned underground mine methane recovery </w:t>
      </w:r>
      <w:r w:rsidR="00293E44" w:rsidRPr="00720D9E">
        <w:t>activity</w:t>
      </w:r>
      <w:r w:rsidRPr="00720D9E">
        <w:t>).</w:t>
      </w:r>
    </w:p>
    <w:p w:rsidR="0001271C" w:rsidRPr="00720D9E" w:rsidRDefault="0001271C" w:rsidP="003638CE">
      <w:pPr>
        <w:pStyle w:val="ListParagraph"/>
        <w:numPr>
          <w:ilvl w:val="0"/>
          <w:numId w:val="50"/>
        </w:numPr>
        <w:ind w:left="1440" w:hanging="720"/>
      </w:pPr>
      <w:r w:rsidRPr="00720D9E">
        <w:t>Contact information including name, phone number, mailing address, physical address (if different from mailing address), and email address for the:</w:t>
      </w:r>
    </w:p>
    <w:p w:rsidR="00ED11C3" w:rsidRPr="00720D9E" w:rsidRDefault="0001271C" w:rsidP="003638CE">
      <w:pPr>
        <w:pStyle w:val="ListParagraph"/>
        <w:numPr>
          <w:ilvl w:val="0"/>
          <w:numId w:val="51"/>
        </w:numPr>
        <w:ind w:left="2160" w:hanging="720"/>
      </w:pPr>
      <w:r w:rsidRPr="00720D9E">
        <w:t>Offset Project Operator; and</w:t>
      </w:r>
    </w:p>
    <w:p w:rsidR="0001271C" w:rsidRPr="00720D9E" w:rsidRDefault="0001271C" w:rsidP="003638CE">
      <w:pPr>
        <w:pStyle w:val="ListParagraph"/>
        <w:numPr>
          <w:ilvl w:val="0"/>
          <w:numId w:val="51"/>
        </w:numPr>
        <w:ind w:left="2160" w:hanging="720"/>
      </w:pPr>
      <w:r w:rsidRPr="00720D9E">
        <w:t>Authorized Project Designee (if applicable).</w:t>
      </w:r>
    </w:p>
    <w:p w:rsidR="0001271C" w:rsidRPr="00720D9E" w:rsidRDefault="0001271C" w:rsidP="003638CE">
      <w:pPr>
        <w:pStyle w:val="ListParagraph"/>
        <w:numPr>
          <w:ilvl w:val="0"/>
          <w:numId w:val="50"/>
        </w:numPr>
        <w:ind w:left="1440" w:hanging="720"/>
      </w:pPr>
      <w:r w:rsidRPr="00720D9E">
        <w:t xml:space="preserve">CITSS ID number for the: </w:t>
      </w:r>
    </w:p>
    <w:p w:rsidR="0001271C" w:rsidRPr="00720D9E" w:rsidRDefault="0001271C" w:rsidP="003638CE">
      <w:pPr>
        <w:pStyle w:val="ListParagraph"/>
        <w:numPr>
          <w:ilvl w:val="1"/>
          <w:numId w:val="50"/>
        </w:numPr>
        <w:ind w:left="2160" w:hanging="720"/>
      </w:pPr>
      <w:r w:rsidRPr="00720D9E">
        <w:t>Offset Project Operator; and</w:t>
      </w:r>
    </w:p>
    <w:p w:rsidR="0001271C" w:rsidRPr="00720D9E" w:rsidRDefault="0001271C" w:rsidP="003638CE">
      <w:pPr>
        <w:pStyle w:val="ListParagraph"/>
        <w:numPr>
          <w:ilvl w:val="1"/>
          <w:numId w:val="50"/>
        </w:numPr>
        <w:ind w:left="2160" w:hanging="720"/>
      </w:pPr>
      <w:r w:rsidRPr="00720D9E">
        <w:t>Authorized Project Designee (if applicable).</w:t>
      </w:r>
    </w:p>
    <w:p w:rsidR="0001271C" w:rsidRPr="00720D9E" w:rsidRDefault="0001271C" w:rsidP="003638CE">
      <w:pPr>
        <w:pStyle w:val="ListParagraph"/>
        <w:numPr>
          <w:ilvl w:val="0"/>
          <w:numId w:val="50"/>
        </w:numPr>
        <w:ind w:left="1440" w:hanging="720"/>
      </w:pPr>
      <w:r w:rsidRPr="00720D9E">
        <w:t>Contact information including name, phone number, email address and, if applicable, the organizational affiliation for:</w:t>
      </w:r>
    </w:p>
    <w:p w:rsidR="0001271C" w:rsidRPr="00720D9E" w:rsidRDefault="0001271C" w:rsidP="003638CE">
      <w:pPr>
        <w:pStyle w:val="ListParagraph"/>
        <w:numPr>
          <w:ilvl w:val="1"/>
          <w:numId w:val="50"/>
        </w:numPr>
        <w:ind w:left="2160" w:hanging="720"/>
      </w:pPr>
      <w:r w:rsidRPr="00720D9E">
        <w:t>the person submitting the information;</w:t>
      </w:r>
    </w:p>
    <w:p w:rsidR="0001271C" w:rsidRPr="00720D9E" w:rsidRDefault="0001271C" w:rsidP="003638CE">
      <w:pPr>
        <w:pStyle w:val="ListParagraph"/>
        <w:numPr>
          <w:ilvl w:val="1"/>
          <w:numId w:val="50"/>
        </w:numPr>
        <w:ind w:left="2160" w:hanging="720"/>
      </w:pPr>
      <w:r w:rsidRPr="00720D9E">
        <w:t>technical consultants.</w:t>
      </w:r>
    </w:p>
    <w:p w:rsidR="0001271C" w:rsidRPr="00720D9E" w:rsidRDefault="0001271C" w:rsidP="003638CE">
      <w:pPr>
        <w:pStyle w:val="ListParagraph"/>
        <w:numPr>
          <w:ilvl w:val="0"/>
          <w:numId w:val="50"/>
        </w:numPr>
        <w:ind w:left="1440" w:hanging="720"/>
      </w:pPr>
      <w:r w:rsidRPr="00720D9E">
        <w:t>Date of form completion.</w:t>
      </w:r>
    </w:p>
    <w:p w:rsidR="0001271C" w:rsidRPr="00720D9E" w:rsidRDefault="00ED11C3" w:rsidP="003638CE">
      <w:pPr>
        <w:pStyle w:val="ListParagraph"/>
        <w:numPr>
          <w:ilvl w:val="0"/>
          <w:numId w:val="50"/>
        </w:numPr>
        <w:ind w:left="1440" w:hanging="720"/>
      </w:pPr>
      <w:r w:rsidRPr="00720D9E">
        <w:t>R</w:t>
      </w:r>
      <w:r w:rsidR="0001271C" w:rsidRPr="00720D9E">
        <w:t>eporting period.</w:t>
      </w:r>
    </w:p>
    <w:p w:rsidR="00D473F6" w:rsidRPr="00720D9E" w:rsidRDefault="00D473F6" w:rsidP="003638CE">
      <w:pPr>
        <w:pStyle w:val="ListParagraph"/>
        <w:numPr>
          <w:ilvl w:val="0"/>
          <w:numId w:val="50"/>
        </w:numPr>
        <w:ind w:left="1440" w:hanging="720"/>
      </w:pPr>
      <w:r w:rsidRPr="00720D9E">
        <w:t>Offset project commencement date.</w:t>
      </w:r>
    </w:p>
    <w:p w:rsidR="00D473F6" w:rsidRPr="00720D9E" w:rsidRDefault="00D473F6" w:rsidP="003638CE">
      <w:pPr>
        <w:pStyle w:val="ListParagraph"/>
        <w:numPr>
          <w:ilvl w:val="0"/>
          <w:numId w:val="50"/>
        </w:numPr>
        <w:ind w:left="1440" w:hanging="720"/>
      </w:pPr>
      <w:r w:rsidRPr="00720D9E">
        <w:t>*Physical address and latitude and longitude coordinates of mine site.</w:t>
      </w:r>
    </w:p>
    <w:p w:rsidR="00D473F6" w:rsidRPr="00720D9E" w:rsidRDefault="00D473F6" w:rsidP="003638CE">
      <w:pPr>
        <w:pStyle w:val="ListParagraph"/>
        <w:numPr>
          <w:ilvl w:val="0"/>
          <w:numId w:val="50"/>
        </w:numPr>
        <w:ind w:left="1440" w:hanging="720"/>
      </w:pPr>
      <w:r w:rsidRPr="00720D9E">
        <w:t>Mine basin as defined by the American Association of Petroleum Geologists (AAPG) Geologic Note: AAPG-CSD Geological Provinces Code Map: AAPG Bulletin, Prepared by Richard F. Meyer, Laurie G. Wallace, and Fred J. Wagner, Jr., Volume 75, Number 10 (October 1991).</w:t>
      </w:r>
    </w:p>
    <w:p w:rsidR="00D473F6" w:rsidRPr="00720D9E" w:rsidRDefault="00D473F6" w:rsidP="003638CE">
      <w:pPr>
        <w:pStyle w:val="ListParagraph"/>
        <w:numPr>
          <w:ilvl w:val="0"/>
          <w:numId w:val="50"/>
        </w:numPr>
        <w:ind w:left="1440" w:hanging="720"/>
      </w:pPr>
      <w:r w:rsidRPr="00720D9E">
        <w:t>*Mining method(s) employed (e.g., longwall, room and pillar, open-pit, etc.).</w:t>
      </w:r>
    </w:p>
    <w:p w:rsidR="00D473F6" w:rsidRPr="00720D9E" w:rsidRDefault="00D473F6" w:rsidP="003638CE">
      <w:pPr>
        <w:pStyle w:val="ListParagraph"/>
        <w:numPr>
          <w:ilvl w:val="0"/>
          <w:numId w:val="50"/>
        </w:numPr>
        <w:ind w:left="1440" w:hanging="720"/>
      </w:pPr>
      <w:r w:rsidRPr="00720D9E">
        <w:t>*Mineral production during reporting period (specify mineral produced and unit).</w:t>
      </w:r>
    </w:p>
    <w:p w:rsidR="00D473F6" w:rsidRPr="00720D9E" w:rsidRDefault="00D473F6" w:rsidP="003638CE">
      <w:pPr>
        <w:pStyle w:val="ListParagraph"/>
        <w:numPr>
          <w:ilvl w:val="0"/>
          <w:numId w:val="50"/>
        </w:numPr>
        <w:ind w:left="1440" w:hanging="720"/>
      </w:pPr>
      <w:r w:rsidRPr="00720D9E">
        <w:t>Statement as to whether all the information submitted for project listing is still accurate.</w:t>
      </w:r>
      <w:r w:rsidR="00512535" w:rsidRPr="00720D9E">
        <w:t xml:space="preserve"> </w:t>
      </w:r>
      <w:r w:rsidRPr="00720D9E">
        <w:t xml:space="preserve"> If not, provide updates to relevant listing information.</w:t>
      </w:r>
    </w:p>
    <w:p w:rsidR="00512535" w:rsidRPr="00720D9E" w:rsidRDefault="00470F85" w:rsidP="003638CE">
      <w:pPr>
        <w:pStyle w:val="ListParagraph"/>
        <w:numPr>
          <w:ilvl w:val="0"/>
          <w:numId w:val="50"/>
        </w:numPr>
        <w:ind w:left="1440" w:hanging="720"/>
      </w:pPr>
      <w:r w:rsidRPr="00720D9E">
        <w:lastRenderedPageBreak/>
        <w:t>*</w:t>
      </w:r>
      <w:r w:rsidR="00225D75" w:rsidRPr="00720D9E">
        <w:t>Statement as to whether the project has met all local, state, or federal regulatory requirements during the reporting period. If not, an explanation of the non-compliance must be provided.</w:t>
      </w:r>
      <w:r w:rsidR="00225D75" w:rsidRPr="00720D9E" w:rsidDel="00225D75">
        <w:t xml:space="preserve"> </w:t>
      </w:r>
    </w:p>
    <w:p w:rsidR="00ED11C3" w:rsidRPr="00720D9E" w:rsidRDefault="00ED11C3" w:rsidP="003638CE">
      <w:pPr>
        <w:pStyle w:val="ListParagraph"/>
        <w:numPr>
          <w:ilvl w:val="0"/>
          <w:numId w:val="50"/>
        </w:numPr>
        <w:ind w:left="1440" w:hanging="720"/>
      </w:pPr>
      <w:r w:rsidRPr="00720D9E">
        <w:t>For active underground mine methane drainage activities and active surface mine methane drainage activities, latest mine plan and mine map submitted to appropriate state or federal agency responsible for mine leasing/permitting.</w:t>
      </w:r>
    </w:p>
    <w:p w:rsidR="0001271C" w:rsidRPr="00720D9E" w:rsidRDefault="0001271C" w:rsidP="003638CE">
      <w:pPr>
        <w:pStyle w:val="ListParagraph"/>
        <w:numPr>
          <w:ilvl w:val="0"/>
          <w:numId w:val="50"/>
        </w:numPr>
        <w:ind w:left="1440" w:hanging="720"/>
      </w:pPr>
      <w:r w:rsidRPr="00720D9E">
        <w:t xml:space="preserve">For active underground mine VAM </w:t>
      </w:r>
      <w:r w:rsidR="00293E44" w:rsidRPr="00720D9E">
        <w:t>activities</w:t>
      </w:r>
      <w:r w:rsidRPr="00720D9E">
        <w:t xml:space="preserve">, state whether supplemental methane </w:t>
      </w:r>
      <w:r w:rsidR="00D473F6" w:rsidRPr="00720D9E">
        <w:t>was</w:t>
      </w:r>
      <w:r w:rsidRPr="00720D9E">
        <w:t xml:space="preserve"> used. </w:t>
      </w:r>
    </w:p>
    <w:p w:rsidR="00D473F6" w:rsidRPr="00720D9E" w:rsidRDefault="00AB74DB" w:rsidP="003638CE">
      <w:pPr>
        <w:pStyle w:val="ListParagraph"/>
        <w:numPr>
          <w:ilvl w:val="0"/>
          <w:numId w:val="50"/>
        </w:numPr>
        <w:ind w:left="1440" w:hanging="720"/>
      </w:pPr>
      <w:r w:rsidRPr="00720D9E">
        <w:t>B</w:t>
      </w:r>
      <w:r w:rsidR="00512535" w:rsidRPr="00720D9E">
        <w:t>aseline emissions during the reporting period</w:t>
      </w:r>
      <w:r w:rsidRPr="00720D9E">
        <w:t xml:space="preserve"> (BE)</w:t>
      </w:r>
      <w:r w:rsidR="00512535" w:rsidRPr="00720D9E">
        <w:t xml:space="preserve">, following the requirements of </w:t>
      </w:r>
      <w:r w:rsidR="00D25B46" w:rsidRPr="00720D9E">
        <w:t>Chapter</w:t>
      </w:r>
      <w:r w:rsidR="00512535" w:rsidRPr="00720D9E">
        <w:t xml:space="preserve"> </w:t>
      </w:r>
      <w:r w:rsidR="006F24A1" w:rsidRPr="00720D9E">
        <w:t>5</w:t>
      </w:r>
      <w:r w:rsidR="00512535" w:rsidRPr="00720D9E">
        <w:t>.</w:t>
      </w:r>
    </w:p>
    <w:p w:rsidR="00512535" w:rsidRPr="00720D9E" w:rsidRDefault="00512535" w:rsidP="003638CE">
      <w:pPr>
        <w:pStyle w:val="ListParagraph"/>
        <w:numPr>
          <w:ilvl w:val="0"/>
          <w:numId w:val="50"/>
        </w:numPr>
        <w:ind w:left="1440" w:hanging="720"/>
      </w:pPr>
      <w:r w:rsidRPr="00720D9E">
        <w:t>Project emissions during the reporting period</w:t>
      </w:r>
      <w:r w:rsidR="00AB74DB" w:rsidRPr="00720D9E">
        <w:t xml:space="preserve"> (PE)</w:t>
      </w:r>
      <w:r w:rsidRPr="00720D9E">
        <w:t xml:space="preserve">, following the requirements of </w:t>
      </w:r>
      <w:r w:rsidR="00D25B46" w:rsidRPr="00720D9E">
        <w:t>Chapter</w:t>
      </w:r>
      <w:r w:rsidR="00926183" w:rsidRPr="00720D9E">
        <w:t xml:space="preserve"> 5</w:t>
      </w:r>
      <w:r w:rsidRPr="00720D9E">
        <w:t>.</w:t>
      </w:r>
    </w:p>
    <w:p w:rsidR="00512535" w:rsidRPr="00720D9E" w:rsidRDefault="00512535" w:rsidP="003638CE">
      <w:pPr>
        <w:pStyle w:val="ListParagraph"/>
        <w:numPr>
          <w:ilvl w:val="0"/>
          <w:numId w:val="50"/>
        </w:numPr>
        <w:ind w:left="1440" w:hanging="720"/>
      </w:pPr>
      <w:r w:rsidRPr="00720D9E">
        <w:t>A calculation of the total net GHG reductions for the reporting period</w:t>
      </w:r>
      <w:r w:rsidR="00AB74DB" w:rsidRPr="00720D9E">
        <w:t xml:space="preserve"> (ER)</w:t>
      </w:r>
      <w:r w:rsidRPr="00720D9E">
        <w:t xml:space="preserve">, following the requirements of </w:t>
      </w:r>
      <w:r w:rsidR="00D25B46" w:rsidRPr="00720D9E">
        <w:t>Chapter</w:t>
      </w:r>
      <w:r w:rsidRPr="00720D9E">
        <w:t xml:space="preserve"> </w:t>
      </w:r>
      <w:r w:rsidR="00926183" w:rsidRPr="00720D9E">
        <w:t>5</w:t>
      </w:r>
      <w:r w:rsidRPr="00720D9E">
        <w:t>.</w:t>
      </w:r>
    </w:p>
    <w:p w:rsidR="00AB74DB" w:rsidRPr="00720D9E" w:rsidRDefault="00AB74DB" w:rsidP="003638CE">
      <w:pPr>
        <w:pStyle w:val="ListParagraph"/>
        <w:numPr>
          <w:ilvl w:val="0"/>
          <w:numId w:val="50"/>
        </w:numPr>
        <w:ind w:left="1440" w:hanging="720"/>
      </w:pPr>
      <w:r w:rsidRPr="00720D9E">
        <w:t>For each methane source:</w:t>
      </w:r>
    </w:p>
    <w:p w:rsidR="00AB74DB" w:rsidRPr="00720D9E" w:rsidRDefault="00AB74DB" w:rsidP="003638CE">
      <w:pPr>
        <w:pStyle w:val="ListParagraph"/>
        <w:numPr>
          <w:ilvl w:val="1"/>
          <w:numId w:val="50"/>
        </w:numPr>
        <w:ind w:left="2160" w:hanging="720"/>
      </w:pPr>
      <w:r w:rsidRPr="00720D9E">
        <w:t xml:space="preserve">name the destruction device that captured methane was sent to; </w:t>
      </w:r>
    </w:p>
    <w:p w:rsidR="0031783B" w:rsidRPr="00720D9E" w:rsidRDefault="0031783B" w:rsidP="003638CE">
      <w:pPr>
        <w:pStyle w:val="ListParagraph"/>
        <w:numPr>
          <w:ilvl w:val="1"/>
          <w:numId w:val="50"/>
        </w:numPr>
        <w:ind w:left="2160" w:hanging="720"/>
      </w:pPr>
      <w:r w:rsidRPr="00720D9E">
        <w:t>provide the amount of VAM or mine gas (MG) collected during the reporting period and the methane concentration of the VAM/MG;</w:t>
      </w:r>
    </w:p>
    <w:p w:rsidR="00AB74DB" w:rsidRPr="00720D9E" w:rsidRDefault="00AB74DB" w:rsidP="003638CE">
      <w:pPr>
        <w:pStyle w:val="ListParagraph"/>
        <w:numPr>
          <w:ilvl w:val="1"/>
          <w:numId w:val="50"/>
        </w:numPr>
        <w:ind w:left="2160" w:hanging="720"/>
      </w:pPr>
      <w:r w:rsidRPr="00720D9E">
        <w:t xml:space="preserve">provide the </w:t>
      </w:r>
      <w:r w:rsidR="00AB18C2" w:rsidRPr="00720D9E">
        <w:t>amount</w:t>
      </w:r>
      <w:r w:rsidRPr="00720D9E">
        <w:t xml:space="preserve"> of methane</w:t>
      </w:r>
      <w:r w:rsidR="00AB18C2" w:rsidRPr="00720D9E">
        <w:t xml:space="preserve"> (CH</w:t>
      </w:r>
      <w:r w:rsidR="00AB18C2" w:rsidRPr="00720D9E">
        <w:rPr>
          <w:vertAlign w:val="subscript"/>
        </w:rPr>
        <w:t>4</w:t>
      </w:r>
      <w:r w:rsidR="00AB18C2" w:rsidRPr="00720D9E">
        <w:t>)</w:t>
      </w:r>
      <w:r w:rsidRPr="00720D9E">
        <w:t xml:space="preserve"> sent to each qualifying destruction device</w:t>
      </w:r>
      <w:r w:rsidR="003B2BE3" w:rsidRPr="00720D9E">
        <w:t xml:space="preserve"> during the reporting period</w:t>
      </w:r>
      <w:r w:rsidRPr="00720D9E">
        <w:t xml:space="preserve">; </w:t>
      </w:r>
    </w:p>
    <w:p w:rsidR="00AB74DB" w:rsidRPr="00720D9E" w:rsidRDefault="00AB74DB" w:rsidP="003638CE">
      <w:pPr>
        <w:pStyle w:val="ListParagraph"/>
        <w:numPr>
          <w:ilvl w:val="1"/>
          <w:numId w:val="50"/>
        </w:numPr>
        <w:ind w:left="2160" w:hanging="720"/>
      </w:pPr>
      <w:r w:rsidRPr="00720D9E">
        <w:t xml:space="preserve">provide the amount of methane </w:t>
      </w:r>
      <w:r w:rsidR="00AB18C2" w:rsidRPr="00720D9E">
        <w:t>(CH</w:t>
      </w:r>
      <w:r w:rsidR="00AB18C2" w:rsidRPr="00720D9E">
        <w:rPr>
          <w:vertAlign w:val="subscript"/>
        </w:rPr>
        <w:t>4</w:t>
      </w:r>
      <w:r w:rsidR="00AB18C2" w:rsidRPr="00720D9E">
        <w:t xml:space="preserve">) </w:t>
      </w:r>
      <w:r w:rsidRPr="00720D9E">
        <w:t>sent to each non-qualifying destruction device</w:t>
      </w:r>
      <w:r w:rsidR="003B2BE3" w:rsidRPr="00720D9E">
        <w:t xml:space="preserve"> during the reporting period</w:t>
      </w:r>
      <w:r w:rsidR="00EA7C24" w:rsidRPr="00720D9E">
        <w:t>; and</w:t>
      </w:r>
    </w:p>
    <w:p w:rsidR="00EA7C24" w:rsidRPr="00720D9E" w:rsidRDefault="00EA7C24" w:rsidP="003638CE">
      <w:pPr>
        <w:pStyle w:val="ListParagraph"/>
        <w:numPr>
          <w:ilvl w:val="1"/>
          <w:numId w:val="50"/>
        </w:numPr>
        <w:ind w:left="2160" w:hanging="720"/>
      </w:pPr>
      <w:r w:rsidRPr="00720D9E">
        <w:t>for pre-mining surface wells, indicate whether the well is mined through.</w:t>
      </w:r>
    </w:p>
    <w:p w:rsidR="00EA7C24" w:rsidRPr="00720D9E" w:rsidRDefault="00AB18C2" w:rsidP="003638CE">
      <w:pPr>
        <w:pStyle w:val="ListParagraph"/>
        <w:numPr>
          <w:ilvl w:val="0"/>
          <w:numId w:val="50"/>
        </w:numPr>
        <w:ind w:left="1440" w:hanging="720"/>
      </w:pPr>
      <w:r w:rsidRPr="00720D9E">
        <w:t>For active underground mine methane drainage activities and active surface mine methane drainage activities, identify</w:t>
      </w:r>
      <w:r w:rsidR="00EA7C24" w:rsidRPr="00720D9E">
        <w:t xml:space="preserve"> </w:t>
      </w:r>
      <w:r w:rsidRPr="00720D9E">
        <w:t>all</w:t>
      </w:r>
      <w:r w:rsidR="00EA7C24" w:rsidRPr="00720D9E">
        <w:t xml:space="preserve"> pre-mining surface wells </w:t>
      </w:r>
      <w:r w:rsidRPr="00720D9E">
        <w:t xml:space="preserve">that </w:t>
      </w:r>
      <w:r w:rsidR="00EA7C24" w:rsidRPr="00720D9E">
        <w:t>were mined through during the reporting period</w:t>
      </w:r>
      <w:r w:rsidRPr="00720D9E">
        <w:t xml:space="preserve"> in accordance with </w:t>
      </w:r>
      <w:r w:rsidR="00D25B46" w:rsidRPr="00720D9E">
        <w:t>Chapter</w:t>
      </w:r>
      <w:r w:rsidRPr="00720D9E">
        <w:t xml:space="preserve"> </w:t>
      </w:r>
      <w:r w:rsidR="00926183" w:rsidRPr="00720D9E">
        <w:t>5</w:t>
      </w:r>
      <w:r w:rsidRPr="00720D9E">
        <w:t>.</w:t>
      </w:r>
    </w:p>
    <w:p w:rsidR="00EA7C24" w:rsidRPr="00720D9E" w:rsidRDefault="00AB74DB" w:rsidP="003638CE">
      <w:pPr>
        <w:pStyle w:val="ListParagraph"/>
        <w:numPr>
          <w:ilvl w:val="0"/>
          <w:numId w:val="50"/>
        </w:numPr>
        <w:ind w:left="1440" w:hanging="720"/>
      </w:pPr>
      <w:r w:rsidRPr="00720D9E">
        <w:t>For each qualif</w:t>
      </w:r>
      <w:r w:rsidR="0082570F" w:rsidRPr="00720D9E">
        <w:t xml:space="preserve">ying </w:t>
      </w:r>
      <w:r w:rsidR="003B2BE3" w:rsidRPr="00720D9E">
        <w:t xml:space="preserve">and non-qualifying </w:t>
      </w:r>
      <w:r w:rsidR="0082570F" w:rsidRPr="00720D9E">
        <w:t>destruction device</w:t>
      </w:r>
      <w:r w:rsidR="00EA7C24" w:rsidRPr="00720D9E">
        <w:t>:</w:t>
      </w:r>
    </w:p>
    <w:p w:rsidR="00AB74DB" w:rsidRPr="00720D9E" w:rsidRDefault="0082570F" w:rsidP="003638CE">
      <w:pPr>
        <w:pStyle w:val="ListParagraph"/>
        <w:numPr>
          <w:ilvl w:val="1"/>
          <w:numId w:val="50"/>
        </w:numPr>
        <w:ind w:left="2160" w:hanging="720"/>
      </w:pPr>
      <w:r w:rsidRPr="00720D9E">
        <w:lastRenderedPageBreak/>
        <w:t xml:space="preserve">provide </w:t>
      </w:r>
      <w:r w:rsidR="00AB74DB" w:rsidRPr="00720D9E">
        <w:t xml:space="preserve">the amount of methane </w:t>
      </w:r>
      <w:r w:rsidR="00225D75" w:rsidRPr="00720D9E">
        <w:t xml:space="preserve">destroyed </w:t>
      </w:r>
      <w:r w:rsidR="003B2BE3" w:rsidRPr="00720D9E">
        <w:t>during the reporting period</w:t>
      </w:r>
      <w:r w:rsidR="00EA7C24" w:rsidRPr="00720D9E">
        <w:t>; and</w:t>
      </w:r>
    </w:p>
    <w:p w:rsidR="00EA7C24" w:rsidRPr="00720D9E" w:rsidRDefault="00EA7C24" w:rsidP="003638CE">
      <w:pPr>
        <w:pStyle w:val="ListParagraph"/>
        <w:numPr>
          <w:ilvl w:val="1"/>
          <w:numId w:val="50"/>
        </w:numPr>
        <w:ind w:left="2160" w:hanging="720"/>
      </w:pPr>
      <w:r w:rsidRPr="00720D9E">
        <w:t xml:space="preserve">indicate if the gas flow metering equipment for the device internally corrects for temperature and pressure </w:t>
      </w:r>
    </w:p>
    <w:p w:rsidR="00EA7C24" w:rsidRPr="00720D9E" w:rsidRDefault="00EA7C24" w:rsidP="003638CE">
      <w:pPr>
        <w:pStyle w:val="ListParagraph"/>
        <w:numPr>
          <w:ilvl w:val="0"/>
          <w:numId w:val="50"/>
        </w:numPr>
        <w:ind w:left="1440" w:hanging="720"/>
      </w:pPr>
      <w:r w:rsidRPr="00720D9E">
        <w:t>Indicate whether the project used site-specific methane destruction efficiencies</w:t>
      </w:r>
      <w:r w:rsidR="00BC696A" w:rsidRPr="00720D9E">
        <w:t xml:space="preserve"> and</w:t>
      </w:r>
      <w:r w:rsidR="00215CFC" w:rsidRPr="00720D9E">
        <w:t>,</w:t>
      </w:r>
      <w:r w:rsidR="00BC696A" w:rsidRPr="00720D9E">
        <w:t xml:space="preserve"> if so</w:t>
      </w:r>
      <w:r w:rsidR="00215CFC" w:rsidRPr="00720D9E">
        <w:t>, provide a description of the process of establishing these destruction efficiencies that includes the identity of any third parties involved.</w:t>
      </w:r>
    </w:p>
    <w:p w:rsidR="0001271C" w:rsidRPr="00720D9E" w:rsidRDefault="0001271C" w:rsidP="003638CE">
      <w:pPr>
        <w:pStyle w:val="ListParagraph"/>
        <w:numPr>
          <w:ilvl w:val="0"/>
          <w:numId w:val="50"/>
        </w:numPr>
        <w:ind w:left="1440" w:hanging="720"/>
      </w:pPr>
      <w:r w:rsidRPr="00720D9E">
        <w:t>Declaration that the project is not being implemented as a result of any federal, state or local law, statute, regulation, court order or other legally binding mandate.</w:t>
      </w:r>
    </w:p>
    <w:p w:rsidR="0001271C" w:rsidRPr="00720D9E" w:rsidRDefault="0001271C" w:rsidP="0082570F">
      <w:pPr>
        <w:pStyle w:val="ListParagraph"/>
        <w:numPr>
          <w:ilvl w:val="0"/>
          <w:numId w:val="44"/>
        </w:numPr>
        <w:ind w:hanging="720"/>
      </w:pPr>
      <w:r w:rsidRPr="00720D9E">
        <w:t xml:space="preserve">Abandoned mine methane recovery </w:t>
      </w:r>
      <w:r w:rsidR="00293E44" w:rsidRPr="00720D9E">
        <w:t>activities</w:t>
      </w:r>
      <w:r w:rsidRPr="00720D9E">
        <w:t xml:space="preserve"> that are comprised of multiple mines as allowed for by section </w:t>
      </w:r>
      <w:r w:rsidR="00F53DCB" w:rsidRPr="00720D9E">
        <w:t>2.4</w:t>
      </w:r>
      <w:r w:rsidRPr="00720D9E">
        <w:t xml:space="preserve"> must provide the items marked with an asterisk </w:t>
      </w:r>
      <w:r w:rsidR="00847275" w:rsidRPr="00720D9E">
        <w:t xml:space="preserve">(*) </w:t>
      </w:r>
      <w:r w:rsidRPr="00720D9E">
        <w:t>for each involved mine.</w:t>
      </w:r>
    </w:p>
    <w:p w:rsidR="00436E82" w:rsidRPr="00720D9E" w:rsidRDefault="00D25B46" w:rsidP="00436E82">
      <w:pPr>
        <w:pStyle w:val="Heading1"/>
      </w:pPr>
      <w:bookmarkStart w:id="61" w:name="_Toc364243235"/>
      <w:r w:rsidRPr="00720D9E">
        <w:t>Chapter</w:t>
      </w:r>
      <w:r w:rsidR="00526AA3" w:rsidRPr="00720D9E">
        <w:t xml:space="preserve"> </w:t>
      </w:r>
      <w:r w:rsidR="006F24A1" w:rsidRPr="00720D9E">
        <w:t>8</w:t>
      </w:r>
      <w:r w:rsidR="00436E82" w:rsidRPr="00720D9E">
        <w:t>.  Verification</w:t>
      </w:r>
      <w:bookmarkEnd w:id="61"/>
    </w:p>
    <w:p w:rsidR="00270F1A" w:rsidRPr="00720D9E" w:rsidRDefault="00523499" w:rsidP="00270F1A">
      <w:pPr>
        <w:pStyle w:val="ListParagraph"/>
        <w:numPr>
          <w:ilvl w:val="2"/>
          <w:numId w:val="48"/>
        </w:numPr>
        <w:ind w:left="720" w:hanging="720"/>
      </w:pPr>
      <w:r w:rsidRPr="00720D9E">
        <w:t xml:space="preserve">All Offset Project Data Reports are subject to regulatory verification as set forth in the Regulation by an ARB accredited </w:t>
      </w:r>
      <w:r w:rsidR="0001402D" w:rsidRPr="00720D9E">
        <w:t xml:space="preserve">offset </w:t>
      </w:r>
      <w:r w:rsidRPr="00720D9E">
        <w:t xml:space="preserve">verification body. </w:t>
      </w:r>
    </w:p>
    <w:p w:rsidR="0036572D" w:rsidRPr="00720D9E" w:rsidRDefault="00523499" w:rsidP="0036572D">
      <w:pPr>
        <w:pStyle w:val="ListParagraph"/>
        <w:numPr>
          <w:ilvl w:val="2"/>
          <w:numId w:val="48"/>
        </w:numPr>
        <w:ind w:left="720" w:hanging="720"/>
      </w:pPr>
      <w:r w:rsidRPr="00720D9E">
        <w:t>The Offset Project Data Reports must receive a positive or qualified positive verification statement to be issued ARB or registry offset credits.</w:t>
      </w:r>
    </w:p>
    <w:p w:rsidR="0036572D" w:rsidRPr="00720D9E" w:rsidRDefault="0036572D">
      <w:pPr>
        <w:spacing w:line="240" w:lineRule="auto"/>
      </w:pPr>
      <w:r w:rsidRPr="00720D9E">
        <w:br w:type="page"/>
      </w:r>
    </w:p>
    <w:p w:rsidR="0036572D" w:rsidRPr="00720D9E" w:rsidRDefault="0036572D" w:rsidP="0036572D">
      <w:pPr>
        <w:pStyle w:val="Heading1"/>
      </w:pPr>
      <w:bookmarkStart w:id="62" w:name="_Toc364243236"/>
      <w:r w:rsidRPr="00720D9E">
        <w:lastRenderedPageBreak/>
        <w:t>Appendix A</w:t>
      </w:r>
      <w:r w:rsidR="0014503C" w:rsidRPr="00720D9E">
        <w:t>.</w:t>
      </w:r>
      <w:r w:rsidRPr="00720D9E">
        <w:t xml:space="preserve">  </w:t>
      </w:r>
      <w:r w:rsidR="00521E4C" w:rsidRPr="00720D9E">
        <w:t>Emission Factors</w:t>
      </w:r>
      <w:r w:rsidR="0056242F" w:rsidRPr="00720D9E">
        <w:t xml:space="preserve"> – Quantification Methodology</w:t>
      </w:r>
      <w:bookmarkEnd w:id="62"/>
    </w:p>
    <w:p w:rsidR="00521E4C" w:rsidRPr="00720D9E" w:rsidRDefault="00521E4C" w:rsidP="0014503C">
      <w:pPr>
        <w:pStyle w:val="Heading3"/>
      </w:pPr>
      <w:bookmarkStart w:id="63" w:name="_Toc364243237"/>
      <w:r w:rsidRPr="00720D9E">
        <w:t>Table A.1 CO</w:t>
      </w:r>
      <w:r w:rsidRPr="00720D9E">
        <w:rPr>
          <w:vertAlign w:val="subscript"/>
        </w:rPr>
        <w:t>2</w:t>
      </w:r>
      <w:r w:rsidRPr="00720D9E">
        <w:t xml:space="preserve"> Emission Factors for Fossil Fuel Use</w:t>
      </w:r>
      <w:bookmarkEnd w:id="63"/>
    </w:p>
    <w:tbl>
      <w:tblPr>
        <w:tblStyle w:val="TableGrid"/>
        <w:tblW w:w="10027" w:type="dxa"/>
        <w:jc w:val="center"/>
        <w:tblLook w:val="04A0" w:firstRow="1" w:lastRow="0" w:firstColumn="1" w:lastColumn="0" w:noHBand="0" w:noVBand="1"/>
      </w:tblPr>
      <w:tblGrid>
        <w:gridCol w:w="3253"/>
        <w:gridCol w:w="2258"/>
        <w:gridCol w:w="2258"/>
        <w:gridCol w:w="2258"/>
      </w:tblGrid>
      <w:tr w:rsidR="003C1FCE" w:rsidTr="003C1FCE">
        <w:trPr>
          <w:trHeight w:val="126"/>
          <w:jc w:val="center"/>
        </w:trPr>
        <w:tc>
          <w:tcPr>
            <w:tcW w:w="3253" w:type="dxa"/>
            <w:shd w:val="clear" w:color="auto" w:fill="595959" w:themeFill="text1" w:themeFillTint="A6"/>
            <w:vAlign w:val="center"/>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Fuel Type</w:t>
            </w:r>
          </w:p>
        </w:tc>
        <w:tc>
          <w:tcPr>
            <w:tcW w:w="2258" w:type="dxa"/>
            <w:shd w:val="clear" w:color="auto" w:fill="595959" w:themeFill="text1" w:themeFillTint="A6"/>
            <w:vAlign w:val="center"/>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Default High Heat Value</w:t>
            </w:r>
          </w:p>
        </w:tc>
        <w:tc>
          <w:tcPr>
            <w:tcW w:w="2258" w:type="dxa"/>
            <w:shd w:val="clear" w:color="auto" w:fill="595959" w:themeFill="text1" w:themeFillTint="A6"/>
            <w:vAlign w:val="center"/>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Default CO2 Emission Factor</w:t>
            </w:r>
          </w:p>
        </w:tc>
        <w:tc>
          <w:tcPr>
            <w:tcW w:w="2258" w:type="dxa"/>
            <w:shd w:val="clear" w:color="auto" w:fill="595959" w:themeFill="text1" w:themeFillTint="A6"/>
            <w:vAlign w:val="center"/>
          </w:tcPr>
          <w:p w:rsidR="003C1FCE" w:rsidRPr="00500931" w:rsidRDefault="005B5778" w:rsidP="003246C2">
            <w:pPr>
              <w:jc w:val="center"/>
              <w:rPr>
                <w:rFonts w:cstheme="minorHAnsi"/>
                <w:b/>
                <w:color w:val="FFFFFF" w:themeColor="background1"/>
                <w:szCs w:val="24"/>
              </w:rPr>
            </w:pPr>
            <w:r w:rsidRPr="00500931">
              <w:rPr>
                <w:rFonts w:cstheme="minorHAnsi"/>
                <w:b/>
                <w:color w:val="FFFFFF" w:themeColor="background1"/>
                <w:szCs w:val="24"/>
              </w:rPr>
              <w:t>Default CO2 Emission Factor</w:t>
            </w:r>
          </w:p>
        </w:tc>
      </w:tr>
      <w:tr w:rsidR="003C1FCE" w:rsidTr="003C1FCE">
        <w:trPr>
          <w:trHeight w:val="126"/>
          <w:jc w:val="center"/>
        </w:trPr>
        <w:tc>
          <w:tcPr>
            <w:tcW w:w="3253" w:type="dxa"/>
            <w:shd w:val="clear" w:color="auto" w:fill="595959" w:themeFill="text1" w:themeFillTint="A6"/>
            <w:vAlign w:val="center"/>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Coal and Coke</w:t>
            </w:r>
          </w:p>
        </w:tc>
        <w:tc>
          <w:tcPr>
            <w:tcW w:w="2258" w:type="dxa"/>
            <w:shd w:val="clear" w:color="auto" w:fill="595959" w:themeFill="text1" w:themeFillTint="A6"/>
            <w:vAlign w:val="center"/>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mmBtu / short ton</w:t>
            </w:r>
          </w:p>
        </w:tc>
        <w:tc>
          <w:tcPr>
            <w:tcW w:w="2258" w:type="dxa"/>
            <w:shd w:val="clear" w:color="auto" w:fill="595959" w:themeFill="text1" w:themeFillTint="A6"/>
            <w:vAlign w:val="center"/>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 mmBtu</w:t>
            </w:r>
          </w:p>
        </w:tc>
        <w:tc>
          <w:tcPr>
            <w:tcW w:w="2258" w:type="dxa"/>
            <w:shd w:val="clear" w:color="auto" w:fill="595959" w:themeFill="text1" w:themeFillTint="A6"/>
            <w:vAlign w:val="center"/>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 short ton</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Anthracite</w:t>
            </w:r>
          </w:p>
        </w:tc>
        <w:tc>
          <w:tcPr>
            <w:tcW w:w="2258" w:type="dxa"/>
          </w:tcPr>
          <w:p w:rsidR="003C1FCE" w:rsidRPr="00500931" w:rsidRDefault="003C1FCE" w:rsidP="003246C2">
            <w:pPr>
              <w:jc w:val="right"/>
              <w:rPr>
                <w:rFonts w:cstheme="minorHAnsi"/>
                <w:szCs w:val="24"/>
              </w:rPr>
            </w:pPr>
            <w:r w:rsidRPr="00500931">
              <w:rPr>
                <w:rFonts w:cstheme="minorHAnsi"/>
                <w:szCs w:val="24"/>
              </w:rPr>
              <w:t>25.09</w:t>
            </w:r>
          </w:p>
        </w:tc>
        <w:tc>
          <w:tcPr>
            <w:tcW w:w="2258" w:type="dxa"/>
          </w:tcPr>
          <w:p w:rsidR="003C1FCE" w:rsidRPr="00500931" w:rsidRDefault="003C1FCE" w:rsidP="003246C2">
            <w:pPr>
              <w:jc w:val="right"/>
              <w:rPr>
                <w:rFonts w:cstheme="minorHAnsi"/>
                <w:szCs w:val="24"/>
              </w:rPr>
            </w:pPr>
            <w:r w:rsidRPr="00500931">
              <w:rPr>
                <w:rFonts w:cstheme="minorHAnsi"/>
                <w:szCs w:val="24"/>
              </w:rPr>
              <w:t>103.54</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2597.819</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Bituminous</w:t>
            </w:r>
          </w:p>
        </w:tc>
        <w:tc>
          <w:tcPr>
            <w:tcW w:w="2258" w:type="dxa"/>
          </w:tcPr>
          <w:p w:rsidR="003C1FCE" w:rsidRPr="00500931" w:rsidRDefault="003C1FCE" w:rsidP="003246C2">
            <w:pPr>
              <w:jc w:val="right"/>
              <w:rPr>
                <w:rFonts w:cstheme="minorHAnsi"/>
                <w:szCs w:val="24"/>
              </w:rPr>
            </w:pPr>
            <w:r w:rsidRPr="00500931">
              <w:rPr>
                <w:rFonts w:cstheme="minorHAnsi"/>
                <w:szCs w:val="24"/>
              </w:rPr>
              <w:t>24.93</w:t>
            </w:r>
          </w:p>
        </w:tc>
        <w:tc>
          <w:tcPr>
            <w:tcW w:w="2258" w:type="dxa"/>
          </w:tcPr>
          <w:p w:rsidR="003C1FCE" w:rsidRPr="00500931" w:rsidRDefault="003C1FCE" w:rsidP="003246C2">
            <w:pPr>
              <w:jc w:val="right"/>
              <w:rPr>
                <w:rFonts w:cstheme="minorHAnsi"/>
                <w:szCs w:val="24"/>
              </w:rPr>
            </w:pPr>
            <w:r w:rsidRPr="00500931">
              <w:rPr>
                <w:rFonts w:cstheme="minorHAnsi"/>
                <w:szCs w:val="24"/>
              </w:rPr>
              <w:t>93.40</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2328.462</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Subbituminous</w:t>
            </w:r>
          </w:p>
        </w:tc>
        <w:tc>
          <w:tcPr>
            <w:tcW w:w="2258" w:type="dxa"/>
          </w:tcPr>
          <w:p w:rsidR="003C1FCE" w:rsidRPr="00500931" w:rsidRDefault="003C1FCE" w:rsidP="003246C2">
            <w:pPr>
              <w:jc w:val="right"/>
              <w:rPr>
                <w:rFonts w:cstheme="minorHAnsi"/>
                <w:szCs w:val="24"/>
              </w:rPr>
            </w:pPr>
            <w:r w:rsidRPr="00500931">
              <w:rPr>
                <w:rFonts w:cstheme="minorHAnsi"/>
                <w:szCs w:val="24"/>
              </w:rPr>
              <w:t>17.25</w:t>
            </w:r>
          </w:p>
        </w:tc>
        <w:tc>
          <w:tcPr>
            <w:tcW w:w="2258" w:type="dxa"/>
          </w:tcPr>
          <w:p w:rsidR="003C1FCE" w:rsidRPr="00500931" w:rsidRDefault="003C1FCE" w:rsidP="003246C2">
            <w:pPr>
              <w:jc w:val="right"/>
              <w:rPr>
                <w:rFonts w:cstheme="minorHAnsi"/>
                <w:szCs w:val="24"/>
              </w:rPr>
            </w:pPr>
            <w:r w:rsidRPr="00500931">
              <w:rPr>
                <w:rFonts w:cstheme="minorHAnsi"/>
                <w:szCs w:val="24"/>
              </w:rPr>
              <w:t>97.02</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1673.595</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Lignite</w:t>
            </w:r>
          </w:p>
        </w:tc>
        <w:tc>
          <w:tcPr>
            <w:tcW w:w="2258" w:type="dxa"/>
          </w:tcPr>
          <w:p w:rsidR="003C1FCE" w:rsidRPr="00500931" w:rsidRDefault="003C1FCE" w:rsidP="003246C2">
            <w:pPr>
              <w:jc w:val="right"/>
              <w:rPr>
                <w:rFonts w:cstheme="minorHAnsi"/>
                <w:szCs w:val="24"/>
              </w:rPr>
            </w:pPr>
            <w:r w:rsidRPr="00500931">
              <w:rPr>
                <w:rFonts w:cstheme="minorHAnsi"/>
                <w:szCs w:val="24"/>
              </w:rPr>
              <w:t>14.21</w:t>
            </w:r>
          </w:p>
        </w:tc>
        <w:tc>
          <w:tcPr>
            <w:tcW w:w="2258" w:type="dxa"/>
          </w:tcPr>
          <w:p w:rsidR="003C1FCE" w:rsidRPr="00500931" w:rsidRDefault="003C1FCE" w:rsidP="003246C2">
            <w:pPr>
              <w:jc w:val="right"/>
              <w:rPr>
                <w:rFonts w:cstheme="minorHAnsi"/>
                <w:szCs w:val="24"/>
              </w:rPr>
            </w:pPr>
            <w:r w:rsidRPr="00500931">
              <w:rPr>
                <w:rFonts w:cstheme="minorHAnsi"/>
                <w:szCs w:val="24"/>
              </w:rPr>
              <w:t>96.36</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1369.276</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Coke</w:t>
            </w:r>
          </w:p>
        </w:tc>
        <w:tc>
          <w:tcPr>
            <w:tcW w:w="2258" w:type="dxa"/>
          </w:tcPr>
          <w:p w:rsidR="003C1FCE" w:rsidRPr="00500931" w:rsidRDefault="003C1FCE" w:rsidP="003246C2">
            <w:pPr>
              <w:jc w:val="right"/>
              <w:rPr>
                <w:rFonts w:cstheme="minorHAnsi"/>
                <w:szCs w:val="24"/>
              </w:rPr>
            </w:pPr>
            <w:r w:rsidRPr="00500931">
              <w:rPr>
                <w:rFonts w:cstheme="minorHAnsi"/>
                <w:szCs w:val="24"/>
              </w:rPr>
              <w:t>24.80</w:t>
            </w:r>
          </w:p>
        </w:tc>
        <w:tc>
          <w:tcPr>
            <w:tcW w:w="2258" w:type="dxa"/>
          </w:tcPr>
          <w:p w:rsidR="003C1FCE" w:rsidRPr="00500931" w:rsidRDefault="003C1FCE" w:rsidP="003246C2">
            <w:pPr>
              <w:jc w:val="right"/>
              <w:rPr>
                <w:rFonts w:cstheme="minorHAnsi"/>
                <w:szCs w:val="24"/>
              </w:rPr>
            </w:pPr>
            <w:r w:rsidRPr="00500931">
              <w:rPr>
                <w:rFonts w:cstheme="minorHAnsi"/>
                <w:szCs w:val="24"/>
              </w:rPr>
              <w:t>102.04</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2530.592</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Mixed (Commercial sector)</w:t>
            </w:r>
          </w:p>
        </w:tc>
        <w:tc>
          <w:tcPr>
            <w:tcW w:w="2258" w:type="dxa"/>
          </w:tcPr>
          <w:p w:rsidR="003C1FCE" w:rsidRPr="00500931" w:rsidRDefault="003C1FCE" w:rsidP="003246C2">
            <w:pPr>
              <w:jc w:val="right"/>
              <w:rPr>
                <w:rFonts w:cstheme="minorHAnsi"/>
                <w:szCs w:val="24"/>
              </w:rPr>
            </w:pPr>
            <w:r w:rsidRPr="00500931">
              <w:rPr>
                <w:rFonts w:cstheme="minorHAnsi"/>
                <w:szCs w:val="24"/>
              </w:rPr>
              <w:t>21.39</w:t>
            </w:r>
          </w:p>
        </w:tc>
        <w:tc>
          <w:tcPr>
            <w:tcW w:w="2258" w:type="dxa"/>
          </w:tcPr>
          <w:p w:rsidR="003C1FCE" w:rsidRPr="00500931" w:rsidRDefault="003C1FCE" w:rsidP="003246C2">
            <w:pPr>
              <w:jc w:val="right"/>
              <w:rPr>
                <w:rFonts w:cstheme="minorHAnsi"/>
                <w:szCs w:val="24"/>
              </w:rPr>
            </w:pPr>
            <w:r w:rsidRPr="00500931">
              <w:rPr>
                <w:rFonts w:cstheme="minorHAnsi"/>
                <w:szCs w:val="24"/>
              </w:rPr>
              <w:t>95.26</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2037.611</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Mixed (Industrial coking)</w:t>
            </w:r>
          </w:p>
        </w:tc>
        <w:tc>
          <w:tcPr>
            <w:tcW w:w="2258" w:type="dxa"/>
          </w:tcPr>
          <w:p w:rsidR="003C1FCE" w:rsidRPr="00500931" w:rsidRDefault="003C1FCE" w:rsidP="003246C2">
            <w:pPr>
              <w:jc w:val="right"/>
              <w:rPr>
                <w:rFonts w:cstheme="minorHAnsi"/>
                <w:szCs w:val="24"/>
              </w:rPr>
            </w:pPr>
            <w:r w:rsidRPr="00500931">
              <w:rPr>
                <w:rFonts w:cstheme="minorHAnsi"/>
                <w:szCs w:val="24"/>
              </w:rPr>
              <w:t>26.28</w:t>
            </w:r>
          </w:p>
        </w:tc>
        <w:tc>
          <w:tcPr>
            <w:tcW w:w="2258" w:type="dxa"/>
          </w:tcPr>
          <w:p w:rsidR="003C1FCE" w:rsidRPr="00500931" w:rsidRDefault="003C1FCE" w:rsidP="003246C2">
            <w:pPr>
              <w:jc w:val="right"/>
              <w:rPr>
                <w:rFonts w:cstheme="minorHAnsi"/>
                <w:szCs w:val="24"/>
              </w:rPr>
            </w:pPr>
            <w:r w:rsidRPr="00500931">
              <w:rPr>
                <w:rFonts w:cstheme="minorHAnsi"/>
                <w:szCs w:val="24"/>
              </w:rPr>
              <w:t>93.65</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2461.122</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Mixed (Electric Power sector)</w:t>
            </w:r>
          </w:p>
        </w:tc>
        <w:tc>
          <w:tcPr>
            <w:tcW w:w="2258" w:type="dxa"/>
          </w:tcPr>
          <w:p w:rsidR="003C1FCE" w:rsidRPr="00500931" w:rsidRDefault="003C1FCE" w:rsidP="003246C2">
            <w:pPr>
              <w:jc w:val="right"/>
              <w:rPr>
                <w:rFonts w:cstheme="minorHAnsi"/>
                <w:szCs w:val="24"/>
              </w:rPr>
            </w:pPr>
            <w:r w:rsidRPr="00500931">
              <w:rPr>
                <w:rFonts w:cstheme="minorHAnsi"/>
                <w:szCs w:val="24"/>
              </w:rPr>
              <w:t>19.73</w:t>
            </w:r>
          </w:p>
        </w:tc>
        <w:tc>
          <w:tcPr>
            <w:tcW w:w="2258" w:type="dxa"/>
          </w:tcPr>
          <w:p w:rsidR="003C1FCE" w:rsidRPr="00500931" w:rsidRDefault="003C1FCE" w:rsidP="003246C2">
            <w:pPr>
              <w:jc w:val="right"/>
              <w:rPr>
                <w:rFonts w:cstheme="minorHAnsi"/>
                <w:szCs w:val="24"/>
              </w:rPr>
            </w:pPr>
            <w:r w:rsidRPr="00500931">
              <w:rPr>
                <w:rFonts w:cstheme="minorHAnsi"/>
                <w:szCs w:val="24"/>
              </w:rPr>
              <w:t>94.38</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1862.117</w:t>
            </w:r>
          </w:p>
        </w:tc>
      </w:tr>
      <w:tr w:rsidR="003C1FCE" w:rsidTr="003C1FCE">
        <w:trPr>
          <w:trHeight w:val="126"/>
          <w:jc w:val="center"/>
        </w:trPr>
        <w:tc>
          <w:tcPr>
            <w:tcW w:w="3253"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Natural Gas</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mmBtu / scf</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 mmBtu</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w:t>
            </w:r>
            <w:r>
              <w:rPr>
                <w:rFonts w:cstheme="minorHAnsi"/>
                <w:b/>
                <w:color w:val="FFFFFF" w:themeColor="background1"/>
                <w:szCs w:val="24"/>
              </w:rPr>
              <w:t xml:space="preserve"> scf</w:t>
            </w:r>
          </w:p>
        </w:tc>
      </w:tr>
      <w:tr w:rsidR="003C1FCE" w:rsidTr="003C1FCE">
        <w:trPr>
          <w:trHeight w:val="126"/>
          <w:jc w:val="center"/>
        </w:trPr>
        <w:tc>
          <w:tcPr>
            <w:tcW w:w="3253" w:type="dxa"/>
          </w:tcPr>
          <w:p w:rsidR="003C1FCE" w:rsidRPr="00500931" w:rsidRDefault="003C1FCE" w:rsidP="003246C2">
            <w:pPr>
              <w:rPr>
                <w:rFonts w:cstheme="minorHAnsi"/>
                <w:b/>
                <w:szCs w:val="24"/>
              </w:rPr>
            </w:pPr>
            <w:r w:rsidRPr="00500931">
              <w:rPr>
                <w:rFonts w:cstheme="minorHAnsi"/>
                <w:szCs w:val="24"/>
              </w:rPr>
              <w:t>(Weighted U.S. Average)</w:t>
            </w:r>
          </w:p>
        </w:tc>
        <w:tc>
          <w:tcPr>
            <w:tcW w:w="2258" w:type="dxa"/>
          </w:tcPr>
          <w:p w:rsidR="003C1FCE" w:rsidRPr="00500931" w:rsidRDefault="003C1FCE" w:rsidP="003246C2">
            <w:pPr>
              <w:jc w:val="right"/>
              <w:rPr>
                <w:rFonts w:cstheme="minorHAnsi"/>
                <w:szCs w:val="24"/>
              </w:rPr>
            </w:pPr>
            <w:r w:rsidRPr="00500931">
              <w:rPr>
                <w:rFonts w:cstheme="minorHAnsi"/>
                <w:szCs w:val="24"/>
              </w:rPr>
              <w:t>1.028 x 10</w:t>
            </w:r>
            <w:r w:rsidRPr="00500931">
              <w:rPr>
                <w:rFonts w:cstheme="minorHAnsi"/>
                <w:szCs w:val="24"/>
                <w:vertAlign w:val="superscript"/>
              </w:rPr>
              <w:t>-3</w:t>
            </w:r>
          </w:p>
        </w:tc>
        <w:tc>
          <w:tcPr>
            <w:tcW w:w="2258" w:type="dxa"/>
          </w:tcPr>
          <w:p w:rsidR="003C1FCE" w:rsidRPr="00500931" w:rsidRDefault="003C1FCE" w:rsidP="003246C2">
            <w:pPr>
              <w:jc w:val="right"/>
              <w:rPr>
                <w:rFonts w:cstheme="minorHAnsi"/>
                <w:szCs w:val="24"/>
              </w:rPr>
            </w:pPr>
            <w:r w:rsidRPr="00500931">
              <w:rPr>
                <w:rFonts w:cstheme="minorHAnsi"/>
                <w:szCs w:val="24"/>
              </w:rPr>
              <w:t>53.02</w:t>
            </w:r>
          </w:p>
        </w:tc>
        <w:tc>
          <w:tcPr>
            <w:tcW w:w="2258" w:type="dxa"/>
          </w:tcPr>
          <w:p w:rsidR="003C1FCE" w:rsidRPr="00500931" w:rsidRDefault="003C1FCE" w:rsidP="003246C2">
            <w:pPr>
              <w:jc w:val="right"/>
              <w:rPr>
                <w:rFonts w:cstheme="minorHAnsi"/>
                <w:color w:val="000000"/>
                <w:szCs w:val="24"/>
              </w:rPr>
            </w:pPr>
            <w:r w:rsidRPr="00500931">
              <w:rPr>
                <w:rFonts w:cstheme="minorHAnsi"/>
                <w:color w:val="000000"/>
                <w:szCs w:val="24"/>
              </w:rPr>
              <w:t>0.055</w:t>
            </w:r>
          </w:p>
        </w:tc>
      </w:tr>
      <w:tr w:rsidR="003C1FCE" w:rsidTr="003C1FCE">
        <w:trPr>
          <w:trHeight w:val="126"/>
          <w:jc w:val="center"/>
        </w:trPr>
        <w:tc>
          <w:tcPr>
            <w:tcW w:w="3253"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Petroleum Products</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mmBtu/gallon</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 mmBtu</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w:t>
            </w:r>
            <w:r>
              <w:rPr>
                <w:rFonts w:cstheme="minorHAnsi"/>
                <w:b/>
                <w:color w:val="FFFFFF" w:themeColor="background1"/>
                <w:szCs w:val="24"/>
              </w:rPr>
              <w:t xml:space="preserve"> gallon</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Distillate Fuel Oil No. 1</w:t>
            </w:r>
          </w:p>
        </w:tc>
        <w:tc>
          <w:tcPr>
            <w:tcW w:w="2258" w:type="dxa"/>
          </w:tcPr>
          <w:p w:rsidR="003C1FCE" w:rsidRPr="00500931" w:rsidRDefault="003C1FCE" w:rsidP="003246C2">
            <w:pPr>
              <w:jc w:val="right"/>
              <w:rPr>
                <w:rFonts w:cstheme="minorHAnsi"/>
                <w:szCs w:val="24"/>
              </w:rPr>
            </w:pPr>
            <w:r w:rsidRPr="00500931">
              <w:rPr>
                <w:rFonts w:cstheme="minorHAnsi"/>
                <w:szCs w:val="24"/>
              </w:rPr>
              <w:t>0.139</w:t>
            </w:r>
          </w:p>
        </w:tc>
        <w:tc>
          <w:tcPr>
            <w:tcW w:w="2258" w:type="dxa"/>
          </w:tcPr>
          <w:p w:rsidR="003C1FCE" w:rsidRPr="00500931" w:rsidRDefault="003C1FCE" w:rsidP="003246C2">
            <w:pPr>
              <w:jc w:val="right"/>
              <w:rPr>
                <w:rFonts w:cstheme="minorHAnsi"/>
                <w:szCs w:val="24"/>
              </w:rPr>
            </w:pPr>
            <w:r w:rsidRPr="00500931">
              <w:rPr>
                <w:rFonts w:cstheme="minorHAnsi"/>
                <w:szCs w:val="24"/>
              </w:rPr>
              <w:t>73.25</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10.182</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Distillate Fuel Oil No. 2</w:t>
            </w:r>
          </w:p>
        </w:tc>
        <w:tc>
          <w:tcPr>
            <w:tcW w:w="2258" w:type="dxa"/>
          </w:tcPr>
          <w:p w:rsidR="003C1FCE" w:rsidRPr="00500931" w:rsidRDefault="003C1FCE" w:rsidP="003246C2">
            <w:pPr>
              <w:jc w:val="right"/>
              <w:rPr>
                <w:rFonts w:cstheme="minorHAnsi"/>
                <w:szCs w:val="24"/>
              </w:rPr>
            </w:pPr>
            <w:r w:rsidRPr="00500931">
              <w:rPr>
                <w:rFonts w:cstheme="minorHAnsi"/>
                <w:szCs w:val="24"/>
              </w:rPr>
              <w:t>0.138</w:t>
            </w:r>
          </w:p>
        </w:tc>
        <w:tc>
          <w:tcPr>
            <w:tcW w:w="2258" w:type="dxa"/>
          </w:tcPr>
          <w:p w:rsidR="003C1FCE" w:rsidRPr="00500931" w:rsidRDefault="003C1FCE" w:rsidP="003246C2">
            <w:pPr>
              <w:jc w:val="right"/>
              <w:rPr>
                <w:rFonts w:cstheme="minorHAnsi"/>
                <w:szCs w:val="24"/>
              </w:rPr>
            </w:pPr>
            <w:r w:rsidRPr="00500931">
              <w:rPr>
                <w:rFonts w:cstheme="minorHAnsi"/>
                <w:szCs w:val="24"/>
              </w:rPr>
              <w:t>73.96</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10.206</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Distillate Fuel Oil No. 4</w:t>
            </w:r>
          </w:p>
        </w:tc>
        <w:tc>
          <w:tcPr>
            <w:tcW w:w="2258" w:type="dxa"/>
          </w:tcPr>
          <w:p w:rsidR="003C1FCE" w:rsidRPr="00500931" w:rsidRDefault="003C1FCE" w:rsidP="003246C2">
            <w:pPr>
              <w:jc w:val="right"/>
              <w:rPr>
                <w:rFonts w:cstheme="minorHAnsi"/>
                <w:szCs w:val="24"/>
              </w:rPr>
            </w:pPr>
            <w:r w:rsidRPr="00500931">
              <w:rPr>
                <w:rFonts w:cstheme="minorHAnsi"/>
                <w:szCs w:val="24"/>
              </w:rPr>
              <w:t>0.146</w:t>
            </w:r>
          </w:p>
        </w:tc>
        <w:tc>
          <w:tcPr>
            <w:tcW w:w="2258" w:type="dxa"/>
          </w:tcPr>
          <w:p w:rsidR="003C1FCE" w:rsidRPr="00500931" w:rsidRDefault="003C1FCE" w:rsidP="003246C2">
            <w:pPr>
              <w:jc w:val="right"/>
              <w:rPr>
                <w:rFonts w:cstheme="minorHAnsi"/>
                <w:szCs w:val="24"/>
              </w:rPr>
            </w:pPr>
            <w:r w:rsidRPr="00500931">
              <w:rPr>
                <w:rFonts w:cstheme="minorHAnsi"/>
                <w:szCs w:val="24"/>
              </w:rPr>
              <w:t>75.04</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10.956</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Distillate Fuel Oil No. 5</w:t>
            </w:r>
          </w:p>
        </w:tc>
        <w:tc>
          <w:tcPr>
            <w:tcW w:w="2258" w:type="dxa"/>
          </w:tcPr>
          <w:p w:rsidR="003C1FCE" w:rsidRPr="00500931" w:rsidRDefault="003C1FCE" w:rsidP="003246C2">
            <w:pPr>
              <w:jc w:val="right"/>
              <w:rPr>
                <w:rFonts w:cstheme="minorHAnsi"/>
                <w:szCs w:val="24"/>
              </w:rPr>
            </w:pPr>
            <w:r w:rsidRPr="00500931">
              <w:rPr>
                <w:rFonts w:cstheme="minorHAnsi"/>
                <w:szCs w:val="24"/>
              </w:rPr>
              <w:t>0.140</w:t>
            </w:r>
          </w:p>
        </w:tc>
        <w:tc>
          <w:tcPr>
            <w:tcW w:w="2258" w:type="dxa"/>
          </w:tcPr>
          <w:p w:rsidR="003C1FCE" w:rsidRPr="00500931" w:rsidRDefault="003C1FCE" w:rsidP="003246C2">
            <w:pPr>
              <w:jc w:val="right"/>
              <w:rPr>
                <w:rFonts w:cstheme="minorHAnsi"/>
                <w:szCs w:val="24"/>
              </w:rPr>
            </w:pPr>
            <w:r w:rsidRPr="00500931">
              <w:rPr>
                <w:rFonts w:cstheme="minorHAnsi"/>
                <w:szCs w:val="24"/>
              </w:rPr>
              <w:t>72.93</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10.210</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Residual Fuel Oil No. 6</w:t>
            </w:r>
          </w:p>
        </w:tc>
        <w:tc>
          <w:tcPr>
            <w:tcW w:w="2258" w:type="dxa"/>
          </w:tcPr>
          <w:p w:rsidR="003C1FCE" w:rsidRPr="00500931" w:rsidRDefault="003C1FCE" w:rsidP="003246C2">
            <w:pPr>
              <w:jc w:val="right"/>
              <w:rPr>
                <w:rFonts w:cstheme="minorHAnsi"/>
                <w:szCs w:val="24"/>
              </w:rPr>
            </w:pPr>
            <w:r w:rsidRPr="00500931">
              <w:rPr>
                <w:rFonts w:cstheme="minorHAnsi"/>
                <w:szCs w:val="24"/>
              </w:rPr>
              <w:t>0.150</w:t>
            </w:r>
          </w:p>
        </w:tc>
        <w:tc>
          <w:tcPr>
            <w:tcW w:w="2258" w:type="dxa"/>
          </w:tcPr>
          <w:p w:rsidR="003C1FCE" w:rsidRPr="00500931" w:rsidRDefault="003C1FCE" w:rsidP="003246C2">
            <w:pPr>
              <w:jc w:val="right"/>
              <w:rPr>
                <w:rFonts w:cstheme="minorHAnsi"/>
                <w:szCs w:val="24"/>
              </w:rPr>
            </w:pPr>
            <w:r w:rsidRPr="00500931">
              <w:rPr>
                <w:rFonts w:cstheme="minorHAnsi"/>
                <w:szCs w:val="24"/>
              </w:rPr>
              <w:t>75.10</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11.265</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Used Oil</w:t>
            </w:r>
          </w:p>
        </w:tc>
        <w:tc>
          <w:tcPr>
            <w:tcW w:w="2258" w:type="dxa"/>
          </w:tcPr>
          <w:p w:rsidR="003C1FCE" w:rsidRPr="00500931" w:rsidRDefault="003C1FCE" w:rsidP="003246C2">
            <w:pPr>
              <w:jc w:val="right"/>
              <w:rPr>
                <w:rFonts w:cstheme="minorHAnsi"/>
                <w:szCs w:val="24"/>
              </w:rPr>
            </w:pPr>
            <w:r w:rsidRPr="00500931">
              <w:rPr>
                <w:rFonts w:cstheme="minorHAnsi"/>
                <w:szCs w:val="24"/>
              </w:rPr>
              <w:t>0.135</w:t>
            </w:r>
          </w:p>
        </w:tc>
        <w:tc>
          <w:tcPr>
            <w:tcW w:w="2258" w:type="dxa"/>
          </w:tcPr>
          <w:p w:rsidR="003C1FCE" w:rsidRPr="00500931" w:rsidRDefault="003C1FCE" w:rsidP="003246C2">
            <w:pPr>
              <w:jc w:val="right"/>
              <w:rPr>
                <w:rFonts w:cstheme="minorHAnsi"/>
                <w:szCs w:val="24"/>
              </w:rPr>
            </w:pPr>
            <w:r w:rsidRPr="00500931">
              <w:rPr>
                <w:rFonts w:cstheme="minorHAnsi"/>
                <w:szCs w:val="24"/>
              </w:rPr>
              <w:t>74.00</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9.990</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Kerosene</w:t>
            </w:r>
          </w:p>
        </w:tc>
        <w:tc>
          <w:tcPr>
            <w:tcW w:w="2258" w:type="dxa"/>
          </w:tcPr>
          <w:p w:rsidR="003C1FCE" w:rsidRPr="00500931" w:rsidRDefault="003C1FCE" w:rsidP="003246C2">
            <w:pPr>
              <w:jc w:val="right"/>
              <w:rPr>
                <w:rFonts w:cstheme="minorHAnsi"/>
                <w:szCs w:val="24"/>
              </w:rPr>
            </w:pPr>
            <w:r w:rsidRPr="00500931">
              <w:rPr>
                <w:rFonts w:cstheme="minorHAnsi"/>
                <w:szCs w:val="24"/>
              </w:rPr>
              <w:t>0.135</w:t>
            </w:r>
          </w:p>
        </w:tc>
        <w:tc>
          <w:tcPr>
            <w:tcW w:w="2258" w:type="dxa"/>
          </w:tcPr>
          <w:p w:rsidR="003C1FCE" w:rsidRPr="00500931" w:rsidRDefault="003C1FCE" w:rsidP="003246C2">
            <w:pPr>
              <w:jc w:val="right"/>
              <w:rPr>
                <w:rFonts w:cstheme="minorHAnsi"/>
                <w:szCs w:val="24"/>
              </w:rPr>
            </w:pPr>
            <w:r w:rsidRPr="00500931">
              <w:rPr>
                <w:rFonts w:cstheme="minorHAnsi"/>
                <w:szCs w:val="24"/>
              </w:rPr>
              <w:t>75.20</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10.152</w:t>
            </w:r>
          </w:p>
        </w:tc>
      </w:tr>
      <w:tr w:rsidR="003C1FCE" w:rsidTr="003C1FCE">
        <w:trPr>
          <w:trHeight w:val="126"/>
          <w:jc w:val="center"/>
        </w:trPr>
        <w:tc>
          <w:tcPr>
            <w:tcW w:w="3253" w:type="dxa"/>
          </w:tcPr>
          <w:p w:rsidR="003C1FCE" w:rsidRPr="00500931" w:rsidRDefault="003C1FCE" w:rsidP="003246C2">
            <w:pPr>
              <w:rPr>
                <w:rFonts w:cstheme="minorHAnsi"/>
                <w:szCs w:val="24"/>
              </w:rPr>
            </w:pPr>
            <w:r>
              <w:rPr>
                <w:rFonts w:cstheme="minorHAnsi"/>
                <w:szCs w:val="24"/>
              </w:rPr>
              <w:t xml:space="preserve">Liquefied petroleum gases </w:t>
            </w:r>
            <w:r w:rsidRPr="00500931">
              <w:rPr>
                <w:rFonts w:cstheme="minorHAnsi"/>
                <w:szCs w:val="24"/>
              </w:rPr>
              <w:t>(LPG)</w:t>
            </w:r>
          </w:p>
        </w:tc>
        <w:tc>
          <w:tcPr>
            <w:tcW w:w="2258" w:type="dxa"/>
          </w:tcPr>
          <w:p w:rsidR="003C1FCE" w:rsidRPr="00500931" w:rsidRDefault="003C1FCE" w:rsidP="003246C2">
            <w:pPr>
              <w:jc w:val="right"/>
              <w:rPr>
                <w:rFonts w:cstheme="minorHAnsi"/>
                <w:szCs w:val="24"/>
              </w:rPr>
            </w:pPr>
            <w:r w:rsidRPr="00500931">
              <w:rPr>
                <w:rFonts w:cstheme="minorHAnsi"/>
                <w:szCs w:val="24"/>
              </w:rPr>
              <w:t>0.092</w:t>
            </w:r>
          </w:p>
        </w:tc>
        <w:tc>
          <w:tcPr>
            <w:tcW w:w="2258" w:type="dxa"/>
          </w:tcPr>
          <w:p w:rsidR="003C1FCE" w:rsidRPr="00500931" w:rsidRDefault="003C1FCE" w:rsidP="003246C2">
            <w:pPr>
              <w:jc w:val="right"/>
              <w:rPr>
                <w:rFonts w:cstheme="minorHAnsi"/>
                <w:szCs w:val="24"/>
              </w:rPr>
            </w:pPr>
            <w:r w:rsidRPr="00500931">
              <w:rPr>
                <w:rFonts w:cstheme="minorHAnsi"/>
                <w:szCs w:val="24"/>
              </w:rPr>
              <w:t>62.98</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5.794</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Propane</w:t>
            </w:r>
          </w:p>
        </w:tc>
        <w:tc>
          <w:tcPr>
            <w:tcW w:w="2258" w:type="dxa"/>
          </w:tcPr>
          <w:p w:rsidR="003C1FCE" w:rsidRPr="00500931" w:rsidRDefault="003C1FCE" w:rsidP="003246C2">
            <w:pPr>
              <w:jc w:val="right"/>
              <w:rPr>
                <w:rFonts w:cstheme="minorHAnsi"/>
                <w:szCs w:val="24"/>
              </w:rPr>
            </w:pPr>
            <w:r w:rsidRPr="00500931">
              <w:rPr>
                <w:rFonts w:cstheme="minorHAnsi"/>
                <w:szCs w:val="24"/>
              </w:rPr>
              <w:t>0.091</w:t>
            </w:r>
          </w:p>
        </w:tc>
        <w:tc>
          <w:tcPr>
            <w:tcW w:w="2258" w:type="dxa"/>
          </w:tcPr>
          <w:p w:rsidR="003C1FCE" w:rsidRPr="00500931" w:rsidRDefault="003C1FCE" w:rsidP="003246C2">
            <w:pPr>
              <w:jc w:val="right"/>
              <w:rPr>
                <w:rFonts w:cstheme="minorHAnsi"/>
                <w:szCs w:val="24"/>
              </w:rPr>
            </w:pPr>
            <w:r w:rsidRPr="00500931">
              <w:rPr>
                <w:rFonts w:cstheme="minorHAnsi"/>
                <w:szCs w:val="24"/>
              </w:rPr>
              <w:t>61.46</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5.593</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Propylene</w:t>
            </w:r>
          </w:p>
        </w:tc>
        <w:tc>
          <w:tcPr>
            <w:tcW w:w="2258" w:type="dxa"/>
          </w:tcPr>
          <w:p w:rsidR="003C1FCE" w:rsidRPr="00500931" w:rsidRDefault="003C1FCE" w:rsidP="003246C2">
            <w:pPr>
              <w:jc w:val="right"/>
              <w:rPr>
                <w:rFonts w:cstheme="minorHAnsi"/>
                <w:szCs w:val="24"/>
              </w:rPr>
            </w:pPr>
            <w:r w:rsidRPr="00500931">
              <w:rPr>
                <w:rFonts w:cstheme="minorHAnsi"/>
                <w:szCs w:val="24"/>
              </w:rPr>
              <w:t>0.091</w:t>
            </w:r>
          </w:p>
        </w:tc>
        <w:tc>
          <w:tcPr>
            <w:tcW w:w="2258" w:type="dxa"/>
          </w:tcPr>
          <w:p w:rsidR="003C1FCE" w:rsidRPr="00500931" w:rsidRDefault="003C1FCE" w:rsidP="003246C2">
            <w:pPr>
              <w:jc w:val="right"/>
              <w:rPr>
                <w:rFonts w:cstheme="minorHAnsi"/>
                <w:szCs w:val="24"/>
              </w:rPr>
            </w:pPr>
            <w:r w:rsidRPr="00500931">
              <w:rPr>
                <w:rFonts w:cstheme="minorHAnsi"/>
                <w:szCs w:val="24"/>
              </w:rPr>
              <w:t>65.95</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6.001</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Ethane</w:t>
            </w:r>
          </w:p>
        </w:tc>
        <w:tc>
          <w:tcPr>
            <w:tcW w:w="2258" w:type="dxa"/>
          </w:tcPr>
          <w:p w:rsidR="003C1FCE" w:rsidRPr="00500931" w:rsidRDefault="003C1FCE" w:rsidP="003246C2">
            <w:pPr>
              <w:jc w:val="right"/>
              <w:rPr>
                <w:rFonts w:cstheme="minorHAnsi"/>
                <w:szCs w:val="24"/>
              </w:rPr>
            </w:pPr>
            <w:r w:rsidRPr="00500931">
              <w:rPr>
                <w:rFonts w:cstheme="minorHAnsi"/>
                <w:szCs w:val="24"/>
              </w:rPr>
              <w:t>0.069</w:t>
            </w:r>
          </w:p>
        </w:tc>
        <w:tc>
          <w:tcPr>
            <w:tcW w:w="2258" w:type="dxa"/>
          </w:tcPr>
          <w:p w:rsidR="003C1FCE" w:rsidRPr="00500931" w:rsidRDefault="003C1FCE" w:rsidP="003246C2">
            <w:pPr>
              <w:jc w:val="right"/>
              <w:rPr>
                <w:rFonts w:cstheme="minorHAnsi"/>
                <w:szCs w:val="24"/>
              </w:rPr>
            </w:pPr>
            <w:r w:rsidRPr="00500931">
              <w:rPr>
                <w:rFonts w:cstheme="minorHAnsi"/>
                <w:szCs w:val="24"/>
              </w:rPr>
              <w:t>62.64</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4.322</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Ethanol</w:t>
            </w:r>
          </w:p>
        </w:tc>
        <w:tc>
          <w:tcPr>
            <w:tcW w:w="2258" w:type="dxa"/>
          </w:tcPr>
          <w:p w:rsidR="003C1FCE" w:rsidRPr="00500931" w:rsidRDefault="003C1FCE" w:rsidP="003246C2">
            <w:pPr>
              <w:jc w:val="right"/>
              <w:rPr>
                <w:rFonts w:cstheme="minorHAnsi"/>
                <w:szCs w:val="24"/>
              </w:rPr>
            </w:pPr>
            <w:r w:rsidRPr="00500931">
              <w:rPr>
                <w:rFonts w:cstheme="minorHAnsi"/>
                <w:szCs w:val="24"/>
              </w:rPr>
              <w:t>0.084</w:t>
            </w:r>
          </w:p>
        </w:tc>
        <w:tc>
          <w:tcPr>
            <w:tcW w:w="2258" w:type="dxa"/>
          </w:tcPr>
          <w:p w:rsidR="003C1FCE" w:rsidRPr="00500931" w:rsidRDefault="003C1FCE" w:rsidP="003246C2">
            <w:pPr>
              <w:jc w:val="right"/>
              <w:rPr>
                <w:rFonts w:cstheme="minorHAnsi"/>
                <w:szCs w:val="24"/>
              </w:rPr>
            </w:pPr>
            <w:r w:rsidRPr="00500931">
              <w:rPr>
                <w:rFonts w:cstheme="minorHAnsi"/>
                <w:szCs w:val="24"/>
              </w:rPr>
              <w:t>68.44</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5.749</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Ethylene</w:t>
            </w:r>
          </w:p>
        </w:tc>
        <w:tc>
          <w:tcPr>
            <w:tcW w:w="2258" w:type="dxa"/>
          </w:tcPr>
          <w:p w:rsidR="003C1FCE" w:rsidRPr="00500931" w:rsidRDefault="003C1FCE" w:rsidP="003246C2">
            <w:pPr>
              <w:jc w:val="right"/>
              <w:rPr>
                <w:rFonts w:cstheme="minorHAnsi"/>
                <w:szCs w:val="24"/>
              </w:rPr>
            </w:pPr>
            <w:r w:rsidRPr="00500931">
              <w:rPr>
                <w:rFonts w:cstheme="minorHAnsi"/>
                <w:szCs w:val="24"/>
              </w:rPr>
              <w:t>0.100</w:t>
            </w:r>
          </w:p>
        </w:tc>
        <w:tc>
          <w:tcPr>
            <w:tcW w:w="2258" w:type="dxa"/>
          </w:tcPr>
          <w:p w:rsidR="003C1FCE" w:rsidRPr="00500931" w:rsidRDefault="003C1FCE" w:rsidP="003246C2">
            <w:pPr>
              <w:jc w:val="right"/>
              <w:rPr>
                <w:rFonts w:cstheme="minorHAnsi"/>
                <w:szCs w:val="24"/>
              </w:rPr>
            </w:pPr>
            <w:r w:rsidRPr="00500931">
              <w:rPr>
                <w:rFonts w:cstheme="minorHAnsi"/>
                <w:szCs w:val="24"/>
              </w:rPr>
              <w:t>67.43</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6.743</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Isobutane</w:t>
            </w:r>
          </w:p>
        </w:tc>
        <w:tc>
          <w:tcPr>
            <w:tcW w:w="2258" w:type="dxa"/>
          </w:tcPr>
          <w:p w:rsidR="003C1FCE" w:rsidRPr="00500931" w:rsidRDefault="003C1FCE" w:rsidP="003246C2">
            <w:pPr>
              <w:jc w:val="right"/>
              <w:rPr>
                <w:rFonts w:cstheme="minorHAnsi"/>
                <w:szCs w:val="24"/>
              </w:rPr>
            </w:pPr>
            <w:r w:rsidRPr="00500931">
              <w:rPr>
                <w:rFonts w:cstheme="minorHAnsi"/>
                <w:szCs w:val="24"/>
              </w:rPr>
              <w:t>0.097</w:t>
            </w:r>
          </w:p>
        </w:tc>
        <w:tc>
          <w:tcPr>
            <w:tcW w:w="2258" w:type="dxa"/>
          </w:tcPr>
          <w:p w:rsidR="003C1FCE" w:rsidRPr="00500931" w:rsidRDefault="003C1FCE" w:rsidP="003246C2">
            <w:pPr>
              <w:jc w:val="right"/>
              <w:rPr>
                <w:rFonts w:cstheme="minorHAnsi"/>
                <w:szCs w:val="24"/>
              </w:rPr>
            </w:pPr>
            <w:r w:rsidRPr="00500931">
              <w:rPr>
                <w:rFonts w:cstheme="minorHAnsi"/>
                <w:szCs w:val="24"/>
              </w:rPr>
              <w:t>64.91</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6.296</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Isobutylene</w:t>
            </w:r>
          </w:p>
        </w:tc>
        <w:tc>
          <w:tcPr>
            <w:tcW w:w="2258" w:type="dxa"/>
          </w:tcPr>
          <w:p w:rsidR="003C1FCE" w:rsidRPr="00500931" w:rsidRDefault="003C1FCE" w:rsidP="003246C2">
            <w:pPr>
              <w:jc w:val="right"/>
              <w:rPr>
                <w:rFonts w:cstheme="minorHAnsi"/>
                <w:szCs w:val="24"/>
              </w:rPr>
            </w:pPr>
            <w:r w:rsidRPr="00500931">
              <w:rPr>
                <w:rFonts w:cstheme="minorHAnsi"/>
                <w:szCs w:val="24"/>
              </w:rPr>
              <w:t>0.103</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67.74</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6.977</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lastRenderedPageBreak/>
              <w:t>Butane</w:t>
            </w:r>
          </w:p>
        </w:tc>
        <w:tc>
          <w:tcPr>
            <w:tcW w:w="2258" w:type="dxa"/>
          </w:tcPr>
          <w:p w:rsidR="003C1FCE" w:rsidRPr="00500931" w:rsidRDefault="003C1FCE" w:rsidP="003246C2">
            <w:pPr>
              <w:jc w:val="right"/>
              <w:rPr>
                <w:rFonts w:cstheme="minorHAnsi"/>
                <w:szCs w:val="24"/>
              </w:rPr>
            </w:pPr>
            <w:r w:rsidRPr="00500931">
              <w:rPr>
                <w:rFonts w:cstheme="minorHAnsi"/>
                <w:szCs w:val="24"/>
              </w:rPr>
              <w:t>0.101</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65.15</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6.580</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Butylene</w:t>
            </w:r>
          </w:p>
        </w:tc>
        <w:tc>
          <w:tcPr>
            <w:tcW w:w="2258" w:type="dxa"/>
          </w:tcPr>
          <w:p w:rsidR="003C1FCE" w:rsidRPr="00500931" w:rsidRDefault="003C1FCE" w:rsidP="003246C2">
            <w:pPr>
              <w:jc w:val="right"/>
              <w:rPr>
                <w:rFonts w:cstheme="minorHAnsi"/>
                <w:szCs w:val="24"/>
              </w:rPr>
            </w:pPr>
            <w:r w:rsidRPr="00500931">
              <w:rPr>
                <w:rFonts w:cstheme="minorHAnsi"/>
                <w:szCs w:val="24"/>
              </w:rPr>
              <w:t>0.103</w:t>
            </w:r>
          </w:p>
        </w:tc>
        <w:tc>
          <w:tcPr>
            <w:tcW w:w="2258" w:type="dxa"/>
          </w:tcPr>
          <w:p w:rsidR="003C1FCE" w:rsidRPr="00500931" w:rsidRDefault="003C1FCE" w:rsidP="003246C2">
            <w:pPr>
              <w:jc w:val="right"/>
              <w:rPr>
                <w:rFonts w:cstheme="minorHAnsi"/>
                <w:szCs w:val="24"/>
              </w:rPr>
            </w:pPr>
            <w:r w:rsidRPr="00500931">
              <w:rPr>
                <w:rFonts w:cstheme="minorHAnsi"/>
                <w:szCs w:val="24"/>
              </w:rPr>
              <w:t>67.73</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6.976</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Naphtha (&lt;401 deg F)</w:t>
            </w:r>
          </w:p>
        </w:tc>
        <w:tc>
          <w:tcPr>
            <w:tcW w:w="2258" w:type="dxa"/>
          </w:tcPr>
          <w:p w:rsidR="003C1FCE" w:rsidRPr="00500931" w:rsidRDefault="003C1FCE" w:rsidP="003246C2">
            <w:pPr>
              <w:jc w:val="right"/>
              <w:rPr>
                <w:rFonts w:cstheme="minorHAnsi"/>
                <w:szCs w:val="24"/>
              </w:rPr>
            </w:pPr>
            <w:r w:rsidRPr="00500931">
              <w:rPr>
                <w:rFonts w:cstheme="minorHAnsi"/>
                <w:szCs w:val="24"/>
              </w:rPr>
              <w:t>0.125</w:t>
            </w:r>
          </w:p>
        </w:tc>
        <w:tc>
          <w:tcPr>
            <w:tcW w:w="2258" w:type="dxa"/>
          </w:tcPr>
          <w:p w:rsidR="003C1FCE" w:rsidRPr="00500931" w:rsidRDefault="003C1FCE" w:rsidP="003246C2">
            <w:pPr>
              <w:jc w:val="right"/>
              <w:rPr>
                <w:rFonts w:cstheme="minorHAnsi"/>
                <w:szCs w:val="24"/>
              </w:rPr>
            </w:pPr>
            <w:r w:rsidRPr="00500931">
              <w:rPr>
                <w:rFonts w:cstheme="minorHAnsi"/>
                <w:szCs w:val="24"/>
              </w:rPr>
              <w:t>68.02</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8.503</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Natural Gasoline</w:t>
            </w:r>
          </w:p>
        </w:tc>
        <w:tc>
          <w:tcPr>
            <w:tcW w:w="2258" w:type="dxa"/>
          </w:tcPr>
          <w:p w:rsidR="003C1FCE" w:rsidRPr="00500931" w:rsidRDefault="003C1FCE" w:rsidP="003246C2">
            <w:pPr>
              <w:jc w:val="right"/>
              <w:rPr>
                <w:rFonts w:cstheme="minorHAnsi"/>
                <w:szCs w:val="24"/>
              </w:rPr>
            </w:pPr>
            <w:r w:rsidRPr="00500931">
              <w:rPr>
                <w:rFonts w:cstheme="minorHAnsi"/>
                <w:szCs w:val="24"/>
              </w:rPr>
              <w:t>0.110</w:t>
            </w:r>
          </w:p>
        </w:tc>
        <w:tc>
          <w:tcPr>
            <w:tcW w:w="2258" w:type="dxa"/>
          </w:tcPr>
          <w:p w:rsidR="003C1FCE" w:rsidRPr="00500931" w:rsidRDefault="003C1FCE" w:rsidP="003246C2">
            <w:pPr>
              <w:jc w:val="right"/>
              <w:rPr>
                <w:rFonts w:cstheme="minorHAnsi"/>
                <w:szCs w:val="24"/>
              </w:rPr>
            </w:pPr>
            <w:r w:rsidRPr="00500931">
              <w:rPr>
                <w:rFonts w:cstheme="minorHAnsi"/>
                <w:szCs w:val="24"/>
              </w:rPr>
              <w:t>66.83</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7.351</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Other Oil (&gt;401 deg F)</w:t>
            </w:r>
          </w:p>
        </w:tc>
        <w:tc>
          <w:tcPr>
            <w:tcW w:w="2258" w:type="dxa"/>
          </w:tcPr>
          <w:p w:rsidR="003C1FCE" w:rsidRPr="00500931" w:rsidRDefault="003C1FCE" w:rsidP="003246C2">
            <w:pPr>
              <w:jc w:val="right"/>
              <w:rPr>
                <w:rFonts w:cstheme="minorHAnsi"/>
                <w:szCs w:val="24"/>
              </w:rPr>
            </w:pPr>
            <w:r w:rsidRPr="00500931">
              <w:rPr>
                <w:rFonts w:cstheme="minorHAnsi"/>
                <w:szCs w:val="24"/>
              </w:rPr>
              <w:t>0.139</w:t>
            </w:r>
          </w:p>
        </w:tc>
        <w:tc>
          <w:tcPr>
            <w:tcW w:w="2258" w:type="dxa"/>
          </w:tcPr>
          <w:p w:rsidR="003C1FCE" w:rsidRPr="00500931" w:rsidRDefault="003C1FCE" w:rsidP="003246C2">
            <w:pPr>
              <w:jc w:val="right"/>
              <w:rPr>
                <w:rFonts w:cstheme="minorHAnsi"/>
                <w:szCs w:val="24"/>
              </w:rPr>
            </w:pPr>
            <w:r w:rsidRPr="00500931">
              <w:rPr>
                <w:rFonts w:cstheme="minorHAnsi"/>
                <w:szCs w:val="24"/>
              </w:rPr>
              <w:t>76.22</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10.595</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Pentanes Plus</w:t>
            </w:r>
          </w:p>
        </w:tc>
        <w:tc>
          <w:tcPr>
            <w:tcW w:w="2258" w:type="dxa"/>
          </w:tcPr>
          <w:p w:rsidR="003C1FCE" w:rsidRPr="00500931" w:rsidRDefault="003C1FCE" w:rsidP="003246C2">
            <w:pPr>
              <w:jc w:val="right"/>
              <w:rPr>
                <w:rFonts w:cstheme="minorHAnsi"/>
                <w:szCs w:val="24"/>
              </w:rPr>
            </w:pPr>
            <w:r w:rsidRPr="00500931">
              <w:rPr>
                <w:rFonts w:cstheme="minorHAnsi"/>
                <w:szCs w:val="24"/>
              </w:rPr>
              <w:t>0.110</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70.02</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7.702</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Petrochemical Feedstocks</w:t>
            </w:r>
          </w:p>
        </w:tc>
        <w:tc>
          <w:tcPr>
            <w:tcW w:w="2258" w:type="dxa"/>
          </w:tcPr>
          <w:p w:rsidR="003C1FCE" w:rsidRPr="00500931" w:rsidRDefault="003C1FCE" w:rsidP="003246C2">
            <w:pPr>
              <w:jc w:val="right"/>
              <w:rPr>
                <w:rFonts w:cstheme="minorHAnsi"/>
                <w:szCs w:val="24"/>
              </w:rPr>
            </w:pPr>
            <w:r w:rsidRPr="00500931">
              <w:rPr>
                <w:rFonts w:cstheme="minorHAnsi"/>
                <w:szCs w:val="24"/>
              </w:rPr>
              <w:t>0.129</w:t>
            </w:r>
          </w:p>
        </w:tc>
        <w:tc>
          <w:tcPr>
            <w:tcW w:w="2258" w:type="dxa"/>
          </w:tcPr>
          <w:p w:rsidR="003C1FCE" w:rsidRPr="00500931" w:rsidRDefault="003C1FCE" w:rsidP="003246C2">
            <w:pPr>
              <w:jc w:val="right"/>
              <w:rPr>
                <w:rFonts w:cstheme="minorHAnsi"/>
                <w:szCs w:val="24"/>
              </w:rPr>
            </w:pPr>
            <w:r w:rsidRPr="00500931">
              <w:rPr>
                <w:rFonts w:cstheme="minorHAnsi"/>
                <w:szCs w:val="24"/>
              </w:rPr>
              <w:t>70.97</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9.155</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 xml:space="preserve">Petroleum Coke </w:t>
            </w:r>
          </w:p>
        </w:tc>
        <w:tc>
          <w:tcPr>
            <w:tcW w:w="2258" w:type="dxa"/>
          </w:tcPr>
          <w:p w:rsidR="003C1FCE" w:rsidRPr="00500931" w:rsidRDefault="003C1FCE" w:rsidP="003246C2">
            <w:pPr>
              <w:jc w:val="right"/>
              <w:rPr>
                <w:rFonts w:cstheme="minorHAnsi"/>
                <w:szCs w:val="24"/>
              </w:rPr>
            </w:pPr>
            <w:r w:rsidRPr="00500931">
              <w:rPr>
                <w:rFonts w:cstheme="minorHAnsi"/>
                <w:szCs w:val="24"/>
              </w:rPr>
              <w:t>0.143</w:t>
            </w:r>
          </w:p>
        </w:tc>
        <w:tc>
          <w:tcPr>
            <w:tcW w:w="2258" w:type="dxa"/>
          </w:tcPr>
          <w:p w:rsidR="003C1FCE" w:rsidRPr="00500931" w:rsidRDefault="003C1FCE" w:rsidP="003246C2">
            <w:pPr>
              <w:jc w:val="right"/>
              <w:rPr>
                <w:rFonts w:cstheme="minorHAnsi"/>
                <w:szCs w:val="24"/>
              </w:rPr>
            </w:pPr>
            <w:r w:rsidRPr="00500931">
              <w:rPr>
                <w:rFonts w:cstheme="minorHAnsi"/>
                <w:szCs w:val="24"/>
              </w:rPr>
              <w:t>102.41</w:t>
            </w:r>
          </w:p>
        </w:tc>
        <w:tc>
          <w:tcPr>
            <w:tcW w:w="2258" w:type="dxa"/>
            <w:vAlign w:val="bottom"/>
          </w:tcPr>
          <w:p w:rsidR="003C1FCE" w:rsidRPr="00500931" w:rsidRDefault="003C1FCE" w:rsidP="003246C2">
            <w:pPr>
              <w:jc w:val="right"/>
              <w:rPr>
                <w:rFonts w:cstheme="minorHAnsi"/>
                <w:szCs w:val="24"/>
              </w:rPr>
            </w:pPr>
            <w:r w:rsidRPr="00500931">
              <w:rPr>
                <w:rFonts w:cstheme="minorHAnsi"/>
                <w:szCs w:val="24"/>
              </w:rPr>
              <w:t>14.645</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Special Naphtha</w:t>
            </w:r>
          </w:p>
        </w:tc>
        <w:tc>
          <w:tcPr>
            <w:tcW w:w="2258" w:type="dxa"/>
          </w:tcPr>
          <w:p w:rsidR="003C1FCE" w:rsidRPr="00500931" w:rsidRDefault="003C1FCE" w:rsidP="003246C2">
            <w:pPr>
              <w:jc w:val="right"/>
              <w:rPr>
                <w:rFonts w:cstheme="minorHAnsi"/>
                <w:szCs w:val="24"/>
              </w:rPr>
            </w:pPr>
            <w:r w:rsidRPr="00500931">
              <w:rPr>
                <w:rFonts w:cstheme="minorHAnsi"/>
                <w:szCs w:val="24"/>
              </w:rPr>
              <w:t>0.125</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72.34</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9.043</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Unfinished Oils</w:t>
            </w:r>
          </w:p>
        </w:tc>
        <w:tc>
          <w:tcPr>
            <w:tcW w:w="2258" w:type="dxa"/>
          </w:tcPr>
          <w:p w:rsidR="003C1FCE" w:rsidRPr="00500931" w:rsidRDefault="003C1FCE" w:rsidP="003246C2">
            <w:pPr>
              <w:jc w:val="right"/>
              <w:rPr>
                <w:rFonts w:cstheme="minorHAnsi"/>
                <w:szCs w:val="24"/>
              </w:rPr>
            </w:pPr>
            <w:r w:rsidRPr="00500931">
              <w:rPr>
                <w:rFonts w:cstheme="minorHAnsi"/>
                <w:szCs w:val="24"/>
              </w:rPr>
              <w:t>0.139</w:t>
            </w:r>
          </w:p>
        </w:tc>
        <w:tc>
          <w:tcPr>
            <w:tcW w:w="2258" w:type="dxa"/>
          </w:tcPr>
          <w:p w:rsidR="003C1FCE" w:rsidRPr="00500931" w:rsidRDefault="003C1FCE" w:rsidP="003246C2">
            <w:pPr>
              <w:jc w:val="right"/>
              <w:rPr>
                <w:rFonts w:cstheme="minorHAnsi"/>
                <w:szCs w:val="24"/>
              </w:rPr>
            </w:pPr>
            <w:r w:rsidRPr="00500931">
              <w:rPr>
                <w:rFonts w:cstheme="minorHAnsi"/>
                <w:szCs w:val="24"/>
              </w:rPr>
              <w:t>74.49</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10.354</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Heavy Gas Oils</w:t>
            </w:r>
          </w:p>
        </w:tc>
        <w:tc>
          <w:tcPr>
            <w:tcW w:w="2258" w:type="dxa"/>
          </w:tcPr>
          <w:p w:rsidR="003C1FCE" w:rsidRPr="00500931" w:rsidRDefault="003C1FCE" w:rsidP="003246C2">
            <w:pPr>
              <w:jc w:val="right"/>
              <w:rPr>
                <w:rFonts w:cstheme="minorHAnsi"/>
                <w:szCs w:val="24"/>
              </w:rPr>
            </w:pPr>
            <w:r w:rsidRPr="00500931">
              <w:rPr>
                <w:rFonts w:cstheme="minorHAnsi"/>
                <w:szCs w:val="24"/>
              </w:rPr>
              <w:t>0.148</w:t>
            </w:r>
          </w:p>
        </w:tc>
        <w:tc>
          <w:tcPr>
            <w:tcW w:w="2258" w:type="dxa"/>
          </w:tcPr>
          <w:p w:rsidR="003C1FCE" w:rsidRPr="00500931" w:rsidRDefault="003C1FCE" w:rsidP="003246C2">
            <w:pPr>
              <w:jc w:val="right"/>
              <w:rPr>
                <w:rFonts w:cstheme="minorHAnsi"/>
                <w:szCs w:val="24"/>
              </w:rPr>
            </w:pPr>
            <w:r w:rsidRPr="00500931">
              <w:rPr>
                <w:rFonts w:cstheme="minorHAnsi"/>
                <w:szCs w:val="24"/>
              </w:rPr>
              <w:t>74.92</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11.088</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Lubricants</w:t>
            </w:r>
          </w:p>
        </w:tc>
        <w:tc>
          <w:tcPr>
            <w:tcW w:w="2258" w:type="dxa"/>
          </w:tcPr>
          <w:p w:rsidR="003C1FCE" w:rsidRPr="00500931" w:rsidRDefault="003C1FCE" w:rsidP="003246C2">
            <w:pPr>
              <w:jc w:val="right"/>
              <w:rPr>
                <w:rFonts w:cstheme="minorHAnsi"/>
                <w:szCs w:val="24"/>
              </w:rPr>
            </w:pPr>
            <w:r w:rsidRPr="00500931">
              <w:rPr>
                <w:rFonts w:cstheme="minorHAnsi"/>
                <w:szCs w:val="24"/>
              </w:rPr>
              <w:t>0.144</w:t>
            </w:r>
          </w:p>
        </w:tc>
        <w:tc>
          <w:tcPr>
            <w:tcW w:w="2258" w:type="dxa"/>
          </w:tcPr>
          <w:p w:rsidR="003C1FCE" w:rsidRPr="00500931" w:rsidRDefault="003C1FCE" w:rsidP="003246C2">
            <w:pPr>
              <w:jc w:val="right"/>
              <w:rPr>
                <w:rFonts w:cstheme="minorHAnsi"/>
                <w:szCs w:val="24"/>
              </w:rPr>
            </w:pPr>
            <w:r w:rsidRPr="00500931">
              <w:rPr>
                <w:rFonts w:cstheme="minorHAnsi"/>
                <w:szCs w:val="24"/>
              </w:rPr>
              <w:t>74.27</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10.695</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Motor Gasoline</w:t>
            </w:r>
          </w:p>
        </w:tc>
        <w:tc>
          <w:tcPr>
            <w:tcW w:w="2258" w:type="dxa"/>
          </w:tcPr>
          <w:p w:rsidR="003C1FCE" w:rsidRPr="00500931" w:rsidRDefault="003C1FCE" w:rsidP="003246C2">
            <w:pPr>
              <w:jc w:val="right"/>
              <w:rPr>
                <w:rFonts w:cstheme="minorHAnsi"/>
                <w:szCs w:val="24"/>
              </w:rPr>
            </w:pPr>
            <w:r w:rsidRPr="00500931">
              <w:rPr>
                <w:rFonts w:cstheme="minorHAnsi"/>
                <w:szCs w:val="24"/>
              </w:rPr>
              <w:t>0.125</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70.22</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8.778</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Aviation Gasoline</w:t>
            </w:r>
          </w:p>
        </w:tc>
        <w:tc>
          <w:tcPr>
            <w:tcW w:w="2258" w:type="dxa"/>
          </w:tcPr>
          <w:p w:rsidR="003C1FCE" w:rsidRPr="00500931" w:rsidRDefault="003C1FCE" w:rsidP="003246C2">
            <w:pPr>
              <w:jc w:val="right"/>
              <w:rPr>
                <w:rFonts w:cstheme="minorHAnsi"/>
                <w:szCs w:val="24"/>
              </w:rPr>
            </w:pPr>
            <w:r w:rsidRPr="00500931">
              <w:rPr>
                <w:rFonts w:cstheme="minorHAnsi"/>
                <w:szCs w:val="24"/>
              </w:rPr>
              <w:t>0.120</w:t>
            </w:r>
          </w:p>
        </w:tc>
        <w:tc>
          <w:tcPr>
            <w:tcW w:w="2258" w:type="dxa"/>
          </w:tcPr>
          <w:p w:rsidR="003C1FCE" w:rsidRPr="00500931" w:rsidRDefault="003C1FCE" w:rsidP="003246C2">
            <w:pPr>
              <w:jc w:val="right"/>
              <w:rPr>
                <w:rFonts w:cstheme="minorHAnsi"/>
                <w:szCs w:val="24"/>
              </w:rPr>
            </w:pPr>
            <w:r w:rsidRPr="00500931">
              <w:rPr>
                <w:rFonts w:cstheme="minorHAnsi"/>
                <w:szCs w:val="24"/>
              </w:rPr>
              <w:t>69.25</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8.310</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Kerosene-Type Jet Fuel</w:t>
            </w:r>
          </w:p>
        </w:tc>
        <w:tc>
          <w:tcPr>
            <w:tcW w:w="2258" w:type="dxa"/>
          </w:tcPr>
          <w:p w:rsidR="003C1FCE" w:rsidRPr="00500931" w:rsidRDefault="003C1FCE" w:rsidP="003246C2">
            <w:pPr>
              <w:jc w:val="right"/>
              <w:rPr>
                <w:rFonts w:cstheme="minorHAnsi"/>
                <w:szCs w:val="24"/>
              </w:rPr>
            </w:pPr>
            <w:r w:rsidRPr="00500931">
              <w:rPr>
                <w:rFonts w:cstheme="minorHAnsi"/>
                <w:szCs w:val="24"/>
              </w:rPr>
              <w:t>0.135</w:t>
            </w:r>
          </w:p>
        </w:tc>
        <w:tc>
          <w:tcPr>
            <w:tcW w:w="2258" w:type="dxa"/>
          </w:tcPr>
          <w:p w:rsidR="003C1FCE" w:rsidRPr="00500931" w:rsidRDefault="003C1FCE" w:rsidP="003246C2">
            <w:pPr>
              <w:jc w:val="right"/>
              <w:rPr>
                <w:rFonts w:cstheme="minorHAnsi"/>
                <w:szCs w:val="24"/>
              </w:rPr>
            </w:pPr>
            <w:r w:rsidRPr="00500931">
              <w:rPr>
                <w:rFonts w:cstheme="minorHAnsi"/>
                <w:szCs w:val="24"/>
              </w:rPr>
              <w:t>72.22</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9.750</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Asphalt and Road Oil</w:t>
            </w:r>
          </w:p>
        </w:tc>
        <w:tc>
          <w:tcPr>
            <w:tcW w:w="2258" w:type="dxa"/>
          </w:tcPr>
          <w:p w:rsidR="003C1FCE" w:rsidRPr="00500931" w:rsidRDefault="003C1FCE" w:rsidP="003246C2">
            <w:pPr>
              <w:jc w:val="right"/>
              <w:rPr>
                <w:rFonts w:cstheme="minorHAnsi"/>
                <w:szCs w:val="24"/>
              </w:rPr>
            </w:pPr>
            <w:r w:rsidRPr="00500931">
              <w:rPr>
                <w:rFonts w:cstheme="minorHAnsi"/>
                <w:szCs w:val="24"/>
              </w:rPr>
              <w:t>0.158</w:t>
            </w:r>
          </w:p>
        </w:tc>
        <w:tc>
          <w:tcPr>
            <w:tcW w:w="2258" w:type="dxa"/>
          </w:tcPr>
          <w:p w:rsidR="003C1FCE" w:rsidRPr="00500931" w:rsidRDefault="003C1FCE" w:rsidP="003246C2">
            <w:pPr>
              <w:jc w:val="right"/>
              <w:rPr>
                <w:rFonts w:cstheme="minorHAnsi"/>
                <w:szCs w:val="24"/>
              </w:rPr>
            </w:pPr>
            <w:r w:rsidRPr="00500931">
              <w:rPr>
                <w:rFonts w:cstheme="minorHAnsi"/>
                <w:szCs w:val="24"/>
              </w:rPr>
              <w:t>75.36</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11.907</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Crude Oil</w:t>
            </w:r>
          </w:p>
        </w:tc>
        <w:tc>
          <w:tcPr>
            <w:tcW w:w="2258" w:type="dxa"/>
          </w:tcPr>
          <w:p w:rsidR="003C1FCE" w:rsidRPr="00500931" w:rsidRDefault="003C1FCE" w:rsidP="003246C2">
            <w:pPr>
              <w:jc w:val="right"/>
              <w:rPr>
                <w:rFonts w:cstheme="minorHAnsi"/>
                <w:szCs w:val="24"/>
              </w:rPr>
            </w:pPr>
            <w:r w:rsidRPr="00500931">
              <w:rPr>
                <w:rFonts w:cstheme="minorHAnsi"/>
                <w:szCs w:val="24"/>
              </w:rPr>
              <w:t>0.138</w:t>
            </w:r>
          </w:p>
        </w:tc>
        <w:tc>
          <w:tcPr>
            <w:tcW w:w="2258" w:type="dxa"/>
          </w:tcPr>
          <w:p w:rsidR="003C1FCE" w:rsidRPr="00500931" w:rsidRDefault="003C1FCE" w:rsidP="003246C2">
            <w:pPr>
              <w:jc w:val="right"/>
              <w:rPr>
                <w:rFonts w:cstheme="minorHAnsi"/>
                <w:szCs w:val="24"/>
              </w:rPr>
            </w:pPr>
            <w:r w:rsidRPr="00500931">
              <w:rPr>
                <w:rFonts w:cstheme="minorHAnsi"/>
                <w:szCs w:val="24"/>
              </w:rPr>
              <w:t>74.49</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10.280</w:t>
            </w:r>
          </w:p>
        </w:tc>
      </w:tr>
      <w:tr w:rsidR="003C1FCE" w:rsidTr="003C1FCE">
        <w:trPr>
          <w:trHeight w:val="126"/>
          <w:jc w:val="center"/>
        </w:trPr>
        <w:tc>
          <w:tcPr>
            <w:tcW w:w="3253"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Other fuels (solid)</w:t>
            </w:r>
          </w:p>
        </w:tc>
        <w:tc>
          <w:tcPr>
            <w:tcW w:w="2258" w:type="dxa"/>
            <w:shd w:val="clear" w:color="auto" w:fill="595959" w:themeFill="text1" w:themeFillTint="A6"/>
          </w:tcPr>
          <w:p w:rsidR="003C1FCE" w:rsidRPr="00500931" w:rsidRDefault="003C1FCE" w:rsidP="003246C2">
            <w:pPr>
              <w:autoSpaceDE w:val="0"/>
              <w:autoSpaceDN w:val="0"/>
              <w:adjustRightInd w:val="0"/>
              <w:jc w:val="center"/>
              <w:rPr>
                <w:rFonts w:cstheme="minorHAnsi"/>
                <w:b/>
                <w:color w:val="FFFFFF" w:themeColor="background1"/>
                <w:szCs w:val="24"/>
              </w:rPr>
            </w:pPr>
            <w:r w:rsidRPr="00500931">
              <w:rPr>
                <w:rFonts w:cstheme="minorHAnsi"/>
                <w:b/>
                <w:color w:val="FFFFFF" w:themeColor="background1"/>
                <w:szCs w:val="24"/>
              </w:rPr>
              <w:t>mmBtu / short ton</w:t>
            </w:r>
          </w:p>
        </w:tc>
        <w:tc>
          <w:tcPr>
            <w:tcW w:w="2258" w:type="dxa"/>
            <w:shd w:val="clear" w:color="auto" w:fill="595959" w:themeFill="text1" w:themeFillTint="A6"/>
          </w:tcPr>
          <w:p w:rsidR="003C1FCE" w:rsidRPr="00500931" w:rsidRDefault="003C1FCE" w:rsidP="003246C2">
            <w:pPr>
              <w:autoSpaceDE w:val="0"/>
              <w:autoSpaceDN w:val="0"/>
              <w:adjustRightInd w:val="0"/>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 mmBtu</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 short ton</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Municipal Solid Waste</w:t>
            </w:r>
          </w:p>
        </w:tc>
        <w:tc>
          <w:tcPr>
            <w:tcW w:w="2258" w:type="dxa"/>
          </w:tcPr>
          <w:p w:rsidR="003C1FCE" w:rsidRPr="00500931" w:rsidRDefault="003C1FCE" w:rsidP="003246C2">
            <w:pPr>
              <w:jc w:val="right"/>
              <w:rPr>
                <w:rFonts w:cstheme="minorHAnsi"/>
                <w:szCs w:val="24"/>
              </w:rPr>
            </w:pPr>
            <w:r w:rsidRPr="00500931">
              <w:rPr>
                <w:rFonts w:cstheme="minorHAnsi"/>
                <w:szCs w:val="24"/>
              </w:rPr>
              <w:t>9.95</w:t>
            </w:r>
            <w:r w:rsidRPr="00500931">
              <w:rPr>
                <w:rFonts w:cstheme="minorHAnsi"/>
                <w:szCs w:val="24"/>
                <w:vertAlign w:val="superscript"/>
              </w:rPr>
              <w:t>1</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90.7</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902.465</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Tires</w:t>
            </w:r>
          </w:p>
        </w:tc>
        <w:tc>
          <w:tcPr>
            <w:tcW w:w="2258" w:type="dxa"/>
          </w:tcPr>
          <w:p w:rsidR="003C1FCE" w:rsidRPr="00500931" w:rsidRDefault="003C1FCE" w:rsidP="003246C2">
            <w:pPr>
              <w:jc w:val="right"/>
              <w:rPr>
                <w:rFonts w:cstheme="minorHAnsi"/>
                <w:szCs w:val="24"/>
              </w:rPr>
            </w:pPr>
            <w:r w:rsidRPr="00500931">
              <w:rPr>
                <w:rFonts w:cstheme="minorHAnsi"/>
                <w:szCs w:val="24"/>
              </w:rPr>
              <w:t>26.87</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85.97</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2310.014</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Plastics</w:t>
            </w:r>
          </w:p>
        </w:tc>
        <w:tc>
          <w:tcPr>
            <w:tcW w:w="2258" w:type="dxa"/>
          </w:tcPr>
          <w:p w:rsidR="003C1FCE" w:rsidRPr="00500931" w:rsidRDefault="003C1FCE" w:rsidP="003246C2">
            <w:pPr>
              <w:jc w:val="right"/>
              <w:rPr>
                <w:rFonts w:cstheme="minorHAnsi"/>
                <w:szCs w:val="24"/>
              </w:rPr>
            </w:pPr>
            <w:r w:rsidRPr="00500931">
              <w:rPr>
                <w:rFonts w:cstheme="minorHAnsi"/>
                <w:szCs w:val="24"/>
              </w:rPr>
              <w:t>38.00</w:t>
            </w:r>
          </w:p>
        </w:tc>
        <w:tc>
          <w:tcPr>
            <w:tcW w:w="2258" w:type="dxa"/>
          </w:tcPr>
          <w:p w:rsidR="003C1FCE" w:rsidRPr="00500931" w:rsidRDefault="003C1FCE" w:rsidP="003246C2">
            <w:pPr>
              <w:jc w:val="right"/>
              <w:rPr>
                <w:rFonts w:cstheme="minorHAnsi"/>
                <w:szCs w:val="24"/>
              </w:rPr>
            </w:pPr>
            <w:r w:rsidRPr="00500931">
              <w:rPr>
                <w:rFonts w:cstheme="minorHAnsi"/>
                <w:szCs w:val="24"/>
              </w:rPr>
              <w:t>75.00</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2850.000</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Petroleum Coke</w:t>
            </w:r>
          </w:p>
        </w:tc>
        <w:tc>
          <w:tcPr>
            <w:tcW w:w="2258" w:type="dxa"/>
          </w:tcPr>
          <w:p w:rsidR="003C1FCE" w:rsidRPr="00500931" w:rsidRDefault="003C1FCE" w:rsidP="003246C2">
            <w:pPr>
              <w:jc w:val="right"/>
              <w:rPr>
                <w:rFonts w:cstheme="minorHAnsi"/>
                <w:szCs w:val="24"/>
              </w:rPr>
            </w:pPr>
            <w:r w:rsidRPr="00500931">
              <w:rPr>
                <w:rFonts w:cstheme="minorHAnsi"/>
                <w:szCs w:val="24"/>
              </w:rPr>
              <w:t>30.00</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102.41</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3072.300</w:t>
            </w:r>
          </w:p>
        </w:tc>
      </w:tr>
      <w:tr w:rsidR="003C1FCE" w:rsidTr="003C1FCE">
        <w:trPr>
          <w:trHeight w:val="126"/>
          <w:jc w:val="center"/>
        </w:trPr>
        <w:tc>
          <w:tcPr>
            <w:tcW w:w="3253"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Other fuels (Gaseous)</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mmBtu / scf</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 mmBtu</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w:t>
            </w:r>
            <w:r>
              <w:rPr>
                <w:rFonts w:cstheme="minorHAnsi"/>
                <w:b/>
                <w:color w:val="FFFFFF" w:themeColor="background1"/>
                <w:szCs w:val="24"/>
              </w:rPr>
              <w:t xml:space="preserve"> scf</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Blast Furnace Gas</w:t>
            </w:r>
          </w:p>
        </w:tc>
        <w:tc>
          <w:tcPr>
            <w:tcW w:w="2258" w:type="dxa"/>
          </w:tcPr>
          <w:p w:rsidR="003C1FCE" w:rsidRPr="00500931" w:rsidRDefault="003C1FCE" w:rsidP="003246C2">
            <w:pPr>
              <w:jc w:val="right"/>
              <w:rPr>
                <w:rFonts w:cstheme="minorHAnsi"/>
                <w:szCs w:val="24"/>
              </w:rPr>
            </w:pPr>
            <w:r w:rsidRPr="00500931">
              <w:rPr>
                <w:rFonts w:cstheme="minorHAnsi"/>
                <w:szCs w:val="24"/>
              </w:rPr>
              <w:t>0.092 x 10</w:t>
            </w:r>
            <w:r w:rsidRPr="00500931">
              <w:rPr>
                <w:rFonts w:cstheme="minorHAnsi"/>
                <w:szCs w:val="24"/>
                <w:vertAlign w:val="superscript"/>
              </w:rPr>
              <w:t>-3</w:t>
            </w:r>
          </w:p>
        </w:tc>
        <w:tc>
          <w:tcPr>
            <w:tcW w:w="2258" w:type="dxa"/>
          </w:tcPr>
          <w:p w:rsidR="003C1FCE" w:rsidRPr="00500931" w:rsidRDefault="003C1FCE" w:rsidP="003246C2">
            <w:pPr>
              <w:jc w:val="right"/>
              <w:rPr>
                <w:rFonts w:cstheme="minorHAnsi"/>
                <w:szCs w:val="24"/>
              </w:rPr>
            </w:pPr>
            <w:r w:rsidRPr="00500931">
              <w:rPr>
                <w:rFonts w:cstheme="minorHAnsi"/>
                <w:szCs w:val="24"/>
              </w:rPr>
              <w:t>274.32</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0.025</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Coke Oven Gas</w:t>
            </w:r>
          </w:p>
        </w:tc>
        <w:tc>
          <w:tcPr>
            <w:tcW w:w="2258" w:type="dxa"/>
          </w:tcPr>
          <w:p w:rsidR="003C1FCE" w:rsidRPr="00500931" w:rsidRDefault="003C1FCE" w:rsidP="003246C2">
            <w:pPr>
              <w:jc w:val="right"/>
              <w:rPr>
                <w:rFonts w:cstheme="minorHAnsi"/>
                <w:szCs w:val="24"/>
              </w:rPr>
            </w:pPr>
            <w:r w:rsidRPr="00500931">
              <w:rPr>
                <w:rFonts w:cstheme="minorHAnsi"/>
                <w:szCs w:val="24"/>
              </w:rPr>
              <w:t>0.599 x 10</w:t>
            </w:r>
            <w:r w:rsidRPr="00500931">
              <w:rPr>
                <w:rFonts w:cstheme="minorHAnsi"/>
                <w:szCs w:val="24"/>
                <w:vertAlign w:val="superscript"/>
              </w:rPr>
              <w:t>-3</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46.85</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0.028</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Propane Gas</w:t>
            </w:r>
          </w:p>
        </w:tc>
        <w:tc>
          <w:tcPr>
            <w:tcW w:w="2258" w:type="dxa"/>
          </w:tcPr>
          <w:p w:rsidR="003C1FCE" w:rsidRPr="00500931" w:rsidRDefault="003C1FCE" w:rsidP="003246C2">
            <w:pPr>
              <w:jc w:val="right"/>
              <w:rPr>
                <w:rFonts w:cstheme="minorHAnsi"/>
                <w:szCs w:val="24"/>
              </w:rPr>
            </w:pPr>
            <w:r w:rsidRPr="00500931">
              <w:rPr>
                <w:rFonts w:cstheme="minorHAnsi"/>
                <w:szCs w:val="24"/>
              </w:rPr>
              <w:t>2.516 x 10</w:t>
            </w:r>
            <w:r w:rsidRPr="00500931">
              <w:rPr>
                <w:rFonts w:cstheme="minorHAnsi"/>
                <w:szCs w:val="24"/>
                <w:vertAlign w:val="superscript"/>
              </w:rPr>
              <w:t>-3</w:t>
            </w:r>
          </w:p>
        </w:tc>
        <w:tc>
          <w:tcPr>
            <w:tcW w:w="2258" w:type="dxa"/>
          </w:tcPr>
          <w:p w:rsidR="003C1FCE" w:rsidRPr="00500931" w:rsidRDefault="003C1FCE" w:rsidP="003246C2">
            <w:pPr>
              <w:jc w:val="right"/>
              <w:rPr>
                <w:rFonts w:cstheme="minorHAnsi"/>
                <w:szCs w:val="24"/>
              </w:rPr>
            </w:pPr>
            <w:r w:rsidRPr="00500931">
              <w:rPr>
                <w:rFonts w:cstheme="minorHAnsi"/>
                <w:szCs w:val="24"/>
              </w:rPr>
              <w:t>61.46</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0.155</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Fuel Gas</w:t>
            </w:r>
            <w:r w:rsidRPr="00500931">
              <w:rPr>
                <w:rFonts w:cstheme="minorHAnsi"/>
                <w:szCs w:val="24"/>
                <w:vertAlign w:val="superscript"/>
              </w:rPr>
              <w:t>2</w:t>
            </w:r>
          </w:p>
        </w:tc>
        <w:tc>
          <w:tcPr>
            <w:tcW w:w="2258" w:type="dxa"/>
          </w:tcPr>
          <w:p w:rsidR="003C1FCE" w:rsidRPr="00500931" w:rsidRDefault="003C1FCE" w:rsidP="003246C2">
            <w:pPr>
              <w:jc w:val="right"/>
              <w:rPr>
                <w:rFonts w:cstheme="minorHAnsi"/>
                <w:szCs w:val="24"/>
              </w:rPr>
            </w:pPr>
            <w:r w:rsidRPr="00500931">
              <w:rPr>
                <w:rFonts w:cstheme="minorHAnsi"/>
                <w:szCs w:val="24"/>
              </w:rPr>
              <w:t>1.388 x 10</w:t>
            </w:r>
            <w:r w:rsidRPr="00500931">
              <w:rPr>
                <w:rFonts w:cstheme="minorHAnsi"/>
                <w:szCs w:val="24"/>
                <w:vertAlign w:val="superscript"/>
              </w:rPr>
              <w:t>-3</w:t>
            </w:r>
          </w:p>
        </w:tc>
        <w:tc>
          <w:tcPr>
            <w:tcW w:w="2258" w:type="dxa"/>
          </w:tcPr>
          <w:p w:rsidR="003C1FCE" w:rsidRPr="00500931" w:rsidRDefault="003C1FCE" w:rsidP="003246C2">
            <w:pPr>
              <w:jc w:val="right"/>
              <w:rPr>
                <w:rFonts w:cstheme="minorHAnsi"/>
                <w:szCs w:val="24"/>
              </w:rPr>
            </w:pPr>
            <w:r w:rsidRPr="00500931">
              <w:rPr>
                <w:rFonts w:cstheme="minorHAnsi"/>
                <w:szCs w:val="24"/>
              </w:rPr>
              <w:t>59.00</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0.082</w:t>
            </w:r>
          </w:p>
        </w:tc>
      </w:tr>
      <w:tr w:rsidR="003C1FCE" w:rsidTr="003C1FCE">
        <w:trPr>
          <w:trHeight w:val="126"/>
          <w:jc w:val="center"/>
        </w:trPr>
        <w:tc>
          <w:tcPr>
            <w:tcW w:w="3253"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Biomass Fuels - Solid</w:t>
            </w:r>
          </w:p>
        </w:tc>
        <w:tc>
          <w:tcPr>
            <w:tcW w:w="2258" w:type="dxa"/>
            <w:shd w:val="clear" w:color="auto" w:fill="595959" w:themeFill="text1" w:themeFillTint="A6"/>
          </w:tcPr>
          <w:p w:rsidR="003C1FCE" w:rsidRPr="00500931" w:rsidRDefault="003C1FCE" w:rsidP="003246C2">
            <w:pPr>
              <w:autoSpaceDE w:val="0"/>
              <w:autoSpaceDN w:val="0"/>
              <w:adjustRightInd w:val="0"/>
              <w:jc w:val="center"/>
              <w:rPr>
                <w:rFonts w:cstheme="minorHAnsi"/>
                <w:b/>
                <w:color w:val="FFFFFF" w:themeColor="background1"/>
                <w:szCs w:val="24"/>
              </w:rPr>
            </w:pPr>
            <w:r w:rsidRPr="00500931">
              <w:rPr>
                <w:rFonts w:cstheme="minorHAnsi"/>
                <w:b/>
                <w:color w:val="FFFFFF" w:themeColor="background1"/>
                <w:szCs w:val="24"/>
              </w:rPr>
              <w:t>mmBtu / short ton</w:t>
            </w:r>
          </w:p>
        </w:tc>
        <w:tc>
          <w:tcPr>
            <w:tcW w:w="2258" w:type="dxa"/>
            <w:shd w:val="clear" w:color="auto" w:fill="595959" w:themeFill="text1" w:themeFillTint="A6"/>
          </w:tcPr>
          <w:p w:rsidR="003C1FCE" w:rsidRPr="00500931" w:rsidRDefault="003C1FCE" w:rsidP="003246C2">
            <w:pPr>
              <w:autoSpaceDE w:val="0"/>
              <w:autoSpaceDN w:val="0"/>
              <w:adjustRightInd w:val="0"/>
              <w:jc w:val="center"/>
              <w:rPr>
                <w:rFonts w:cstheme="minorHAnsi"/>
                <w:b/>
                <w:color w:val="FFFFFF" w:themeColor="background1"/>
                <w:szCs w:val="24"/>
              </w:rPr>
            </w:pPr>
            <w:r w:rsidRPr="00500931">
              <w:rPr>
                <w:rFonts w:cstheme="minorHAnsi"/>
                <w:b/>
                <w:color w:val="FFFFFF" w:themeColor="background1"/>
                <w:szCs w:val="24"/>
              </w:rPr>
              <w:t>kg CO2 /mmBtu</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w:t>
            </w:r>
            <w:r>
              <w:rPr>
                <w:rFonts w:cstheme="minorHAnsi"/>
                <w:b/>
                <w:color w:val="FFFFFF" w:themeColor="background1"/>
                <w:szCs w:val="24"/>
              </w:rPr>
              <w:t xml:space="preserve"> short ton</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Wood and Wood Residuals</w:t>
            </w:r>
          </w:p>
        </w:tc>
        <w:tc>
          <w:tcPr>
            <w:tcW w:w="2258" w:type="dxa"/>
          </w:tcPr>
          <w:p w:rsidR="003C1FCE" w:rsidRPr="00500931" w:rsidRDefault="003C1FCE" w:rsidP="003246C2">
            <w:pPr>
              <w:jc w:val="right"/>
              <w:rPr>
                <w:rFonts w:cstheme="minorHAnsi"/>
                <w:szCs w:val="24"/>
              </w:rPr>
            </w:pPr>
            <w:r w:rsidRPr="00500931">
              <w:rPr>
                <w:rFonts w:cstheme="minorHAnsi"/>
                <w:szCs w:val="24"/>
              </w:rPr>
              <w:t>15.38</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93.80</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1442.644</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Agricultural Byproducts</w:t>
            </w:r>
          </w:p>
        </w:tc>
        <w:tc>
          <w:tcPr>
            <w:tcW w:w="2258" w:type="dxa"/>
          </w:tcPr>
          <w:p w:rsidR="003C1FCE" w:rsidRPr="00500931" w:rsidRDefault="003C1FCE" w:rsidP="003246C2">
            <w:pPr>
              <w:jc w:val="right"/>
              <w:rPr>
                <w:rFonts w:cstheme="minorHAnsi"/>
                <w:szCs w:val="24"/>
              </w:rPr>
            </w:pPr>
            <w:r w:rsidRPr="00500931">
              <w:rPr>
                <w:rFonts w:cstheme="minorHAnsi"/>
                <w:szCs w:val="24"/>
              </w:rPr>
              <w:t>8.25</w:t>
            </w:r>
          </w:p>
        </w:tc>
        <w:tc>
          <w:tcPr>
            <w:tcW w:w="2258" w:type="dxa"/>
          </w:tcPr>
          <w:p w:rsidR="003C1FCE" w:rsidRPr="00500931" w:rsidRDefault="003C1FCE" w:rsidP="003246C2">
            <w:pPr>
              <w:jc w:val="right"/>
              <w:rPr>
                <w:rFonts w:cstheme="minorHAnsi"/>
                <w:szCs w:val="24"/>
              </w:rPr>
            </w:pPr>
            <w:r w:rsidRPr="00500931">
              <w:rPr>
                <w:rFonts w:cstheme="minorHAnsi"/>
                <w:szCs w:val="24"/>
              </w:rPr>
              <w:t>118.17</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974.903</w:t>
            </w:r>
          </w:p>
        </w:tc>
      </w:tr>
      <w:tr w:rsidR="003C1FCE" w:rsidTr="003C1FCE">
        <w:trPr>
          <w:trHeight w:val="126"/>
          <w:jc w:val="center"/>
        </w:trPr>
        <w:tc>
          <w:tcPr>
            <w:tcW w:w="3253" w:type="dxa"/>
          </w:tcPr>
          <w:p w:rsidR="003C1FCE" w:rsidRPr="00500931" w:rsidRDefault="003C1FCE" w:rsidP="003246C2">
            <w:pPr>
              <w:rPr>
                <w:rFonts w:cstheme="minorHAnsi"/>
                <w:szCs w:val="24"/>
              </w:rPr>
            </w:pPr>
            <w:r w:rsidRPr="00500931">
              <w:rPr>
                <w:rFonts w:cstheme="minorHAnsi"/>
                <w:szCs w:val="24"/>
              </w:rPr>
              <w:t>Peat</w:t>
            </w:r>
          </w:p>
        </w:tc>
        <w:tc>
          <w:tcPr>
            <w:tcW w:w="2258" w:type="dxa"/>
          </w:tcPr>
          <w:p w:rsidR="003C1FCE" w:rsidRPr="00500931" w:rsidRDefault="003C1FCE" w:rsidP="003246C2">
            <w:pPr>
              <w:jc w:val="right"/>
              <w:rPr>
                <w:rFonts w:cstheme="minorHAnsi"/>
                <w:szCs w:val="24"/>
              </w:rPr>
            </w:pPr>
            <w:r w:rsidRPr="00500931">
              <w:rPr>
                <w:rFonts w:cstheme="minorHAnsi"/>
                <w:szCs w:val="24"/>
              </w:rPr>
              <w:t>8.00</w:t>
            </w:r>
          </w:p>
        </w:tc>
        <w:tc>
          <w:tcPr>
            <w:tcW w:w="2258" w:type="dxa"/>
          </w:tcPr>
          <w:p w:rsidR="003C1FCE" w:rsidRPr="00500931" w:rsidRDefault="003C1FCE" w:rsidP="003246C2">
            <w:pPr>
              <w:jc w:val="right"/>
              <w:rPr>
                <w:rFonts w:cstheme="minorHAnsi"/>
                <w:szCs w:val="24"/>
              </w:rPr>
            </w:pPr>
            <w:r w:rsidRPr="00500931">
              <w:rPr>
                <w:rFonts w:cstheme="minorHAnsi"/>
                <w:szCs w:val="24"/>
              </w:rPr>
              <w:t>111.84</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894.720</w:t>
            </w:r>
          </w:p>
        </w:tc>
      </w:tr>
      <w:tr w:rsidR="003C1FCE" w:rsidTr="003C1FCE">
        <w:trPr>
          <w:trHeight w:val="349"/>
          <w:jc w:val="center"/>
        </w:trPr>
        <w:tc>
          <w:tcPr>
            <w:tcW w:w="3253" w:type="dxa"/>
          </w:tcPr>
          <w:p w:rsidR="003C1FCE" w:rsidRPr="00500931" w:rsidRDefault="003C1FCE" w:rsidP="003246C2">
            <w:pPr>
              <w:rPr>
                <w:rFonts w:cstheme="minorHAnsi"/>
                <w:szCs w:val="24"/>
              </w:rPr>
            </w:pPr>
            <w:r w:rsidRPr="00500931">
              <w:rPr>
                <w:rFonts w:cstheme="minorHAnsi"/>
                <w:szCs w:val="24"/>
              </w:rPr>
              <w:lastRenderedPageBreak/>
              <w:t>Solid Byproducts</w:t>
            </w:r>
          </w:p>
        </w:tc>
        <w:tc>
          <w:tcPr>
            <w:tcW w:w="2258" w:type="dxa"/>
          </w:tcPr>
          <w:p w:rsidR="003C1FCE" w:rsidRPr="00500931" w:rsidRDefault="003C1FCE" w:rsidP="003246C2">
            <w:pPr>
              <w:jc w:val="right"/>
              <w:rPr>
                <w:rFonts w:cstheme="minorHAnsi"/>
                <w:szCs w:val="24"/>
              </w:rPr>
            </w:pPr>
            <w:r w:rsidRPr="00500931">
              <w:rPr>
                <w:rFonts w:cstheme="minorHAnsi"/>
                <w:szCs w:val="24"/>
              </w:rPr>
              <w:t>25.83</w:t>
            </w:r>
          </w:p>
        </w:tc>
        <w:tc>
          <w:tcPr>
            <w:tcW w:w="2258" w:type="dxa"/>
          </w:tcPr>
          <w:p w:rsidR="003C1FCE" w:rsidRPr="00500931" w:rsidRDefault="003C1FCE" w:rsidP="003246C2">
            <w:pPr>
              <w:jc w:val="right"/>
              <w:rPr>
                <w:rFonts w:cstheme="minorHAnsi"/>
                <w:szCs w:val="24"/>
              </w:rPr>
            </w:pPr>
            <w:r w:rsidRPr="00500931">
              <w:rPr>
                <w:rFonts w:cstheme="minorHAnsi"/>
                <w:szCs w:val="24"/>
              </w:rPr>
              <w:t>105.51</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2725.323</w:t>
            </w:r>
          </w:p>
        </w:tc>
      </w:tr>
      <w:tr w:rsidR="003C1FCE" w:rsidTr="003C1FCE">
        <w:trPr>
          <w:trHeight w:val="332"/>
          <w:jc w:val="center"/>
        </w:trPr>
        <w:tc>
          <w:tcPr>
            <w:tcW w:w="3253"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Biomass Fuels - Gaseous</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mmBtu / scf</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CO2 / mmBtu</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w:t>
            </w:r>
            <w:r>
              <w:rPr>
                <w:rFonts w:cstheme="minorHAnsi"/>
                <w:b/>
                <w:color w:val="FFFFFF" w:themeColor="background1"/>
                <w:szCs w:val="24"/>
              </w:rPr>
              <w:t xml:space="preserve"> scf</w:t>
            </w:r>
          </w:p>
        </w:tc>
      </w:tr>
      <w:tr w:rsidR="003C1FCE" w:rsidTr="003C1FCE">
        <w:trPr>
          <w:trHeight w:val="349"/>
          <w:jc w:val="center"/>
        </w:trPr>
        <w:tc>
          <w:tcPr>
            <w:tcW w:w="3253" w:type="dxa"/>
          </w:tcPr>
          <w:p w:rsidR="003C1FCE" w:rsidRPr="00500931" w:rsidRDefault="003C1FCE" w:rsidP="003246C2">
            <w:pPr>
              <w:rPr>
                <w:rFonts w:cstheme="minorHAnsi"/>
                <w:szCs w:val="24"/>
              </w:rPr>
            </w:pPr>
            <w:r w:rsidRPr="00500931">
              <w:rPr>
                <w:rFonts w:cstheme="minorHAnsi"/>
                <w:szCs w:val="24"/>
              </w:rPr>
              <w:t>Biogas (Captured methane)</w:t>
            </w:r>
          </w:p>
        </w:tc>
        <w:tc>
          <w:tcPr>
            <w:tcW w:w="2258" w:type="dxa"/>
          </w:tcPr>
          <w:p w:rsidR="003C1FCE" w:rsidRPr="00500931" w:rsidRDefault="003C1FCE" w:rsidP="003246C2">
            <w:pPr>
              <w:jc w:val="right"/>
              <w:rPr>
                <w:rFonts w:cstheme="minorHAnsi"/>
                <w:szCs w:val="24"/>
              </w:rPr>
            </w:pPr>
            <w:r w:rsidRPr="00500931">
              <w:rPr>
                <w:rFonts w:cstheme="minorHAnsi"/>
                <w:szCs w:val="24"/>
              </w:rPr>
              <w:t>0.841 x 10-3</w:t>
            </w:r>
          </w:p>
        </w:tc>
        <w:tc>
          <w:tcPr>
            <w:tcW w:w="2258" w:type="dxa"/>
          </w:tcPr>
          <w:p w:rsidR="003C1FCE" w:rsidRPr="00500931" w:rsidRDefault="003C1FCE" w:rsidP="003246C2">
            <w:pPr>
              <w:jc w:val="right"/>
              <w:rPr>
                <w:rFonts w:cstheme="minorHAnsi"/>
                <w:szCs w:val="24"/>
              </w:rPr>
            </w:pPr>
            <w:r w:rsidRPr="00500931">
              <w:rPr>
                <w:rFonts w:cstheme="minorHAnsi"/>
                <w:szCs w:val="24"/>
              </w:rPr>
              <w:t>52.07</w:t>
            </w:r>
          </w:p>
        </w:tc>
        <w:tc>
          <w:tcPr>
            <w:tcW w:w="2258" w:type="dxa"/>
          </w:tcPr>
          <w:p w:rsidR="003C1FCE" w:rsidRPr="00500931" w:rsidRDefault="003C1FCE" w:rsidP="003246C2">
            <w:pPr>
              <w:jc w:val="right"/>
              <w:rPr>
                <w:rFonts w:cstheme="minorHAnsi"/>
                <w:color w:val="000000"/>
                <w:szCs w:val="24"/>
              </w:rPr>
            </w:pPr>
            <w:r w:rsidRPr="00500931">
              <w:rPr>
                <w:rFonts w:cstheme="minorHAnsi"/>
                <w:color w:val="000000"/>
                <w:szCs w:val="24"/>
              </w:rPr>
              <w:t>0.044</w:t>
            </w:r>
          </w:p>
        </w:tc>
      </w:tr>
      <w:tr w:rsidR="003C1FCE" w:rsidTr="003C1FCE">
        <w:trPr>
          <w:trHeight w:val="349"/>
          <w:jc w:val="center"/>
        </w:trPr>
        <w:tc>
          <w:tcPr>
            <w:tcW w:w="3253"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Biomass Fuels - Liquid</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mmBtu / gallon</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CO2 / mmBtu</w:t>
            </w:r>
          </w:p>
        </w:tc>
        <w:tc>
          <w:tcPr>
            <w:tcW w:w="2258" w:type="dxa"/>
            <w:shd w:val="clear" w:color="auto" w:fill="595959" w:themeFill="text1" w:themeFillTint="A6"/>
          </w:tcPr>
          <w:p w:rsidR="003C1FCE" w:rsidRPr="00500931" w:rsidRDefault="003C1FCE" w:rsidP="003246C2">
            <w:pPr>
              <w:jc w:val="center"/>
              <w:rPr>
                <w:rFonts w:cstheme="minorHAnsi"/>
                <w:b/>
                <w:color w:val="FFFFFF" w:themeColor="background1"/>
                <w:szCs w:val="24"/>
              </w:rPr>
            </w:pPr>
            <w:r w:rsidRPr="00500931">
              <w:rPr>
                <w:rFonts w:cstheme="minorHAnsi"/>
                <w:b/>
                <w:color w:val="FFFFFF" w:themeColor="background1"/>
                <w:szCs w:val="24"/>
              </w:rPr>
              <w:t>kg CO</w:t>
            </w:r>
            <w:r w:rsidRPr="00500931">
              <w:rPr>
                <w:rFonts w:cstheme="minorHAnsi"/>
                <w:b/>
                <w:color w:val="FFFFFF" w:themeColor="background1"/>
                <w:szCs w:val="24"/>
                <w:vertAlign w:val="subscript"/>
              </w:rPr>
              <w:t>2</w:t>
            </w:r>
            <w:r w:rsidRPr="00500931">
              <w:rPr>
                <w:rFonts w:cstheme="minorHAnsi"/>
                <w:b/>
                <w:color w:val="FFFFFF" w:themeColor="background1"/>
                <w:szCs w:val="24"/>
              </w:rPr>
              <w:t xml:space="preserve"> /</w:t>
            </w:r>
            <w:r>
              <w:rPr>
                <w:rFonts w:cstheme="minorHAnsi"/>
                <w:b/>
                <w:color w:val="FFFFFF" w:themeColor="background1"/>
                <w:szCs w:val="24"/>
              </w:rPr>
              <w:t xml:space="preserve"> gallon</w:t>
            </w:r>
          </w:p>
        </w:tc>
      </w:tr>
      <w:tr w:rsidR="003C1FCE" w:rsidTr="003C1FCE">
        <w:trPr>
          <w:trHeight w:val="332"/>
          <w:jc w:val="center"/>
        </w:trPr>
        <w:tc>
          <w:tcPr>
            <w:tcW w:w="3253" w:type="dxa"/>
          </w:tcPr>
          <w:p w:rsidR="003C1FCE" w:rsidRPr="00500931" w:rsidRDefault="003C1FCE" w:rsidP="003246C2">
            <w:pPr>
              <w:rPr>
                <w:rFonts w:cstheme="minorHAnsi"/>
                <w:szCs w:val="24"/>
              </w:rPr>
            </w:pPr>
            <w:r w:rsidRPr="00500931">
              <w:rPr>
                <w:rFonts w:cstheme="minorHAnsi"/>
                <w:szCs w:val="24"/>
              </w:rPr>
              <w:t>Ethanol</w:t>
            </w:r>
          </w:p>
        </w:tc>
        <w:tc>
          <w:tcPr>
            <w:tcW w:w="2258" w:type="dxa"/>
          </w:tcPr>
          <w:p w:rsidR="003C1FCE" w:rsidRPr="00500931" w:rsidRDefault="003C1FCE" w:rsidP="003246C2">
            <w:pPr>
              <w:jc w:val="right"/>
              <w:rPr>
                <w:rFonts w:cstheme="minorHAnsi"/>
                <w:szCs w:val="24"/>
              </w:rPr>
            </w:pPr>
            <w:r w:rsidRPr="00500931">
              <w:rPr>
                <w:rFonts w:cstheme="minorHAnsi"/>
                <w:szCs w:val="24"/>
              </w:rPr>
              <w:t>0.084</w:t>
            </w:r>
          </w:p>
        </w:tc>
        <w:tc>
          <w:tcPr>
            <w:tcW w:w="2258" w:type="dxa"/>
          </w:tcPr>
          <w:p w:rsidR="003C1FCE" w:rsidRPr="00500931" w:rsidRDefault="003C1FCE" w:rsidP="003246C2">
            <w:pPr>
              <w:jc w:val="right"/>
              <w:rPr>
                <w:rFonts w:cstheme="minorHAnsi"/>
                <w:szCs w:val="24"/>
              </w:rPr>
            </w:pPr>
            <w:r w:rsidRPr="00500931">
              <w:rPr>
                <w:rFonts w:cstheme="minorHAnsi"/>
                <w:szCs w:val="24"/>
              </w:rPr>
              <w:t>68.44</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5.749</w:t>
            </w:r>
          </w:p>
        </w:tc>
      </w:tr>
      <w:tr w:rsidR="003C1FCE" w:rsidTr="003C1FCE">
        <w:trPr>
          <w:trHeight w:val="349"/>
          <w:jc w:val="center"/>
        </w:trPr>
        <w:tc>
          <w:tcPr>
            <w:tcW w:w="3253" w:type="dxa"/>
          </w:tcPr>
          <w:p w:rsidR="003C1FCE" w:rsidRPr="00500931" w:rsidRDefault="003C1FCE" w:rsidP="003246C2">
            <w:pPr>
              <w:rPr>
                <w:rFonts w:cstheme="minorHAnsi"/>
                <w:szCs w:val="24"/>
              </w:rPr>
            </w:pPr>
            <w:r w:rsidRPr="00500931">
              <w:rPr>
                <w:rFonts w:cstheme="minorHAnsi"/>
                <w:szCs w:val="24"/>
              </w:rPr>
              <w:t>Biodiesel</w:t>
            </w:r>
          </w:p>
        </w:tc>
        <w:tc>
          <w:tcPr>
            <w:tcW w:w="2258" w:type="dxa"/>
          </w:tcPr>
          <w:p w:rsidR="003C1FCE" w:rsidRPr="00500931" w:rsidRDefault="003C1FCE" w:rsidP="003246C2">
            <w:pPr>
              <w:jc w:val="right"/>
              <w:rPr>
                <w:rFonts w:cstheme="minorHAnsi"/>
                <w:szCs w:val="24"/>
              </w:rPr>
            </w:pPr>
            <w:r w:rsidRPr="00500931">
              <w:rPr>
                <w:rFonts w:cstheme="minorHAnsi"/>
                <w:szCs w:val="24"/>
              </w:rPr>
              <w:t>0.128</w:t>
            </w:r>
          </w:p>
        </w:tc>
        <w:tc>
          <w:tcPr>
            <w:tcW w:w="2258" w:type="dxa"/>
          </w:tcPr>
          <w:p w:rsidR="003C1FCE" w:rsidRPr="00500931" w:rsidRDefault="003C1FCE" w:rsidP="003246C2">
            <w:pPr>
              <w:jc w:val="right"/>
              <w:rPr>
                <w:rFonts w:cstheme="minorHAnsi"/>
                <w:szCs w:val="24"/>
              </w:rPr>
            </w:pPr>
            <w:r w:rsidRPr="00500931">
              <w:rPr>
                <w:rFonts w:cstheme="minorHAnsi"/>
                <w:szCs w:val="24"/>
              </w:rPr>
              <w:t>73.84</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9.452</w:t>
            </w:r>
          </w:p>
        </w:tc>
      </w:tr>
      <w:tr w:rsidR="003C1FCE" w:rsidTr="003C1FCE">
        <w:trPr>
          <w:trHeight w:val="332"/>
          <w:jc w:val="center"/>
        </w:trPr>
        <w:tc>
          <w:tcPr>
            <w:tcW w:w="3253" w:type="dxa"/>
          </w:tcPr>
          <w:p w:rsidR="003C1FCE" w:rsidRPr="00500931" w:rsidRDefault="003C1FCE" w:rsidP="003246C2">
            <w:pPr>
              <w:rPr>
                <w:rFonts w:cstheme="minorHAnsi"/>
                <w:szCs w:val="24"/>
              </w:rPr>
            </w:pPr>
            <w:r w:rsidRPr="00500931">
              <w:rPr>
                <w:rFonts w:cstheme="minorHAnsi"/>
                <w:szCs w:val="24"/>
              </w:rPr>
              <w:t>Rendered Animal Fat</w:t>
            </w:r>
          </w:p>
        </w:tc>
        <w:tc>
          <w:tcPr>
            <w:tcW w:w="2258" w:type="dxa"/>
          </w:tcPr>
          <w:p w:rsidR="003C1FCE" w:rsidRPr="00500931" w:rsidRDefault="003C1FCE" w:rsidP="003246C2">
            <w:pPr>
              <w:jc w:val="right"/>
              <w:rPr>
                <w:rFonts w:cstheme="minorHAnsi"/>
                <w:szCs w:val="24"/>
              </w:rPr>
            </w:pPr>
            <w:r w:rsidRPr="00500931">
              <w:rPr>
                <w:rFonts w:cstheme="minorHAnsi"/>
                <w:szCs w:val="24"/>
              </w:rPr>
              <w:t>0.125</w:t>
            </w:r>
          </w:p>
        </w:tc>
        <w:tc>
          <w:tcPr>
            <w:tcW w:w="2258" w:type="dxa"/>
          </w:tcPr>
          <w:p w:rsidR="003C1FCE" w:rsidRPr="00500931" w:rsidRDefault="003C1FCE" w:rsidP="003246C2">
            <w:pPr>
              <w:autoSpaceDE w:val="0"/>
              <w:autoSpaceDN w:val="0"/>
              <w:adjustRightInd w:val="0"/>
              <w:jc w:val="right"/>
              <w:rPr>
                <w:rFonts w:cstheme="minorHAnsi"/>
                <w:szCs w:val="24"/>
              </w:rPr>
            </w:pPr>
            <w:r w:rsidRPr="00500931">
              <w:rPr>
                <w:rFonts w:cstheme="minorHAnsi"/>
                <w:szCs w:val="24"/>
              </w:rPr>
              <w:t>71.06</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8.883</w:t>
            </w:r>
          </w:p>
        </w:tc>
      </w:tr>
      <w:tr w:rsidR="003C1FCE" w:rsidTr="003C1FCE">
        <w:trPr>
          <w:trHeight w:val="367"/>
          <w:jc w:val="center"/>
        </w:trPr>
        <w:tc>
          <w:tcPr>
            <w:tcW w:w="3253" w:type="dxa"/>
          </w:tcPr>
          <w:p w:rsidR="003C1FCE" w:rsidRPr="00500931" w:rsidRDefault="003C1FCE" w:rsidP="003246C2">
            <w:pPr>
              <w:rPr>
                <w:rFonts w:cstheme="minorHAnsi"/>
                <w:szCs w:val="24"/>
              </w:rPr>
            </w:pPr>
            <w:r w:rsidRPr="00500931">
              <w:rPr>
                <w:rFonts w:cstheme="minorHAnsi"/>
                <w:szCs w:val="24"/>
              </w:rPr>
              <w:t>Vegetable Oil</w:t>
            </w:r>
          </w:p>
        </w:tc>
        <w:tc>
          <w:tcPr>
            <w:tcW w:w="2258" w:type="dxa"/>
          </w:tcPr>
          <w:p w:rsidR="003C1FCE" w:rsidRPr="00500931" w:rsidRDefault="003C1FCE" w:rsidP="003246C2">
            <w:pPr>
              <w:jc w:val="right"/>
              <w:rPr>
                <w:rFonts w:cstheme="minorHAnsi"/>
                <w:szCs w:val="24"/>
              </w:rPr>
            </w:pPr>
            <w:r w:rsidRPr="00500931">
              <w:rPr>
                <w:rFonts w:cstheme="minorHAnsi"/>
                <w:szCs w:val="24"/>
              </w:rPr>
              <w:t>0.120</w:t>
            </w:r>
          </w:p>
        </w:tc>
        <w:tc>
          <w:tcPr>
            <w:tcW w:w="2258" w:type="dxa"/>
          </w:tcPr>
          <w:p w:rsidR="003C1FCE" w:rsidRPr="00500931" w:rsidRDefault="003C1FCE" w:rsidP="003246C2">
            <w:pPr>
              <w:jc w:val="right"/>
              <w:rPr>
                <w:rFonts w:cstheme="minorHAnsi"/>
                <w:szCs w:val="24"/>
              </w:rPr>
            </w:pPr>
            <w:r w:rsidRPr="00500931">
              <w:rPr>
                <w:rFonts w:cstheme="minorHAnsi"/>
                <w:szCs w:val="24"/>
              </w:rPr>
              <w:t>81.55</w:t>
            </w:r>
          </w:p>
        </w:tc>
        <w:tc>
          <w:tcPr>
            <w:tcW w:w="2258" w:type="dxa"/>
            <w:vAlign w:val="bottom"/>
          </w:tcPr>
          <w:p w:rsidR="003C1FCE" w:rsidRPr="00500931" w:rsidRDefault="003C1FCE" w:rsidP="003246C2">
            <w:pPr>
              <w:jc w:val="right"/>
              <w:rPr>
                <w:rFonts w:cstheme="minorHAnsi"/>
                <w:color w:val="000000"/>
                <w:szCs w:val="24"/>
              </w:rPr>
            </w:pPr>
            <w:r w:rsidRPr="00500931">
              <w:rPr>
                <w:rFonts w:cstheme="minorHAnsi"/>
                <w:color w:val="000000"/>
                <w:szCs w:val="24"/>
              </w:rPr>
              <w:t>9.786</w:t>
            </w:r>
          </w:p>
        </w:tc>
      </w:tr>
    </w:tbl>
    <w:p w:rsidR="008F49A7" w:rsidRPr="00720D9E" w:rsidRDefault="008F49A7" w:rsidP="00521E4C"/>
    <w:p w:rsidR="0014503C" w:rsidRDefault="0014503C" w:rsidP="00521E4C"/>
    <w:p w:rsidR="00795CC1" w:rsidRDefault="00795CC1" w:rsidP="00521E4C"/>
    <w:p w:rsidR="00795CC1" w:rsidRDefault="00795CC1" w:rsidP="00521E4C"/>
    <w:p w:rsidR="00795CC1" w:rsidRPr="00720D9E" w:rsidRDefault="00795CC1" w:rsidP="00521E4C"/>
    <w:p w:rsidR="00795CC1" w:rsidRDefault="00795CC1">
      <w:pPr>
        <w:spacing w:line="240" w:lineRule="auto"/>
        <w:rPr>
          <w:rFonts w:eastAsiaTheme="majorEastAsia" w:cstheme="majorBidi"/>
          <w:b/>
          <w:bCs/>
          <w:color w:val="auto"/>
        </w:rPr>
      </w:pPr>
      <w:r>
        <w:br w:type="page"/>
      </w:r>
    </w:p>
    <w:p w:rsidR="00795CC1" w:rsidRPr="00795CC1" w:rsidRDefault="00521E4C" w:rsidP="00795CC1">
      <w:pPr>
        <w:pStyle w:val="Heading3"/>
      </w:pPr>
      <w:bookmarkStart w:id="64" w:name="_Toc364243238"/>
      <w:r w:rsidRPr="00720D9E">
        <w:lastRenderedPageBreak/>
        <w:t>Table A.2 Emissions &amp; Generation Resource Integrated Database (eGRID) Table</w:t>
      </w:r>
      <w:bookmarkEnd w:id="64"/>
      <w:r w:rsidRPr="00720D9E">
        <w:t xml:space="preserve"> </w:t>
      </w:r>
    </w:p>
    <w:tbl>
      <w:tblPr>
        <w:tblStyle w:val="TableGrid"/>
        <w:tblpPr w:leftFromText="180" w:rightFromText="180" w:vertAnchor="page" w:horzAnchor="margin" w:tblpY="1944"/>
        <w:tblW w:w="0" w:type="auto"/>
        <w:tblLook w:val="04A0" w:firstRow="1" w:lastRow="0" w:firstColumn="1" w:lastColumn="0" w:noHBand="0" w:noVBand="1"/>
      </w:tblPr>
      <w:tblGrid>
        <w:gridCol w:w="1278"/>
        <w:gridCol w:w="3060"/>
        <w:gridCol w:w="2520"/>
        <w:gridCol w:w="2718"/>
      </w:tblGrid>
      <w:tr w:rsidR="00795CC1" w:rsidTr="00795CC1">
        <w:tc>
          <w:tcPr>
            <w:tcW w:w="1278" w:type="dxa"/>
            <w:vMerge w:val="restart"/>
            <w:shd w:val="clear" w:color="auto" w:fill="595959" w:themeFill="text1" w:themeFillTint="A6"/>
            <w:vAlign w:val="center"/>
          </w:tcPr>
          <w:p w:rsidR="00795CC1" w:rsidRPr="00386A93" w:rsidRDefault="00795CC1" w:rsidP="00795CC1">
            <w:pPr>
              <w:jc w:val="center"/>
              <w:rPr>
                <w:rFonts w:cstheme="minorHAnsi"/>
                <w:b/>
                <w:color w:val="FFFFFF" w:themeColor="background1"/>
                <w:szCs w:val="24"/>
              </w:rPr>
            </w:pPr>
            <w:r w:rsidRPr="00386A93">
              <w:rPr>
                <w:rFonts w:cstheme="minorHAnsi"/>
                <w:b/>
                <w:color w:val="FFFFFF" w:themeColor="background1"/>
                <w:szCs w:val="24"/>
              </w:rPr>
              <w:t>eGRID subregion acronym</w:t>
            </w:r>
          </w:p>
        </w:tc>
        <w:tc>
          <w:tcPr>
            <w:tcW w:w="3060" w:type="dxa"/>
            <w:vMerge w:val="restart"/>
            <w:shd w:val="clear" w:color="auto" w:fill="595959" w:themeFill="text1" w:themeFillTint="A6"/>
            <w:vAlign w:val="center"/>
          </w:tcPr>
          <w:p w:rsidR="00795CC1" w:rsidRPr="00386A93" w:rsidRDefault="00795CC1" w:rsidP="00795CC1">
            <w:pPr>
              <w:jc w:val="center"/>
              <w:rPr>
                <w:rFonts w:cstheme="minorHAnsi"/>
                <w:b/>
                <w:color w:val="FFFFFF" w:themeColor="background1"/>
                <w:szCs w:val="24"/>
              </w:rPr>
            </w:pPr>
            <w:r w:rsidRPr="00386A93">
              <w:rPr>
                <w:rFonts w:cstheme="minorHAnsi"/>
                <w:b/>
                <w:color w:val="FFFFFF" w:themeColor="background1"/>
                <w:szCs w:val="24"/>
              </w:rPr>
              <w:t>eGRID subregion name</w:t>
            </w:r>
          </w:p>
        </w:tc>
        <w:tc>
          <w:tcPr>
            <w:tcW w:w="5238" w:type="dxa"/>
            <w:gridSpan w:val="2"/>
            <w:shd w:val="clear" w:color="auto" w:fill="595959" w:themeFill="text1" w:themeFillTint="A6"/>
            <w:vAlign w:val="center"/>
          </w:tcPr>
          <w:p w:rsidR="00795CC1" w:rsidRPr="00386A93" w:rsidRDefault="00795CC1" w:rsidP="00795CC1">
            <w:pPr>
              <w:jc w:val="center"/>
              <w:rPr>
                <w:rFonts w:cstheme="minorHAnsi"/>
                <w:b/>
                <w:color w:val="FFFFFF" w:themeColor="background1"/>
                <w:szCs w:val="24"/>
              </w:rPr>
            </w:pPr>
            <w:r w:rsidRPr="00386A93">
              <w:rPr>
                <w:rFonts w:cstheme="minorHAnsi"/>
                <w:b/>
                <w:color w:val="FFFFFF" w:themeColor="background1"/>
                <w:szCs w:val="24"/>
              </w:rPr>
              <w:t>Annual output emission rates</w:t>
            </w:r>
          </w:p>
        </w:tc>
      </w:tr>
      <w:tr w:rsidR="00795CC1" w:rsidTr="003C1FCE">
        <w:trPr>
          <w:trHeight w:val="651"/>
        </w:trPr>
        <w:tc>
          <w:tcPr>
            <w:tcW w:w="1278" w:type="dxa"/>
            <w:vMerge/>
            <w:shd w:val="clear" w:color="auto" w:fill="595959" w:themeFill="text1" w:themeFillTint="A6"/>
            <w:vAlign w:val="center"/>
          </w:tcPr>
          <w:p w:rsidR="00795CC1" w:rsidRPr="00386A93" w:rsidRDefault="00795CC1" w:rsidP="00795CC1">
            <w:pPr>
              <w:jc w:val="center"/>
              <w:rPr>
                <w:rFonts w:cstheme="minorHAnsi"/>
                <w:b/>
                <w:color w:val="FFFFFF" w:themeColor="background1"/>
                <w:szCs w:val="24"/>
              </w:rPr>
            </w:pPr>
          </w:p>
        </w:tc>
        <w:tc>
          <w:tcPr>
            <w:tcW w:w="3060" w:type="dxa"/>
            <w:vMerge/>
            <w:shd w:val="clear" w:color="auto" w:fill="595959" w:themeFill="text1" w:themeFillTint="A6"/>
            <w:vAlign w:val="center"/>
          </w:tcPr>
          <w:p w:rsidR="00795CC1" w:rsidRPr="00386A93" w:rsidRDefault="00795CC1" w:rsidP="00795CC1">
            <w:pPr>
              <w:jc w:val="center"/>
              <w:rPr>
                <w:rFonts w:cstheme="minorHAnsi"/>
                <w:b/>
                <w:color w:val="FFFFFF" w:themeColor="background1"/>
                <w:szCs w:val="24"/>
              </w:rPr>
            </w:pPr>
          </w:p>
        </w:tc>
        <w:tc>
          <w:tcPr>
            <w:tcW w:w="2520" w:type="dxa"/>
            <w:shd w:val="clear" w:color="auto" w:fill="595959" w:themeFill="text1" w:themeFillTint="A6"/>
            <w:vAlign w:val="center"/>
          </w:tcPr>
          <w:p w:rsidR="00795CC1" w:rsidRPr="00386A93" w:rsidRDefault="00795CC1" w:rsidP="00795CC1">
            <w:pPr>
              <w:jc w:val="center"/>
              <w:rPr>
                <w:rFonts w:cstheme="minorHAnsi"/>
                <w:b/>
                <w:color w:val="FFFFFF" w:themeColor="background1"/>
                <w:szCs w:val="24"/>
              </w:rPr>
            </w:pPr>
            <w:r w:rsidRPr="00386A93">
              <w:rPr>
                <w:rFonts w:cstheme="minorHAnsi"/>
                <w:b/>
                <w:color w:val="FFFFFF" w:themeColor="background1"/>
                <w:szCs w:val="24"/>
              </w:rPr>
              <w:t>(lb CO</w:t>
            </w:r>
            <w:r w:rsidRPr="00386A93">
              <w:rPr>
                <w:rFonts w:cstheme="minorHAnsi"/>
                <w:b/>
                <w:color w:val="FFFFFF" w:themeColor="background1"/>
                <w:szCs w:val="24"/>
                <w:vertAlign w:val="subscript"/>
              </w:rPr>
              <w:t>2</w:t>
            </w:r>
            <w:r w:rsidRPr="00386A93">
              <w:rPr>
                <w:rFonts w:cstheme="minorHAnsi"/>
                <w:b/>
                <w:color w:val="FFFFFF" w:themeColor="background1"/>
                <w:szCs w:val="24"/>
              </w:rPr>
              <w:t>/MWh)</w:t>
            </w:r>
          </w:p>
        </w:tc>
        <w:tc>
          <w:tcPr>
            <w:tcW w:w="2718" w:type="dxa"/>
            <w:shd w:val="clear" w:color="auto" w:fill="595959" w:themeFill="text1" w:themeFillTint="A6"/>
            <w:vAlign w:val="center"/>
          </w:tcPr>
          <w:p w:rsidR="00795CC1" w:rsidRPr="00386A93" w:rsidRDefault="00795CC1" w:rsidP="00795CC1">
            <w:pPr>
              <w:jc w:val="center"/>
              <w:rPr>
                <w:rFonts w:cstheme="minorHAnsi"/>
                <w:b/>
                <w:color w:val="FFFFFF" w:themeColor="background1"/>
                <w:szCs w:val="24"/>
              </w:rPr>
            </w:pPr>
            <w:r w:rsidRPr="00386A93">
              <w:rPr>
                <w:rFonts w:cstheme="minorHAnsi"/>
                <w:b/>
                <w:color w:val="FFFFFF" w:themeColor="background1"/>
                <w:szCs w:val="24"/>
              </w:rPr>
              <w:t>(metric ton CO</w:t>
            </w:r>
            <w:r w:rsidRPr="00386A93">
              <w:rPr>
                <w:rFonts w:cstheme="minorHAnsi"/>
                <w:b/>
                <w:color w:val="FFFFFF" w:themeColor="background1"/>
                <w:szCs w:val="24"/>
                <w:vertAlign w:val="subscript"/>
              </w:rPr>
              <w:t>2</w:t>
            </w:r>
            <w:r w:rsidRPr="00386A93">
              <w:rPr>
                <w:rFonts w:cstheme="minorHAnsi"/>
                <w:b/>
                <w:color w:val="FFFFFF" w:themeColor="background1"/>
                <w:szCs w:val="24"/>
              </w:rPr>
              <w:t>/MWH)*</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AKGD</w:t>
            </w:r>
          </w:p>
        </w:tc>
        <w:tc>
          <w:tcPr>
            <w:tcW w:w="3060" w:type="dxa"/>
          </w:tcPr>
          <w:p w:rsidR="00795CC1" w:rsidRPr="00CA3092" w:rsidRDefault="00795CC1" w:rsidP="00795CC1">
            <w:pPr>
              <w:rPr>
                <w:rFonts w:cstheme="minorHAnsi"/>
                <w:szCs w:val="24"/>
              </w:rPr>
            </w:pPr>
            <w:r w:rsidRPr="00CA3092">
              <w:rPr>
                <w:rFonts w:cstheme="minorHAnsi"/>
                <w:szCs w:val="24"/>
              </w:rPr>
              <w:t>ASCC Alaska Grid</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1,280.86</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0.633</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AKMS</w:t>
            </w:r>
          </w:p>
        </w:tc>
        <w:tc>
          <w:tcPr>
            <w:tcW w:w="3060" w:type="dxa"/>
          </w:tcPr>
          <w:p w:rsidR="00795CC1" w:rsidRPr="00CA3092" w:rsidRDefault="00795CC1" w:rsidP="00795CC1">
            <w:pPr>
              <w:rPr>
                <w:rFonts w:cstheme="minorHAnsi"/>
                <w:szCs w:val="24"/>
              </w:rPr>
            </w:pPr>
            <w:r w:rsidRPr="00CA3092">
              <w:rPr>
                <w:rFonts w:cstheme="minorHAnsi"/>
                <w:szCs w:val="24"/>
              </w:rPr>
              <w:t>ASCC Miscellaneous</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521.26</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0.257</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AZNM</w:t>
            </w:r>
          </w:p>
        </w:tc>
        <w:tc>
          <w:tcPr>
            <w:tcW w:w="3060" w:type="dxa"/>
          </w:tcPr>
          <w:p w:rsidR="00795CC1" w:rsidRPr="00CA3092" w:rsidRDefault="00795CC1" w:rsidP="00795CC1">
            <w:pPr>
              <w:rPr>
                <w:rFonts w:cstheme="minorHAnsi"/>
                <w:szCs w:val="24"/>
              </w:rPr>
            </w:pPr>
            <w:r w:rsidRPr="00CA3092">
              <w:rPr>
                <w:rFonts w:cstheme="minorHAnsi"/>
                <w:szCs w:val="24"/>
              </w:rPr>
              <w:t>WECC Southwest</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1,191.35</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0.588</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CAMX</w:t>
            </w:r>
          </w:p>
        </w:tc>
        <w:tc>
          <w:tcPr>
            <w:tcW w:w="3060" w:type="dxa"/>
          </w:tcPr>
          <w:p w:rsidR="00795CC1" w:rsidRPr="00CA3092" w:rsidRDefault="00795CC1" w:rsidP="00795CC1">
            <w:pPr>
              <w:rPr>
                <w:rFonts w:cstheme="minorHAnsi"/>
                <w:szCs w:val="24"/>
              </w:rPr>
            </w:pPr>
            <w:r w:rsidRPr="00CA3092">
              <w:rPr>
                <w:rFonts w:cstheme="minorHAnsi"/>
                <w:szCs w:val="24"/>
              </w:rPr>
              <w:t>WECC California</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658.68</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0.325</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 xml:space="preserve">ERCT </w:t>
            </w:r>
          </w:p>
        </w:tc>
        <w:tc>
          <w:tcPr>
            <w:tcW w:w="3060" w:type="dxa"/>
          </w:tcPr>
          <w:p w:rsidR="00795CC1" w:rsidRPr="00CA3092" w:rsidRDefault="00795CC1" w:rsidP="00795CC1">
            <w:pPr>
              <w:rPr>
                <w:rFonts w:cstheme="minorHAnsi"/>
                <w:szCs w:val="24"/>
              </w:rPr>
            </w:pPr>
            <w:r w:rsidRPr="00CA3092">
              <w:rPr>
                <w:rFonts w:cstheme="minorHAnsi"/>
                <w:szCs w:val="24"/>
              </w:rPr>
              <w:t>ERCOT All</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1,181.73</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0.584</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FRCC</w:t>
            </w:r>
          </w:p>
        </w:tc>
        <w:tc>
          <w:tcPr>
            <w:tcW w:w="3060" w:type="dxa"/>
          </w:tcPr>
          <w:p w:rsidR="00795CC1" w:rsidRPr="00CA3092" w:rsidRDefault="00795CC1" w:rsidP="00795CC1">
            <w:pPr>
              <w:rPr>
                <w:rFonts w:cstheme="minorHAnsi"/>
                <w:szCs w:val="24"/>
              </w:rPr>
            </w:pPr>
            <w:r w:rsidRPr="00CA3092">
              <w:rPr>
                <w:rFonts w:cstheme="minorHAnsi"/>
                <w:szCs w:val="24"/>
              </w:rPr>
              <w:t>FRCC All</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1,176.61</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0.581</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HIMS</w:t>
            </w:r>
          </w:p>
        </w:tc>
        <w:tc>
          <w:tcPr>
            <w:tcW w:w="3060" w:type="dxa"/>
          </w:tcPr>
          <w:p w:rsidR="00795CC1" w:rsidRPr="00CA3092" w:rsidRDefault="00795CC1" w:rsidP="00795CC1">
            <w:pPr>
              <w:rPr>
                <w:rFonts w:cstheme="minorHAnsi"/>
                <w:szCs w:val="24"/>
              </w:rPr>
            </w:pPr>
            <w:r w:rsidRPr="00CA3092">
              <w:rPr>
                <w:rFonts w:cstheme="minorHAnsi"/>
                <w:szCs w:val="24"/>
              </w:rPr>
              <w:t>HICC Miscellaneous</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1,351.66</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0.668</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HIOA</w:t>
            </w:r>
          </w:p>
        </w:tc>
        <w:tc>
          <w:tcPr>
            <w:tcW w:w="3060" w:type="dxa"/>
          </w:tcPr>
          <w:p w:rsidR="00795CC1" w:rsidRPr="00CA3092" w:rsidRDefault="00795CC1" w:rsidP="00795CC1">
            <w:pPr>
              <w:rPr>
                <w:rFonts w:cstheme="minorHAnsi"/>
                <w:szCs w:val="24"/>
              </w:rPr>
            </w:pPr>
            <w:r w:rsidRPr="00CA3092">
              <w:rPr>
                <w:rFonts w:cstheme="minorHAnsi"/>
                <w:szCs w:val="24"/>
              </w:rPr>
              <w:t>HICC Oahu</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1,593.35</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0.787</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MORE</w:t>
            </w:r>
          </w:p>
        </w:tc>
        <w:tc>
          <w:tcPr>
            <w:tcW w:w="3060" w:type="dxa"/>
          </w:tcPr>
          <w:p w:rsidR="00795CC1" w:rsidRPr="00CA3092" w:rsidRDefault="00795CC1" w:rsidP="00795CC1">
            <w:pPr>
              <w:rPr>
                <w:rFonts w:cstheme="minorHAnsi"/>
                <w:szCs w:val="24"/>
              </w:rPr>
            </w:pPr>
            <w:r w:rsidRPr="00CA3092">
              <w:rPr>
                <w:rFonts w:cstheme="minorHAnsi"/>
                <w:szCs w:val="24"/>
              </w:rPr>
              <w:t>MRO East</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1,591.65</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0.786</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MROW</w:t>
            </w:r>
          </w:p>
        </w:tc>
        <w:tc>
          <w:tcPr>
            <w:tcW w:w="3060" w:type="dxa"/>
          </w:tcPr>
          <w:p w:rsidR="00795CC1" w:rsidRPr="00CA3092" w:rsidRDefault="00795CC1" w:rsidP="00795CC1">
            <w:pPr>
              <w:rPr>
                <w:rFonts w:cstheme="minorHAnsi"/>
                <w:szCs w:val="24"/>
              </w:rPr>
            </w:pPr>
            <w:r w:rsidRPr="00CA3092">
              <w:rPr>
                <w:rFonts w:cstheme="minorHAnsi"/>
                <w:szCs w:val="24"/>
              </w:rPr>
              <w:t>MRO West</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1,628.60</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0.804</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NEWE</w:t>
            </w:r>
          </w:p>
        </w:tc>
        <w:tc>
          <w:tcPr>
            <w:tcW w:w="3060" w:type="dxa"/>
          </w:tcPr>
          <w:p w:rsidR="00795CC1" w:rsidRPr="00CA3092" w:rsidRDefault="00795CC1" w:rsidP="00795CC1">
            <w:pPr>
              <w:rPr>
                <w:rFonts w:cstheme="minorHAnsi"/>
                <w:szCs w:val="24"/>
              </w:rPr>
            </w:pPr>
            <w:r w:rsidRPr="00CA3092">
              <w:rPr>
                <w:rFonts w:cstheme="minorHAnsi"/>
                <w:szCs w:val="24"/>
              </w:rPr>
              <w:t>NPCC New England</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728.41</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0.360</w:t>
            </w:r>
          </w:p>
        </w:tc>
      </w:tr>
      <w:tr w:rsidR="00795CC1" w:rsidTr="003C1FCE">
        <w:trPr>
          <w:trHeight w:hRule="exact" w:val="410"/>
        </w:trPr>
        <w:tc>
          <w:tcPr>
            <w:tcW w:w="1278" w:type="dxa"/>
          </w:tcPr>
          <w:p w:rsidR="00795CC1" w:rsidRPr="00CA3092" w:rsidRDefault="00795CC1" w:rsidP="00795CC1">
            <w:pPr>
              <w:rPr>
                <w:rFonts w:cstheme="minorHAnsi"/>
                <w:szCs w:val="24"/>
              </w:rPr>
            </w:pPr>
            <w:r w:rsidRPr="00CA3092">
              <w:rPr>
                <w:rFonts w:cstheme="minorHAnsi"/>
                <w:szCs w:val="24"/>
              </w:rPr>
              <w:t>NWPP</w:t>
            </w:r>
          </w:p>
        </w:tc>
        <w:tc>
          <w:tcPr>
            <w:tcW w:w="3060" w:type="dxa"/>
          </w:tcPr>
          <w:p w:rsidR="00795CC1" w:rsidRPr="00CA3092" w:rsidRDefault="00795CC1" w:rsidP="00795CC1">
            <w:pPr>
              <w:rPr>
                <w:rFonts w:cstheme="minorHAnsi"/>
                <w:szCs w:val="24"/>
              </w:rPr>
            </w:pPr>
            <w:r w:rsidRPr="00CA3092">
              <w:rPr>
                <w:rFonts w:cstheme="minorHAnsi"/>
                <w:szCs w:val="24"/>
              </w:rPr>
              <w:t>WECC Northwest</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819.21</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0.405</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NYCW</w:t>
            </w:r>
          </w:p>
        </w:tc>
        <w:tc>
          <w:tcPr>
            <w:tcW w:w="3060" w:type="dxa"/>
          </w:tcPr>
          <w:p w:rsidR="00795CC1" w:rsidRPr="00CA3092" w:rsidRDefault="00795CC1" w:rsidP="00795CC1">
            <w:pPr>
              <w:rPr>
                <w:rFonts w:cstheme="minorHAnsi"/>
                <w:szCs w:val="24"/>
              </w:rPr>
            </w:pPr>
            <w:r w:rsidRPr="00CA3092">
              <w:rPr>
                <w:rFonts w:cstheme="minorHAnsi"/>
                <w:szCs w:val="24"/>
              </w:rPr>
              <w:t>NPCC NYC/Westchester</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610.67</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0.302</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NYLI</w:t>
            </w:r>
          </w:p>
        </w:tc>
        <w:tc>
          <w:tcPr>
            <w:tcW w:w="3060" w:type="dxa"/>
          </w:tcPr>
          <w:p w:rsidR="00795CC1" w:rsidRPr="00CA3092" w:rsidRDefault="00795CC1" w:rsidP="00795CC1">
            <w:pPr>
              <w:rPr>
                <w:rFonts w:cstheme="minorHAnsi"/>
                <w:szCs w:val="24"/>
              </w:rPr>
            </w:pPr>
            <w:r w:rsidRPr="00CA3092">
              <w:rPr>
                <w:rFonts w:cstheme="minorHAnsi"/>
                <w:szCs w:val="24"/>
              </w:rPr>
              <w:t>NPCC Long Island</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1,347.99</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0.666</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NYUP</w:t>
            </w:r>
          </w:p>
        </w:tc>
        <w:tc>
          <w:tcPr>
            <w:tcW w:w="3060" w:type="dxa"/>
          </w:tcPr>
          <w:p w:rsidR="00795CC1" w:rsidRPr="00CA3092" w:rsidRDefault="00795CC1" w:rsidP="00795CC1">
            <w:pPr>
              <w:rPr>
                <w:rFonts w:cstheme="minorHAnsi"/>
                <w:szCs w:val="24"/>
              </w:rPr>
            </w:pPr>
            <w:r w:rsidRPr="00CA3092">
              <w:rPr>
                <w:rFonts w:cstheme="minorHAnsi"/>
                <w:szCs w:val="24"/>
              </w:rPr>
              <w:t>NPCC Upstate NY</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497.92</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0.246</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RFCE</w:t>
            </w:r>
          </w:p>
        </w:tc>
        <w:tc>
          <w:tcPr>
            <w:tcW w:w="3060" w:type="dxa"/>
          </w:tcPr>
          <w:p w:rsidR="00795CC1" w:rsidRPr="00CA3092" w:rsidRDefault="00795CC1" w:rsidP="00795CC1">
            <w:pPr>
              <w:rPr>
                <w:rFonts w:cstheme="minorHAnsi"/>
                <w:szCs w:val="24"/>
              </w:rPr>
            </w:pPr>
            <w:r w:rsidRPr="00CA3092">
              <w:rPr>
                <w:rFonts w:cstheme="minorHAnsi"/>
                <w:szCs w:val="24"/>
              </w:rPr>
              <w:t>RFC East</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947.42</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0.468</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RFCM</w:t>
            </w:r>
          </w:p>
        </w:tc>
        <w:tc>
          <w:tcPr>
            <w:tcW w:w="3060" w:type="dxa"/>
          </w:tcPr>
          <w:p w:rsidR="00795CC1" w:rsidRPr="00CA3092" w:rsidRDefault="00795CC1" w:rsidP="00795CC1">
            <w:pPr>
              <w:rPr>
                <w:rFonts w:cstheme="minorHAnsi"/>
                <w:szCs w:val="24"/>
              </w:rPr>
            </w:pPr>
            <w:r w:rsidRPr="00CA3092">
              <w:rPr>
                <w:rFonts w:cstheme="minorHAnsi"/>
                <w:szCs w:val="24"/>
              </w:rPr>
              <w:t>RFC Michigan</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1,659.46</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0.820</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RFCW</w:t>
            </w:r>
          </w:p>
        </w:tc>
        <w:tc>
          <w:tcPr>
            <w:tcW w:w="3060" w:type="dxa"/>
          </w:tcPr>
          <w:p w:rsidR="00795CC1" w:rsidRPr="00CA3092" w:rsidRDefault="00795CC1" w:rsidP="00795CC1">
            <w:pPr>
              <w:rPr>
                <w:rFonts w:cstheme="minorHAnsi"/>
                <w:szCs w:val="24"/>
              </w:rPr>
            </w:pPr>
            <w:r w:rsidRPr="00CA3092">
              <w:rPr>
                <w:rFonts w:cstheme="minorHAnsi"/>
                <w:szCs w:val="24"/>
              </w:rPr>
              <w:t>RFC West</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1,520.59</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0.751</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RMPA</w:t>
            </w:r>
          </w:p>
        </w:tc>
        <w:tc>
          <w:tcPr>
            <w:tcW w:w="3060" w:type="dxa"/>
          </w:tcPr>
          <w:p w:rsidR="00795CC1" w:rsidRPr="00CA3092" w:rsidRDefault="00795CC1" w:rsidP="00795CC1">
            <w:pPr>
              <w:rPr>
                <w:rFonts w:cstheme="minorHAnsi"/>
                <w:szCs w:val="24"/>
              </w:rPr>
            </w:pPr>
            <w:r w:rsidRPr="00CA3092">
              <w:rPr>
                <w:rFonts w:cstheme="minorHAnsi"/>
                <w:szCs w:val="24"/>
              </w:rPr>
              <w:t>WECC Rockies</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1,824.51</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0.901</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SPNO</w:t>
            </w:r>
          </w:p>
        </w:tc>
        <w:tc>
          <w:tcPr>
            <w:tcW w:w="3060" w:type="dxa"/>
          </w:tcPr>
          <w:p w:rsidR="00795CC1" w:rsidRPr="00CA3092" w:rsidRDefault="00795CC1" w:rsidP="00795CC1">
            <w:pPr>
              <w:rPr>
                <w:rFonts w:cstheme="minorHAnsi"/>
                <w:szCs w:val="24"/>
              </w:rPr>
            </w:pPr>
            <w:r w:rsidRPr="00CA3092">
              <w:rPr>
                <w:rFonts w:cstheme="minorHAnsi"/>
                <w:szCs w:val="24"/>
              </w:rPr>
              <w:t>SPP North</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1,815.76</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0.897</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SPSO</w:t>
            </w:r>
          </w:p>
        </w:tc>
        <w:tc>
          <w:tcPr>
            <w:tcW w:w="3060" w:type="dxa"/>
          </w:tcPr>
          <w:p w:rsidR="00795CC1" w:rsidRPr="00CA3092" w:rsidRDefault="00795CC1" w:rsidP="00795CC1">
            <w:pPr>
              <w:rPr>
                <w:rFonts w:cstheme="minorHAnsi"/>
                <w:szCs w:val="24"/>
              </w:rPr>
            </w:pPr>
            <w:r w:rsidRPr="00CA3092">
              <w:rPr>
                <w:rFonts w:cstheme="minorHAnsi"/>
                <w:szCs w:val="24"/>
              </w:rPr>
              <w:t>SPP South</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1,599.02</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0.790</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SRMV</w:t>
            </w:r>
          </w:p>
        </w:tc>
        <w:tc>
          <w:tcPr>
            <w:tcW w:w="3060" w:type="dxa"/>
          </w:tcPr>
          <w:p w:rsidR="00795CC1" w:rsidRPr="00CA3092" w:rsidRDefault="00795CC1" w:rsidP="00795CC1">
            <w:pPr>
              <w:rPr>
                <w:rFonts w:cstheme="minorHAnsi"/>
                <w:szCs w:val="24"/>
              </w:rPr>
            </w:pPr>
            <w:r w:rsidRPr="00CA3092">
              <w:rPr>
                <w:rFonts w:cstheme="minorHAnsi"/>
                <w:szCs w:val="24"/>
              </w:rPr>
              <w:t>SERC Mississippi Valley</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1,002.41</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0.495</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SRMW</w:t>
            </w:r>
          </w:p>
        </w:tc>
        <w:tc>
          <w:tcPr>
            <w:tcW w:w="3060" w:type="dxa"/>
          </w:tcPr>
          <w:p w:rsidR="00795CC1" w:rsidRPr="00CA3092" w:rsidRDefault="00795CC1" w:rsidP="00795CC1">
            <w:pPr>
              <w:rPr>
                <w:rFonts w:cstheme="minorHAnsi"/>
                <w:szCs w:val="24"/>
              </w:rPr>
            </w:pPr>
            <w:r w:rsidRPr="00CA3092">
              <w:rPr>
                <w:rFonts w:cstheme="minorHAnsi"/>
                <w:szCs w:val="24"/>
              </w:rPr>
              <w:t>SERC Midwest</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1,749.75</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0.864</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SRSO</w:t>
            </w:r>
          </w:p>
        </w:tc>
        <w:tc>
          <w:tcPr>
            <w:tcW w:w="3060" w:type="dxa"/>
          </w:tcPr>
          <w:p w:rsidR="00795CC1" w:rsidRPr="00CA3092" w:rsidRDefault="00795CC1" w:rsidP="00795CC1">
            <w:pPr>
              <w:rPr>
                <w:rFonts w:cstheme="minorHAnsi"/>
                <w:szCs w:val="24"/>
              </w:rPr>
            </w:pPr>
            <w:r w:rsidRPr="00CA3092">
              <w:rPr>
                <w:rFonts w:cstheme="minorHAnsi"/>
                <w:szCs w:val="24"/>
              </w:rPr>
              <w:t>SERC South</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1,325.68</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0.655</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SRTV</w:t>
            </w:r>
          </w:p>
        </w:tc>
        <w:tc>
          <w:tcPr>
            <w:tcW w:w="3060" w:type="dxa"/>
          </w:tcPr>
          <w:p w:rsidR="00795CC1" w:rsidRPr="00CA3092" w:rsidRDefault="00795CC1" w:rsidP="00795CC1">
            <w:pPr>
              <w:rPr>
                <w:rFonts w:cstheme="minorHAnsi"/>
                <w:szCs w:val="24"/>
              </w:rPr>
            </w:pPr>
            <w:r w:rsidRPr="00CA3092">
              <w:rPr>
                <w:rFonts w:cstheme="minorHAnsi"/>
                <w:szCs w:val="24"/>
              </w:rPr>
              <w:t>SERC Tennessee Valley</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1,357.71</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0.671</w:t>
            </w:r>
          </w:p>
        </w:tc>
      </w:tr>
      <w:tr w:rsidR="00795CC1" w:rsidTr="003C1FCE">
        <w:trPr>
          <w:trHeight w:hRule="exact" w:val="360"/>
        </w:trPr>
        <w:tc>
          <w:tcPr>
            <w:tcW w:w="1278" w:type="dxa"/>
          </w:tcPr>
          <w:p w:rsidR="00795CC1" w:rsidRPr="00CA3092" w:rsidRDefault="00795CC1" w:rsidP="00795CC1">
            <w:pPr>
              <w:rPr>
                <w:rFonts w:cstheme="minorHAnsi"/>
                <w:szCs w:val="24"/>
              </w:rPr>
            </w:pPr>
            <w:r w:rsidRPr="00CA3092">
              <w:rPr>
                <w:rFonts w:cstheme="minorHAnsi"/>
                <w:szCs w:val="24"/>
              </w:rPr>
              <w:t>SRVC</w:t>
            </w:r>
          </w:p>
        </w:tc>
        <w:tc>
          <w:tcPr>
            <w:tcW w:w="3060" w:type="dxa"/>
          </w:tcPr>
          <w:p w:rsidR="00795CC1" w:rsidRPr="00CA3092" w:rsidRDefault="00795CC1" w:rsidP="00795CC1">
            <w:pPr>
              <w:rPr>
                <w:rFonts w:cstheme="minorHAnsi"/>
                <w:szCs w:val="24"/>
              </w:rPr>
            </w:pPr>
            <w:r w:rsidRPr="00CA3092">
              <w:rPr>
                <w:rFonts w:cstheme="minorHAnsi"/>
                <w:szCs w:val="24"/>
              </w:rPr>
              <w:t>SERC Virginia/Carolina</w:t>
            </w:r>
          </w:p>
        </w:tc>
        <w:tc>
          <w:tcPr>
            <w:tcW w:w="2520" w:type="dxa"/>
            <w:vAlign w:val="bottom"/>
          </w:tcPr>
          <w:p w:rsidR="00795CC1" w:rsidRPr="00CA3092" w:rsidRDefault="00795CC1" w:rsidP="00795CC1">
            <w:pPr>
              <w:jc w:val="right"/>
              <w:rPr>
                <w:rFonts w:cstheme="minorHAnsi"/>
                <w:szCs w:val="24"/>
              </w:rPr>
            </w:pPr>
            <w:r w:rsidRPr="00CA3092">
              <w:rPr>
                <w:rFonts w:cstheme="minorHAnsi"/>
                <w:szCs w:val="24"/>
              </w:rPr>
              <w:t>1,035.87</w:t>
            </w:r>
          </w:p>
        </w:tc>
        <w:tc>
          <w:tcPr>
            <w:tcW w:w="2718" w:type="dxa"/>
            <w:vAlign w:val="bottom"/>
          </w:tcPr>
          <w:p w:rsidR="00795CC1" w:rsidRPr="00CA3092" w:rsidRDefault="00795CC1" w:rsidP="00795CC1">
            <w:pPr>
              <w:jc w:val="right"/>
              <w:rPr>
                <w:rFonts w:cstheme="minorHAnsi"/>
                <w:szCs w:val="24"/>
              </w:rPr>
            </w:pPr>
            <w:r w:rsidRPr="00CA3092">
              <w:rPr>
                <w:rFonts w:cstheme="minorHAnsi"/>
                <w:szCs w:val="24"/>
              </w:rPr>
              <w:t>0.512</w:t>
            </w:r>
          </w:p>
        </w:tc>
      </w:tr>
      <w:tr w:rsidR="00795CC1" w:rsidRPr="00087D88" w:rsidTr="003C1FCE">
        <w:trPr>
          <w:trHeight w:hRule="exact" w:val="360"/>
        </w:trPr>
        <w:tc>
          <w:tcPr>
            <w:tcW w:w="4338" w:type="dxa"/>
            <w:gridSpan w:val="2"/>
          </w:tcPr>
          <w:p w:rsidR="00795CC1" w:rsidRPr="00CA3092" w:rsidRDefault="00795CC1" w:rsidP="00795CC1">
            <w:pPr>
              <w:rPr>
                <w:rFonts w:cstheme="minorHAnsi"/>
                <w:b/>
                <w:szCs w:val="24"/>
              </w:rPr>
            </w:pPr>
            <w:r w:rsidRPr="00CA3092">
              <w:rPr>
                <w:rFonts w:cstheme="minorHAnsi"/>
                <w:b/>
                <w:szCs w:val="24"/>
              </w:rPr>
              <w:t>U.S.</w:t>
            </w:r>
          </w:p>
        </w:tc>
        <w:tc>
          <w:tcPr>
            <w:tcW w:w="2520" w:type="dxa"/>
            <w:vAlign w:val="bottom"/>
          </w:tcPr>
          <w:p w:rsidR="00795CC1" w:rsidRPr="00CA3092" w:rsidRDefault="00795CC1" w:rsidP="00795CC1">
            <w:pPr>
              <w:jc w:val="right"/>
              <w:rPr>
                <w:rFonts w:cstheme="minorHAnsi"/>
                <w:b/>
                <w:szCs w:val="24"/>
              </w:rPr>
            </w:pPr>
            <w:r w:rsidRPr="00CA3092">
              <w:rPr>
                <w:rFonts w:cstheme="minorHAnsi"/>
                <w:b/>
                <w:szCs w:val="24"/>
              </w:rPr>
              <w:t>1,216.18</w:t>
            </w:r>
          </w:p>
        </w:tc>
        <w:tc>
          <w:tcPr>
            <w:tcW w:w="2718" w:type="dxa"/>
            <w:vAlign w:val="bottom"/>
          </w:tcPr>
          <w:p w:rsidR="00795CC1" w:rsidRPr="00CA3092" w:rsidRDefault="00795CC1" w:rsidP="00795CC1">
            <w:pPr>
              <w:jc w:val="right"/>
              <w:rPr>
                <w:rFonts w:cstheme="minorHAnsi"/>
                <w:b/>
                <w:szCs w:val="24"/>
              </w:rPr>
            </w:pPr>
            <w:r w:rsidRPr="00CA3092">
              <w:rPr>
                <w:rFonts w:cstheme="minorHAnsi"/>
                <w:b/>
                <w:szCs w:val="24"/>
              </w:rPr>
              <w:t>0.601</w:t>
            </w:r>
          </w:p>
        </w:tc>
      </w:tr>
    </w:tbl>
    <w:p w:rsidR="00795CC1" w:rsidRDefault="00795CC1" w:rsidP="00795CC1">
      <w:pPr>
        <w:spacing w:line="240" w:lineRule="auto"/>
        <w:rPr>
          <w:rFonts w:asciiTheme="minorHAnsi" w:hAnsiTheme="minorHAnsi" w:cstheme="minorHAnsi"/>
          <w:sz w:val="22"/>
        </w:rPr>
      </w:pPr>
      <w:r w:rsidRPr="00CA3092">
        <w:rPr>
          <w:rFonts w:asciiTheme="minorHAnsi" w:hAnsiTheme="minorHAnsi" w:cstheme="minorHAnsi"/>
          <w:sz w:val="22"/>
        </w:rPr>
        <w:t xml:space="preserve">*Converted from lbs CO2/MWh to metric tons CO2/MWH using using conversion factor 1 metric ton = 2,204.62lbs. </w:t>
      </w:r>
    </w:p>
    <w:p w:rsidR="00CF0655" w:rsidRPr="00720D9E" w:rsidRDefault="00CF0655" w:rsidP="00DC41CB"/>
    <w:p w:rsidR="0014503C" w:rsidRPr="00720D9E" w:rsidRDefault="0014503C">
      <w:pPr>
        <w:spacing w:line="240" w:lineRule="auto"/>
        <w:rPr>
          <w:rFonts w:eastAsiaTheme="majorEastAsia" w:cstheme="majorBidi"/>
          <w:b/>
          <w:bCs/>
          <w:color w:val="auto"/>
          <w:szCs w:val="28"/>
        </w:rPr>
      </w:pPr>
      <w:r w:rsidRPr="00720D9E">
        <w:br w:type="page"/>
      </w:r>
    </w:p>
    <w:p w:rsidR="0014503C" w:rsidRPr="00720D9E" w:rsidRDefault="0014503C" w:rsidP="0014503C">
      <w:pPr>
        <w:pStyle w:val="Heading1"/>
      </w:pPr>
      <w:bookmarkStart w:id="65" w:name="_Toc364243239"/>
      <w:r w:rsidRPr="00720D9E">
        <w:lastRenderedPageBreak/>
        <w:t>Appendix B.  Device Destruction Efficiencies</w:t>
      </w:r>
      <w:r w:rsidR="0056242F" w:rsidRPr="00720D9E">
        <w:t xml:space="preserve"> – Quantification Methodology</w:t>
      </w:r>
      <w:bookmarkEnd w:id="65"/>
    </w:p>
    <w:p w:rsidR="0014503C" w:rsidRPr="00720D9E" w:rsidRDefault="0014503C" w:rsidP="0014503C">
      <w:pPr>
        <w:pStyle w:val="Heading3"/>
      </w:pPr>
      <w:bookmarkStart w:id="66" w:name="_Toc364243240"/>
      <w:r w:rsidRPr="00720D9E">
        <w:t>Table B.1 Default Destruction Efficiencies by Destruction Device</w:t>
      </w:r>
      <w:bookmarkEnd w:id="66"/>
    </w:p>
    <w:tbl>
      <w:tblPr>
        <w:tblStyle w:val="TableGrid"/>
        <w:tblW w:w="0" w:type="auto"/>
        <w:tblLook w:val="04A0" w:firstRow="1" w:lastRow="0" w:firstColumn="1" w:lastColumn="0" w:noHBand="0" w:noVBand="1"/>
      </w:tblPr>
      <w:tblGrid>
        <w:gridCol w:w="5238"/>
        <w:gridCol w:w="4338"/>
      </w:tblGrid>
      <w:tr w:rsidR="003C1FCE" w:rsidTr="003246C2">
        <w:tc>
          <w:tcPr>
            <w:tcW w:w="5238" w:type="dxa"/>
            <w:shd w:val="clear" w:color="auto" w:fill="595959" w:themeFill="text1" w:themeFillTint="A6"/>
          </w:tcPr>
          <w:p w:rsidR="003C1FCE" w:rsidRPr="00386A93" w:rsidRDefault="003C1FCE" w:rsidP="003246C2">
            <w:pPr>
              <w:jc w:val="center"/>
              <w:rPr>
                <w:rFonts w:cstheme="minorHAnsi"/>
                <w:b/>
                <w:color w:val="FFFFFF" w:themeColor="background1"/>
                <w:szCs w:val="24"/>
              </w:rPr>
            </w:pPr>
            <w:r w:rsidRPr="00386A93">
              <w:rPr>
                <w:rFonts w:cstheme="minorHAnsi"/>
                <w:b/>
                <w:color w:val="FFFFFF" w:themeColor="background1"/>
                <w:szCs w:val="24"/>
              </w:rPr>
              <w:t>Biogas Destruction Device</w:t>
            </w:r>
          </w:p>
        </w:tc>
        <w:tc>
          <w:tcPr>
            <w:tcW w:w="4338" w:type="dxa"/>
            <w:shd w:val="clear" w:color="auto" w:fill="595959" w:themeFill="text1" w:themeFillTint="A6"/>
          </w:tcPr>
          <w:p w:rsidR="003C1FCE" w:rsidRPr="00386A93" w:rsidRDefault="003C1FCE" w:rsidP="003246C2">
            <w:pPr>
              <w:jc w:val="center"/>
              <w:rPr>
                <w:rFonts w:cstheme="minorHAnsi"/>
                <w:b/>
                <w:color w:val="FFFFFF" w:themeColor="background1"/>
                <w:szCs w:val="24"/>
              </w:rPr>
            </w:pPr>
            <w:r w:rsidRPr="00386A93">
              <w:rPr>
                <w:rFonts w:cstheme="minorHAnsi"/>
                <w:b/>
                <w:color w:val="FFFFFF" w:themeColor="background1"/>
                <w:szCs w:val="24"/>
              </w:rPr>
              <w:t>Biogas Destruction Efficiency (BDE)</w:t>
            </w:r>
          </w:p>
        </w:tc>
      </w:tr>
      <w:tr w:rsidR="003C1FCE" w:rsidTr="003246C2">
        <w:tc>
          <w:tcPr>
            <w:tcW w:w="5238" w:type="dxa"/>
          </w:tcPr>
          <w:p w:rsidR="003C1FCE" w:rsidRPr="00C506FA" w:rsidRDefault="003C1FCE" w:rsidP="003246C2">
            <w:pPr>
              <w:rPr>
                <w:rFonts w:cstheme="minorHAnsi"/>
                <w:szCs w:val="24"/>
              </w:rPr>
            </w:pPr>
            <w:r w:rsidRPr="00C506FA">
              <w:rPr>
                <w:rFonts w:cstheme="minorHAnsi"/>
                <w:szCs w:val="24"/>
              </w:rPr>
              <w:t>Open Flare</w:t>
            </w:r>
          </w:p>
        </w:tc>
        <w:tc>
          <w:tcPr>
            <w:tcW w:w="4338" w:type="dxa"/>
          </w:tcPr>
          <w:p w:rsidR="003C1FCE" w:rsidRPr="00C506FA" w:rsidRDefault="003C1FCE" w:rsidP="003246C2">
            <w:pPr>
              <w:jc w:val="right"/>
              <w:rPr>
                <w:rFonts w:cstheme="minorHAnsi"/>
                <w:szCs w:val="24"/>
              </w:rPr>
            </w:pPr>
            <w:r w:rsidRPr="00C506FA">
              <w:rPr>
                <w:rFonts w:cstheme="minorHAnsi"/>
                <w:szCs w:val="24"/>
              </w:rPr>
              <w:t>0.96</w:t>
            </w:r>
          </w:p>
        </w:tc>
      </w:tr>
      <w:tr w:rsidR="003C1FCE" w:rsidTr="003246C2">
        <w:tc>
          <w:tcPr>
            <w:tcW w:w="5238" w:type="dxa"/>
          </w:tcPr>
          <w:p w:rsidR="003C1FCE" w:rsidRPr="00C506FA" w:rsidRDefault="003C1FCE" w:rsidP="003246C2">
            <w:pPr>
              <w:rPr>
                <w:rFonts w:cstheme="minorHAnsi"/>
                <w:szCs w:val="24"/>
              </w:rPr>
            </w:pPr>
            <w:r w:rsidRPr="00C506FA">
              <w:rPr>
                <w:rFonts w:cstheme="minorHAnsi"/>
                <w:szCs w:val="24"/>
              </w:rPr>
              <w:t>Enclosed Flare</w:t>
            </w:r>
          </w:p>
        </w:tc>
        <w:tc>
          <w:tcPr>
            <w:tcW w:w="4338" w:type="dxa"/>
          </w:tcPr>
          <w:p w:rsidR="003C1FCE" w:rsidRPr="00C506FA" w:rsidRDefault="003C1FCE" w:rsidP="003246C2">
            <w:pPr>
              <w:jc w:val="right"/>
              <w:rPr>
                <w:rFonts w:cstheme="minorHAnsi"/>
                <w:szCs w:val="24"/>
              </w:rPr>
            </w:pPr>
            <w:r w:rsidRPr="00C506FA">
              <w:rPr>
                <w:rFonts w:cstheme="minorHAnsi"/>
                <w:szCs w:val="24"/>
              </w:rPr>
              <w:t>0.995</w:t>
            </w:r>
          </w:p>
        </w:tc>
      </w:tr>
      <w:tr w:rsidR="003C1FCE" w:rsidTr="003246C2">
        <w:tc>
          <w:tcPr>
            <w:tcW w:w="5238" w:type="dxa"/>
          </w:tcPr>
          <w:p w:rsidR="003C1FCE" w:rsidRPr="00C506FA" w:rsidRDefault="003C1FCE" w:rsidP="003246C2">
            <w:pPr>
              <w:rPr>
                <w:rFonts w:cstheme="minorHAnsi"/>
                <w:szCs w:val="24"/>
              </w:rPr>
            </w:pPr>
            <w:r w:rsidRPr="00C506FA">
              <w:rPr>
                <w:rFonts w:cstheme="minorHAnsi"/>
                <w:szCs w:val="24"/>
              </w:rPr>
              <w:t>Lean-burn Internal Combustion Engine</w:t>
            </w:r>
          </w:p>
        </w:tc>
        <w:tc>
          <w:tcPr>
            <w:tcW w:w="4338" w:type="dxa"/>
          </w:tcPr>
          <w:p w:rsidR="003C1FCE" w:rsidRPr="00C506FA" w:rsidRDefault="003C1FCE" w:rsidP="003246C2">
            <w:pPr>
              <w:jc w:val="right"/>
              <w:rPr>
                <w:rFonts w:cstheme="minorHAnsi"/>
                <w:szCs w:val="24"/>
              </w:rPr>
            </w:pPr>
            <w:r w:rsidRPr="00C506FA">
              <w:rPr>
                <w:rFonts w:cstheme="minorHAnsi"/>
                <w:szCs w:val="24"/>
              </w:rPr>
              <w:t>0.936</w:t>
            </w:r>
          </w:p>
        </w:tc>
      </w:tr>
      <w:tr w:rsidR="003C1FCE" w:rsidTr="003246C2">
        <w:tc>
          <w:tcPr>
            <w:tcW w:w="5238" w:type="dxa"/>
          </w:tcPr>
          <w:p w:rsidR="003C1FCE" w:rsidRPr="00C506FA" w:rsidRDefault="003C1FCE" w:rsidP="003246C2">
            <w:pPr>
              <w:rPr>
                <w:rFonts w:cstheme="minorHAnsi"/>
                <w:szCs w:val="24"/>
              </w:rPr>
            </w:pPr>
            <w:r w:rsidRPr="00C506FA">
              <w:rPr>
                <w:rFonts w:cstheme="minorHAnsi"/>
                <w:szCs w:val="24"/>
              </w:rPr>
              <w:t>Rich-burn Internal Combustion Engine</w:t>
            </w:r>
          </w:p>
        </w:tc>
        <w:tc>
          <w:tcPr>
            <w:tcW w:w="4338" w:type="dxa"/>
          </w:tcPr>
          <w:p w:rsidR="003C1FCE" w:rsidRPr="00C506FA" w:rsidRDefault="003C1FCE" w:rsidP="003246C2">
            <w:pPr>
              <w:jc w:val="right"/>
              <w:rPr>
                <w:rFonts w:cstheme="minorHAnsi"/>
                <w:szCs w:val="24"/>
              </w:rPr>
            </w:pPr>
            <w:r w:rsidRPr="00C506FA">
              <w:rPr>
                <w:rFonts w:cstheme="minorHAnsi"/>
                <w:szCs w:val="24"/>
              </w:rPr>
              <w:t>0.995</w:t>
            </w:r>
          </w:p>
        </w:tc>
      </w:tr>
      <w:tr w:rsidR="003C1FCE" w:rsidTr="003246C2">
        <w:tc>
          <w:tcPr>
            <w:tcW w:w="5238" w:type="dxa"/>
          </w:tcPr>
          <w:p w:rsidR="003C1FCE" w:rsidRPr="00C506FA" w:rsidRDefault="003C1FCE" w:rsidP="003246C2">
            <w:pPr>
              <w:rPr>
                <w:rFonts w:cstheme="minorHAnsi"/>
                <w:szCs w:val="24"/>
              </w:rPr>
            </w:pPr>
            <w:r w:rsidRPr="00C506FA">
              <w:rPr>
                <w:rFonts w:cstheme="minorHAnsi"/>
                <w:szCs w:val="24"/>
              </w:rPr>
              <w:t>Boiler</w:t>
            </w:r>
          </w:p>
        </w:tc>
        <w:tc>
          <w:tcPr>
            <w:tcW w:w="4338" w:type="dxa"/>
          </w:tcPr>
          <w:p w:rsidR="003C1FCE" w:rsidRPr="00C506FA" w:rsidRDefault="003C1FCE" w:rsidP="003246C2">
            <w:pPr>
              <w:jc w:val="right"/>
              <w:rPr>
                <w:rFonts w:cstheme="minorHAnsi"/>
                <w:szCs w:val="24"/>
              </w:rPr>
            </w:pPr>
            <w:r w:rsidRPr="00C506FA">
              <w:rPr>
                <w:rFonts w:cstheme="minorHAnsi"/>
                <w:szCs w:val="24"/>
              </w:rPr>
              <w:t>0.98</w:t>
            </w:r>
          </w:p>
        </w:tc>
      </w:tr>
      <w:tr w:rsidR="003C1FCE" w:rsidTr="003246C2">
        <w:tc>
          <w:tcPr>
            <w:tcW w:w="5238" w:type="dxa"/>
          </w:tcPr>
          <w:p w:rsidR="003C1FCE" w:rsidRPr="00C506FA" w:rsidRDefault="003C1FCE" w:rsidP="003246C2">
            <w:pPr>
              <w:rPr>
                <w:rFonts w:cstheme="minorHAnsi"/>
                <w:szCs w:val="24"/>
              </w:rPr>
            </w:pPr>
            <w:r w:rsidRPr="00C506FA">
              <w:rPr>
                <w:rFonts w:cstheme="minorHAnsi"/>
                <w:szCs w:val="24"/>
              </w:rPr>
              <w:t>Microturbine or large gas turbine</w:t>
            </w:r>
          </w:p>
        </w:tc>
        <w:tc>
          <w:tcPr>
            <w:tcW w:w="4338" w:type="dxa"/>
          </w:tcPr>
          <w:p w:rsidR="003C1FCE" w:rsidRPr="00C506FA" w:rsidRDefault="003C1FCE" w:rsidP="003246C2">
            <w:pPr>
              <w:jc w:val="right"/>
              <w:rPr>
                <w:rFonts w:cstheme="minorHAnsi"/>
                <w:szCs w:val="24"/>
              </w:rPr>
            </w:pPr>
            <w:r w:rsidRPr="00C506FA">
              <w:rPr>
                <w:rFonts w:cstheme="minorHAnsi"/>
                <w:szCs w:val="24"/>
              </w:rPr>
              <w:t>0.995</w:t>
            </w:r>
          </w:p>
        </w:tc>
      </w:tr>
      <w:tr w:rsidR="003C1FCE" w:rsidTr="003246C2">
        <w:tc>
          <w:tcPr>
            <w:tcW w:w="5238" w:type="dxa"/>
          </w:tcPr>
          <w:p w:rsidR="003C1FCE" w:rsidRPr="00C506FA" w:rsidRDefault="003C1FCE" w:rsidP="003246C2">
            <w:pPr>
              <w:rPr>
                <w:rFonts w:cstheme="minorHAnsi"/>
                <w:szCs w:val="24"/>
              </w:rPr>
            </w:pPr>
            <w:r w:rsidRPr="00C506FA">
              <w:rPr>
                <w:rFonts w:cstheme="minorHAnsi"/>
                <w:szCs w:val="24"/>
              </w:rPr>
              <w:t>Upgrade and use of gas as CNG/LNG fuel</w:t>
            </w:r>
          </w:p>
        </w:tc>
        <w:tc>
          <w:tcPr>
            <w:tcW w:w="4338" w:type="dxa"/>
          </w:tcPr>
          <w:p w:rsidR="003C1FCE" w:rsidRPr="00C506FA" w:rsidRDefault="003C1FCE" w:rsidP="003246C2">
            <w:pPr>
              <w:jc w:val="right"/>
              <w:rPr>
                <w:rFonts w:cstheme="minorHAnsi"/>
                <w:szCs w:val="24"/>
              </w:rPr>
            </w:pPr>
            <w:r w:rsidRPr="00C506FA">
              <w:rPr>
                <w:rFonts w:cstheme="minorHAnsi"/>
                <w:szCs w:val="24"/>
              </w:rPr>
              <w:t>0.95</w:t>
            </w:r>
          </w:p>
        </w:tc>
      </w:tr>
      <w:tr w:rsidR="003C1FCE" w:rsidTr="003246C2">
        <w:tc>
          <w:tcPr>
            <w:tcW w:w="5238" w:type="dxa"/>
          </w:tcPr>
          <w:p w:rsidR="003C1FCE" w:rsidRPr="00C506FA" w:rsidRDefault="003C1FCE" w:rsidP="003C1FCE">
            <w:pPr>
              <w:pStyle w:val="NoSpacing"/>
            </w:pPr>
            <w:r w:rsidRPr="00C506FA">
              <w:t>Upgrade and injection into natural gas transmission and distribution pipeline</w:t>
            </w:r>
          </w:p>
        </w:tc>
        <w:tc>
          <w:tcPr>
            <w:tcW w:w="4338" w:type="dxa"/>
            <w:vAlign w:val="center"/>
          </w:tcPr>
          <w:p w:rsidR="003C1FCE" w:rsidRPr="00C506FA" w:rsidRDefault="003C1FCE" w:rsidP="003246C2">
            <w:pPr>
              <w:jc w:val="right"/>
              <w:rPr>
                <w:rFonts w:cstheme="minorHAnsi"/>
                <w:szCs w:val="24"/>
              </w:rPr>
            </w:pPr>
            <w:r w:rsidRPr="00C506FA">
              <w:rPr>
                <w:rFonts w:cstheme="minorHAnsi"/>
                <w:szCs w:val="24"/>
              </w:rPr>
              <w:t>0.98</w:t>
            </w:r>
          </w:p>
        </w:tc>
      </w:tr>
    </w:tbl>
    <w:p w:rsidR="0014503C" w:rsidRPr="00720D9E" w:rsidRDefault="0014503C" w:rsidP="0014503C"/>
    <w:p w:rsidR="002455FC" w:rsidRPr="00720D9E" w:rsidRDefault="002455FC" w:rsidP="002455FC">
      <w:pPr>
        <w:pStyle w:val="Heading4"/>
        <w:pBdr>
          <w:top w:val="single" w:sz="4" w:space="1" w:color="auto"/>
          <w:left w:val="single" w:sz="4" w:space="4" w:color="auto"/>
          <w:bottom w:val="single" w:sz="4" w:space="1" w:color="auto"/>
          <w:right w:val="single" w:sz="4" w:space="4" w:color="auto"/>
        </w:pBdr>
      </w:pPr>
      <w:r w:rsidRPr="00720D9E">
        <w:t>Equation B.1: Calculating Heat Generation Emission Factor</w:t>
      </w:r>
    </w:p>
    <w:p w:rsidR="002455FC" w:rsidRPr="00720D9E" w:rsidRDefault="002455FC" w:rsidP="002455FC">
      <w:pPr>
        <w:pBdr>
          <w:top w:val="single" w:sz="4" w:space="1" w:color="auto"/>
          <w:left w:val="single" w:sz="4" w:space="4" w:color="auto"/>
          <w:bottom w:val="single" w:sz="4" w:space="1" w:color="auto"/>
          <w:right w:val="single" w:sz="4" w:space="4" w:color="auto"/>
        </w:pBdr>
        <w:tabs>
          <w:tab w:val="left" w:pos="810"/>
        </w:tabs>
      </w:pPr>
      <w:r w:rsidRPr="00720D9E">
        <w:rPr>
          <w:i/>
        </w:rPr>
        <w:t>CEF</w:t>
      </w:r>
      <w:r w:rsidRPr="00720D9E">
        <w:rPr>
          <w:i/>
          <w:vertAlign w:val="subscript"/>
        </w:rPr>
        <w:t>heat</w:t>
      </w:r>
      <w:r w:rsidRPr="00720D9E">
        <w:t xml:space="preserve"> = </w:t>
      </w:r>
      <w:r w:rsidRPr="00720D9E">
        <w:rPr>
          <w:position w:val="-30"/>
        </w:rPr>
        <w:object w:dxaOrig="940" w:dyaOrig="700">
          <v:shape id="_x0000_i1066" type="#_x0000_t75" style="width:50pt;height:36pt" o:ole="">
            <v:imagedata r:id="rId63" o:title=""/>
          </v:shape>
          <o:OLEObject Type="Embed" ProgID="Equation.3" ShapeID="_x0000_i1066" DrawAspect="Content" ObjectID="_1437988719" r:id="rId64"/>
        </w:object>
      </w:r>
      <w:r w:rsidRPr="00720D9E">
        <w:t xml:space="preserve"> x </w:t>
      </w:r>
      <w:r w:rsidR="004F2D63" w:rsidRPr="00720D9E">
        <w:rPr>
          <w:position w:val="-24"/>
        </w:rPr>
        <w:object w:dxaOrig="380" w:dyaOrig="620">
          <v:shape id="_x0000_i1067" type="#_x0000_t75" style="width:22pt;height:29pt" o:ole="">
            <v:imagedata r:id="rId65" o:title=""/>
          </v:shape>
          <o:OLEObject Type="Embed" ProgID="Equation.3" ShapeID="_x0000_i1067" DrawAspect="Content" ObjectID="_1437988720" r:id="rId66"/>
        </w:object>
      </w:r>
    </w:p>
    <w:p w:rsidR="002455FC" w:rsidRPr="00720D9E" w:rsidRDefault="002455FC" w:rsidP="002455FC">
      <w:pPr>
        <w:pBdr>
          <w:top w:val="single" w:sz="4" w:space="1" w:color="auto"/>
          <w:left w:val="single" w:sz="4" w:space="4" w:color="auto"/>
          <w:bottom w:val="single" w:sz="4" w:space="1" w:color="auto"/>
          <w:right w:val="single" w:sz="4" w:space="4" w:color="auto"/>
        </w:pBdr>
        <w:spacing w:after="120" w:line="240" w:lineRule="auto"/>
        <w:rPr>
          <w:i/>
        </w:rPr>
      </w:pPr>
      <w:r w:rsidRPr="00720D9E">
        <w:rPr>
          <w:i/>
        </w:rPr>
        <w:t xml:space="preserve">Where, </w:t>
      </w:r>
    </w:p>
    <w:p w:rsidR="002455FC" w:rsidRPr="00720D9E" w:rsidRDefault="002455FC" w:rsidP="002455F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i/>
        </w:rPr>
        <w:t>CEF</w:t>
      </w:r>
      <w:r w:rsidRPr="00720D9E">
        <w:rPr>
          <w:i/>
          <w:vertAlign w:val="subscript"/>
        </w:rPr>
        <w:t>heat</w:t>
      </w:r>
      <w:r w:rsidRPr="00720D9E">
        <w:tab/>
        <w:t>=</w:t>
      </w:r>
      <w:r w:rsidRPr="00720D9E">
        <w:tab/>
        <w:t>CO</w:t>
      </w:r>
      <w:r w:rsidRPr="00720D9E">
        <w:rPr>
          <w:vertAlign w:val="subscript"/>
        </w:rPr>
        <w:t>2</w:t>
      </w:r>
      <w:r w:rsidRPr="00720D9E">
        <w:t xml:space="preserve"> emission factor for heat generation</w:t>
      </w:r>
      <w:r w:rsidR="004F2D63">
        <w:t xml:space="preserve"> </w:t>
      </w:r>
      <w:r w:rsidR="004F2D63" w:rsidRPr="004F2D63">
        <w:rPr>
          <w:i/>
        </w:rPr>
        <w:t>12</w:t>
      </w:r>
    </w:p>
    <w:p w:rsidR="002455FC" w:rsidRPr="00720D9E" w:rsidRDefault="003C1FCE" w:rsidP="002455F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Pr>
          <w:i/>
        </w:rPr>
        <w:t>CEF</w:t>
      </w:r>
      <w:r w:rsidRPr="003C1FCE">
        <w:rPr>
          <w:i/>
          <w:vertAlign w:val="subscript"/>
        </w:rPr>
        <w:t>CO2,i</w:t>
      </w:r>
      <w:r w:rsidR="002455FC" w:rsidRPr="00720D9E">
        <w:tab/>
        <w:t>=</w:t>
      </w:r>
      <w:r w:rsidR="002455FC" w:rsidRPr="00720D9E">
        <w:tab/>
        <w:t>CO</w:t>
      </w:r>
      <w:r w:rsidR="002455FC" w:rsidRPr="00720D9E">
        <w:rPr>
          <w:vertAlign w:val="subscript"/>
        </w:rPr>
        <w:t>2</w:t>
      </w:r>
      <w:r w:rsidR="002455FC" w:rsidRPr="00720D9E">
        <w:t xml:space="preserve"> emission factor of fuel used in heat generation (see table B.1)</w:t>
      </w:r>
    </w:p>
    <w:p w:rsidR="002455FC" w:rsidRPr="00720D9E" w:rsidRDefault="003C1FCE" w:rsidP="002455F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3C1FCE">
        <w:rPr>
          <w:i/>
        </w:rPr>
        <w:t>Eff</w:t>
      </w:r>
      <w:r w:rsidRPr="003C1FCE">
        <w:rPr>
          <w:i/>
          <w:vertAlign w:val="subscript"/>
        </w:rPr>
        <w:t>heat</w:t>
      </w:r>
      <w:r w:rsidR="002455FC" w:rsidRPr="00720D9E">
        <w:tab/>
        <w:t>=</w:t>
      </w:r>
      <w:r w:rsidR="002455FC" w:rsidRPr="00720D9E">
        <w:tab/>
        <w:t>Boiler efficiency of the heat generation (either measured efficiency, manufacturer nameplate data for efficiency, or 100%</w:t>
      </w:r>
    </w:p>
    <w:p w:rsidR="002455FC" w:rsidRPr="00720D9E" w:rsidRDefault="004F2D63" w:rsidP="002455FC">
      <w:pPr>
        <w:pBdr>
          <w:top w:val="single" w:sz="4" w:space="1" w:color="auto"/>
          <w:left w:val="single" w:sz="4" w:space="4" w:color="auto"/>
          <w:bottom w:val="single" w:sz="4" w:space="1" w:color="auto"/>
          <w:right w:val="single" w:sz="4" w:space="4" w:color="auto"/>
        </w:pBdr>
        <w:tabs>
          <w:tab w:val="left" w:pos="1440"/>
        </w:tabs>
        <w:spacing w:after="120" w:line="240" w:lineRule="auto"/>
        <w:ind w:left="1800" w:hanging="1800"/>
      </w:pPr>
      <w:r w:rsidRPr="00720D9E">
        <w:rPr>
          <w:position w:val="-24"/>
        </w:rPr>
        <w:object w:dxaOrig="380" w:dyaOrig="620">
          <v:shape id="_x0000_i1068" type="#_x0000_t75" style="width:22pt;height:29pt" o:ole="">
            <v:imagedata r:id="rId67" o:title=""/>
          </v:shape>
          <o:OLEObject Type="Embed" ProgID="Equation.3" ShapeID="_x0000_i1068" DrawAspect="Content" ObjectID="_1437988721" r:id="rId68"/>
        </w:object>
      </w:r>
      <w:r w:rsidR="002455FC" w:rsidRPr="00720D9E">
        <w:tab/>
        <w:t>=</w:t>
      </w:r>
      <w:r w:rsidR="002455FC" w:rsidRPr="00720D9E">
        <w:tab/>
        <w:t>Carbon to carbon dioxide conversion factor</w:t>
      </w:r>
    </w:p>
    <w:p w:rsidR="00D12A36" w:rsidRPr="00720D9E" w:rsidRDefault="00D12A36">
      <w:pPr>
        <w:spacing w:line="240" w:lineRule="auto"/>
      </w:pPr>
      <w:r w:rsidRPr="00720D9E">
        <w:br w:type="page"/>
      </w:r>
    </w:p>
    <w:p w:rsidR="00D12A36" w:rsidRPr="00720D9E" w:rsidRDefault="00D12A36" w:rsidP="006A6A02">
      <w:pPr>
        <w:pStyle w:val="Heading1"/>
      </w:pPr>
      <w:bookmarkStart w:id="67" w:name="_Toc364243241"/>
      <w:r w:rsidRPr="00720D9E">
        <w:lastRenderedPageBreak/>
        <w:t>Appendix C.  Data Substitution Methodology</w:t>
      </w:r>
      <w:r w:rsidR="0056242F" w:rsidRPr="00720D9E">
        <w:t xml:space="preserve"> – Quantification Methodology</w:t>
      </w:r>
      <w:bookmarkEnd w:id="67"/>
    </w:p>
    <w:p w:rsidR="006A6A02" w:rsidRPr="00720D9E" w:rsidRDefault="006A6A02" w:rsidP="006A6A02">
      <w:pPr>
        <w:pStyle w:val="ListParagraph"/>
        <w:numPr>
          <w:ilvl w:val="3"/>
          <w:numId w:val="47"/>
        </w:numPr>
        <w:ind w:left="720" w:hanging="720"/>
      </w:pPr>
      <w:r w:rsidRPr="00720D9E">
        <w:t xml:space="preserve">ARB expects that MMC projects will have continuous, uninterrupted data for the entire reporting period.  However, ARB recognizes that unexpected events or occurrences may result in brief data gaps.  </w:t>
      </w:r>
    </w:p>
    <w:p w:rsidR="006A6A02" w:rsidRPr="00720D9E" w:rsidRDefault="006A6A02" w:rsidP="006A6A02">
      <w:pPr>
        <w:pStyle w:val="ListParagraph"/>
        <w:numPr>
          <w:ilvl w:val="3"/>
          <w:numId w:val="47"/>
        </w:numPr>
        <w:ind w:left="720" w:hanging="720"/>
      </w:pPr>
      <w:r w:rsidRPr="00720D9E">
        <w:t xml:space="preserve">This appendix provides a quantification methodology to be applied to the calculation of GHG emission reductions for MMC projects when data integrity has been compromised due to missing data points.  </w:t>
      </w:r>
    </w:p>
    <w:p w:rsidR="006A6A02" w:rsidRPr="00720D9E" w:rsidRDefault="006A6A02" w:rsidP="006A6A02">
      <w:pPr>
        <w:pStyle w:val="ListParagraph"/>
        <w:numPr>
          <w:ilvl w:val="3"/>
          <w:numId w:val="47"/>
        </w:numPr>
        <w:ind w:left="720" w:hanging="720"/>
      </w:pPr>
      <w:r w:rsidRPr="00720D9E">
        <w:t xml:space="preserve">This methodology is only applicable to gas flow metering and methane concentration parameters.  Data substitution is not allowed for equipment that monitors the proper functioning of destruction devices such as thermocouples.  </w:t>
      </w:r>
    </w:p>
    <w:p w:rsidR="006A6A02" w:rsidRPr="00720D9E" w:rsidRDefault="006A6A02" w:rsidP="006A6A02">
      <w:pPr>
        <w:pStyle w:val="ListParagraph"/>
        <w:numPr>
          <w:ilvl w:val="3"/>
          <w:numId w:val="47"/>
        </w:numPr>
        <w:ind w:left="720" w:hanging="720"/>
      </w:pPr>
      <w:r w:rsidRPr="00720D9E">
        <w:t xml:space="preserve">The following data substitution methodology may be used only for flow and methane concentration data gaps that are discrete, limited, non-chronic, and due to unforeseen circumstances.  </w:t>
      </w:r>
    </w:p>
    <w:p w:rsidR="00466AF2" w:rsidRPr="00720D9E" w:rsidRDefault="00466AF2" w:rsidP="006A6A02">
      <w:pPr>
        <w:pStyle w:val="ListParagraph"/>
        <w:numPr>
          <w:ilvl w:val="3"/>
          <w:numId w:val="47"/>
        </w:numPr>
        <w:ind w:left="720" w:hanging="720"/>
      </w:pPr>
      <w:r w:rsidRPr="00720D9E">
        <w:t>Data substitution is not allowed for data used to calculate mine specific hyperbolic decline curve coefficients for an abandoned underground mine methane recovery activity.</w:t>
      </w:r>
    </w:p>
    <w:p w:rsidR="006A6A02" w:rsidRPr="00720D9E" w:rsidRDefault="006A6A02" w:rsidP="006A6A02">
      <w:pPr>
        <w:pStyle w:val="ListParagraph"/>
        <w:numPr>
          <w:ilvl w:val="3"/>
          <w:numId w:val="47"/>
        </w:numPr>
        <w:ind w:left="720" w:hanging="720"/>
      </w:pPr>
      <w:r w:rsidRPr="00720D9E">
        <w:t xml:space="preserve">Data substitution can only be applied to methane concentration </w:t>
      </w:r>
      <w:r w:rsidRPr="00720D9E">
        <w:rPr>
          <w:i/>
          <w:iCs/>
        </w:rPr>
        <w:t xml:space="preserve">or </w:t>
      </w:r>
      <w:r w:rsidRPr="00720D9E">
        <w:t xml:space="preserve">flow readings, but not both simultaneously.  If data is missing for both parameters, no reductions can be credited. </w:t>
      </w:r>
    </w:p>
    <w:p w:rsidR="006A6A02" w:rsidRPr="00720D9E" w:rsidRDefault="006A6A02" w:rsidP="006A6A02">
      <w:pPr>
        <w:pStyle w:val="ListParagraph"/>
        <w:numPr>
          <w:ilvl w:val="3"/>
          <w:numId w:val="47"/>
        </w:numPr>
        <w:ind w:left="720" w:hanging="720"/>
      </w:pPr>
      <w:r w:rsidRPr="00720D9E">
        <w:t xml:space="preserve">Substitution may only occur when two other monitored parameters corroborate proper functioning of the destruction device and system operation within normal ranges. These two parameters must be demonstrated as follows: </w:t>
      </w:r>
    </w:p>
    <w:p w:rsidR="006A6A02" w:rsidRPr="00720D9E" w:rsidRDefault="006A6A02" w:rsidP="003638CE">
      <w:pPr>
        <w:pStyle w:val="ListParagraph"/>
        <w:numPr>
          <w:ilvl w:val="0"/>
          <w:numId w:val="56"/>
        </w:numPr>
        <w:ind w:right="720" w:hanging="720"/>
      </w:pPr>
      <w:r w:rsidRPr="00720D9E">
        <w:t xml:space="preserve">Proper functioning can be evidenced by thermocouple readings for flares or engines, energy output for engines, etc. </w:t>
      </w:r>
    </w:p>
    <w:p w:rsidR="006A6A02" w:rsidRPr="00720D9E" w:rsidRDefault="006A6A02" w:rsidP="003638CE">
      <w:pPr>
        <w:pStyle w:val="ListParagraph"/>
        <w:numPr>
          <w:ilvl w:val="0"/>
          <w:numId w:val="56"/>
        </w:numPr>
        <w:ind w:right="720" w:hanging="720"/>
      </w:pPr>
      <w:r w:rsidRPr="00720D9E">
        <w:t>For methane concentration substitution, flow rates during the data gap must be consistent with normal operation.</w:t>
      </w:r>
    </w:p>
    <w:p w:rsidR="006A6A02" w:rsidRPr="00720D9E" w:rsidRDefault="006A6A02" w:rsidP="003638CE">
      <w:pPr>
        <w:pStyle w:val="ListParagraph"/>
        <w:numPr>
          <w:ilvl w:val="0"/>
          <w:numId w:val="56"/>
        </w:numPr>
        <w:ind w:right="720" w:hanging="720"/>
      </w:pPr>
      <w:r w:rsidRPr="00720D9E">
        <w:t xml:space="preserve">For flow substitution, methane concentration rates during the data gap must be consistent with normal operations. </w:t>
      </w:r>
    </w:p>
    <w:p w:rsidR="006A6A02" w:rsidRPr="00720D9E" w:rsidRDefault="006A6A02" w:rsidP="006A6A02">
      <w:pPr>
        <w:pStyle w:val="ListParagraph"/>
        <w:numPr>
          <w:ilvl w:val="3"/>
          <w:numId w:val="47"/>
        </w:numPr>
        <w:ind w:left="720" w:hanging="720"/>
      </w:pPr>
      <w:r w:rsidRPr="00720D9E">
        <w:t>If corroborating parameters fail to demonstrate any of these requirements, no substitution may be employed.  If the requirements above can be met, the following substitution methodology may be applied:</w:t>
      </w:r>
    </w:p>
    <w:tbl>
      <w:tblPr>
        <w:tblStyle w:val="TableGrid"/>
        <w:tblW w:w="0" w:type="auto"/>
        <w:tblLook w:val="04A0" w:firstRow="1" w:lastRow="0" w:firstColumn="1" w:lastColumn="0" w:noHBand="0" w:noVBand="1"/>
      </w:tblPr>
      <w:tblGrid>
        <w:gridCol w:w="2988"/>
        <w:gridCol w:w="6588"/>
      </w:tblGrid>
      <w:tr w:rsidR="003C1FCE" w:rsidTr="003246C2">
        <w:tc>
          <w:tcPr>
            <w:tcW w:w="2988" w:type="dxa"/>
            <w:shd w:val="clear" w:color="auto" w:fill="595959" w:themeFill="text1" w:themeFillTint="A6"/>
          </w:tcPr>
          <w:p w:rsidR="003C1FCE" w:rsidRPr="00386A93" w:rsidRDefault="003C1FCE" w:rsidP="003246C2">
            <w:pPr>
              <w:jc w:val="center"/>
              <w:rPr>
                <w:rFonts w:cstheme="minorHAnsi"/>
                <w:b/>
                <w:color w:val="FFFFFF" w:themeColor="background1"/>
                <w:szCs w:val="24"/>
              </w:rPr>
            </w:pPr>
            <w:r w:rsidRPr="00386A93">
              <w:rPr>
                <w:rFonts w:cstheme="minorHAnsi"/>
                <w:b/>
                <w:color w:val="FFFFFF" w:themeColor="background1"/>
                <w:szCs w:val="24"/>
              </w:rPr>
              <w:lastRenderedPageBreak/>
              <w:t>Duration of Missing Data</w:t>
            </w:r>
          </w:p>
        </w:tc>
        <w:tc>
          <w:tcPr>
            <w:tcW w:w="6588" w:type="dxa"/>
            <w:shd w:val="clear" w:color="auto" w:fill="595959" w:themeFill="text1" w:themeFillTint="A6"/>
          </w:tcPr>
          <w:p w:rsidR="003C1FCE" w:rsidRPr="00386A93" w:rsidRDefault="003C1FCE" w:rsidP="003246C2">
            <w:pPr>
              <w:jc w:val="center"/>
              <w:rPr>
                <w:rFonts w:cstheme="minorHAnsi"/>
                <w:b/>
                <w:color w:val="FFFFFF" w:themeColor="background1"/>
                <w:szCs w:val="24"/>
              </w:rPr>
            </w:pPr>
            <w:r w:rsidRPr="00386A93">
              <w:rPr>
                <w:rFonts w:cstheme="minorHAnsi"/>
                <w:b/>
                <w:color w:val="FFFFFF" w:themeColor="background1"/>
                <w:szCs w:val="24"/>
              </w:rPr>
              <w:t>Substitution Methodology</w:t>
            </w:r>
          </w:p>
        </w:tc>
      </w:tr>
      <w:tr w:rsidR="003C1FCE" w:rsidTr="003246C2">
        <w:tc>
          <w:tcPr>
            <w:tcW w:w="2988" w:type="dxa"/>
          </w:tcPr>
          <w:p w:rsidR="003C1FCE" w:rsidRPr="00C506FA" w:rsidRDefault="003C1FCE" w:rsidP="003246C2">
            <w:pPr>
              <w:rPr>
                <w:rFonts w:cstheme="minorHAnsi"/>
                <w:szCs w:val="24"/>
              </w:rPr>
            </w:pPr>
            <w:r w:rsidRPr="00C506FA">
              <w:rPr>
                <w:rFonts w:cstheme="minorHAnsi"/>
                <w:szCs w:val="24"/>
              </w:rPr>
              <w:t xml:space="preserve">Less than six hours </w:t>
            </w:r>
          </w:p>
        </w:tc>
        <w:tc>
          <w:tcPr>
            <w:tcW w:w="6588" w:type="dxa"/>
          </w:tcPr>
          <w:p w:rsidR="003C1FCE" w:rsidRPr="00C506FA" w:rsidRDefault="003C1FCE" w:rsidP="003C1FCE">
            <w:pPr>
              <w:pStyle w:val="NoSpacing"/>
            </w:pPr>
            <w:r w:rsidRPr="00C506FA">
              <w:t>Use the average of the four hours immediately before and following the outage</w:t>
            </w:r>
          </w:p>
        </w:tc>
      </w:tr>
      <w:tr w:rsidR="003C1FCE" w:rsidTr="003246C2">
        <w:tc>
          <w:tcPr>
            <w:tcW w:w="2988" w:type="dxa"/>
          </w:tcPr>
          <w:p w:rsidR="003C1FCE" w:rsidRPr="00C506FA" w:rsidRDefault="003C1FCE" w:rsidP="003246C2">
            <w:pPr>
              <w:rPr>
                <w:rFonts w:cstheme="minorHAnsi"/>
                <w:szCs w:val="24"/>
              </w:rPr>
            </w:pPr>
            <w:r w:rsidRPr="00C506FA">
              <w:rPr>
                <w:rFonts w:cstheme="minorHAnsi"/>
                <w:szCs w:val="24"/>
              </w:rPr>
              <w:t xml:space="preserve">Six to 24 hours </w:t>
            </w:r>
          </w:p>
        </w:tc>
        <w:tc>
          <w:tcPr>
            <w:tcW w:w="6588" w:type="dxa"/>
          </w:tcPr>
          <w:p w:rsidR="003C1FCE" w:rsidRPr="00C506FA" w:rsidRDefault="003C1FCE" w:rsidP="003C1FCE">
            <w:pPr>
              <w:pStyle w:val="NoSpacing"/>
            </w:pPr>
            <w:r w:rsidRPr="00C506FA">
              <w:t>Use the 90% lower confidence limit of the 24 hours prior to and after the outage</w:t>
            </w:r>
          </w:p>
        </w:tc>
      </w:tr>
      <w:tr w:rsidR="003C1FCE" w:rsidTr="003246C2">
        <w:tc>
          <w:tcPr>
            <w:tcW w:w="2988" w:type="dxa"/>
          </w:tcPr>
          <w:p w:rsidR="003C1FCE" w:rsidRPr="00C506FA" w:rsidRDefault="003C1FCE" w:rsidP="003246C2">
            <w:pPr>
              <w:rPr>
                <w:rFonts w:cstheme="minorHAnsi"/>
                <w:szCs w:val="24"/>
              </w:rPr>
            </w:pPr>
            <w:r w:rsidRPr="00C506FA">
              <w:rPr>
                <w:rFonts w:cstheme="minorHAnsi"/>
                <w:szCs w:val="24"/>
              </w:rPr>
              <w:t>One to seven days</w:t>
            </w:r>
          </w:p>
        </w:tc>
        <w:tc>
          <w:tcPr>
            <w:tcW w:w="6588" w:type="dxa"/>
          </w:tcPr>
          <w:p w:rsidR="003C1FCE" w:rsidRPr="00C506FA" w:rsidRDefault="003C1FCE" w:rsidP="003C1FCE">
            <w:pPr>
              <w:pStyle w:val="NoSpacing"/>
            </w:pPr>
            <w:r w:rsidRPr="00C506FA">
              <w:t>Use the 95% lower confidence limit of the 72 hours prior to and after the outage</w:t>
            </w:r>
          </w:p>
        </w:tc>
      </w:tr>
      <w:tr w:rsidR="003C1FCE" w:rsidTr="003246C2">
        <w:tc>
          <w:tcPr>
            <w:tcW w:w="2988" w:type="dxa"/>
          </w:tcPr>
          <w:p w:rsidR="003C1FCE" w:rsidRPr="00C506FA" w:rsidRDefault="003C1FCE" w:rsidP="003246C2">
            <w:pPr>
              <w:rPr>
                <w:rFonts w:cstheme="minorHAnsi"/>
                <w:szCs w:val="24"/>
              </w:rPr>
            </w:pPr>
            <w:r w:rsidRPr="00C506FA">
              <w:rPr>
                <w:rFonts w:cstheme="minorHAnsi"/>
                <w:szCs w:val="24"/>
              </w:rPr>
              <w:t>Greater than one week</w:t>
            </w:r>
          </w:p>
        </w:tc>
        <w:tc>
          <w:tcPr>
            <w:tcW w:w="6588" w:type="dxa"/>
          </w:tcPr>
          <w:p w:rsidR="003C1FCE" w:rsidRPr="00C506FA" w:rsidRDefault="003C1FCE" w:rsidP="003C1FCE">
            <w:pPr>
              <w:pStyle w:val="NoSpacing"/>
            </w:pPr>
            <w:r w:rsidRPr="00C506FA">
              <w:t xml:space="preserve">No data may be substituted and no credits may be generated </w:t>
            </w:r>
          </w:p>
        </w:tc>
      </w:tr>
    </w:tbl>
    <w:p w:rsidR="006A6A02" w:rsidRDefault="006A6A02" w:rsidP="003638CE">
      <w:pPr>
        <w:pStyle w:val="ListParagraph"/>
        <w:ind w:left="0"/>
      </w:pPr>
    </w:p>
    <w:sectPr w:rsidR="006A6A02" w:rsidSect="00A72029">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AC" w:rsidRDefault="000405AC" w:rsidP="008F3F10">
      <w:r>
        <w:separator/>
      </w:r>
    </w:p>
  </w:endnote>
  <w:endnote w:type="continuationSeparator" w:id="0">
    <w:p w:rsidR="000405AC" w:rsidRDefault="000405AC" w:rsidP="008F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20674"/>
      <w:docPartObj>
        <w:docPartGallery w:val="Page Numbers (Bottom of Page)"/>
        <w:docPartUnique/>
      </w:docPartObj>
    </w:sdtPr>
    <w:sdtEndPr>
      <w:rPr>
        <w:noProof/>
      </w:rPr>
    </w:sdtEndPr>
    <w:sdtContent>
      <w:p w:rsidR="003246C2" w:rsidRDefault="003246C2">
        <w:pPr>
          <w:pStyle w:val="Footer"/>
          <w:jc w:val="right"/>
        </w:pPr>
        <w:r>
          <w:fldChar w:fldCharType="begin"/>
        </w:r>
        <w:r>
          <w:instrText xml:space="preserve"> PAGE   \* MERGEFORMAT </w:instrText>
        </w:r>
        <w:r>
          <w:fldChar w:fldCharType="separate"/>
        </w:r>
        <w:r w:rsidR="002360F4">
          <w:rPr>
            <w:noProof/>
          </w:rPr>
          <w:t>123</w:t>
        </w:r>
        <w:r>
          <w:rPr>
            <w:noProof/>
          </w:rPr>
          <w:fldChar w:fldCharType="end"/>
        </w:r>
      </w:p>
    </w:sdtContent>
  </w:sdt>
  <w:p w:rsidR="003246C2" w:rsidRDefault="00324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AC" w:rsidRDefault="000405AC" w:rsidP="008F3F10">
      <w:r>
        <w:separator/>
      </w:r>
    </w:p>
  </w:footnote>
  <w:footnote w:type="continuationSeparator" w:id="0">
    <w:p w:rsidR="000405AC" w:rsidRDefault="000405AC" w:rsidP="008F3F10">
      <w:r>
        <w:continuationSeparator/>
      </w:r>
    </w:p>
  </w:footnote>
  <w:footnote w:id="1">
    <w:p w:rsidR="003246C2" w:rsidRDefault="003246C2" w:rsidP="0056242F">
      <w:pPr>
        <w:pStyle w:val="FootnoteText"/>
      </w:pPr>
      <w:r>
        <w:rPr>
          <w:rStyle w:val="FootnoteReference"/>
        </w:rPr>
        <w:footnoteRef/>
      </w:r>
      <w:r>
        <w:t xml:space="preserve"> Health and Safety Code section 38571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57A"/>
    <w:multiLevelType w:val="hybridMultilevel"/>
    <w:tmpl w:val="6CD0EB30"/>
    <w:lvl w:ilvl="0" w:tplc="12EE742E">
      <w:start w:val="1"/>
      <w:numFmt w:val="lowerLetter"/>
      <w:lvlText w:val="(%1)"/>
      <w:lvlJc w:val="left"/>
      <w:pPr>
        <w:ind w:left="720" w:hanging="360"/>
      </w:pPr>
      <w:rPr>
        <w:rFonts w:ascii="Arial" w:eastAsiaTheme="minorHAnsi" w:hAnsi="Arial" w:cs="Lucida Grande" w:hint="default"/>
      </w:rPr>
    </w:lvl>
    <w:lvl w:ilvl="1" w:tplc="9FE0E9D4">
      <w:start w:val="1"/>
      <w:numFmt w:val="decimal"/>
      <w:lvlText w:val="(%2)"/>
      <w:lvlJc w:val="left"/>
      <w:pPr>
        <w:ind w:left="1440" w:hanging="360"/>
      </w:pPr>
      <w:rPr>
        <w:rFonts w:ascii="Arial" w:eastAsiaTheme="minorHAnsi" w:hAnsi="Arial" w:cs="Lucida Grand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E61D5"/>
    <w:multiLevelType w:val="hybridMultilevel"/>
    <w:tmpl w:val="E900675C"/>
    <w:lvl w:ilvl="0" w:tplc="B23E71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1256D"/>
    <w:multiLevelType w:val="hybridMultilevel"/>
    <w:tmpl w:val="79B6E116"/>
    <w:lvl w:ilvl="0" w:tplc="E51044D2">
      <w:start w:val="1"/>
      <w:numFmt w:val="decimal"/>
      <w:lvlText w:val="(%1)"/>
      <w:lvlJc w:val="left"/>
      <w:pPr>
        <w:ind w:left="720" w:hanging="360"/>
      </w:pPr>
      <w:rPr>
        <w:rFonts w:ascii="Arial" w:eastAsiaTheme="minorHAnsi" w:hAnsi="Arial" w:cs="Lucida Grande"/>
      </w:rPr>
    </w:lvl>
    <w:lvl w:ilvl="1" w:tplc="04090019" w:tentative="1">
      <w:start w:val="1"/>
      <w:numFmt w:val="lowerLetter"/>
      <w:lvlText w:val="%2."/>
      <w:lvlJc w:val="left"/>
      <w:pPr>
        <w:ind w:left="1440" w:hanging="360"/>
      </w:pPr>
    </w:lvl>
    <w:lvl w:ilvl="2" w:tplc="3D485380">
      <w:start w:val="1"/>
      <w:numFmt w:val="upperLetter"/>
      <w:lvlText w:val="(%3)"/>
      <w:lvlJc w:val="left"/>
      <w:pPr>
        <w:ind w:left="360" w:firstLine="18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9171A"/>
    <w:multiLevelType w:val="hybridMultilevel"/>
    <w:tmpl w:val="FCC6D13E"/>
    <w:lvl w:ilvl="0" w:tplc="AB58C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F2BC0"/>
    <w:multiLevelType w:val="hybridMultilevel"/>
    <w:tmpl w:val="EECCA656"/>
    <w:lvl w:ilvl="0" w:tplc="2D662E86">
      <w:start w:val="1"/>
      <w:numFmt w:val="lowerLetter"/>
      <w:lvlText w:val="(%1)"/>
      <w:lvlJc w:val="left"/>
      <w:pPr>
        <w:ind w:left="720" w:hanging="360"/>
      </w:pPr>
      <w:rPr>
        <w:rFonts w:ascii="Arial" w:eastAsiaTheme="minorHAnsi" w:hAnsi="Arial" w:cs="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D5A03"/>
    <w:multiLevelType w:val="hybridMultilevel"/>
    <w:tmpl w:val="4AA0749C"/>
    <w:lvl w:ilvl="0" w:tplc="65EED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1726F"/>
    <w:multiLevelType w:val="hybridMultilevel"/>
    <w:tmpl w:val="B7BC25DA"/>
    <w:lvl w:ilvl="0" w:tplc="69185B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2A3000"/>
    <w:multiLevelType w:val="multilevel"/>
    <w:tmpl w:val="5BCCFE80"/>
    <w:lvl w:ilvl="0">
      <w:numFmt w:val="decimal"/>
      <w:lvlText w:val="%1"/>
      <w:lvlJc w:val="left"/>
      <w:pPr>
        <w:ind w:left="735" w:hanging="735"/>
      </w:pPr>
      <w:rPr>
        <w:rFonts w:hint="default"/>
      </w:rPr>
    </w:lvl>
    <w:lvl w:ilvl="1">
      <w:start w:val="454"/>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8C26CF"/>
    <w:multiLevelType w:val="hybridMultilevel"/>
    <w:tmpl w:val="091CC6DC"/>
    <w:lvl w:ilvl="0" w:tplc="71AE93C8">
      <w:start w:val="1"/>
      <w:numFmt w:val="decimal"/>
      <w:lvlText w:val="(%1)"/>
      <w:lvlJc w:val="left"/>
      <w:pPr>
        <w:ind w:left="1260" w:hanging="360"/>
      </w:pPr>
      <w:rPr>
        <w:rFonts w:ascii="Arial" w:eastAsiaTheme="minorHAnsi" w:hAnsi="Arial" w:cs="Lucida Grand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B2A553F"/>
    <w:multiLevelType w:val="hybridMultilevel"/>
    <w:tmpl w:val="DB6E87EE"/>
    <w:lvl w:ilvl="0" w:tplc="65EED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F2715"/>
    <w:multiLevelType w:val="hybridMultilevel"/>
    <w:tmpl w:val="C2DC08DE"/>
    <w:lvl w:ilvl="0" w:tplc="667286E8">
      <w:start w:val="1"/>
      <w:numFmt w:val="decimal"/>
      <w:lvlText w:val="(%1)"/>
      <w:lvlJc w:val="left"/>
      <w:pPr>
        <w:ind w:left="1440" w:hanging="720"/>
      </w:pPr>
      <w:rPr>
        <w:rFonts w:ascii="Arial" w:hAnsi="Arial" w:cs="Arial"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0092BBB"/>
    <w:multiLevelType w:val="hybridMultilevel"/>
    <w:tmpl w:val="C63ED33A"/>
    <w:lvl w:ilvl="0" w:tplc="65EED0A2">
      <w:start w:val="1"/>
      <w:numFmt w:val="lowerLetter"/>
      <w:lvlText w:val="(%1)"/>
      <w:lvlJc w:val="left"/>
      <w:pPr>
        <w:ind w:left="720" w:hanging="360"/>
      </w:pPr>
      <w:rPr>
        <w:rFonts w:hint="default"/>
      </w:rPr>
    </w:lvl>
    <w:lvl w:ilvl="1" w:tplc="DD3CCECA">
      <w:start w:val="1"/>
      <w:numFmt w:val="decimal"/>
      <w:lvlText w:val="(%2)"/>
      <w:lvlJc w:val="left"/>
      <w:pPr>
        <w:ind w:left="1440" w:hanging="360"/>
      </w:pPr>
      <w:rPr>
        <w:rFonts w:ascii="Arial" w:eastAsiaTheme="minorHAnsi" w:hAnsi="Arial" w:cs="Lucida Grand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63B21"/>
    <w:multiLevelType w:val="hybridMultilevel"/>
    <w:tmpl w:val="C332FECE"/>
    <w:lvl w:ilvl="0" w:tplc="5E788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4F4340"/>
    <w:multiLevelType w:val="hybridMultilevel"/>
    <w:tmpl w:val="D6147C2C"/>
    <w:lvl w:ilvl="0" w:tplc="A7AC2002">
      <w:start w:val="1"/>
      <w:numFmt w:val="lowerLetter"/>
      <w:lvlText w:val="(%1)"/>
      <w:lvlJc w:val="left"/>
      <w:pPr>
        <w:ind w:left="720" w:hanging="360"/>
      </w:pPr>
      <w:rPr>
        <w:rFonts w:ascii="Arial" w:eastAsiaTheme="minorHAnsi" w:hAnsi="Arial" w:cs="Lucida Grande" w:hint="default"/>
      </w:rPr>
    </w:lvl>
    <w:lvl w:ilvl="1" w:tplc="5E788C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44AD9"/>
    <w:multiLevelType w:val="hybridMultilevel"/>
    <w:tmpl w:val="5518012A"/>
    <w:lvl w:ilvl="0" w:tplc="65EED0A2">
      <w:start w:val="1"/>
      <w:numFmt w:val="lowerLetter"/>
      <w:lvlText w:val="(%1)"/>
      <w:lvlJc w:val="left"/>
      <w:pPr>
        <w:ind w:left="720" w:hanging="360"/>
      </w:pPr>
      <w:rPr>
        <w:rFonts w:hint="default"/>
      </w:rPr>
    </w:lvl>
    <w:lvl w:ilvl="1" w:tplc="A476E0BA">
      <w:start w:val="1"/>
      <w:numFmt w:val="decimal"/>
      <w:lvlText w:val="(%2)"/>
      <w:lvlJc w:val="left"/>
      <w:pPr>
        <w:ind w:left="144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14178"/>
    <w:multiLevelType w:val="hybridMultilevel"/>
    <w:tmpl w:val="68DC2DEE"/>
    <w:lvl w:ilvl="0" w:tplc="69185BD2">
      <w:start w:val="1"/>
      <w:numFmt w:val="decimal"/>
      <w:lvlText w:val="(%1)"/>
      <w:lvlJc w:val="left"/>
      <w:pPr>
        <w:ind w:left="720" w:hanging="360"/>
      </w:pPr>
      <w:rPr>
        <w:rFonts w:hint="default"/>
      </w:rPr>
    </w:lvl>
    <w:lvl w:ilvl="1" w:tplc="3D485380">
      <w:start w:val="1"/>
      <w:numFmt w:val="upperLetter"/>
      <w:lvlText w:val="(%2)"/>
      <w:lvlJc w:val="left"/>
      <w:pPr>
        <w:ind w:left="1440" w:hanging="360"/>
      </w:pPr>
      <w:rPr>
        <w:rFonts w:hint="default"/>
      </w:rPr>
    </w:lvl>
    <w:lvl w:ilvl="2" w:tplc="7DAEFD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8418A"/>
    <w:multiLevelType w:val="hybridMultilevel"/>
    <w:tmpl w:val="E8188D7C"/>
    <w:lvl w:ilvl="0" w:tplc="65EED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82DD3"/>
    <w:multiLevelType w:val="hybridMultilevel"/>
    <w:tmpl w:val="0B724EC0"/>
    <w:lvl w:ilvl="0" w:tplc="65EED0A2">
      <w:start w:val="1"/>
      <w:numFmt w:val="lowerLetter"/>
      <w:lvlText w:val="(%1)"/>
      <w:lvlJc w:val="left"/>
      <w:pPr>
        <w:ind w:left="720" w:hanging="360"/>
      </w:pPr>
      <w:rPr>
        <w:rFonts w:hint="default"/>
      </w:rPr>
    </w:lvl>
    <w:lvl w:ilvl="1" w:tplc="7F7C2586">
      <w:start w:val="1"/>
      <w:numFmt w:val="decimal"/>
      <w:lvlText w:val="(%2)"/>
      <w:lvlJc w:val="left"/>
      <w:pPr>
        <w:ind w:left="1440" w:hanging="72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81078"/>
    <w:multiLevelType w:val="hybridMultilevel"/>
    <w:tmpl w:val="7BDC4B5E"/>
    <w:lvl w:ilvl="0" w:tplc="05BA2FCE">
      <w:start w:val="1"/>
      <w:numFmt w:val="lowerLetter"/>
      <w:lvlText w:val="(%1)"/>
      <w:lvlJc w:val="left"/>
      <w:pPr>
        <w:ind w:left="720" w:hanging="360"/>
      </w:pPr>
      <w:rPr>
        <w:rFonts w:ascii="Arial" w:hAnsi="Arial" w:cs="Arial" w:hint="default"/>
      </w:rPr>
    </w:lvl>
    <w:lvl w:ilvl="1" w:tplc="1F008B00">
      <w:start w:val="1"/>
      <w:numFmt w:val="decimal"/>
      <w:lvlText w:val="(%2)"/>
      <w:lvlJc w:val="left"/>
      <w:pPr>
        <w:ind w:left="1440" w:hanging="360"/>
      </w:pPr>
      <w:rPr>
        <w:rFonts w:ascii="Arial" w:hAnsi="Arial" w:cs="Arial" w:hint="default"/>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346EC"/>
    <w:multiLevelType w:val="hybridMultilevel"/>
    <w:tmpl w:val="53CE65F0"/>
    <w:lvl w:ilvl="0" w:tplc="21C6FE5A">
      <w:start w:val="1"/>
      <w:numFmt w:val="decimal"/>
      <w:lvlText w:val="(%1)"/>
      <w:lvlJc w:val="left"/>
      <w:pPr>
        <w:ind w:left="720" w:hanging="360"/>
      </w:pPr>
      <w:rPr>
        <w:rFonts w:hint="default"/>
      </w:rPr>
    </w:lvl>
    <w:lvl w:ilvl="1" w:tplc="AE6622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44300"/>
    <w:multiLevelType w:val="hybridMultilevel"/>
    <w:tmpl w:val="37F633E6"/>
    <w:lvl w:ilvl="0" w:tplc="65EED0A2">
      <w:start w:val="1"/>
      <w:numFmt w:val="lowerLetter"/>
      <w:lvlText w:val="(%1)"/>
      <w:lvlJc w:val="left"/>
      <w:pPr>
        <w:ind w:left="720" w:hanging="360"/>
      </w:pPr>
      <w:rPr>
        <w:rFonts w:hint="default"/>
      </w:rPr>
    </w:lvl>
    <w:lvl w:ilvl="1" w:tplc="9FE0E9D4">
      <w:start w:val="1"/>
      <w:numFmt w:val="decimal"/>
      <w:lvlText w:val="(%2)"/>
      <w:lvlJc w:val="left"/>
      <w:pPr>
        <w:ind w:left="1440" w:hanging="360"/>
      </w:pPr>
      <w:rPr>
        <w:rFonts w:ascii="Arial" w:eastAsiaTheme="minorHAnsi" w:hAnsi="Arial" w:cs="Lucida Grand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30B5A"/>
    <w:multiLevelType w:val="hybridMultilevel"/>
    <w:tmpl w:val="6318FC56"/>
    <w:lvl w:ilvl="0" w:tplc="12EE742E">
      <w:start w:val="1"/>
      <w:numFmt w:val="lowerLetter"/>
      <w:lvlText w:val="(%1)"/>
      <w:lvlJc w:val="left"/>
      <w:pPr>
        <w:ind w:left="720" w:hanging="360"/>
      </w:pPr>
      <w:rPr>
        <w:rFonts w:ascii="Arial" w:eastAsiaTheme="minorHAnsi" w:hAnsi="Arial" w:cs="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7B0641"/>
    <w:multiLevelType w:val="hybridMultilevel"/>
    <w:tmpl w:val="31BC49F6"/>
    <w:lvl w:ilvl="0" w:tplc="9FE0E9D4">
      <w:start w:val="1"/>
      <w:numFmt w:val="decimal"/>
      <w:lvlText w:val="(%1)"/>
      <w:lvlJc w:val="left"/>
      <w:pPr>
        <w:ind w:left="720" w:hanging="360"/>
      </w:pPr>
      <w:rPr>
        <w:rFonts w:ascii="Arial" w:eastAsiaTheme="minorHAnsi" w:hAnsi="Arial" w:cs="Lucida Grand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DF1597"/>
    <w:multiLevelType w:val="hybridMultilevel"/>
    <w:tmpl w:val="81368EEC"/>
    <w:lvl w:ilvl="0" w:tplc="E41A5970">
      <w:start w:val="1"/>
      <w:numFmt w:val="lowerLetter"/>
      <w:lvlText w:val="(%1)"/>
      <w:lvlJc w:val="left"/>
      <w:pPr>
        <w:ind w:left="720" w:hanging="360"/>
      </w:pPr>
      <w:rPr>
        <w:rFonts w:hint="default"/>
      </w:rPr>
    </w:lvl>
    <w:lvl w:ilvl="1" w:tplc="667286E8">
      <w:start w:val="1"/>
      <w:numFmt w:val="decimal"/>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41CD1"/>
    <w:multiLevelType w:val="hybridMultilevel"/>
    <w:tmpl w:val="ED50A1BA"/>
    <w:lvl w:ilvl="0" w:tplc="DBAE4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854F30"/>
    <w:multiLevelType w:val="hybridMultilevel"/>
    <w:tmpl w:val="60E843BC"/>
    <w:lvl w:ilvl="0" w:tplc="FADEE3BC">
      <w:start w:val="1"/>
      <w:numFmt w:val="decimal"/>
      <w:lvlText w:val="(%1)"/>
      <w:lvlJc w:val="left"/>
      <w:pPr>
        <w:ind w:left="720" w:hanging="360"/>
      </w:pPr>
      <w:rPr>
        <w:rFonts w:ascii="Arial" w:eastAsiaTheme="minorHAnsi" w:hAnsi="Arial" w:cs="Lucida Gran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863160"/>
    <w:multiLevelType w:val="hybridMultilevel"/>
    <w:tmpl w:val="ACCECA74"/>
    <w:lvl w:ilvl="0" w:tplc="8AE05C2C">
      <w:start w:val="1"/>
      <w:numFmt w:val="lowerLetter"/>
      <w:lvlText w:val="(%1)"/>
      <w:lvlJc w:val="left"/>
      <w:pPr>
        <w:ind w:left="720" w:hanging="360"/>
      </w:pPr>
      <w:rPr>
        <w:rFonts w:hint="default"/>
        <w:sz w:val="23"/>
      </w:rPr>
    </w:lvl>
    <w:lvl w:ilvl="1" w:tplc="69185BD2">
      <w:start w:val="1"/>
      <w:numFmt w:val="decimal"/>
      <w:lvlText w:val="(%2)"/>
      <w:lvlJc w:val="left"/>
      <w:pPr>
        <w:ind w:left="1440" w:hanging="360"/>
      </w:pPr>
      <w:rPr>
        <w:rFonts w:hint="default"/>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C76464"/>
    <w:multiLevelType w:val="hybridMultilevel"/>
    <w:tmpl w:val="3BCEE22C"/>
    <w:lvl w:ilvl="0" w:tplc="00EA594E">
      <w:start w:val="1"/>
      <w:numFmt w:val="lowerLetter"/>
      <w:lvlText w:val="(%1)"/>
      <w:lvlJc w:val="left"/>
      <w:pPr>
        <w:ind w:left="720" w:hanging="360"/>
      </w:pPr>
      <w:rPr>
        <w:rFonts w:hint="default"/>
      </w:rPr>
    </w:lvl>
    <w:lvl w:ilvl="1" w:tplc="667286E8">
      <w:start w:val="1"/>
      <w:numFmt w:val="decimal"/>
      <w:lvlText w:val="(%2)"/>
      <w:lvlJc w:val="left"/>
      <w:pPr>
        <w:ind w:left="1440" w:hanging="360"/>
      </w:pPr>
      <w:rPr>
        <w:rFonts w:ascii="Arial" w:hAnsi="Arial" w:cs="Arial" w:hint="default"/>
        <w:sz w:val="24"/>
        <w:szCs w:val="24"/>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3E5BEC"/>
    <w:multiLevelType w:val="hybridMultilevel"/>
    <w:tmpl w:val="513022F8"/>
    <w:lvl w:ilvl="0" w:tplc="65EED0A2">
      <w:start w:val="1"/>
      <w:numFmt w:val="lowerLetter"/>
      <w:lvlText w:val="(%1)"/>
      <w:lvlJc w:val="left"/>
      <w:pPr>
        <w:ind w:left="1080" w:hanging="360"/>
      </w:pPr>
      <w:rPr>
        <w:rFonts w:hint="default"/>
      </w:rPr>
    </w:lvl>
    <w:lvl w:ilvl="1" w:tplc="5E788C98">
      <w:start w:val="1"/>
      <w:numFmt w:val="decimal"/>
      <w:lvlText w:val="(%2)"/>
      <w:lvlJc w:val="left"/>
      <w:pPr>
        <w:ind w:left="1440" w:hanging="360"/>
      </w:pPr>
      <w:rPr>
        <w:rFonts w:hint="default"/>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E04B1"/>
    <w:multiLevelType w:val="hybridMultilevel"/>
    <w:tmpl w:val="56AA36C2"/>
    <w:lvl w:ilvl="0" w:tplc="A7AC2002">
      <w:start w:val="1"/>
      <w:numFmt w:val="lowerLetter"/>
      <w:lvlText w:val="(%1)"/>
      <w:lvlJc w:val="left"/>
      <w:pPr>
        <w:ind w:left="720" w:hanging="360"/>
      </w:pPr>
      <w:rPr>
        <w:rFonts w:ascii="Arial" w:eastAsiaTheme="minorHAnsi" w:hAnsi="Arial" w:cs="Lucida Grande" w:hint="default"/>
      </w:rPr>
    </w:lvl>
    <w:lvl w:ilvl="1" w:tplc="69185B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6346E6"/>
    <w:multiLevelType w:val="hybridMultilevel"/>
    <w:tmpl w:val="2D94E202"/>
    <w:lvl w:ilvl="0" w:tplc="52D2AE12">
      <w:start w:val="1"/>
      <w:numFmt w:val="lowerLetter"/>
      <w:lvlText w:val="(%1)"/>
      <w:lvlJc w:val="left"/>
      <w:pPr>
        <w:ind w:left="720" w:hanging="360"/>
      </w:pPr>
      <w:rPr>
        <w:rFonts w:ascii="Arial" w:eastAsiaTheme="minorHAnsi" w:hAnsi="Arial" w:cs="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DA1C30"/>
    <w:multiLevelType w:val="hybridMultilevel"/>
    <w:tmpl w:val="14346F2C"/>
    <w:lvl w:ilvl="0" w:tplc="69185BD2">
      <w:start w:val="1"/>
      <w:numFmt w:val="decimal"/>
      <w:lvlText w:val="(%1)"/>
      <w:lvlJc w:val="left"/>
      <w:pPr>
        <w:ind w:left="720" w:hanging="360"/>
      </w:pPr>
      <w:rPr>
        <w:rFonts w:hint="default"/>
      </w:rPr>
    </w:lvl>
    <w:lvl w:ilvl="1" w:tplc="3D485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7A2514"/>
    <w:multiLevelType w:val="hybridMultilevel"/>
    <w:tmpl w:val="A31E282C"/>
    <w:lvl w:ilvl="0" w:tplc="65EED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7B4F3F"/>
    <w:multiLevelType w:val="hybridMultilevel"/>
    <w:tmpl w:val="FC18CDB6"/>
    <w:lvl w:ilvl="0" w:tplc="ECBA5B50">
      <w:start w:val="1"/>
      <w:numFmt w:val="lowerLetter"/>
      <w:lvlText w:val="(%1)"/>
      <w:lvlJc w:val="left"/>
      <w:pPr>
        <w:ind w:left="720" w:hanging="360"/>
      </w:pPr>
      <w:rPr>
        <w:rFonts w:hint="default"/>
      </w:rPr>
    </w:lvl>
    <w:lvl w:ilvl="1" w:tplc="B6E86D40">
      <w:start w:val="1"/>
      <w:numFmt w:val="decimal"/>
      <w:lvlText w:val="(%2)"/>
      <w:lvlJc w:val="left"/>
      <w:pPr>
        <w:ind w:left="1440" w:hanging="360"/>
      </w:pPr>
      <w:rPr>
        <w:rFonts w:ascii="Arial" w:eastAsiaTheme="minorHAnsi" w:hAnsi="Arial" w:cs="Lucida Grande"/>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B3663"/>
    <w:multiLevelType w:val="hybridMultilevel"/>
    <w:tmpl w:val="D152BC3E"/>
    <w:lvl w:ilvl="0" w:tplc="0A0A81AE">
      <w:start w:val="1"/>
      <w:numFmt w:val="decimal"/>
      <w:lvlText w:val="(%1)"/>
      <w:lvlJc w:val="left"/>
      <w:pPr>
        <w:ind w:left="720" w:hanging="360"/>
      </w:pPr>
      <w:rPr>
        <w:rFonts w:ascii="Arial" w:eastAsiaTheme="minorHAnsi" w:hAnsi="Arial" w:cs="Lucida Gran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AC2787"/>
    <w:multiLevelType w:val="hybridMultilevel"/>
    <w:tmpl w:val="1DFA4490"/>
    <w:lvl w:ilvl="0" w:tplc="69185BD2">
      <w:start w:val="1"/>
      <w:numFmt w:val="decimal"/>
      <w:lvlText w:val="(%1)"/>
      <w:lvlJc w:val="left"/>
      <w:pPr>
        <w:ind w:left="720" w:hanging="360"/>
      </w:pPr>
      <w:rPr>
        <w:rFonts w:hint="default"/>
      </w:rPr>
    </w:lvl>
    <w:lvl w:ilvl="1" w:tplc="3D485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A710E5"/>
    <w:multiLevelType w:val="hybridMultilevel"/>
    <w:tmpl w:val="3D229BEE"/>
    <w:lvl w:ilvl="0" w:tplc="47F26CD6">
      <w:start w:val="1"/>
      <w:numFmt w:val="lowerLetter"/>
      <w:lvlText w:val="(%1)"/>
      <w:lvlJc w:val="left"/>
      <w:pPr>
        <w:ind w:left="720" w:hanging="360"/>
      </w:pPr>
      <w:rPr>
        <w:rFonts w:hint="default"/>
      </w:rPr>
    </w:lvl>
    <w:lvl w:ilvl="1" w:tplc="9FE0E9D4">
      <w:start w:val="1"/>
      <w:numFmt w:val="decimal"/>
      <w:lvlText w:val="(%2)"/>
      <w:lvlJc w:val="left"/>
      <w:pPr>
        <w:ind w:left="1440" w:hanging="360"/>
      </w:pPr>
      <w:rPr>
        <w:rFonts w:ascii="Arial" w:eastAsiaTheme="minorHAnsi" w:hAnsi="Arial" w:cs="Lucida Grand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4E1B45"/>
    <w:multiLevelType w:val="hybridMultilevel"/>
    <w:tmpl w:val="42C88932"/>
    <w:lvl w:ilvl="0" w:tplc="65EED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E44B6"/>
    <w:multiLevelType w:val="hybridMultilevel"/>
    <w:tmpl w:val="6916CEB0"/>
    <w:lvl w:ilvl="0" w:tplc="85766D7C">
      <w:start w:val="1"/>
      <w:numFmt w:val="lowerLetter"/>
      <w:lvlText w:val="(%1)"/>
      <w:lvlJc w:val="left"/>
      <w:pPr>
        <w:ind w:left="720" w:hanging="360"/>
      </w:pPr>
      <w:rPr>
        <w:rFonts w:ascii="Arial" w:eastAsiaTheme="minorHAnsi" w:hAnsi="Arial" w:cs="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AB38F3"/>
    <w:multiLevelType w:val="hybridMultilevel"/>
    <w:tmpl w:val="E7568BBC"/>
    <w:lvl w:ilvl="0" w:tplc="12EE742E">
      <w:start w:val="1"/>
      <w:numFmt w:val="lowerLetter"/>
      <w:lvlText w:val="(%1)"/>
      <w:lvlJc w:val="left"/>
      <w:pPr>
        <w:ind w:left="360" w:hanging="360"/>
      </w:pPr>
      <w:rPr>
        <w:rFonts w:ascii="Arial" w:eastAsiaTheme="minorHAnsi" w:hAnsi="Arial" w:cs="Lucida Grand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CA97A1E"/>
    <w:multiLevelType w:val="hybridMultilevel"/>
    <w:tmpl w:val="1CC2ADCA"/>
    <w:lvl w:ilvl="0" w:tplc="69185B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EA107E1"/>
    <w:multiLevelType w:val="hybridMultilevel"/>
    <w:tmpl w:val="F6D4E7D0"/>
    <w:lvl w:ilvl="0" w:tplc="65EED0A2">
      <w:start w:val="1"/>
      <w:numFmt w:val="lowerLetter"/>
      <w:lvlText w:val="(%1)"/>
      <w:lvlJc w:val="left"/>
      <w:pPr>
        <w:ind w:left="720" w:hanging="360"/>
      </w:pPr>
      <w:rPr>
        <w:rFonts w:hint="default"/>
      </w:rPr>
    </w:lvl>
    <w:lvl w:ilvl="1" w:tplc="A476E0BA">
      <w:start w:val="1"/>
      <w:numFmt w:val="decimal"/>
      <w:lvlText w:val="(%2)"/>
      <w:lvlJc w:val="left"/>
      <w:pPr>
        <w:ind w:left="1440" w:hanging="720"/>
      </w:pPr>
      <w:rPr>
        <w:rFonts w:hint="default"/>
      </w:rPr>
    </w:lvl>
    <w:lvl w:ilvl="2" w:tplc="339C74D6">
      <w:start w:val="1"/>
      <w:numFmt w:val="upperLetter"/>
      <w:lvlText w:val="(%3)"/>
      <w:lvlJc w:val="left"/>
      <w:pPr>
        <w:tabs>
          <w:tab w:val="num" w:pos="2160"/>
        </w:tabs>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A56E30"/>
    <w:multiLevelType w:val="hybridMultilevel"/>
    <w:tmpl w:val="ED2C6CFC"/>
    <w:lvl w:ilvl="0" w:tplc="AE662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EE432B"/>
    <w:multiLevelType w:val="hybridMultilevel"/>
    <w:tmpl w:val="80A4ADA0"/>
    <w:lvl w:ilvl="0" w:tplc="311A1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0077F2"/>
    <w:multiLevelType w:val="hybridMultilevel"/>
    <w:tmpl w:val="9B0A47C0"/>
    <w:lvl w:ilvl="0" w:tplc="69185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0E5F80"/>
    <w:multiLevelType w:val="hybridMultilevel"/>
    <w:tmpl w:val="70B67E4C"/>
    <w:lvl w:ilvl="0" w:tplc="65EED0A2">
      <w:start w:val="1"/>
      <w:numFmt w:val="lowerLetter"/>
      <w:lvlText w:val="(%1)"/>
      <w:lvlJc w:val="left"/>
      <w:pPr>
        <w:ind w:left="720" w:hanging="360"/>
      </w:pPr>
      <w:rPr>
        <w:rFonts w:hint="default"/>
      </w:rPr>
    </w:lvl>
    <w:lvl w:ilvl="1" w:tplc="A476E0B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2A62AE"/>
    <w:multiLevelType w:val="hybridMultilevel"/>
    <w:tmpl w:val="95C05476"/>
    <w:lvl w:ilvl="0" w:tplc="9FE0E9D4">
      <w:start w:val="1"/>
      <w:numFmt w:val="decimal"/>
      <w:lvlText w:val="(%1)"/>
      <w:lvlJc w:val="left"/>
      <w:pPr>
        <w:ind w:left="720" w:hanging="360"/>
      </w:pPr>
      <w:rPr>
        <w:rFonts w:ascii="Arial" w:eastAsiaTheme="minorHAnsi" w:hAnsi="Arial" w:cs="Lucida Gran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B0081B"/>
    <w:multiLevelType w:val="hybridMultilevel"/>
    <w:tmpl w:val="B4BC0A96"/>
    <w:lvl w:ilvl="0" w:tplc="12EE742E">
      <w:start w:val="1"/>
      <w:numFmt w:val="lowerLetter"/>
      <w:lvlText w:val="(%1)"/>
      <w:lvlJc w:val="left"/>
      <w:pPr>
        <w:ind w:left="720" w:hanging="360"/>
      </w:pPr>
      <w:rPr>
        <w:rFonts w:ascii="Arial" w:eastAsiaTheme="minorHAnsi" w:hAnsi="Arial" w:cs="Lucida Grande"/>
      </w:rPr>
    </w:lvl>
    <w:lvl w:ilvl="1" w:tplc="B6E86D40">
      <w:start w:val="1"/>
      <w:numFmt w:val="decimal"/>
      <w:lvlText w:val="(%2)"/>
      <w:lvlJc w:val="left"/>
      <w:pPr>
        <w:ind w:left="1440" w:hanging="360"/>
      </w:pPr>
      <w:rPr>
        <w:rFonts w:ascii="Arial" w:eastAsiaTheme="minorHAnsi" w:hAnsi="Arial" w:cs="Lucida Grande"/>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8738A9"/>
    <w:multiLevelType w:val="hybridMultilevel"/>
    <w:tmpl w:val="C3588988"/>
    <w:lvl w:ilvl="0" w:tplc="69185BD2">
      <w:start w:val="1"/>
      <w:numFmt w:val="decimal"/>
      <w:lvlText w:val="(%1)"/>
      <w:lvlJc w:val="left"/>
      <w:pPr>
        <w:ind w:left="720" w:hanging="360"/>
      </w:pPr>
      <w:rPr>
        <w:rFonts w:hint="default"/>
      </w:rPr>
    </w:lvl>
    <w:lvl w:ilvl="1" w:tplc="3D485380">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AF9CAA7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8F1E19"/>
    <w:multiLevelType w:val="hybridMultilevel"/>
    <w:tmpl w:val="EA6829C2"/>
    <w:lvl w:ilvl="0" w:tplc="12EE742E">
      <w:start w:val="1"/>
      <w:numFmt w:val="lowerLetter"/>
      <w:lvlText w:val="(%1)"/>
      <w:lvlJc w:val="left"/>
      <w:pPr>
        <w:ind w:left="720" w:hanging="360"/>
      </w:pPr>
      <w:rPr>
        <w:rFonts w:ascii="Arial" w:eastAsiaTheme="minorHAnsi" w:hAnsi="Arial" w:cs="Lucida Gran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D77A2B"/>
    <w:multiLevelType w:val="hybridMultilevel"/>
    <w:tmpl w:val="93F48CE8"/>
    <w:lvl w:ilvl="0" w:tplc="65EED0A2">
      <w:start w:val="1"/>
      <w:numFmt w:val="lowerLetter"/>
      <w:lvlText w:val="(%1)"/>
      <w:lvlJc w:val="left"/>
      <w:pPr>
        <w:ind w:left="720" w:hanging="360"/>
      </w:pPr>
      <w:rPr>
        <w:rFonts w:hint="default"/>
      </w:rPr>
    </w:lvl>
    <w:lvl w:ilvl="1" w:tplc="667286E8">
      <w:start w:val="1"/>
      <w:numFmt w:val="decimal"/>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636FE0"/>
    <w:multiLevelType w:val="hybridMultilevel"/>
    <w:tmpl w:val="686428C8"/>
    <w:lvl w:ilvl="0" w:tplc="65EED0A2">
      <w:start w:val="1"/>
      <w:numFmt w:val="lowerLetter"/>
      <w:lvlText w:val="(%1)"/>
      <w:lvlJc w:val="left"/>
      <w:pPr>
        <w:ind w:left="720" w:hanging="360"/>
      </w:pPr>
      <w:rPr>
        <w:rFonts w:hint="default"/>
      </w:rPr>
    </w:lvl>
    <w:lvl w:ilvl="1" w:tplc="A476E0BA">
      <w:start w:val="1"/>
      <w:numFmt w:val="decimal"/>
      <w:lvlText w:val="(%2)"/>
      <w:lvlJc w:val="left"/>
      <w:pPr>
        <w:ind w:left="1440" w:hanging="720"/>
      </w:pPr>
      <w:rPr>
        <w:rFonts w:hint="default"/>
      </w:rPr>
    </w:lvl>
    <w:lvl w:ilvl="2" w:tplc="339C74D6">
      <w:start w:val="1"/>
      <w:numFmt w:val="upperLetter"/>
      <w:lvlText w:val="(%3)"/>
      <w:lvlJc w:val="left"/>
      <w:pPr>
        <w:tabs>
          <w:tab w:val="num" w:pos="2160"/>
        </w:tabs>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8721D8"/>
    <w:multiLevelType w:val="hybridMultilevel"/>
    <w:tmpl w:val="8EAAAC76"/>
    <w:lvl w:ilvl="0" w:tplc="8612D0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3F5DC6"/>
    <w:multiLevelType w:val="hybridMultilevel"/>
    <w:tmpl w:val="BBEE4F78"/>
    <w:lvl w:ilvl="0" w:tplc="C29A2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1F61FA"/>
    <w:multiLevelType w:val="hybridMultilevel"/>
    <w:tmpl w:val="2D94E202"/>
    <w:lvl w:ilvl="0" w:tplc="52D2AE12">
      <w:start w:val="1"/>
      <w:numFmt w:val="lowerLetter"/>
      <w:lvlText w:val="(%1)"/>
      <w:lvlJc w:val="left"/>
      <w:pPr>
        <w:ind w:left="720" w:hanging="360"/>
      </w:pPr>
      <w:rPr>
        <w:rFonts w:ascii="Arial" w:eastAsiaTheme="minorHAnsi" w:hAnsi="Arial" w:cs="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9B566E"/>
    <w:multiLevelType w:val="hybridMultilevel"/>
    <w:tmpl w:val="E798436A"/>
    <w:lvl w:ilvl="0" w:tplc="B6E86D40">
      <w:start w:val="1"/>
      <w:numFmt w:val="decimal"/>
      <w:lvlText w:val="(%1)"/>
      <w:lvlJc w:val="left"/>
      <w:pPr>
        <w:ind w:left="720" w:hanging="360"/>
      </w:pPr>
      <w:rPr>
        <w:rFonts w:ascii="Arial" w:eastAsiaTheme="minorHAnsi" w:hAnsi="Arial" w:cs="Lucida Grande" w:hint="default"/>
        <w:sz w:val="23"/>
      </w:rPr>
    </w:lvl>
    <w:lvl w:ilvl="1" w:tplc="3D48538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4472F5"/>
    <w:multiLevelType w:val="hybridMultilevel"/>
    <w:tmpl w:val="D890A634"/>
    <w:lvl w:ilvl="0" w:tplc="65EED0A2">
      <w:start w:val="1"/>
      <w:numFmt w:val="lowerLetter"/>
      <w:lvlText w:val="(%1)"/>
      <w:lvlJc w:val="left"/>
      <w:pPr>
        <w:ind w:left="720" w:hanging="360"/>
      </w:pPr>
      <w:rPr>
        <w:rFonts w:hint="default"/>
      </w:rPr>
    </w:lvl>
    <w:lvl w:ilvl="1" w:tplc="04090011">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2AC023D"/>
    <w:multiLevelType w:val="multilevel"/>
    <w:tmpl w:val="000E9972"/>
    <w:lvl w:ilvl="0">
      <w:numFmt w:val="decimal"/>
      <w:lvlText w:val="%1"/>
      <w:lvlJc w:val="left"/>
      <w:pPr>
        <w:ind w:left="1005" w:hanging="1005"/>
      </w:pPr>
      <w:rPr>
        <w:rFonts w:hint="default"/>
      </w:rPr>
    </w:lvl>
    <w:lvl w:ilvl="1">
      <w:start w:val="454"/>
      <w:numFmt w:val="decimalZero"/>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4010F8F"/>
    <w:multiLevelType w:val="hybridMultilevel"/>
    <w:tmpl w:val="73920CBE"/>
    <w:lvl w:ilvl="0" w:tplc="8AE05C2C">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3155C8"/>
    <w:multiLevelType w:val="hybridMultilevel"/>
    <w:tmpl w:val="6922D604"/>
    <w:lvl w:ilvl="0" w:tplc="65EED0A2">
      <w:start w:val="1"/>
      <w:numFmt w:val="lowerLetter"/>
      <w:lvlText w:val="(%1)"/>
      <w:lvlJc w:val="left"/>
      <w:pPr>
        <w:ind w:left="1080" w:hanging="360"/>
      </w:pPr>
      <w:rPr>
        <w:rFonts w:hint="default"/>
      </w:rPr>
    </w:lvl>
    <w:lvl w:ilvl="1" w:tplc="5E788C98">
      <w:start w:val="1"/>
      <w:numFmt w:val="decimal"/>
      <w:lvlText w:val="(%2)"/>
      <w:lvlJc w:val="left"/>
      <w:pPr>
        <w:ind w:left="1440" w:hanging="360"/>
      </w:pPr>
      <w:rPr>
        <w:rFonts w:hint="default"/>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927716"/>
    <w:multiLevelType w:val="hybridMultilevel"/>
    <w:tmpl w:val="D42EA45A"/>
    <w:lvl w:ilvl="0" w:tplc="367A3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837CBD"/>
    <w:multiLevelType w:val="hybridMultilevel"/>
    <w:tmpl w:val="D152BC3E"/>
    <w:lvl w:ilvl="0" w:tplc="0A0A81AE">
      <w:start w:val="1"/>
      <w:numFmt w:val="decimal"/>
      <w:lvlText w:val="(%1)"/>
      <w:lvlJc w:val="left"/>
      <w:pPr>
        <w:ind w:left="720" w:hanging="360"/>
      </w:pPr>
      <w:rPr>
        <w:rFonts w:ascii="Arial" w:eastAsiaTheme="minorHAnsi" w:hAnsi="Arial" w:cs="Lucida Gran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100652"/>
    <w:multiLevelType w:val="hybridMultilevel"/>
    <w:tmpl w:val="37F633E6"/>
    <w:lvl w:ilvl="0" w:tplc="65EED0A2">
      <w:start w:val="1"/>
      <w:numFmt w:val="lowerLetter"/>
      <w:lvlText w:val="(%1)"/>
      <w:lvlJc w:val="left"/>
      <w:pPr>
        <w:ind w:left="720" w:hanging="360"/>
      </w:pPr>
      <w:rPr>
        <w:rFonts w:hint="default"/>
      </w:rPr>
    </w:lvl>
    <w:lvl w:ilvl="1" w:tplc="9FE0E9D4">
      <w:start w:val="1"/>
      <w:numFmt w:val="decimal"/>
      <w:lvlText w:val="(%2)"/>
      <w:lvlJc w:val="left"/>
      <w:pPr>
        <w:ind w:left="1440" w:hanging="360"/>
      </w:pPr>
      <w:rPr>
        <w:rFonts w:ascii="Arial" w:eastAsiaTheme="minorHAnsi" w:hAnsi="Arial" w:cs="Lucida Grand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304244"/>
    <w:multiLevelType w:val="hybridMultilevel"/>
    <w:tmpl w:val="07D4AD9C"/>
    <w:lvl w:ilvl="0" w:tplc="B6E86D40">
      <w:start w:val="1"/>
      <w:numFmt w:val="decimal"/>
      <w:lvlText w:val="(%1)"/>
      <w:lvlJc w:val="left"/>
      <w:pPr>
        <w:ind w:left="720" w:hanging="360"/>
      </w:pPr>
      <w:rPr>
        <w:rFonts w:ascii="Arial" w:eastAsiaTheme="minorHAnsi" w:hAnsi="Arial" w:cs="Lucida Grande"/>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150B0C"/>
    <w:multiLevelType w:val="hybridMultilevel"/>
    <w:tmpl w:val="70B67E4C"/>
    <w:lvl w:ilvl="0" w:tplc="65EED0A2">
      <w:start w:val="1"/>
      <w:numFmt w:val="lowerLetter"/>
      <w:lvlText w:val="(%1)"/>
      <w:lvlJc w:val="left"/>
      <w:pPr>
        <w:ind w:left="720" w:hanging="360"/>
      </w:pPr>
      <w:rPr>
        <w:rFonts w:hint="default"/>
      </w:rPr>
    </w:lvl>
    <w:lvl w:ilvl="1" w:tplc="A476E0B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3"/>
  </w:num>
  <w:num w:numId="3">
    <w:abstractNumId w:val="2"/>
  </w:num>
  <w:num w:numId="4">
    <w:abstractNumId w:val="8"/>
  </w:num>
  <w:num w:numId="5">
    <w:abstractNumId w:val="34"/>
  </w:num>
  <w:num w:numId="6">
    <w:abstractNumId w:val="25"/>
  </w:num>
  <w:num w:numId="7">
    <w:abstractNumId w:val="39"/>
  </w:num>
  <w:num w:numId="8">
    <w:abstractNumId w:val="6"/>
  </w:num>
  <w:num w:numId="9">
    <w:abstractNumId w:val="40"/>
  </w:num>
  <w:num w:numId="10">
    <w:abstractNumId w:val="12"/>
  </w:num>
  <w:num w:numId="11">
    <w:abstractNumId w:val="11"/>
  </w:num>
  <w:num w:numId="12">
    <w:abstractNumId w:val="52"/>
  </w:num>
  <w:num w:numId="13">
    <w:abstractNumId w:val="16"/>
  </w:num>
  <w:num w:numId="14">
    <w:abstractNumId w:val="50"/>
  </w:num>
  <w:num w:numId="15">
    <w:abstractNumId w:val="37"/>
  </w:num>
  <w:num w:numId="16">
    <w:abstractNumId w:val="56"/>
  </w:num>
  <w:num w:numId="17">
    <w:abstractNumId w:val="5"/>
  </w:num>
  <w:num w:numId="18">
    <w:abstractNumId w:val="14"/>
  </w:num>
  <w:num w:numId="19">
    <w:abstractNumId w:val="41"/>
  </w:num>
  <w:num w:numId="20">
    <w:abstractNumId w:val="51"/>
  </w:num>
  <w:num w:numId="21">
    <w:abstractNumId w:val="10"/>
  </w:num>
  <w:num w:numId="22">
    <w:abstractNumId w:val="32"/>
  </w:num>
  <w:num w:numId="23">
    <w:abstractNumId w:val="17"/>
  </w:num>
  <w:num w:numId="24">
    <w:abstractNumId w:val="45"/>
  </w:num>
  <w:num w:numId="25">
    <w:abstractNumId w:val="64"/>
  </w:num>
  <w:num w:numId="26">
    <w:abstractNumId w:val="9"/>
  </w:num>
  <w:num w:numId="27">
    <w:abstractNumId w:val="62"/>
  </w:num>
  <w:num w:numId="28">
    <w:abstractNumId w:val="49"/>
  </w:num>
  <w:num w:numId="29">
    <w:abstractNumId w:val="0"/>
  </w:num>
  <w:num w:numId="30">
    <w:abstractNumId w:val="36"/>
  </w:num>
  <w:num w:numId="31">
    <w:abstractNumId w:val="21"/>
  </w:num>
  <w:num w:numId="32">
    <w:abstractNumId w:val="4"/>
  </w:num>
  <w:num w:numId="33">
    <w:abstractNumId w:val="13"/>
  </w:num>
  <w:num w:numId="34">
    <w:abstractNumId w:val="22"/>
  </w:num>
  <w:num w:numId="35">
    <w:abstractNumId w:val="38"/>
  </w:num>
  <w:num w:numId="36">
    <w:abstractNumId w:val="47"/>
  </w:num>
  <w:num w:numId="37">
    <w:abstractNumId w:val="58"/>
  </w:num>
  <w:num w:numId="38">
    <w:abstractNumId w:val="60"/>
  </w:num>
  <w:num w:numId="39">
    <w:abstractNumId w:val="23"/>
  </w:num>
  <w:num w:numId="40">
    <w:abstractNumId w:val="43"/>
  </w:num>
  <w:num w:numId="41">
    <w:abstractNumId w:val="33"/>
  </w:num>
  <w:num w:numId="42">
    <w:abstractNumId w:val="27"/>
  </w:num>
  <w:num w:numId="43">
    <w:abstractNumId w:val="55"/>
  </w:num>
  <w:num w:numId="44">
    <w:abstractNumId w:val="24"/>
  </w:num>
  <w:num w:numId="45">
    <w:abstractNumId w:val="35"/>
  </w:num>
  <w:num w:numId="46">
    <w:abstractNumId w:val="31"/>
  </w:num>
  <w:num w:numId="47">
    <w:abstractNumId w:val="48"/>
  </w:num>
  <w:num w:numId="48">
    <w:abstractNumId w:val="15"/>
  </w:num>
  <w:num w:numId="49">
    <w:abstractNumId w:val="3"/>
  </w:num>
  <w:num w:numId="50">
    <w:abstractNumId w:val="19"/>
  </w:num>
  <w:num w:numId="51">
    <w:abstractNumId w:val="42"/>
  </w:num>
  <w:num w:numId="52">
    <w:abstractNumId w:val="29"/>
  </w:num>
  <w:num w:numId="53">
    <w:abstractNumId w:val="26"/>
  </w:num>
  <w:num w:numId="54">
    <w:abstractNumId w:val="44"/>
  </w:num>
  <w:num w:numId="55">
    <w:abstractNumId w:val="18"/>
  </w:num>
  <w:num w:numId="56">
    <w:abstractNumId w:val="1"/>
  </w:num>
  <w:num w:numId="57">
    <w:abstractNumId w:val="28"/>
  </w:num>
  <w:num w:numId="58">
    <w:abstractNumId w:val="61"/>
  </w:num>
  <w:num w:numId="59">
    <w:abstractNumId w:val="30"/>
  </w:num>
  <w:num w:numId="60">
    <w:abstractNumId w:val="7"/>
  </w:num>
  <w:num w:numId="61">
    <w:abstractNumId w:val="53"/>
  </w:num>
  <w:num w:numId="62">
    <w:abstractNumId w:val="20"/>
  </w:num>
  <w:num w:numId="63">
    <w:abstractNumId w:val="59"/>
  </w:num>
  <w:num w:numId="64">
    <w:abstractNumId w:val="54"/>
  </w:num>
  <w:num w:numId="65">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58"/>
    <w:rsid w:val="0000166E"/>
    <w:rsid w:val="00003552"/>
    <w:rsid w:val="000044C6"/>
    <w:rsid w:val="0001096C"/>
    <w:rsid w:val="000109DC"/>
    <w:rsid w:val="0001271C"/>
    <w:rsid w:val="00013FD9"/>
    <w:rsid w:val="0001402D"/>
    <w:rsid w:val="000140FB"/>
    <w:rsid w:val="000146B7"/>
    <w:rsid w:val="00016217"/>
    <w:rsid w:val="00017F02"/>
    <w:rsid w:val="0002164C"/>
    <w:rsid w:val="00023F58"/>
    <w:rsid w:val="00024B88"/>
    <w:rsid w:val="00024DE2"/>
    <w:rsid w:val="00032AC4"/>
    <w:rsid w:val="0003561D"/>
    <w:rsid w:val="00037C40"/>
    <w:rsid w:val="000405AC"/>
    <w:rsid w:val="00043DD7"/>
    <w:rsid w:val="00044936"/>
    <w:rsid w:val="000460C3"/>
    <w:rsid w:val="00052E6D"/>
    <w:rsid w:val="00053B77"/>
    <w:rsid w:val="00053B9D"/>
    <w:rsid w:val="00056757"/>
    <w:rsid w:val="00057D57"/>
    <w:rsid w:val="0006086F"/>
    <w:rsid w:val="00062A6F"/>
    <w:rsid w:val="00063084"/>
    <w:rsid w:val="00065EA2"/>
    <w:rsid w:val="000667E5"/>
    <w:rsid w:val="00067AD9"/>
    <w:rsid w:val="00067C0D"/>
    <w:rsid w:val="00067DF2"/>
    <w:rsid w:val="000707D8"/>
    <w:rsid w:val="000712F0"/>
    <w:rsid w:val="00071AF5"/>
    <w:rsid w:val="00072D06"/>
    <w:rsid w:val="00080059"/>
    <w:rsid w:val="000817B1"/>
    <w:rsid w:val="00082CFA"/>
    <w:rsid w:val="00085768"/>
    <w:rsid w:val="0009372D"/>
    <w:rsid w:val="0009412D"/>
    <w:rsid w:val="000948A4"/>
    <w:rsid w:val="000966D3"/>
    <w:rsid w:val="000A0EE0"/>
    <w:rsid w:val="000A3B9C"/>
    <w:rsid w:val="000A4F31"/>
    <w:rsid w:val="000A667F"/>
    <w:rsid w:val="000B7040"/>
    <w:rsid w:val="000B732C"/>
    <w:rsid w:val="000B75B0"/>
    <w:rsid w:val="000C2992"/>
    <w:rsid w:val="000C4219"/>
    <w:rsid w:val="000C52C0"/>
    <w:rsid w:val="000D05D4"/>
    <w:rsid w:val="000D1E80"/>
    <w:rsid w:val="000D55D0"/>
    <w:rsid w:val="000D5883"/>
    <w:rsid w:val="000D6176"/>
    <w:rsid w:val="000D74EC"/>
    <w:rsid w:val="000E08BD"/>
    <w:rsid w:val="000E43EA"/>
    <w:rsid w:val="000E7730"/>
    <w:rsid w:val="000F3434"/>
    <w:rsid w:val="000F4B4B"/>
    <w:rsid w:val="000F7EE4"/>
    <w:rsid w:val="0010214A"/>
    <w:rsid w:val="00103BE7"/>
    <w:rsid w:val="00103F81"/>
    <w:rsid w:val="00104318"/>
    <w:rsid w:val="00104F38"/>
    <w:rsid w:val="00106016"/>
    <w:rsid w:val="001110C4"/>
    <w:rsid w:val="00120B09"/>
    <w:rsid w:val="00120DFD"/>
    <w:rsid w:val="0012224F"/>
    <w:rsid w:val="001261EF"/>
    <w:rsid w:val="00130CD5"/>
    <w:rsid w:val="00130F38"/>
    <w:rsid w:val="00133AFE"/>
    <w:rsid w:val="0014182A"/>
    <w:rsid w:val="00142B90"/>
    <w:rsid w:val="001444E6"/>
    <w:rsid w:val="00144959"/>
    <w:rsid w:val="0014503C"/>
    <w:rsid w:val="00146CED"/>
    <w:rsid w:val="00150126"/>
    <w:rsid w:val="00150EA9"/>
    <w:rsid w:val="00153C6B"/>
    <w:rsid w:val="00154730"/>
    <w:rsid w:val="00155E2B"/>
    <w:rsid w:val="00164E80"/>
    <w:rsid w:val="00167241"/>
    <w:rsid w:val="0017074A"/>
    <w:rsid w:val="00171AE3"/>
    <w:rsid w:val="0018036A"/>
    <w:rsid w:val="00181B1B"/>
    <w:rsid w:val="00181D0B"/>
    <w:rsid w:val="0018337E"/>
    <w:rsid w:val="00193E06"/>
    <w:rsid w:val="001944B6"/>
    <w:rsid w:val="0019648D"/>
    <w:rsid w:val="00196D1D"/>
    <w:rsid w:val="001A2609"/>
    <w:rsid w:val="001A2801"/>
    <w:rsid w:val="001A47AB"/>
    <w:rsid w:val="001A5D32"/>
    <w:rsid w:val="001A77A4"/>
    <w:rsid w:val="001B26A3"/>
    <w:rsid w:val="001B751F"/>
    <w:rsid w:val="001C0C96"/>
    <w:rsid w:val="001C5C79"/>
    <w:rsid w:val="001C7268"/>
    <w:rsid w:val="001C7E66"/>
    <w:rsid w:val="001D67F8"/>
    <w:rsid w:val="001D77B6"/>
    <w:rsid w:val="001E2000"/>
    <w:rsid w:val="001E2049"/>
    <w:rsid w:val="001E25BD"/>
    <w:rsid w:val="001E5525"/>
    <w:rsid w:val="001E7398"/>
    <w:rsid w:val="001F26A3"/>
    <w:rsid w:val="001F5DC6"/>
    <w:rsid w:val="00204BF1"/>
    <w:rsid w:val="00210C3C"/>
    <w:rsid w:val="002118C7"/>
    <w:rsid w:val="00215CFC"/>
    <w:rsid w:val="00217DD0"/>
    <w:rsid w:val="00220AAE"/>
    <w:rsid w:val="00223CF4"/>
    <w:rsid w:val="00224675"/>
    <w:rsid w:val="00225D75"/>
    <w:rsid w:val="00230A97"/>
    <w:rsid w:val="00231BC5"/>
    <w:rsid w:val="002327A2"/>
    <w:rsid w:val="00234C6A"/>
    <w:rsid w:val="002360F4"/>
    <w:rsid w:val="002377C8"/>
    <w:rsid w:val="00237C03"/>
    <w:rsid w:val="002402BF"/>
    <w:rsid w:val="002404B3"/>
    <w:rsid w:val="0024374D"/>
    <w:rsid w:val="002455FC"/>
    <w:rsid w:val="002563E5"/>
    <w:rsid w:val="00256F11"/>
    <w:rsid w:val="00257ACD"/>
    <w:rsid w:val="00270F1A"/>
    <w:rsid w:val="00272610"/>
    <w:rsid w:val="002743A8"/>
    <w:rsid w:val="00274E08"/>
    <w:rsid w:val="0027567D"/>
    <w:rsid w:val="0027770A"/>
    <w:rsid w:val="00281BB9"/>
    <w:rsid w:val="00281FAA"/>
    <w:rsid w:val="00282850"/>
    <w:rsid w:val="00282991"/>
    <w:rsid w:val="0028422F"/>
    <w:rsid w:val="0028598C"/>
    <w:rsid w:val="00291006"/>
    <w:rsid w:val="002922F6"/>
    <w:rsid w:val="00293E44"/>
    <w:rsid w:val="002A24DE"/>
    <w:rsid w:val="002A3B85"/>
    <w:rsid w:val="002A413E"/>
    <w:rsid w:val="002A4B2B"/>
    <w:rsid w:val="002B0552"/>
    <w:rsid w:val="002B06A1"/>
    <w:rsid w:val="002B20FD"/>
    <w:rsid w:val="002B43CC"/>
    <w:rsid w:val="002B501E"/>
    <w:rsid w:val="002C40B7"/>
    <w:rsid w:val="002C520E"/>
    <w:rsid w:val="002C73F3"/>
    <w:rsid w:val="002C75B6"/>
    <w:rsid w:val="002D11D5"/>
    <w:rsid w:val="002D1D11"/>
    <w:rsid w:val="002D6923"/>
    <w:rsid w:val="002E0166"/>
    <w:rsid w:val="002E0768"/>
    <w:rsid w:val="002E123E"/>
    <w:rsid w:val="002E14DE"/>
    <w:rsid w:val="002E2807"/>
    <w:rsid w:val="002E2F28"/>
    <w:rsid w:val="002E3797"/>
    <w:rsid w:val="002E56D6"/>
    <w:rsid w:val="002E6D3F"/>
    <w:rsid w:val="002F0AF2"/>
    <w:rsid w:val="002F7E10"/>
    <w:rsid w:val="002F7F96"/>
    <w:rsid w:val="00300152"/>
    <w:rsid w:val="00300880"/>
    <w:rsid w:val="00306A0F"/>
    <w:rsid w:val="00307A11"/>
    <w:rsid w:val="003102EB"/>
    <w:rsid w:val="00310F46"/>
    <w:rsid w:val="0031196E"/>
    <w:rsid w:val="0031783B"/>
    <w:rsid w:val="00320918"/>
    <w:rsid w:val="003246C2"/>
    <w:rsid w:val="00324C0F"/>
    <w:rsid w:val="00325B04"/>
    <w:rsid w:val="00326980"/>
    <w:rsid w:val="00332511"/>
    <w:rsid w:val="00333004"/>
    <w:rsid w:val="00333380"/>
    <w:rsid w:val="0033362F"/>
    <w:rsid w:val="00336534"/>
    <w:rsid w:val="0033685A"/>
    <w:rsid w:val="003404DA"/>
    <w:rsid w:val="00340BCA"/>
    <w:rsid w:val="003435E0"/>
    <w:rsid w:val="00344E72"/>
    <w:rsid w:val="003454D8"/>
    <w:rsid w:val="00346D4B"/>
    <w:rsid w:val="00346D98"/>
    <w:rsid w:val="00347978"/>
    <w:rsid w:val="00351628"/>
    <w:rsid w:val="00354FDC"/>
    <w:rsid w:val="00355BA6"/>
    <w:rsid w:val="00355E76"/>
    <w:rsid w:val="003614C8"/>
    <w:rsid w:val="00361FF3"/>
    <w:rsid w:val="003638CE"/>
    <w:rsid w:val="0036572D"/>
    <w:rsid w:val="0037186D"/>
    <w:rsid w:val="0037214C"/>
    <w:rsid w:val="003752C9"/>
    <w:rsid w:val="00377450"/>
    <w:rsid w:val="00380225"/>
    <w:rsid w:val="00386FB4"/>
    <w:rsid w:val="003875BB"/>
    <w:rsid w:val="00395466"/>
    <w:rsid w:val="00397499"/>
    <w:rsid w:val="00397C5E"/>
    <w:rsid w:val="003A092B"/>
    <w:rsid w:val="003A0D54"/>
    <w:rsid w:val="003A0FF8"/>
    <w:rsid w:val="003A278F"/>
    <w:rsid w:val="003A7880"/>
    <w:rsid w:val="003B04F8"/>
    <w:rsid w:val="003B1C33"/>
    <w:rsid w:val="003B2804"/>
    <w:rsid w:val="003B2BE3"/>
    <w:rsid w:val="003B5CED"/>
    <w:rsid w:val="003B69B5"/>
    <w:rsid w:val="003C1FCE"/>
    <w:rsid w:val="003D2DD4"/>
    <w:rsid w:val="003D4B51"/>
    <w:rsid w:val="003D5310"/>
    <w:rsid w:val="003E058F"/>
    <w:rsid w:val="003E323A"/>
    <w:rsid w:val="003E3877"/>
    <w:rsid w:val="003E3D12"/>
    <w:rsid w:val="003F0D55"/>
    <w:rsid w:val="003F206D"/>
    <w:rsid w:val="003F6D86"/>
    <w:rsid w:val="003F7CBC"/>
    <w:rsid w:val="00401E34"/>
    <w:rsid w:val="004071E9"/>
    <w:rsid w:val="0040728E"/>
    <w:rsid w:val="004112F0"/>
    <w:rsid w:val="00420675"/>
    <w:rsid w:val="00422975"/>
    <w:rsid w:val="00423E6C"/>
    <w:rsid w:val="00424AEB"/>
    <w:rsid w:val="00431AD7"/>
    <w:rsid w:val="00432CC2"/>
    <w:rsid w:val="00434CF8"/>
    <w:rsid w:val="00436357"/>
    <w:rsid w:val="00436E82"/>
    <w:rsid w:val="00437C02"/>
    <w:rsid w:val="00437C2C"/>
    <w:rsid w:val="004403E2"/>
    <w:rsid w:val="0044227F"/>
    <w:rsid w:val="00443976"/>
    <w:rsid w:val="00443A8A"/>
    <w:rsid w:val="004447DE"/>
    <w:rsid w:val="0044685C"/>
    <w:rsid w:val="004470CE"/>
    <w:rsid w:val="00447BAF"/>
    <w:rsid w:val="004503E6"/>
    <w:rsid w:val="004522E7"/>
    <w:rsid w:val="00455AA8"/>
    <w:rsid w:val="00457FCA"/>
    <w:rsid w:val="00461D74"/>
    <w:rsid w:val="0046589B"/>
    <w:rsid w:val="004669BE"/>
    <w:rsid w:val="00466AF2"/>
    <w:rsid w:val="00470F85"/>
    <w:rsid w:val="00472AC9"/>
    <w:rsid w:val="00474A1B"/>
    <w:rsid w:val="00476307"/>
    <w:rsid w:val="0048014B"/>
    <w:rsid w:val="00480477"/>
    <w:rsid w:val="00481158"/>
    <w:rsid w:val="004833B5"/>
    <w:rsid w:val="00483CBF"/>
    <w:rsid w:val="004842C4"/>
    <w:rsid w:val="00484D38"/>
    <w:rsid w:val="0048590E"/>
    <w:rsid w:val="00486679"/>
    <w:rsid w:val="00486AB5"/>
    <w:rsid w:val="004871ED"/>
    <w:rsid w:val="004929B3"/>
    <w:rsid w:val="00492EC3"/>
    <w:rsid w:val="00493DC6"/>
    <w:rsid w:val="0049546C"/>
    <w:rsid w:val="004955FB"/>
    <w:rsid w:val="004965C4"/>
    <w:rsid w:val="00497EBD"/>
    <w:rsid w:val="004A088E"/>
    <w:rsid w:val="004A35CC"/>
    <w:rsid w:val="004A48F3"/>
    <w:rsid w:val="004A5FA3"/>
    <w:rsid w:val="004B1D59"/>
    <w:rsid w:val="004B285F"/>
    <w:rsid w:val="004B4613"/>
    <w:rsid w:val="004B47B2"/>
    <w:rsid w:val="004B5028"/>
    <w:rsid w:val="004B629A"/>
    <w:rsid w:val="004B705B"/>
    <w:rsid w:val="004B76AE"/>
    <w:rsid w:val="004D1EE4"/>
    <w:rsid w:val="004D228E"/>
    <w:rsid w:val="004D41E2"/>
    <w:rsid w:val="004D42EF"/>
    <w:rsid w:val="004D45A9"/>
    <w:rsid w:val="004D4D6D"/>
    <w:rsid w:val="004D74E6"/>
    <w:rsid w:val="004E0DE2"/>
    <w:rsid w:val="004E26DC"/>
    <w:rsid w:val="004E5ADF"/>
    <w:rsid w:val="004E7024"/>
    <w:rsid w:val="004F15EF"/>
    <w:rsid w:val="004F20B7"/>
    <w:rsid w:val="004F2D63"/>
    <w:rsid w:val="004F7673"/>
    <w:rsid w:val="0050200E"/>
    <w:rsid w:val="00503C05"/>
    <w:rsid w:val="00504AB2"/>
    <w:rsid w:val="00504B09"/>
    <w:rsid w:val="00507402"/>
    <w:rsid w:val="005106DD"/>
    <w:rsid w:val="00511B35"/>
    <w:rsid w:val="00512535"/>
    <w:rsid w:val="00512B9F"/>
    <w:rsid w:val="00514C08"/>
    <w:rsid w:val="005176B2"/>
    <w:rsid w:val="00521E4C"/>
    <w:rsid w:val="00523499"/>
    <w:rsid w:val="00525D6D"/>
    <w:rsid w:val="00526AA3"/>
    <w:rsid w:val="00531541"/>
    <w:rsid w:val="0053368E"/>
    <w:rsid w:val="005344A0"/>
    <w:rsid w:val="005372E5"/>
    <w:rsid w:val="00540490"/>
    <w:rsid w:val="00541B71"/>
    <w:rsid w:val="005524D0"/>
    <w:rsid w:val="005529B2"/>
    <w:rsid w:val="00553E27"/>
    <w:rsid w:val="00555B4C"/>
    <w:rsid w:val="00555EE1"/>
    <w:rsid w:val="00560547"/>
    <w:rsid w:val="0056242F"/>
    <w:rsid w:val="00564D4A"/>
    <w:rsid w:val="005667EF"/>
    <w:rsid w:val="00580732"/>
    <w:rsid w:val="005815D0"/>
    <w:rsid w:val="00582355"/>
    <w:rsid w:val="00583EFE"/>
    <w:rsid w:val="005841E0"/>
    <w:rsid w:val="00584758"/>
    <w:rsid w:val="0058626D"/>
    <w:rsid w:val="0058768B"/>
    <w:rsid w:val="005903BC"/>
    <w:rsid w:val="005957B5"/>
    <w:rsid w:val="00595DFE"/>
    <w:rsid w:val="005961B6"/>
    <w:rsid w:val="00597A1C"/>
    <w:rsid w:val="005A22EB"/>
    <w:rsid w:val="005A3A82"/>
    <w:rsid w:val="005A3D65"/>
    <w:rsid w:val="005A4807"/>
    <w:rsid w:val="005B0A57"/>
    <w:rsid w:val="005B40FD"/>
    <w:rsid w:val="005B5778"/>
    <w:rsid w:val="005B7F7F"/>
    <w:rsid w:val="005C275F"/>
    <w:rsid w:val="005C286C"/>
    <w:rsid w:val="005C4D3C"/>
    <w:rsid w:val="005C5213"/>
    <w:rsid w:val="005C5693"/>
    <w:rsid w:val="005C6F4D"/>
    <w:rsid w:val="005D032E"/>
    <w:rsid w:val="005D3AAB"/>
    <w:rsid w:val="005E1973"/>
    <w:rsid w:val="005F2866"/>
    <w:rsid w:val="005F2DBD"/>
    <w:rsid w:val="00600EBA"/>
    <w:rsid w:val="0060268C"/>
    <w:rsid w:val="00605085"/>
    <w:rsid w:val="0061110D"/>
    <w:rsid w:val="006134C0"/>
    <w:rsid w:val="00621B9C"/>
    <w:rsid w:val="006253CE"/>
    <w:rsid w:val="00626455"/>
    <w:rsid w:val="00627380"/>
    <w:rsid w:val="00631281"/>
    <w:rsid w:val="006312DA"/>
    <w:rsid w:val="00631B8D"/>
    <w:rsid w:val="00631EB5"/>
    <w:rsid w:val="00634123"/>
    <w:rsid w:val="00635B0B"/>
    <w:rsid w:val="00636BC7"/>
    <w:rsid w:val="00640BD6"/>
    <w:rsid w:val="006413CD"/>
    <w:rsid w:val="00641568"/>
    <w:rsid w:val="00642AF5"/>
    <w:rsid w:val="00644ED7"/>
    <w:rsid w:val="00645452"/>
    <w:rsid w:val="00645D37"/>
    <w:rsid w:val="00655DB6"/>
    <w:rsid w:val="006566CF"/>
    <w:rsid w:val="00660097"/>
    <w:rsid w:val="006623BF"/>
    <w:rsid w:val="006642F9"/>
    <w:rsid w:val="006661D6"/>
    <w:rsid w:val="00667371"/>
    <w:rsid w:val="00672C54"/>
    <w:rsid w:val="00675034"/>
    <w:rsid w:val="006756CF"/>
    <w:rsid w:val="0067677C"/>
    <w:rsid w:val="0068313C"/>
    <w:rsid w:val="006913FA"/>
    <w:rsid w:val="006A4E76"/>
    <w:rsid w:val="006A5356"/>
    <w:rsid w:val="006A5C70"/>
    <w:rsid w:val="006A69BC"/>
    <w:rsid w:val="006A6A02"/>
    <w:rsid w:val="006B13B6"/>
    <w:rsid w:val="006B230D"/>
    <w:rsid w:val="006B5C4C"/>
    <w:rsid w:val="006C5352"/>
    <w:rsid w:val="006C5F76"/>
    <w:rsid w:val="006C6DE5"/>
    <w:rsid w:val="006D061C"/>
    <w:rsid w:val="006D4B81"/>
    <w:rsid w:val="006D66E9"/>
    <w:rsid w:val="006E426F"/>
    <w:rsid w:val="006F0801"/>
    <w:rsid w:val="006F24A1"/>
    <w:rsid w:val="006F33AA"/>
    <w:rsid w:val="006F46A7"/>
    <w:rsid w:val="006F4763"/>
    <w:rsid w:val="006F6110"/>
    <w:rsid w:val="00704062"/>
    <w:rsid w:val="0070470C"/>
    <w:rsid w:val="00704E7D"/>
    <w:rsid w:val="007059B7"/>
    <w:rsid w:val="00705B7C"/>
    <w:rsid w:val="00706D2C"/>
    <w:rsid w:val="007116EB"/>
    <w:rsid w:val="00720D9E"/>
    <w:rsid w:val="00720E6E"/>
    <w:rsid w:val="007241E6"/>
    <w:rsid w:val="00731F76"/>
    <w:rsid w:val="00737D07"/>
    <w:rsid w:val="00740796"/>
    <w:rsid w:val="00740F07"/>
    <w:rsid w:val="00743A23"/>
    <w:rsid w:val="00747C4B"/>
    <w:rsid w:val="00747DC1"/>
    <w:rsid w:val="00747E0F"/>
    <w:rsid w:val="00751045"/>
    <w:rsid w:val="007532CF"/>
    <w:rsid w:val="00753C5E"/>
    <w:rsid w:val="00755EEC"/>
    <w:rsid w:val="00756712"/>
    <w:rsid w:val="00756842"/>
    <w:rsid w:val="00760059"/>
    <w:rsid w:val="007602D0"/>
    <w:rsid w:val="0076174F"/>
    <w:rsid w:val="00765739"/>
    <w:rsid w:val="007662B2"/>
    <w:rsid w:val="00770A1F"/>
    <w:rsid w:val="00775C55"/>
    <w:rsid w:val="00780A61"/>
    <w:rsid w:val="007818C0"/>
    <w:rsid w:val="007838B6"/>
    <w:rsid w:val="00785451"/>
    <w:rsid w:val="0078624D"/>
    <w:rsid w:val="00791E37"/>
    <w:rsid w:val="00792166"/>
    <w:rsid w:val="00793445"/>
    <w:rsid w:val="00793AF9"/>
    <w:rsid w:val="0079593A"/>
    <w:rsid w:val="00795CC1"/>
    <w:rsid w:val="007975DC"/>
    <w:rsid w:val="0079791B"/>
    <w:rsid w:val="007A22F8"/>
    <w:rsid w:val="007A27EE"/>
    <w:rsid w:val="007C4E93"/>
    <w:rsid w:val="007C56B2"/>
    <w:rsid w:val="007C66F5"/>
    <w:rsid w:val="007D0E69"/>
    <w:rsid w:val="007D23D6"/>
    <w:rsid w:val="007D7CBC"/>
    <w:rsid w:val="007E0ACB"/>
    <w:rsid w:val="007E39D0"/>
    <w:rsid w:val="007E40BA"/>
    <w:rsid w:val="007E4381"/>
    <w:rsid w:val="007E523A"/>
    <w:rsid w:val="007F443B"/>
    <w:rsid w:val="00800D2D"/>
    <w:rsid w:val="008111CD"/>
    <w:rsid w:val="0081144A"/>
    <w:rsid w:val="00813109"/>
    <w:rsid w:val="00814A52"/>
    <w:rsid w:val="008177FF"/>
    <w:rsid w:val="0082069A"/>
    <w:rsid w:val="0082192F"/>
    <w:rsid w:val="0082570F"/>
    <w:rsid w:val="00826098"/>
    <w:rsid w:val="00827FC4"/>
    <w:rsid w:val="00831BC6"/>
    <w:rsid w:val="008329AA"/>
    <w:rsid w:val="0083315A"/>
    <w:rsid w:val="00837C88"/>
    <w:rsid w:val="00843F9E"/>
    <w:rsid w:val="00847275"/>
    <w:rsid w:val="00847B3F"/>
    <w:rsid w:val="00850511"/>
    <w:rsid w:val="00850E2E"/>
    <w:rsid w:val="00851EE5"/>
    <w:rsid w:val="008558DD"/>
    <w:rsid w:val="00856588"/>
    <w:rsid w:val="00856BB5"/>
    <w:rsid w:val="0086192B"/>
    <w:rsid w:val="008621FE"/>
    <w:rsid w:val="008623F5"/>
    <w:rsid w:val="008626A2"/>
    <w:rsid w:val="0086288B"/>
    <w:rsid w:val="00870A79"/>
    <w:rsid w:val="00871DCC"/>
    <w:rsid w:val="0087209B"/>
    <w:rsid w:val="008725A3"/>
    <w:rsid w:val="008778CE"/>
    <w:rsid w:val="00877F5E"/>
    <w:rsid w:val="008819D9"/>
    <w:rsid w:val="0088573C"/>
    <w:rsid w:val="00886736"/>
    <w:rsid w:val="008878A2"/>
    <w:rsid w:val="00895646"/>
    <w:rsid w:val="00896C3F"/>
    <w:rsid w:val="00897F02"/>
    <w:rsid w:val="008A07CC"/>
    <w:rsid w:val="008A44B6"/>
    <w:rsid w:val="008A5EC3"/>
    <w:rsid w:val="008B3259"/>
    <w:rsid w:val="008B5C4E"/>
    <w:rsid w:val="008B7442"/>
    <w:rsid w:val="008B7740"/>
    <w:rsid w:val="008C1736"/>
    <w:rsid w:val="008C3E11"/>
    <w:rsid w:val="008C6053"/>
    <w:rsid w:val="008C6F1B"/>
    <w:rsid w:val="008C7621"/>
    <w:rsid w:val="008D1416"/>
    <w:rsid w:val="008D1714"/>
    <w:rsid w:val="008D1A18"/>
    <w:rsid w:val="008D2965"/>
    <w:rsid w:val="008D6DA1"/>
    <w:rsid w:val="008E0C00"/>
    <w:rsid w:val="008E1658"/>
    <w:rsid w:val="008E2BDF"/>
    <w:rsid w:val="008E44CC"/>
    <w:rsid w:val="008E55FC"/>
    <w:rsid w:val="008F381D"/>
    <w:rsid w:val="008F3F10"/>
    <w:rsid w:val="008F49A7"/>
    <w:rsid w:val="00902892"/>
    <w:rsid w:val="009028F3"/>
    <w:rsid w:val="0090796C"/>
    <w:rsid w:val="00913457"/>
    <w:rsid w:val="009140BE"/>
    <w:rsid w:val="0091485B"/>
    <w:rsid w:val="00916356"/>
    <w:rsid w:val="00916BAF"/>
    <w:rsid w:val="009206E9"/>
    <w:rsid w:val="00923A38"/>
    <w:rsid w:val="00923B4F"/>
    <w:rsid w:val="00923D16"/>
    <w:rsid w:val="00926183"/>
    <w:rsid w:val="0093381D"/>
    <w:rsid w:val="00937D8E"/>
    <w:rsid w:val="00947FA8"/>
    <w:rsid w:val="009513DB"/>
    <w:rsid w:val="00952263"/>
    <w:rsid w:val="00955347"/>
    <w:rsid w:val="0095738D"/>
    <w:rsid w:val="009603D5"/>
    <w:rsid w:val="00962496"/>
    <w:rsid w:val="00970E25"/>
    <w:rsid w:val="00971F96"/>
    <w:rsid w:val="00972ACE"/>
    <w:rsid w:val="00973BFB"/>
    <w:rsid w:val="00982052"/>
    <w:rsid w:val="00983D60"/>
    <w:rsid w:val="00984F4F"/>
    <w:rsid w:val="009858AD"/>
    <w:rsid w:val="00986AA3"/>
    <w:rsid w:val="00990626"/>
    <w:rsid w:val="00992F1F"/>
    <w:rsid w:val="009A08A5"/>
    <w:rsid w:val="009B6628"/>
    <w:rsid w:val="009C28E0"/>
    <w:rsid w:val="009C39A6"/>
    <w:rsid w:val="009C4EEC"/>
    <w:rsid w:val="009D0ECC"/>
    <w:rsid w:val="009D322C"/>
    <w:rsid w:val="009D39D4"/>
    <w:rsid w:val="009D40FD"/>
    <w:rsid w:val="009D473A"/>
    <w:rsid w:val="009D4842"/>
    <w:rsid w:val="009E0520"/>
    <w:rsid w:val="009E08AB"/>
    <w:rsid w:val="009E4650"/>
    <w:rsid w:val="009E4CCC"/>
    <w:rsid w:val="009E516D"/>
    <w:rsid w:val="009E56B9"/>
    <w:rsid w:val="009E6B3B"/>
    <w:rsid w:val="009F38CF"/>
    <w:rsid w:val="009F7E85"/>
    <w:rsid w:val="00A00755"/>
    <w:rsid w:val="00A00BA9"/>
    <w:rsid w:val="00A00BF6"/>
    <w:rsid w:val="00A01C65"/>
    <w:rsid w:val="00A01D72"/>
    <w:rsid w:val="00A023B3"/>
    <w:rsid w:val="00A02FB5"/>
    <w:rsid w:val="00A0477E"/>
    <w:rsid w:val="00A05BDD"/>
    <w:rsid w:val="00A0796A"/>
    <w:rsid w:val="00A10468"/>
    <w:rsid w:val="00A10D66"/>
    <w:rsid w:val="00A14644"/>
    <w:rsid w:val="00A15F03"/>
    <w:rsid w:val="00A1651C"/>
    <w:rsid w:val="00A175D8"/>
    <w:rsid w:val="00A17770"/>
    <w:rsid w:val="00A21F05"/>
    <w:rsid w:val="00A27548"/>
    <w:rsid w:val="00A3263D"/>
    <w:rsid w:val="00A329D8"/>
    <w:rsid w:val="00A32FF0"/>
    <w:rsid w:val="00A35767"/>
    <w:rsid w:val="00A35CC3"/>
    <w:rsid w:val="00A4307D"/>
    <w:rsid w:val="00A442B1"/>
    <w:rsid w:val="00A45AB1"/>
    <w:rsid w:val="00A50771"/>
    <w:rsid w:val="00A51124"/>
    <w:rsid w:val="00A52042"/>
    <w:rsid w:val="00A559A7"/>
    <w:rsid w:val="00A56298"/>
    <w:rsid w:val="00A56D9A"/>
    <w:rsid w:val="00A60635"/>
    <w:rsid w:val="00A62B42"/>
    <w:rsid w:val="00A642A7"/>
    <w:rsid w:val="00A64E25"/>
    <w:rsid w:val="00A65BF8"/>
    <w:rsid w:val="00A72029"/>
    <w:rsid w:val="00A72FB1"/>
    <w:rsid w:val="00A73498"/>
    <w:rsid w:val="00A77EBB"/>
    <w:rsid w:val="00A8097E"/>
    <w:rsid w:val="00A8210F"/>
    <w:rsid w:val="00A97C83"/>
    <w:rsid w:val="00AA702F"/>
    <w:rsid w:val="00AB18C2"/>
    <w:rsid w:val="00AB2672"/>
    <w:rsid w:val="00AB74DB"/>
    <w:rsid w:val="00AC017D"/>
    <w:rsid w:val="00AC092D"/>
    <w:rsid w:val="00AC2635"/>
    <w:rsid w:val="00AC4932"/>
    <w:rsid w:val="00AC6A18"/>
    <w:rsid w:val="00AC7707"/>
    <w:rsid w:val="00AD122A"/>
    <w:rsid w:val="00AD2DFA"/>
    <w:rsid w:val="00AD49AE"/>
    <w:rsid w:val="00AD561C"/>
    <w:rsid w:val="00AD5699"/>
    <w:rsid w:val="00AE10DE"/>
    <w:rsid w:val="00AE17D4"/>
    <w:rsid w:val="00AE3664"/>
    <w:rsid w:val="00AF09DB"/>
    <w:rsid w:val="00AF3D56"/>
    <w:rsid w:val="00AF4D32"/>
    <w:rsid w:val="00B0052E"/>
    <w:rsid w:val="00B01033"/>
    <w:rsid w:val="00B014F2"/>
    <w:rsid w:val="00B02A9F"/>
    <w:rsid w:val="00B03571"/>
    <w:rsid w:val="00B03842"/>
    <w:rsid w:val="00B16C37"/>
    <w:rsid w:val="00B23128"/>
    <w:rsid w:val="00B2365E"/>
    <w:rsid w:val="00B26E8D"/>
    <w:rsid w:val="00B27949"/>
    <w:rsid w:val="00B31F95"/>
    <w:rsid w:val="00B34B10"/>
    <w:rsid w:val="00B35B71"/>
    <w:rsid w:val="00B35ED3"/>
    <w:rsid w:val="00B36E98"/>
    <w:rsid w:val="00B50C83"/>
    <w:rsid w:val="00B512F2"/>
    <w:rsid w:val="00B5170F"/>
    <w:rsid w:val="00B53A53"/>
    <w:rsid w:val="00B543F9"/>
    <w:rsid w:val="00B6067B"/>
    <w:rsid w:val="00B66279"/>
    <w:rsid w:val="00B67C4B"/>
    <w:rsid w:val="00B71733"/>
    <w:rsid w:val="00B728F8"/>
    <w:rsid w:val="00B734FE"/>
    <w:rsid w:val="00B74245"/>
    <w:rsid w:val="00B7684E"/>
    <w:rsid w:val="00B817B6"/>
    <w:rsid w:val="00B82D0A"/>
    <w:rsid w:val="00B86E1C"/>
    <w:rsid w:val="00B87A35"/>
    <w:rsid w:val="00B912B0"/>
    <w:rsid w:val="00B92FC5"/>
    <w:rsid w:val="00B95493"/>
    <w:rsid w:val="00BA1519"/>
    <w:rsid w:val="00BA34EA"/>
    <w:rsid w:val="00BA3FB9"/>
    <w:rsid w:val="00BA6296"/>
    <w:rsid w:val="00BB308B"/>
    <w:rsid w:val="00BB3B1C"/>
    <w:rsid w:val="00BB5AC4"/>
    <w:rsid w:val="00BB6715"/>
    <w:rsid w:val="00BB6FE8"/>
    <w:rsid w:val="00BC0FD1"/>
    <w:rsid w:val="00BC1420"/>
    <w:rsid w:val="00BC1DB5"/>
    <w:rsid w:val="00BC2162"/>
    <w:rsid w:val="00BC696A"/>
    <w:rsid w:val="00BD11A9"/>
    <w:rsid w:val="00BD1EA4"/>
    <w:rsid w:val="00BD6520"/>
    <w:rsid w:val="00BD7C42"/>
    <w:rsid w:val="00BD7F8A"/>
    <w:rsid w:val="00BE2003"/>
    <w:rsid w:val="00BE4831"/>
    <w:rsid w:val="00BE7DAF"/>
    <w:rsid w:val="00BF12F2"/>
    <w:rsid w:val="00BF1873"/>
    <w:rsid w:val="00BF214C"/>
    <w:rsid w:val="00BF2299"/>
    <w:rsid w:val="00BF3023"/>
    <w:rsid w:val="00BF6CA8"/>
    <w:rsid w:val="00BF74CA"/>
    <w:rsid w:val="00BF77AC"/>
    <w:rsid w:val="00C01509"/>
    <w:rsid w:val="00C10B01"/>
    <w:rsid w:val="00C13924"/>
    <w:rsid w:val="00C179DE"/>
    <w:rsid w:val="00C228E5"/>
    <w:rsid w:val="00C2772A"/>
    <w:rsid w:val="00C277E9"/>
    <w:rsid w:val="00C32B49"/>
    <w:rsid w:val="00C341FB"/>
    <w:rsid w:val="00C346DA"/>
    <w:rsid w:val="00C4451C"/>
    <w:rsid w:val="00C44B7F"/>
    <w:rsid w:val="00C50F45"/>
    <w:rsid w:val="00C55023"/>
    <w:rsid w:val="00C55513"/>
    <w:rsid w:val="00C63588"/>
    <w:rsid w:val="00C65518"/>
    <w:rsid w:val="00C70BA3"/>
    <w:rsid w:val="00C74D27"/>
    <w:rsid w:val="00C80629"/>
    <w:rsid w:val="00C86E38"/>
    <w:rsid w:val="00C9203D"/>
    <w:rsid w:val="00C926F7"/>
    <w:rsid w:val="00C95631"/>
    <w:rsid w:val="00C95CEF"/>
    <w:rsid w:val="00C962F6"/>
    <w:rsid w:val="00C964F9"/>
    <w:rsid w:val="00C9779A"/>
    <w:rsid w:val="00CA632B"/>
    <w:rsid w:val="00CA6B48"/>
    <w:rsid w:val="00CA6E87"/>
    <w:rsid w:val="00CB33F9"/>
    <w:rsid w:val="00CB589F"/>
    <w:rsid w:val="00CB728C"/>
    <w:rsid w:val="00CB7764"/>
    <w:rsid w:val="00CC2D44"/>
    <w:rsid w:val="00CC4491"/>
    <w:rsid w:val="00CC4AAE"/>
    <w:rsid w:val="00CC5B05"/>
    <w:rsid w:val="00CC61DF"/>
    <w:rsid w:val="00CD29E5"/>
    <w:rsid w:val="00CD6031"/>
    <w:rsid w:val="00CE26AA"/>
    <w:rsid w:val="00CE4627"/>
    <w:rsid w:val="00CE4833"/>
    <w:rsid w:val="00CE5508"/>
    <w:rsid w:val="00CF0655"/>
    <w:rsid w:val="00CF0C18"/>
    <w:rsid w:val="00CF1163"/>
    <w:rsid w:val="00CF6B95"/>
    <w:rsid w:val="00D01C74"/>
    <w:rsid w:val="00D02ED4"/>
    <w:rsid w:val="00D03EB6"/>
    <w:rsid w:val="00D04989"/>
    <w:rsid w:val="00D055DA"/>
    <w:rsid w:val="00D07A7F"/>
    <w:rsid w:val="00D1107C"/>
    <w:rsid w:val="00D12A36"/>
    <w:rsid w:val="00D16302"/>
    <w:rsid w:val="00D22812"/>
    <w:rsid w:val="00D22A20"/>
    <w:rsid w:val="00D25B46"/>
    <w:rsid w:val="00D26657"/>
    <w:rsid w:val="00D27474"/>
    <w:rsid w:val="00D275A2"/>
    <w:rsid w:val="00D31A4D"/>
    <w:rsid w:val="00D365AD"/>
    <w:rsid w:val="00D365FB"/>
    <w:rsid w:val="00D3755A"/>
    <w:rsid w:val="00D42339"/>
    <w:rsid w:val="00D45DBC"/>
    <w:rsid w:val="00D473F6"/>
    <w:rsid w:val="00D556B8"/>
    <w:rsid w:val="00D568E3"/>
    <w:rsid w:val="00D62D3A"/>
    <w:rsid w:val="00D646AD"/>
    <w:rsid w:val="00D6753E"/>
    <w:rsid w:val="00D71719"/>
    <w:rsid w:val="00D73E71"/>
    <w:rsid w:val="00D768A1"/>
    <w:rsid w:val="00D805E6"/>
    <w:rsid w:val="00D8094E"/>
    <w:rsid w:val="00D81591"/>
    <w:rsid w:val="00D8234F"/>
    <w:rsid w:val="00D84722"/>
    <w:rsid w:val="00D86551"/>
    <w:rsid w:val="00D91B5B"/>
    <w:rsid w:val="00D91C57"/>
    <w:rsid w:val="00D92291"/>
    <w:rsid w:val="00D95BE2"/>
    <w:rsid w:val="00D973CA"/>
    <w:rsid w:val="00D97AC6"/>
    <w:rsid w:val="00DA3CE4"/>
    <w:rsid w:val="00DA4A16"/>
    <w:rsid w:val="00DA546B"/>
    <w:rsid w:val="00DA7C36"/>
    <w:rsid w:val="00DB3715"/>
    <w:rsid w:val="00DB3C31"/>
    <w:rsid w:val="00DB4B17"/>
    <w:rsid w:val="00DB73F8"/>
    <w:rsid w:val="00DC1B0A"/>
    <w:rsid w:val="00DC41CB"/>
    <w:rsid w:val="00DC61C0"/>
    <w:rsid w:val="00DC7C4C"/>
    <w:rsid w:val="00DD3E68"/>
    <w:rsid w:val="00DD7726"/>
    <w:rsid w:val="00DD7B3A"/>
    <w:rsid w:val="00DE37E3"/>
    <w:rsid w:val="00DE42B3"/>
    <w:rsid w:val="00DE4A30"/>
    <w:rsid w:val="00DE4B6E"/>
    <w:rsid w:val="00DE4F4C"/>
    <w:rsid w:val="00DF3F44"/>
    <w:rsid w:val="00DF4A22"/>
    <w:rsid w:val="00DF50B0"/>
    <w:rsid w:val="00DF63C0"/>
    <w:rsid w:val="00DF752C"/>
    <w:rsid w:val="00E000E1"/>
    <w:rsid w:val="00E021AB"/>
    <w:rsid w:val="00E0499B"/>
    <w:rsid w:val="00E049BC"/>
    <w:rsid w:val="00E05397"/>
    <w:rsid w:val="00E12AE1"/>
    <w:rsid w:val="00E16BFE"/>
    <w:rsid w:val="00E21389"/>
    <w:rsid w:val="00E23250"/>
    <w:rsid w:val="00E25462"/>
    <w:rsid w:val="00E27FA1"/>
    <w:rsid w:val="00E305FE"/>
    <w:rsid w:val="00E36874"/>
    <w:rsid w:val="00E40FD8"/>
    <w:rsid w:val="00E447EE"/>
    <w:rsid w:val="00E50F35"/>
    <w:rsid w:val="00E62004"/>
    <w:rsid w:val="00E667DC"/>
    <w:rsid w:val="00E72BDE"/>
    <w:rsid w:val="00E747C7"/>
    <w:rsid w:val="00E81C49"/>
    <w:rsid w:val="00E83097"/>
    <w:rsid w:val="00E836CF"/>
    <w:rsid w:val="00E84048"/>
    <w:rsid w:val="00E85E60"/>
    <w:rsid w:val="00E9191C"/>
    <w:rsid w:val="00E91CEE"/>
    <w:rsid w:val="00E92511"/>
    <w:rsid w:val="00E9426C"/>
    <w:rsid w:val="00EA09B3"/>
    <w:rsid w:val="00EA1605"/>
    <w:rsid w:val="00EA457B"/>
    <w:rsid w:val="00EA76E9"/>
    <w:rsid w:val="00EA7C24"/>
    <w:rsid w:val="00EA7FEC"/>
    <w:rsid w:val="00EB1B4A"/>
    <w:rsid w:val="00EB5826"/>
    <w:rsid w:val="00EC6A66"/>
    <w:rsid w:val="00ED11C3"/>
    <w:rsid w:val="00ED375B"/>
    <w:rsid w:val="00ED3DD0"/>
    <w:rsid w:val="00ED3F95"/>
    <w:rsid w:val="00ED6FDB"/>
    <w:rsid w:val="00ED77B1"/>
    <w:rsid w:val="00ED7D61"/>
    <w:rsid w:val="00EE5645"/>
    <w:rsid w:val="00EE6D0E"/>
    <w:rsid w:val="00EF487B"/>
    <w:rsid w:val="00EF6581"/>
    <w:rsid w:val="00F0059E"/>
    <w:rsid w:val="00F0288C"/>
    <w:rsid w:val="00F04FB0"/>
    <w:rsid w:val="00F06CE0"/>
    <w:rsid w:val="00F1262F"/>
    <w:rsid w:val="00F126D0"/>
    <w:rsid w:val="00F127CB"/>
    <w:rsid w:val="00F14C79"/>
    <w:rsid w:val="00F26BBC"/>
    <w:rsid w:val="00F30987"/>
    <w:rsid w:val="00F34374"/>
    <w:rsid w:val="00F34C2E"/>
    <w:rsid w:val="00F3666E"/>
    <w:rsid w:val="00F41F5F"/>
    <w:rsid w:val="00F420C8"/>
    <w:rsid w:val="00F421C7"/>
    <w:rsid w:val="00F444F8"/>
    <w:rsid w:val="00F5081A"/>
    <w:rsid w:val="00F53DCB"/>
    <w:rsid w:val="00F57AC9"/>
    <w:rsid w:val="00F64066"/>
    <w:rsid w:val="00F67547"/>
    <w:rsid w:val="00F70002"/>
    <w:rsid w:val="00F70189"/>
    <w:rsid w:val="00F7032D"/>
    <w:rsid w:val="00F73110"/>
    <w:rsid w:val="00F77390"/>
    <w:rsid w:val="00F77CCE"/>
    <w:rsid w:val="00F808B1"/>
    <w:rsid w:val="00F85562"/>
    <w:rsid w:val="00F96970"/>
    <w:rsid w:val="00F96ECB"/>
    <w:rsid w:val="00FA0E29"/>
    <w:rsid w:val="00FA6EDC"/>
    <w:rsid w:val="00FA70A7"/>
    <w:rsid w:val="00FB0EE2"/>
    <w:rsid w:val="00FB7D6F"/>
    <w:rsid w:val="00FC0996"/>
    <w:rsid w:val="00FC3E8C"/>
    <w:rsid w:val="00FC6699"/>
    <w:rsid w:val="00FC7F9F"/>
    <w:rsid w:val="00FD1E0D"/>
    <w:rsid w:val="00FD2CF8"/>
    <w:rsid w:val="00FD4121"/>
    <w:rsid w:val="00FD4A82"/>
    <w:rsid w:val="00FD663C"/>
    <w:rsid w:val="00FD6DCF"/>
    <w:rsid w:val="00FD7D49"/>
    <w:rsid w:val="00FE0B0D"/>
    <w:rsid w:val="00FE1D5E"/>
    <w:rsid w:val="00FE24AE"/>
    <w:rsid w:val="00FE2A32"/>
    <w:rsid w:val="00FE322A"/>
    <w:rsid w:val="00FE5528"/>
    <w:rsid w:val="00FE5A2E"/>
    <w:rsid w:val="00FF2B60"/>
    <w:rsid w:val="00FF3161"/>
    <w:rsid w:val="00FF4E38"/>
    <w:rsid w:val="00FF5EB9"/>
    <w:rsid w:val="00FF6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annotation text" w:uiPriority="99"/>
    <w:lsdException w:name="footer" w:uiPriority="99"/>
    <w:lsdException w:name="annotation reference" w:uiPriority="99"/>
    <w:lsdException w:name="Hyperlink" w:uiPriority="99"/>
    <w:lsdException w:name="annotation subject" w:uiPriority="99"/>
    <w:lsdException w:name="Table Grid" w:uiPriority="59"/>
    <w:lsdException w:name="No Spacing" w:uiPriority="1" w:qFormat="1"/>
    <w:lsdException w:name="List Paragraph" w:uiPriority="34" w:qFormat="1"/>
    <w:lsdException w:name="TOC Heading" w:uiPriority="39" w:qFormat="1"/>
  </w:latentStyles>
  <w:style w:type="paragraph" w:default="1" w:styleId="Normal">
    <w:name w:val="Normal"/>
    <w:qFormat/>
    <w:rsid w:val="006A4E76"/>
    <w:pPr>
      <w:spacing w:line="360" w:lineRule="auto"/>
    </w:pPr>
  </w:style>
  <w:style w:type="paragraph" w:styleId="Heading1">
    <w:name w:val="heading 1"/>
    <w:basedOn w:val="Normal"/>
    <w:next w:val="Normal"/>
    <w:link w:val="Heading1Char"/>
    <w:uiPriority w:val="9"/>
    <w:qFormat/>
    <w:rsid w:val="00A27548"/>
    <w:pPr>
      <w:keepNext/>
      <w:keepLines/>
      <w:spacing w:before="200"/>
      <w:outlineLvl w:val="0"/>
    </w:pPr>
    <w:rPr>
      <w:rFonts w:eastAsiaTheme="majorEastAsia" w:cstheme="majorBidi"/>
      <w:b/>
      <w:bCs/>
      <w:color w:val="auto"/>
      <w:szCs w:val="28"/>
    </w:rPr>
  </w:style>
  <w:style w:type="paragraph" w:styleId="Heading2">
    <w:name w:val="heading 2"/>
    <w:basedOn w:val="Normal"/>
    <w:next w:val="Normal"/>
    <w:link w:val="Heading2Char"/>
    <w:uiPriority w:val="9"/>
    <w:unhideWhenUsed/>
    <w:qFormat/>
    <w:rsid w:val="00A27548"/>
    <w:pPr>
      <w:keepNext/>
      <w:keepLines/>
      <w:spacing w:before="200"/>
      <w:outlineLvl w:val="1"/>
    </w:pPr>
    <w:rPr>
      <w:rFonts w:eastAsiaTheme="majorEastAsia" w:cstheme="majorBidi"/>
      <w:b/>
      <w:bCs/>
      <w:color w:val="auto"/>
      <w:szCs w:val="26"/>
    </w:rPr>
  </w:style>
  <w:style w:type="paragraph" w:styleId="Heading3">
    <w:name w:val="heading 3"/>
    <w:basedOn w:val="Normal"/>
    <w:next w:val="Normal"/>
    <w:link w:val="Heading3Char"/>
    <w:uiPriority w:val="9"/>
    <w:unhideWhenUsed/>
    <w:qFormat/>
    <w:rsid w:val="00D62D3A"/>
    <w:pPr>
      <w:keepNext/>
      <w:keepLines/>
      <w:spacing w:before="240" w:line="240" w:lineRule="auto"/>
      <w:outlineLvl w:val="2"/>
    </w:pPr>
    <w:rPr>
      <w:rFonts w:eastAsiaTheme="majorEastAsia" w:cstheme="majorBidi"/>
      <w:b/>
      <w:bCs/>
      <w:color w:val="auto"/>
    </w:rPr>
  </w:style>
  <w:style w:type="paragraph" w:styleId="Heading4">
    <w:name w:val="heading 4"/>
    <w:basedOn w:val="Normal"/>
    <w:next w:val="Normal"/>
    <w:link w:val="Heading4Char"/>
    <w:uiPriority w:val="9"/>
    <w:unhideWhenUsed/>
    <w:qFormat/>
    <w:rsid w:val="006A4E76"/>
    <w:pPr>
      <w:keepNext/>
      <w:keepLines/>
      <w:spacing w:before="200"/>
      <w:outlineLvl w:val="3"/>
    </w:pPr>
    <w:rPr>
      <w:rFonts w:eastAsiaTheme="majorEastAsia" w:cstheme="majorBidi"/>
      <w:b/>
      <w:bCs/>
      <w:iCs/>
      <w:color w:val="auto"/>
    </w:rPr>
  </w:style>
  <w:style w:type="paragraph" w:styleId="Heading5">
    <w:name w:val="heading 5"/>
    <w:basedOn w:val="Normal"/>
    <w:next w:val="Normal"/>
    <w:link w:val="Heading5Char"/>
    <w:uiPriority w:val="9"/>
    <w:unhideWhenUsed/>
    <w:qFormat/>
    <w:rsid w:val="006A4E76"/>
    <w:pPr>
      <w:keepNext/>
      <w:keepLines/>
      <w:spacing w:before="200"/>
      <w:outlineLvl w:val="4"/>
    </w:pPr>
    <w:rPr>
      <w:rFonts w:eastAsiaTheme="majorEastAsia" w:cstheme="majorBidi"/>
      <w:b/>
      <w:color w:val="auto"/>
    </w:rPr>
  </w:style>
  <w:style w:type="paragraph" w:styleId="Heading6">
    <w:name w:val="heading 6"/>
    <w:basedOn w:val="Normal"/>
    <w:next w:val="Normal"/>
    <w:link w:val="Heading6Char"/>
    <w:uiPriority w:val="9"/>
    <w:unhideWhenUsed/>
    <w:qFormat/>
    <w:rsid w:val="004A35CC"/>
    <w:pPr>
      <w:keepNext/>
      <w:keepLines/>
      <w:spacing w:line="240" w:lineRule="auto"/>
      <w:outlineLvl w:val="5"/>
    </w:pPr>
    <w:rPr>
      <w:rFonts w:eastAsiaTheme="majorEastAsia" w:cstheme="majorBidi"/>
      <w:b/>
      <w:iC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58"/>
    <w:pPr>
      <w:ind w:left="720"/>
      <w:contextualSpacing/>
    </w:pPr>
  </w:style>
  <w:style w:type="character" w:customStyle="1" w:styleId="Heading1Char">
    <w:name w:val="Heading 1 Char"/>
    <w:basedOn w:val="DefaultParagraphFont"/>
    <w:link w:val="Heading1"/>
    <w:uiPriority w:val="9"/>
    <w:rsid w:val="00A27548"/>
    <w:rPr>
      <w:rFonts w:eastAsiaTheme="majorEastAsia" w:cstheme="majorBidi"/>
      <w:b/>
      <w:bCs/>
      <w:color w:val="auto"/>
      <w:szCs w:val="28"/>
    </w:rPr>
  </w:style>
  <w:style w:type="character" w:customStyle="1" w:styleId="Heading2Char">
    <w:name w:val="Heading 2 Char"/>
    <w:basedOn w:val="DefaultParagraphFont"/>
    <w:link w:val="Heading2"/>
    <w:uiPriority w:val="9"/>
    <w:rsid w:val="00A27548"/>
    <w:rPr>
      <w:rFonts w:eastAsiaTheme="majorEastAsia" w:cstheme="majorBidi"/>
      <w:b/>
      <w:bCs/>
      <w:color w:val="auto"/>
      <w:szCs w:val="26"/>
    </w:rPr>
  </w:style>
  <w:style w:type="paragraph" w:customStyle="1" w:styleId="Default">
    <w:name w:val="Default"/>
    <w:rsid w:val="004F15EF"/>
    <w:pPr>
      <w:autoSpaceDE w:val="0"/>
      <w:autoSpaceDN w:val="0"/>
      <w:adjustRightInd w:val="0"/>
    </w:pPr>
  </w:style>
  <w:style w:type="paragraph" w:styleId="FootnoteText">
    <w:name w:val="footnote text"/>
    <w:basedOn w:val="Normal"/>
    <w:link w:val="FootnoteTextChar"/>
    <w:uiPriority w:val="99"/>
    <w:semiHidden/>
    <w:unhideWhenUsed/>
    <w:rsid w:val="008F3F10"/>
    <w:rPr>
      <w:sz w:val="20"/>
      <w:szCs w:val="20"/>
    </w:rPr>
  </w:style>
  <w:style w:type="character" w:customStyle="1" w:styleId="FootnoteTextChar">
    <w:name w:val="Footnote Text Char"/>
    <w:basedOn w:val="DefaultParagraphFont"/>
    <w:link w:val="FootnoteText"/>
    <w:uiPriority w:val="99"/>
    <w:semiHidden/>
    <w:rsid w:val="008F3F10"/>
    <w:rPr>
      <w:sz w:val="20"/>
      <w:szCs w:val="20"/>
    </w:rPr>
  </w:style>
  <w:style w:type="character" w:styleId="FootnoteReference">
    <w:name w:val="footnote reference"/>
    <w:basedOn w:val="DefaultParagraphFont"/>
    <w:uiPriority w:val="99"/>
    <w:semiHidden/>
    <w:unhideWhenUsed/>
    <w:rsid w:val="008F3F10"/>
    <w:rPr>
      <w:vertAlign w:val="superscript"/>
    </w:rPr>
  </w:style>
  <w:style w:type="character" w:customStyle="1" w:styleId="Heading3Char">
    <w:name w:val="Heading 3 Char"/>
    <w:basedOn w:val="DefaultParagraphFont"/>
    <w:link w:val="Heading3"/>
    <w:uiPriority w:val="9"/>
    <w:rsid w:val="00D62D3A"/>
    <w:rPr>
      <w:rFonts w:eastAsiaTheme="majorEastAsia" w:cstheme="majorBidi"/>
      <w:b/>
      <w:bCs/>
      <w:color w:val="auto"/>
    </w:rPr>
  </w:style>
  <w:style w:type="character" w:styleId="CommentReference">
    <w:name w:val="annotation reference"/>
    <w:basedOn w:val="DefaultParagraphFont"/>
    <w:uiPriority w:val="99"/>
    <w:semiHidden/>
    <w:unhideWhenUsed/>
    <w:rsid w:val="003A0FF8"/>
    <w:rPr>
      <w:sz w:val="16"/>
      <w:szCs w:val="16"/>
    </w:rPr>
  </w:style>
  <w:style w:type="paragraph" w:styleId="CommentText">
    <w:name w:val="annotation text"/>
    <w:basedOn w:val="Normal"/>
    <w:link w:val="CommentTextChar"/>
    <w:uiPriority w:val="99"/>
    <w:unhideWhenUsed/>
    <w:rsid w:val="003A0FF8"/>
    <w:rPr>
      <w:sz w:val="20"/>
      <w:szCs w:val="20"/>
    </w:rPr>
  </w:style>
  <w:style w:type="character" w:customStyle="1" w:styleId="CommentTextChar">
    <w:name w:val="Comment Text Char"/>
    <w:basedOn w:val="DefaultParagraphFont"/>
    <w:link w:val="CommentText"/>
    <w:uiPriority w:val="99"/>
    <w:rsid w:val="003A0FF8"/>
    <w:rPr>
      <w:sz w:val="20"/>
      <w:szCs w:val="20"/>
    </w:rPr>
  </w:style>
  <w:style w:type="paragraph" w:styleId="CommentSubject">
    <w:name w:val="annotation subject"/>
    <w:basedOn w:val="CommentText"/>
    <w:next w:val="CommentText"/>
    <w:link w:val="CommentSubjectChar"/>
    <w:uiPriority w:val="99"/>
    <w:semiHidden/>
    <w:unhideWhenUsed/>
    <w:rsid w:val="003A0FF8"/>
    <w:rPr>
      <w:b/>
      <w:bCs/>
    </w:rPr>
  </w:style>
  <w:style w:type="character" w:customStyle="1" w:styleId="CommentSubjectChar">
    <w:name w:val="Comment Subject Char"/>
    <w:basedOn w:val="CommentTextChar"/>
    <w:link w:val="CommentSubject"/>
    <w:uiPriority w:val="99"/>
    <w:semiHidden/>
    <w:rsid w:val="003A0FF8"/>
    <w:rPr>
      <w:b/>
      <w:bCs/>
      <w:sz w:val="20"/>
      <w:szCs w:val="20"/>
    </w:rPr>
  </w:style>
  <w:style w:type="paragraph" w:styleId="BalloonText">
    <w:name w:val="Balloon Text"/>
    <w:basedOn w:val="Normal"/>
    <w:link w:val="BalloonTextChar"/>
    <w:uiPriority w:val="99"/>
    <w:semiHidden/>
    <w:unhideWhenUsed/>
    <w:rsid w:val="003A0FF8"/>
    <w:rPr>
      <w:rFonts w:ascii="Tahoma" w:hAnsi="Tahoma" w:cs="Tahoma"/>
      <w:sz w:val="16"/>
      <w:szCs w:val="16"/>
    </w:rPr>
  </w:style>
  <w:style w:type="character" w:customStyle="1" w:styleId="BalloonTextChar">
    <w:name w:val="Balloon Text Char"/>
    <w:basedOn w:val="DefaultParagraphFont"/>
    <w:link w:val="BalloonText"/>
    <w:uiPriority w:val="99"/>
    <w:semiHidden/>
    <w:rsid w:val="003A0FF8"/>
    <w:rPr>
      <w:rFonts w:ascii="Tahoma" w:hAnsi="Tahoma" w:cs="Tahoma"/>
      <w:sz w:val="16"/>
      <w:szCs w:val="16"/>
    </w:rPr>
  </w:style>
  <w:style w:type="paragraph" w:styleId="NoSpacing">
    <w:name w:val="No Spacing"/>
    <w:uiPriority w:val="1"/>
    <w:qFormat/>
    <w:rsid w:val="00EB5826"/>
  </w:style>
  <w:style w:type="character" w:customStyle="1" w:styleId="Heading4Char">
    <w:name w:val="Heading 4 Char"/>
    <w:basedOn w:val="DefaultParagraphFont"/>
    <w:link w:val="Heading4"/>
    <w:uiPriority w:val="9"/>
    <w:rsid w:val="006A4E76"/>
    <w:rPr>
      <w:rFonts w:eastAsiaTheme="majorEastAsia" w:cstheme="majorBidi"/>
      <w:b/>
      <w:bCs/>
      <w:iCs/>
      <w:color w:val="auto"/>
    </w:rPr>
  </w:style>
  <w:style w:type="character" w:customStyle="1" w:styleId="Heading5Char">
    <w:name w:val="Heading 5 Char"/>
    <w:basedOn w:val="DefaultParagraphFont"/>
    <w:link w:val="Heading5"/>
    <w:uiPriority w:val="9"/>
    <w:rsid w:val="006A4E76"/>
    <w:rPr>
      <w:rFonts w:eastAsiaTheme="majorEastAsia" w:cstheme="majorBidi"/>
      <w:b/>
      <w:color w:val="auto"/>
    </w:rPr>
  </w:style>
  <w:style w:type="character" w:customStyle="1" w:styleId="Heading6Char">
    <w:name w:val="Heading 6 Char"/>
    <w:basedOn w:val="DefaultParagraphFont"/>
    <w:link w:val="Heading6"/>
    <w:uiPriority w:val="9"/>
    <w:rsid w:val="004A35CC"/>
    <w:rPr>
      <w:rFonts w:eastAsiaTheme="majorEastAsia" w:cstheme="majorBidi"/>
      <w:b/>
      <w:iCs/>
      <w:color w:val="auto"/>
      <w:sz w:val="20"/>
    </w:rPr>
  </w:style>
  <w:style w:type="table" w:styleId="TableGrid">
    <w:name w:val="Table Grid"/>
    <w:basedOn w:val="TableNormal"/>
    <w:uiPriority w:val="59"/>
    <w:rsid w:val="004A35CC"/>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841E0"/>
    <w:pPr>
      <w:spacing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5841E0"/>
    <w:rPr>
      <w:rFonts w:ascii="Lucida Grande" w:hAnsi="Lucida Grande"/>
    </w:rPr>
  </w:style>
  <w:style w:type="paragraph" w:styleId="NormalWeb">
    <w:name w:val="Normal (Web)"/>
    <w:basedOn w:val="Normal"/>
    <w:uiPriority w:val="99"/>
    <w:rsid w:val="007E39D0"/>
    <w:pPr>
      <w:spacing w:beforeLines="1" w:afterLines="1" w:line="240" w:lineRule="auto"/>
    </w:pPr>
    <w:rPr>
      <w:rFonts w:ascii="Times" w:hAnsi="Times" w:cs="Times New Roman"/>
      <w:color w:val="auto"/>
      <w:sz w:val="20"/>
      <w:szCs w:val="20"/>
    </w:rPr>
  </w:style>
  <w:style w:type="character" w:customStyle="1" w:styleId="apple-converted-space">
    <w:name w:val="apple-converted-space"/>
    <w:basedOn w:val="DefaultParagraphFont"/>
    <w:rsid w:val="007E39D0"/>
  </w:style>
  <w:style w:type="paragraph" w:styleId="Header">
    <w:name w:val="header"/>
    <w:basedOn w:val="Normal"/>
    <w:link w:val="HeaderChar"/>
    <w:rsid w:val="00480477"/>
    <w:pPr>
      <w:tabs>
        <w:tab w:val="center" w:pos="4680"/>
        <w:tab w:val="right" w:pos="9360"/>
      </w:tabs>
      <w:spacing w:line="240" w:lineRule="auto"/>
    </w:pPr>
  </w:style>
  <w:style w:type="character" w:customStyle="1" w:styleId="HeaderChar">
    <w:name w:val="Header Char"/>
    <w:basedOn w:val="DefaultParagraphFont"/>
    <w:link w:val="Header"/>
    <w:rsid w:val="00480477"/>
  </w:style>
  <w:style w:type="paragraph" w:styleId="Footer">
    <w:name w:val="footer"/>
    <w:basedOn w:val="Normal"/>
    <w:link w:val="FooterChar"/>
    <w:uiPriority w:val="99"/>
    <w:rsid w:val="00480477"/>
    <w:pPr>
      <w:tabs>
        <w:tab w:val="center" w:pos="4680"/>
        <w:tab w:val="right" w:pos="9360"/>
      </w:tabs>
      <w:spacing w:line="240" w:lineRule="auto"/>
    </w:pPr>
  </w:style>
  <w:style w:type="character" w:customStyle="1" w:styleId="FooterChar">
    <w:name w:val="Footer Char"/>
    <w:basedOn w:val="DefaultParagraphFont"/>
    <w:link w:val="Footer"/>
    <w:uiPriority w:val="99"/>
    <w:rsid w:val="00480477"/>
  </w:style>
  <w:style w:type="paragraph" w:styleId="Revision">
    <w:name w:val="Revision"/>
    <w:hidden/>
    <w:rsid w:val="0087209B"/>
  </w:style>
  <w:style w:type="character" w:styleId="Hyperlink">
    <w:name w:val="Hyperlink"/>
    <w:basedOn w:val="DefaultParagraphFont"/>
    <w:uiPriority w:val="99"/>
    <w:rsid w:val="004B76AE"/>
    <w:rPr>
      <w:color w:val="0000FF" w:themeColor="hyperlink"/>
      <w:u w:val="single"/>
    </w:rPr>
  </w:style>
  <w:style w:type="paragraph" w:styleId="TOCHeading">
    <w:name w:val="TOC Heading"/>
    <w:basedOn w:val="Heading1"/>
    <w:next w:val="Normal"/>
    <w:uiPriority w:val="39"/>
    <w:unhideWhenUsed/>
    <w:qFormat/>
    <w:rsid w:val="00424AEB"/>
    <w:pPr>
      <w:spacing w:before="48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424AEB"/>
    <w:pPr>
      <w:spacing w:after="100"/>
    </w:pPr>
  </w:style>
  <w:style w:type="paragraph" w:styleId="TOC2">
    <w:name w:val="toc 2"/>
    <w:basedOn w:val="Normal"/>
    <w:next w:val="Normal"/>
    <w:autoRedefine/>
    <w:uiPriority w:val="39"/>
    <w:rsid w:val="00424AEB"/>
    <w:pPr>
      <w:spacing w:after="100"/>
      <w:ind w:left="240"/>
    </w:pPr>
  </w:style>
  <w:style w:type="paragraph" w:styleId="TOC3">
    <w:name w:val="toc 3"/>
    <w:basedOn w:val="Normal"/>
    <w:next w:val="Normal"/>
    <w:autoRedefine/>
    <w:uiPriority w:val="39"/>
    <w:rsid w:val="00424AEB"/>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annotation text" w:uiPriority="99"/>
    <w:lsdException w:name="footer" w:uiPriority="99"/>
    <w:lsdException w:name="annotation reference" w:uiPriority="99"/>
    <w:lsdException w:name="Hyperlink" w:uiPriority="99"/>
    <w:lsdException w:name="annotation subject" w:uiPriority="99"/>
    <w:lsdException w:name="Table Grid" w:uiPriority="59"/>
    <w:lsdException w:name="No Spacing" w:uiPriority="1" w:qFormat="1"/>
    <w:lsdException w:name="List Paragraph" w:uiPriority="34" w:qFormat="1"/>
    <w:lsdException w:name="TOC Heading" w:uiPriority="39" w:qFormat="1"/>
  </w:latentStyles>
  <w:style w:type="paragraph" w:default="1" w:styleId="Normal">
    <w:name w:val="Normal"/>
    <w:qFormat/>
    <w:rsid w:val="006A4E76"/>
    <w:pPr>
      <w:spacing w:line="360" w:lineRule="auto"/>
    </w:pPr>
  </w:style>
  <w:style w:type="paragraph" w:styleId="Heading1">
    <w:name w:val="heading 1"/>
    <w:basedOn w:val="Normal"/>
    <w:next w:val="Normal"/>
    <w:link w:val="Heading1Char"/>
    <w:uiPriority w:val="9"/>
    <w:qFormat/>
    <w:rsid w:val="00A27548"/>
    <w:pPr>
      <w:keepNext/>
      <w:keepLines/>
      <w:spacing w:before="200"/>
      <w:outlineLvl w:val="0"/>
    </w:pPr>
    <w:rPr>
      <w:rFonts w:eastAsiaTheme="majorEastAsia" w:cstheme="majorBidi"/>
      <w:b/>
      <w:bCs/>
      <w:color w:val="auto"/>
      <w:szCs w:val="28"/>
    </w:rPr>
  </w:style>
  <w:style w:type="paragraph" w:styleId="Heading2">
    <w:name w:val="heading 2"/>
    <w:basedOn w:val="Normal"/>
    <w:next w:val="Normal"/>
    <w:link w:val="Heading2Char"/>
    <w:uiPriority w:val="9"/>
    <w:unhideWhenUsed/>
    <w:qFormat/>
    <w:rsid w:val="00A27548"/>
    <w:pPr>
      <w:keepNext/>
      <w:keepLines/>
      <w:spacing w:before="200"/>
      <w:outlineLvl w:val="1"/>
    </w:pPr>
    <w:rPr>
      <w:rFonts w:eastAsiaTheme="majorEastAsia" w:cstheme="majorBidi"/>
      <w:b/>
      <w:bCs/>
      <w:color w:val="auto"/>
      <w:szCs w:val="26"/>
    </w:rPr>
  </w:style>
  <w:style w:type="paragraph" w:styleId="Heading3">
    <w:name w:val="heading 3"/>
    <w:basedOn w:val="Normal"/>
    <w:next w:val="Normal"/>
    <w:link w:val="Heading3Char"/>
    <w:uiPriority w:val="9"/>
    <w:unhideWhenUsed/>
    <w:qFormat/>
    <w:rsid w:val="00D62D3A"/>
    <w:pPr>
      <w:keepNext/>
      <w:keepLines/>
      <w:spacing w:before="240" w:line="240" w:lineRule="auto"/>
      <w:outlineLvl w:val="2"/>
    </w:pPr>
    <w:rPr>
      <w:rFonts w:eastAsiaTheme="majorEastAsia" w:cstheme="majorBidi"/>
      <w:b/>
      <w:bCs/>
      <w:color w:val="auto"/>
    </w:rPr>
  </w:style>
  <w:style w:type="paragraph" w:styleId="Heading4">
    <w:name w:val="heading 4"/>
    <w:basedOn w:val="Normal"/>
    <w:next w:val="Normal"/>
    <w:link w:val="Heading4Char"/>
    <w:uiPriority w:val="9"/>
    <w:unhideWhenUsed/>
    <w:qFormat/>
    <w:rsid w:val="006A4E76"/>
    <w:pPr>
      <w:keepNext/>
      <w:keepLines/>
      <w:spacing w:before="200"/>
      <w:outlineLvl w:val="3"/>
    </w:pPr>
    <w:rPr>
      <w:rFonts w:eastAsiaTheme="majorEastAsia" w:cstheme="majorBidi"/>
      <w:b/>
      <w:bCs/>
      <w:iCs/>
      <w:color w:val="auto"/>
    </w:rPr>
  </w:style>
  <w:style w:type="paragraph" w:styleId="Heading5">
    <w:name w:val="heading 5"/>
    <w:basedOn w:val="Normal"/>
    <w:next w:val="Normal"/>
    <w:link w:val="Heading5Char"/>
    <w:uiPriority w:val="9"/>
    <w:unhideWhenUsed/>
    <w:qFormat/>
    <w:rsid w:val="006A4E76"/>
    <w:pPr>
      <w:keepNext/>
      <w:keepLines/>
      <w:spacing w:before="200"/>
      <w:outlineLvl w:val="4"/>
    </w:pPr>
    <w:rPr>
      <w:rFonts w:eastAsiaTheme="majorEastAsia" w:cstheme="majorBidi"/>
      <w:b/>
      <w:color w:val="auto"/>
    </w:rPr>
  </w:style>
  <w:style w:type="paragraph" w:styleId="Heading6">
    <w:name w:val="heading 6"/>
    <w:basedOn w:val="Normal"/>
    <w:next w:val="Normal"/>
    <w:link w:val="Heading6Char"/>
    <w:uiPriority w:val="9"/>
    <w:unhideWhenUsed/>
    <w:qFormat/>
    <w:rsid w:val="004A35CC"/>
    <w:pPr>
      <w:keepNext/>
      <w:keepLines/>
      <w:spacing w:line="240" w:lineRule="auto"/>
      <w:outlineLvl w:val="5"/>
    </w:pPr>
    <w:rPr>
      <w:rFonts w:eastAsiaTheme="majorEastAsia" w:cstheme="majorBidi"/>
      <w:b/>
      <w:iC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58"/>
    <w:pPr>
      <w:ind w:left="720"/>
      <w:contextualSpacing/>
    </w:pPr>
  </w:style>
  <w:style w:type="character" w:customStyle="1" w:styleId="Heading1Char">
    <w:name w:val="Heading 1 Char"/>
    <w:basedOn w:val="DefaultParagraphFont"/>
    <w:link w:val="Heading1"/>
    <w:uiPriority w:val="9"/>
    <w:rsid w:val="00A27548"/>
    <w:rPr>
      <w:rFonts w:eastAsiaTheme="majorEastAsia" w:cstheme="majorBidi"/>
      <w:b/>
      <w:bCs/>
      <w:color w:val="auto"/>
      <w:szCs w:val="28"/>
    </w:rPr>
  </w:style>
  <w:style w:type="character" w:customStyle="1" w:styleId="Heading2Char">
    <w:name w:val="Heading 2 Char"/>
    <w:basedOn w:val="DefaultParagraphFont"/>
    <w:link w:val="Heading2"/>
    <w:uiPriority w:val="9"/>
    <w:rsid w:val="00A27548"/>
    <w:rPr>
      <w:rFonts w:eastAsiaTheme="majorEastAsia" w:cstheme="majorBidi"/>
      <w:b/>
      <w:bCs/>
      <w:color w:val="auto"/>
      <w:szCs w:val="26"/>
    </w:rPr>
  </w:style>
  <w:style w:type="paragraph" w:customStyle="1" w:styleId="Default">
    <w:name w:val="Default"/>
    <w:rsid w:val="004F15EF"/>
    <w:pPr>
      <w:autoSpaceDE w:val="0"/>
      <w:autoSpaceDN w:val="0"/>
      <w:adjustRightInd w:val="0"/>
    </w:pPr>
  </w:style>
  <w:style w:type="paragraph" w:styleId="FootnoteText">
    <w:name w:val="footnote text"/>
    <w:basedOn w:val="Normal"/>
    <w:link w:val="FootnoteTextChar"/>
    <w:uiPriority w:val="99"/>
    <w:semiHidden/>
    <w:unhideWhenUsed/>
    <w:rsid w:val="008F3F10"/>
    <w:rPr>
      <w:sz w:val="20"/>
      <w:szCs w:val="20"/>
    </w:rPr>
  </w:style>
  <w:style w:type="character" w:customStyle="1" w:styleId="FootnoteTextChar">
    <w:name w:val="Footnote Text Char"/>
    <w:basedOn w:val="DefaultParagraphFont"/>
    <w:link w:val="FootnoteText"/>
    <w:uiPriority w:val="99"/>
    <w:semiHidden/>
    <w:rsid w:val="008F3F10"/>
    <w:rPr>
      <w:sz w:val="20"/>
      <w:szCs w:val="20"/>
    </w:rPr>
  </w:style>
  <w:style w:type="character" w:styleId="FootnoteReference">
    <w:name w:val="footnote reference"/>
    <w:basedOn w:val="DefaultParagraphFont"/>
    <w:uiPriority w:val="99"/>
    <w:semiHidden/>
    <w:unhideWhenUsed/>
    <w:rsid w:val="008F3F10"/>
    <w:rPr>
      <w:vertAlign w:val="superscript"/>
    </w:rPr>
  </w:style>
  <w:style w:type="character" w:customStyle="1" w:styleId="Heading3Char">
    <w:name w:val="Heading 3 Char"/>
    <w:basedOn w:val="DefaultParagraphFont"/>
    <w:link w:val="Heading3"/>
    <w:uiPriority w:val="9"/>
    <w:rsid w:val="00D62D3A"/>
    <w:rPr>
      <w:rFonts w:eastAsiaTheme="majorEastAsia" w:cstheme="majorBidi"/>
      <w:b/>
      <w:bCs/>
      <w:color w:val="auto"/>
    </w:rPr>
  </w:style>
  <w:style w:type="character" w:styleId="CommentReference">
    <w:name w:val="annotation reference"/>
    <w:basedOn w:val="DefaultParagraphFont"/>
    <w:uiPriority w:val="99"/>
    <w:semiHidden/>
    <w:unhideWhenUsed/>
    <w:rsid w:val="003A0FF8"/>
    <w:rPr>
      <w:sz w:val="16"/>
      <w:szCs w:val="16"/>
    </w:rPr>
  </w:style>
  <w:style w:type="paragraph" w:styleId="CommentText">
    <w:name w:val="annotation text"/>
    <w:basedOn w:val="Normal"/>
    <w:link w:val="CommentTextChar"/>
    <w:uiPriority w:val="99"/>
    <w:unhideWhenUsed/>
    <w:rsid w:val="003A0FF8"/>
    <w:rPr>
      <w:sz w:val="20"/>
      <w:szCs w:val="20"/>
    </w:rPr>
  </w:style>
  <w:style w:type="character" w:customStyle="1" w:styleId="CommentTextChar">
    <w:name w:val="Comment Text Char"/>
    <w:basedOn w:val="DefaultParagraphFont"/>
    <w:link w:val="CommentText"/>
    <w:uiPriority w:val="99"/>
    <w:rsid w:val="003A0FF8"/>
    <w:rPr>
      <w:sz w:val="20"/>
      <w:szCs w:val="20"/>
    </w:rPr>
  </w:style>
  <w:style w:type="paragraph" w:styleId="CommentSubject">
    <w:name w:val="annotation subject"/>
    <w:basedOn w:val="CommentText"/>
    <w:next w:val="CommentText"/>
    <w:link w:val="CommentSubjectChar"/>
    <w:uiPriority w:val="99"/>
    <w:semiHidden/>
    <w:unhideWhenUsed/>
    <w:rsid w:val="003A0FF8"/>
    <w:rPr>
      <w:b/>
      <w:bCs/>
    </w:rPr>
  </w:style>
  <w:style w:type="character" w:customStyle="1" w:styleId="CommentSubjectChar">
    <w:name w:val="Comment Subject Char"/>
    <w:basedOn w:val="CommentTextChar"/>
    <w:link w:val="CommentSubject"/>
    <w:uiPriority w:val="99"/>
    <w:semiHidden/>
    <w:rsid w:val="003A0FF8"/>
    <w:rPr>
      <w:b/>
      <w:bCs/>
      <w:sz w:val="20"/>
      <w:szCs w:val="20"/>
    </w:rPr>
  </w:style>
  <w:style w:type="paragraph" w:styleId="BalloonText">
    <w:name w:val="Balloon Text"/>
    <w:basedOn w:val="Normal"/>
    <w:link w:val="BalloonTextChar"/>
    <w:uiPriority w:val="99"/>
    <w:semiHidden/>
    <w:unhideWhenUsed/>
    <w:rsid w:val="003A0FF8"/>
    <w:rPr>
      <w:rFonts w:ascii="Tahoma" w:hAnsi="Tahoma" w:cs="Tahoma"/>
      <w:sz w:val="16"/>
      <w:szCs w:val="16"/>
    </w:rPr>
  </w:style>
  <w:style w:type="character" w:customStyle="1" w:styleId="BalloonTextChar">
    <w:name w:val="Balloon Text Char"/>
    <w:basedOn w:val="DefaultParagraphFont"/>
    <w:link w:val="BalloonText"/>
    <w:uiPriority w:val="99"/>
    <w:semiHidden/>
    <w:rsid w:val="003A0FF8"/>
    <w:rPr>
      <w:rFonts w:ascii="Tahoma" w:hAnsi="Tahoma" w:cs="Tahoma"/>
      <w:sz w:val="16"/>
      <w:szCs w:val="16"/>
    </w:rPr>
  </w:style>
  <w:style w:type="paragraph" w:styleId="NoSpacing">
    <w:name w:val="No Spacing"/>
    <w:uiPriority w:val="1"/>
    <w:qFormat/>
    <w:rsid w:val="00EB5826"/>
  </w:style>
  <w:style w:type="character" w:customStyle="1" w:styleId="Heading4Char">
    <w:name w:val="Heading 4 Char"/>
    <w:basedOn w:val="DefaultParagraphFont"/>
    <w:link w:val="Heading4"/>
    <w:uiPriority w:val="9"/>
    <w:rsid w:val="006A4E76"/>
    <w:rPr>
      <w:rFonts w:eastAsiaTheme="majorEastAsia" w:cstheme="majorBidi"/>
      <w:b/>
      <w:bCs/>
      <w:iCs/>
      <w:color w:val="auto"/>
    </w:rPr>
  </w:style>
  <w:style w:type="character" w:customStyle="1" w:styleId="Heading5Char">
    <w:name w:val="Heading 5 Char"/>
    <w:basedOn w:val="DefaultParagraphFont"/>
    <w:link w:val="Heading5"/>
    <w:uiPriority w:val="9"/>
    <w:rsid w:val="006A4E76"/>
    <w:rPr>
      <w:rFonts w:eastAsiaTheme="majorEastAsia" w:cstheme="majorBidi"/>
      <w:b/>
      <w:color w:val="auto"/>
    </w:rPr>
  </w:style>
  <w:style w:type="character" w:customStyle="1" w:styleId="Heading6Char">
    <w:name w:val="Heading 6 Char"/>
    <w:basedOn w:val="DefaultParagraphFont"/>
    <w:link w:val="Heading6"/>
    <w:uiPriority w:val="9"/>
    <w:rsid w:val="004A35CC"/>
    <w:rPr>
      <w:rFonts w:eastAsiaTheme="majorEastAsia" w:cstheme="majorBidi"/>
      <w:b/>
      <w:iCs/>
      <w:color w:val="auto"/>
      <w:sz w:val="20"/>
    </w:rPr>
  </w:style>
  <w:style w:type="table" w:styleId="TableGrid">
    <w:name w:val="Table Grid"/>
    <w:basedOn w:val="TableNormal"/>
    <w:uiPriority w:val="59"/>
    <w:rsid w:val="004A35CC"/>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841E0"/>
    <w:pPr>
      <w:spacing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5841E0"/>
    <w:rPr>
      <w:rFonts w:ascii="Lucida Grande" w:hAnsi="Lucida Grande"/>
    </w:rPr>
  </w:style>
  <w:style w:type="paragraph" w:styleId="NormalWeb">
    <w:name w:val="Normal (Web)"/>
    <w:basedOn w:val="Normal"/>
    <w:uiPriority w:val="99"/>
    <w:rsid w:val="007E39D0"/>
    <w:pPr>
      <w:spacing w:beforeLines="1" w:afterLines="1" w:line="240" w:lineRule="auto"/>
    </w:pPr>
    <w:rPr>
      <w:rFonts w:ascii="Times" w:hAnsi="Times" w:cs="Times New Roman"/>
      <w:color w:val="auto"/>
      <w:sz w:val="20"/>
      <w:szCs w:val="20"/>
    </w:rPr>
  </w:style>
  <w:style w:type="character" w:customStyle="1" w:styleId="apple-converted-space">
    <w:name w:val="apple-converted-space"/>
    <w:basedOn w:val="DefaultParagraphFont"/>
    <w:rsid w:val="007E39D0"/>
  </w:style>
  <w:style w:type="paragraph" w:styleId="Header">
    <w:name w:val="header"/>
    <w:basedOn w:val="Normal"/>
    <w:link w:val="HeaderChar"/>
    <w:rsid w:val="00480477"/>
    <w:pPr>
      <w:tabs>
        <w:tab w:val="center" w:pos="4680"/>
        <w:tab w:val="right" w:pos="9360"/>
      </w:tabs>
      <w:spacing w:line="240" w:lineRule="auto"/>
    </w:pPr>
  </w:style>
  <w:style w:type="character" w:customStyle="1" w:styleId="HeaderChar">
    <w:name w:val="Header Char"/>
    <w:basedOn w:val="DefaultParagraphFont"/>
    <w:link w:val="Header"/>
    <w:rsid w:val="00480477"/>
  </w:style>
  <w:style w:type="paragraph" w:styleId="Footer">
    <w:name w:val="footer"/>
    <w:basedOn w:val="Normal"/>
    <w:link w:val="FooterChar"/>
    <w:uiPriority w:val="99"/>
    <w:rsid w:val="00480477"/>
    <w:pPr>
      <w:tabs>
        <w:tab w:val="center" w:pos="4680"/>
        <w:tab w:val="right" w:pos="9360"/>
      </w:tabs>
      <w:spacing w:line="240" w:lineRule="auto"/>
    </w:pPr>
  </w:style>
  <w:style w:type="character" w:customStyle="1" w:styleId="FooterChar">
    <w:name w:val="Footer Char"/>
    <w:basedOn w:val="DefaultParagraphFont"/>
    <w:link w:val="Footer"/>
    <w:uiPriority w:val="99"/>
    <w:rsid w:val="00480477"/>
  </w:style>
  <w:style w:type="paragraph" w:styleId="Revision">
    <w:name w:val="Revision"/>
    <w:hidden/>
    <w:rsid w:val="0087209B"/>
  </w:style>
  <w:style w:type="character" w:styleId="Hyperlink">
    <w:name w:val="Hyperlink"/>
    <w:basedOn w:val="DefaultParagraphFont"/>
    <w:uiPriority w:val="99"/>
    <w:rsid w:val="004B76AE"/>
    <w:rPr>
      <w:color w:val="0000FF" w:themeColor="hyperlink"/>
      <w:u w:val="single"/>
    </w:rPr>
  </w:style>
  <w:style w:type="paragraph" w:styleId="TOCHeading">
    <w:name w:val="TOC Heading"/>
    <w:basedOn w:val="Heading1"/>
    <w:next w:val="Normal"/>
    <w:uiPriority w:val="39"/>
    <w:unhideWhenUsed/>
    <w:qFormat/>
    <w:rsid w:val="00424AEB"/>
    <w:pPr>
      <w:spacing w:before="48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424AEB"/>
    <w:pPr>
      <w:spacing w:after="100"/>
    </w:pPr>
  </w:style>
  <w:style w:type="paragraph" w:styleId="TOC2">
    <w:name w:val="toc 2"/>
    <w:basedOn w:val="Normal"/>
    <w:next w:val="Normal"/>
    <w:autoRedefine/>
    <w:uiPriority w:val="39"/>
    <w:rsid w:val="00424AEB"/>
    <w:pPr>
      <w:spacing w:after="100"/>
      <w:ind w:left="240"/>
    </w:pPr>
  </w:style>
  <w:style w:type="paragraph" w:styleId="TOC3">
    <w:name w:val="toc 3"/>
    <w:basedOn w:val="Normal"/>
    <w:next w:val="Normal"/>
    <w:autoRedefine/>
    <w:uiPriority w:val="39"/>
    <w:rsid w:val="00424AE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90104">
      <w:bodyDiv w:val="1"/>
      <w:marLeft w:val="0"/>
      <w:marRight w:val="0"/>
      <w:marTop w:val="0"/>
      <w:marBottom w:val="0"/>
      <w:divBdr>
        <w:top w:val="none" w:sz="0" w:space="0" w:color="auto"/>
        <w:left w:val="none" w:sz="0" w:space="0" w:color="auto"/>
        <w:bottom w:val="none" w:sz="0" w:space="0" w:color="auto"/>
        <w:right w:val="none" w:sz="0" w:space="0" w:color="auto"/>
      </w:divBdr>
    </w:div>
    <w:div w:id="1080374902">
      <w:bodyDiv w:val="1"/>
      <w:marLeft w:val="0"/>
      <w:marRight w:val="0"/>
      <w:marTop w:val="0"/>
      <w:marBottom w:val="0"/>
      <w:divBdr>
        <w:top w:val="none" w:sz="0" w:space="0" w:color="auto"/>
        <w:left w:val="none" w:sz="0" w:space="0" w:color="auto"/>
        <w:bottom w:val="none" w:sz="0" w:space="0" w:color="auto"/>
        <w:right w:val="none" w:sz="0" w:space="0" w:color="auto"/>
      </w:divBdr>
      <w:divsChild>
        <w:div w:id="1124082715">
          <w:marLeft w:val="0"/>
          <w:marRight w:val="0"/>
          <w:marTop w:val="0"/>
          <w:marBottom w:val="0"/>
          <w:divBdr>
            <w:top w:val="none" w:sz="0" w:space="0" w:color="auto"/>
            <w:left w:val="none" w:sz="0" w:space="0" w:color="auto"/>
            <w:bottom w:val="none" w:sz="0" w:space="0" w:color="auto"/>
            <w:right w:val="none" w:sz="0" w:space="0" w:color="auto"/>
          </w:divBdr>
        </w:div>
        <w:div w:id="1140925027">
          <w:marLeft w:val="0"/>
          <w:marRight w:val="0"/>
          <w:marTop w:val="0"/>
          <w:marBottom w:val="0"/>
          <w:divBdr>
            <w:top w:val="none" w:sz="0" w:space="0" w:color="auto"/>
            <w:left w:val="none" w:sz="0" w:space="0" w:color="auto"/>
            <w:bottom w:val="none" w:sz="0" w:space="0" w:color="auto"/>
            <w:right w:val="none" w:sz="0" w:space="0" w:color="auto"/>
          </w:divBdr>
        </w:div>
        <w:div w:id="1280719044">
          <w:marLeft w:val="0"/>
          <w:marRight w:val="0"/>
          <w:marTop w:val="0"/>
          <w:marBottom w:val="0"/>
          <w:divBdr>
            <w:top w:val="none" w:sz="0" w:space="0" w:color="auto"/>
            <w:left w:val="none" w:sz="0" w:space="0" w:color="auto"/>
            <w:bottom w:val="none" w:sz="0" w:space="0" w:color="auto"/>
            <w:right w:val="none" w:sz="0" w:space="0" w:color="auto"/>
          </w:divBdr>
        </w:div>
        <w:div w:id="1126047281">
          <w:marLeft w:val="0"/>
          <w:marRight w:val="0"/>
          <w:marTop w:val="0"/>
          <w:marBottom w:val="0"/>
          <w:divBdr>
            <w:top w:val="none" w:sz="0" w:space="0" w:color="auto"/>
            <w:left w:val="none" w:sz="0" w:space="0" w:color="auto"/>
            <w:bottom w:val="none" w:sz="0" w:space="0" w:color="auto"/>
            <w:right w:val="none" w:sz="0" w:space="0" w:color="auto"/>
          </w:divBdr>
        </w:div>
        <w:div w:id="1046107508">
          <w:marLeft w:val="0"/>
          <w:marRight w:val="0"/>
          <w:marTop w:val="0"/>
          <w:marBottom w:val="0"/>
          <w:divBdr>
            <w:top w:val="none" w:sz="0" w:space="0" w:color="auto"/>
            <w:left w:val="none" w:sz="0" w:space="0" w:color="auto"/>
            <w:bottom w:val="none" w:sz="0" w:space="0" w:color="auto"/>
            <w:right w:val="none" w:sz="0" w:space="0" w:color="auto"/>
          </w:divBdr>
        </w:div>
        <w:div w:id="1907642142">
          <w:marLeft w:val="0"/>
          <w:marRight w:val="0"/>
          <w:marTop w:val="0"/>
          <w:marBottom w:val="0"/>
          <w:divBdr>
            <w:top w:val="none" w:sz="0" w:space="0" w:color="auto"/>
            <w:left w:val="none" w:sz="0" w:space="0" w:color="auto"/>
            <w:bottom w:val="none" w:sz="0" w:space="0" w:color="auto"/>
            <w:right w:val="none" w:sz="0" w:space="0" w:color="auto"/>
          </w:divBdr>
        </w:div>
        <w:div w:id="1426918874">
          <w:marLeft w:val="0"/>
          <w:marRight w:val="0"/>
          <w:marTop w:val="0"/>
          <w:marBottom w:val="0"/>
          <w:divBdr>
            <w:top w:val="none" w:sz="0" w:space="0" w:color="auto"/>
            <w:left w:val="none" w:sz="0" w:space="0" w:color="auto"/>
            <w:bottom w:val="none" w:sz="0" w:space="0" w:color="auto"/>
            <w:right w:val="none" w:sz="0" w:space="0" w:color="auto"/>
          </w:divBdr>
        </w:div>
        <w:div w:id="1652367592">
          <w:marLeft w:val="0"/>
          <w:marRight w:val="0"/>
          <w:marTop w:val="0"/>
          <w:marBottom w:val="0"/>
          <w:divBdr>
            <w:top w:val="none" w:sz="0" w:space="0" w:color="auto"/>
            <w:left w:val="none" w:sz="0" w:space="0" w:color="auto"/>
            <w:bottom w:val="none" w:sz="0" w:space="0" w:color="auto"/>
            <w:right w:val="none" w:sz="0" w:space="0" w:color="auto"/>
          </w:divBdr>
        </w:div>
        <w:div w:id="1950118965">
          <w:marLeft w:val="0"/>
          <w:marRight w:val="0"/>
          <w:marTop w:val="0"/>
          <w:marBottom w:val="0"/>
          <w:divBdr>
            <w:top w:val="none" w:sz="0" w:space="0" w:color="auto"/>
            <w:left w:val="none" w:sz="0" w:space="0" w:color="auto"/>
            <w:bottom w:val="none" w:sz="0" w:space="0" w:color="auto"/>
            <w:right w:val="none" w:sz="0" w:space="0" w:color="auto"/>
          </w:divBdr>
        </w:div>
        <w:div w:id="762069614">
          <w:marLeft w:val="0"/>
          <w:marRight w:val="0"/>
          <w:marTop w:val="0"/>
          <w:marBottom w:val="0"/>
          <w:divBdr>
            <w:top w:val="none" w:sz="0" w:space="0" w:color="auto"/>
            <w:left w:val="none" w:sz="0" w:space="0" w:color="auto"/>
            <w:bottom w:val="none" w:sz="0" w:space="0" w:color="auto"/>
            <w:right w:val="none" w:sz="0" w:space="0" w:color="auto"/>
          </w:divBdr>
        </w:div>
        <w:div w:id="283122052">
          <w:marLeft w:val="0"/>
          <w:marRight w:val="0"/>
          <w:marTop w:val="0"/>
          <w:marBottom w:val="0"/>
          <w:divBdr>
            <w:top w:val="none" w:sz="0" w:space="0" w:color="auto"/>
            <w:left w:val="none" w:sz="0" w:space="0" w:color="auto"/>
            <w:bottom w:val="none" w:sz="0" w:space="0" w:color="auto"/>
            <w:right w:val="none" w:sz="0" w:space="0" w:color="auto"/>
          </w:divBdr>
        </w:div>
        <w:div w:id="1909612488">
          <w:marLeft w:val="0"/>
          <w:marRight w:val="0"/>
          <w:marTop w:val="0"/>
          <w:marBottom w:val="0"/>
          <w:divBdr>
            <w:top w:val="none" w:sz="0" w:space="0" w:color="auto"/>
            <w:left w:val="none" w:sz="0" w:space="0" w:color="auto"/>
            <w:bottom w:val="none" w:sz="0" w:space="0" w:color="auto"/>
            <w:right w:val="none" w:sz="0" w:space="0" w:color="auto"/>
          </w:divBdr>
        </w:div>
        <w:div w:id="306401998">
          <w:marLeft w:val="0"/>
          <w:marRight w:val="0"/>
          <w:marTop w:val="0"/>
          <w:marBottom w:val="0"/>
          <w:divBdr>
            <w:top w:val="none" w:sz="0" w:space="0" w:color="auto"/>
            <w:left w:val="none" w:sz="0" w:space="0" w:color="auto"/>
            <w:bottom w:val="none" w:sz="0" w:space="0" w:color="auto"/>
            <w:right w:val="none" w:sz="0" w:space="0" w:color="auto"/>
          </w:divBdr>
        </w:div>
        <w:div w:id="947279562">
          <w:marLeft w:val="0"/>
          <w:marRight w:val="0"/>
          <w:marTop w:val="0"/>
          <w:marBottom w:val="0"/>
          <w:divBdr>
            <w:top w:val="none" w:sz="0" w:space="0" w:color="auto"/>
            <w:left w:val="none" w:sz="0" w:space="0" w:color="auto"/>
            <w:bottom w:val="none" w:sz="0" w:space="0" w:color="auto"/>
            <w:right w:val="none" w:sz="0" w:space="0" w:color="auto"/>
          </w:divBdr>
        </w:div>
        <w:div w:id="523716213">
          <w:marLeft w:val="0"/>
          <w:marRight w:val="0"/>
          <w:marTop w:val="0"/>
          <w:marBottom w:val="0"/>
          <w:divBdr>
            <w:top w:val="none" w:sz="0" w:space="0" w:color="auto"/>
            <w:left w:val="none" w:sz="0" w:space="0" w:color="auto"/>
            <w:bottom w:val="none" w:sz="0" w:space="0" w:color="auto"/>
            <w:right w:val="none" w:sz="0" w:space="0" w:color="auto"/>
          </w:divBdr>
        </w:div>
        <w:div w:id="619528155">
          <w:marLeft w:val="0"/>
          <w:marRight w:val="0"/>
          <w:marTop w:val="0"/>
          <w:marBottom w:val="0"/>
          <w:divBdr>
            <w:top w:val="none" w:sz="0" w:space="0" w:color="auto"/>
            <w:left w:val="none" w:sz="0" w:space="0" w:color="auto"/>
            <w:bottom w:val="none" w:sz="0" w:space="0" w:color="auto"/>
            <w:right w:val="none" w:sz="0" w:space="0" w:color="auto"/>
          </w:divBdr>
        </w:div>
        <w:div w:id="1065568228">
          <w:marLeft w:val="0"/>
          <w:marRight w:val="0"/>
          <w:marTop w:val="0"/>
          <w:marBottom w:val="0"/>
          <w:divBdr>
            <w:top w:val="none" w:sz="0" w:space="0" w:color="auto"/>
            <w:left w:val="none" w:sz="0" w:space="0" w:color="auto"/>
            <w:bottom w:val="none" w:sz="0" w:space="0" w:color="auto"/>
            <w:right w:val="none" w:sz="0" w:space="0" w:color="auto"/>
          </w:divBdr>
        </w:div>
        <w:div w:id="365955228">
          <w:marLeft w:val="0"/>
          <w:marRight w:val="0"/>
          <w:marTop w:val="0"/>
          <w:marBottom w:val="0"/>
          <w:divBdr>
            <w:top w:val="none" w:sz="0" w:space="0" w:color="auto"/>
            <w:left w:val="none" w:sz="0" w:space="0" w:color="auto"/>
            <w:bottom w:val="none" w:sz="0" w:space="0" w:color="auto"/>
            <w:right w:val="none" w:sz="0" w:space="0" w:color="auto"/>
          </w:divBdr>
        </w:div>
        <w:div w:id="1316684954">
          <w:marLeft w:val="0"/>
          <w:marRight w:val="0"/>
          <w:marTop w:val="0"/>
          <w:marBottom w:val="0"/>
          <w:divBdr>
            <w:top w:val="none" w:sz="0" w:space="0" w:color="auto"/>
            <w:left w:val="none" w:sz="0" w:space="0" w:color="auto"/>
            <w:bottom w:val="none" w:sz="0" w:space="0" w:color="auto"/>
            <w:right w:val="none" w:sz="0" w:space="0" w:color="auto"/>
          </w:divBdr>
        </w:div>
        <w:div w:id="533538642">
          <w:marLeft w:val="0"/>
          <w:marRight w:val="0"/>
          <w:marTop w:val="0"/>
          <w:marBottom w:val="0"/>
          <w:divBdr>
            <w:top w:val="none" w:sz="0" w:space="0" w:color="auto"/>
            <w:left w:val="none" w:sz="0" w:space="0" w:color="auto"/>
            <w:bottom w:val="none" w:sz="0" w:space="0" w:color="auto"/>
            <w:right w:val="none" w:sz="0" w:space="0" w:color="auto"/>
          </w:divBdr>
        </w:div>
        <w:div w:id="2072994554">
          <w:marLeft w:val="0"/>
          <w:marRight w:val="0"/>
          <w:marTop w:val="0"/>
          <w:marBottom w:val="0"/>
          <w:divBdr>
            <w:top w:val="none" w:sz="0" w:space="0" w:color="auto"/>
            <w:left w:val="none" w:sz="0" w:space="0" w:color="auto"/>
            <w:bottom w:val="none" w:sz="0" w:space="0" w:color="auto"/>
            <w:right w:val="none" w:sz="0" w:space="0" w:color="auto"/>
          </w:divBdr>
        </w:div>
        <w:div w:id="1087968599">
          <w:marLeft w:val="0"/>
          <w:marRight w:val="0"/>
          <w:marTop w:val="0"/>
          <w:marBottom w:val="0"/>
          <w:divBdr>
            <w:top w:val="none" w:sz="0" w:space="0" w:color="auto"/>
            <w:left w:val="none" w:sz="0" w:space="0" w:color="auto"/>
            <w:bottom w:val="none" w:sz="0" w:space="0" w:color="auto"/>
            <w:right w:val="none" w:sz="0" w:space="0" w:color="auto"/>
          </w:divBdr>
        </w:div>
      </w:divsChild>
    </w:div>
    <w:div w:id="1228343317">
      <w:bodyDiv w:val="1"/>
      <w:marLeft w:val="0"/>
      <w:marRight w:val="0"/>
      <w:marTop w:val="0"/>
      <w:marBottom w:val="0"/>
      <w:divBdr>
        <w:top w:val="none" w:sz="0" w:space="0" w:color="auto"/>
        <w:left w:val="none" w:sz="0" w:space="0" w:color="auto"/>
        <w:bottom w:val="none" w:sz="0" w:space="0" w:color="auto"/>
        <w:right w:val="none" w:sz="0" w:space="0" w:color="auto"/>
      </w:divBdr>
    </w:div>
    <w:div w:id="1229457253">
      <w:bodyDiv w:val="1"/>
      <w:marLeft w:val="0"/>
      <w:marRight w:val="0"/>
      <w:marTop w:val="0"/>
      <w:marBottom w:val="0"/>
      <w:divBdr>
        <w:top w:val="none" w:sz="0" w:space="0" w:color="auto"/>
        <w:left w:val="none" w:sz="0" w:space="0" w:color="auto"/>
        <w:bottom w:val="none" w:sz="0" w:space="0" w:color="auto"/>
        <w:right w:val="none" w:sz="0" w:space="0" w:color="auto"/>
      </w:divBdr>
    </w:div>
    <w:div w:id="1937009137">
      <w:bodyDiv w:val="1"/>
      <w:marLeft w:val="0"/>
      <w:marRight w:val="0"/>
      <w:marTop w:val="0"/>
      <w:marBottom w:val="0"/>
      <w:divBdr>
        <w:top w:val="none" w:sz="0" w:space="0" w:color="auto"/>
        <w:left w:val="none" w:sz="0" w:space="0" w:color="auto"/>
        <w:bottom w:val="none" w:sz="0" w:space="0" w:color="auto"/>
        <w:right w:val="none" w:sz="0" w:space="0" w:color="auto"/>
      </w:divBdr>
      <w:divsChild>
        <w:div w:id="255594846">
          <w:marLeft w:val="0"/>
          <w:marRight w:val="0"/>
          <w:marTop w:val="0"/>
          <w:marBottom w:val="0"/>
          <w:divBdr>
            <w:top w:val="none" w:sz="0" w:space="0" w:color="auto"/>
            <w:left w:val="none" w:sz="0" w:space="0" w:color="auto"/>
            <w:bottom w:val="none" w:sz="0" w:space="0" w:color="auto"/>
            <w:right w:val="none" w:sz="0" w:space="0" w:color="auto"/>
          </w:divBdr>
        </w:div>
        <w:div w:id="1100028866">
          <w:marLeft w:val="0"/>
          <w:marRight w:val="0"/>
          <w:marTop w:val="0"/>
          <w:marBottom w:val="0"/>
          <w:divBdr>
            <w:top w:val="none" w:sz="0" w:space="0" w:color="auto"/>
            <w:left w:val="none" w:sz="0" w:space="0" w:color="auto"/>
            <w:bottom w:val="none" w:sz="0" w:space="0" w:color="auto"/>
            <w:right w:val="none" w:sz="0" w:space="0" w:color="auto"/>
          </w:divBdr>
        </w:div>
        <w:div w:id="2048947882">
          <w:marLeft w:val="0"/>
          <w:marRight w:val="0"/>
          <w:marTop w:val="0"/>
          <w:marBottom w:val="0"/>
          <w:divBdr>
            <w:top w:val="none" w:sz="0" w:space="0" w:color="auto"/>
            <w:left w:val="none" w:sz="0" w:space="0" w:color="auto"/>
            <w:bottom w:val="none" w:sz="0" w:space="0" w:color="auto"/>
            <w:right w:val="none" w:sz="0" w:space="0" w:color="auto"/>
          </w:divBdr>
        </w:div>
        <w:div w:id="220210145">
          <w:marLeft w:val="0"/>
          <w:marRight w:val="0"/>
          <w:marTop w:val="0"/>
          <w:marBottom w:val="0"/>
          <w:divBdr>
            <w:top w:val="none" w:sz="0" w:space="0" w:color="auto"/>
            <w:left w:val="none" w:sz="0" w:space="0" w:color="auto"/>
            <w:bottom w:val="none" w:sz="0" w:space="0" w:color="auto"/>
            <w:right w:val="none" w:sz="0" w:space="0" w:color="auto"/>
          </w:divBdr>
        </w:div>
        <w:div w:id="1921476098">
          <w:marLeft w:val="0"/>
          <w:marRight w:val="0"/>
          <w:marTop w:val="0"/>
          <w:marBottom w:val="0"/>
          <w:divBdr>
            <w:top w:val="none" w:sz="0" w:space="0" w:color="auto"/>
            <w:left w:val="none" w:sz="0" w:space="0" w:color="auto"/>
            <w:bottom w:val="none" w:sz="0" w:space="0" w:color="auto"/>
            <w:right w:val="none" w:sz="0" w:space="0" w:color="auto"/>
          </w:divBdr>
        </w:div>
        <w:div w:id="43530761">
          <w:marLeft w:val="0"/>
          <w:marRight w:val="0"/>
          <w:marTop w:val="0"/>
          <w:marBottom w:val="0"/>
          <w:divBdr>
            <w:top w:val="none" w:sz="0" w:space="0" w:color="auto"/>
            <w:left w:val="none" w:sz="0" w:space="0" w:color="auto"/>
            <w:bottom w:val="none" w:sz="0" w:space="0" w:color="auto"/>
            <w:right w:val="none" w:sz="0" w:space="0" w:color="auto"/>
          </w:divBdr>
        </w:div>
        <w:div w:id="127287557">
          <w:marLeft w:val="0"/>
          <w:marRight w:val="0"/>
          <w:marTop w:val="0"/>
          <w:marBottom w:val="0"/>
          <w:divBdr>
            <w:top w:val="none" w:sz="0" w:space="0" w:color="auto"/>
            <w:left w:val="none" w:sz="0" w:space="0" w:color="auto"/>
            <w:bottom w:val="none" w:sz="0" w:space="0" w:color="auto"/>
            <w:right w:val="none" w:sz="0" w:space="0" w:color="auto"/>
          </w:divBdr>
        </w:div>
        <w:div w:id="1701512590">
          <w:marLeft w:val="0"/>
          <w:marRight w:val="0"/>
          <w:marTop w:val="0"/>
          <w:marBottom w:val="0"/>
          <w:divBdr>
            <w:top w:val="none" w:sz="0" w:space="0" w:color="auto"/>
            <w:left w:val="none" w:sz="0" w:space="0" w:color="auto"/>
            <w:bottom w:val="none" w:sz="0" w:space="0" w:color="auto"/>
            <w:right w:val="none" w:sz="0" w:space="0" w:color="auto"/>
          </w:divBdr>
        </w:div>
        <w:div w:id="657615810">
          <w:marLeft w:val="0"/>
          <w:marRight w:val="0"/>
          <w:marTop w:val="0"/>
          <w:marBottom w:val="0"/>
          <w:divBdr>
            <w:top w:val="none" w:sz="0" w:space="0" w:color="auto"/>
            <w:left w:val="none" w:sz="0" w:space="0" w:color="auto"/>
            <w:bottom w:val="none" w:sz="0" w:space="0" w:color="auto"/>
            <w:right w:val="none" w:sz="0" w:space="0" w:color="auto"/>
          </w:divBdr>
        </w:div>
        <w:div w:id="373575791">
          <w:marLeft w:val="0"/>
          <w:marRight w:val="0"/>
          <w:marTop w:val="0"/>
          <w:marBottom w:val="0"/>
          <w:divBdr>
            <w:top w:val="none" w:sz="0" w:space="0" w:color="auto"/>
            <w:left w:val="none" w:sz="0" w:space="0" w:color="auto"/>
            <w:bottom w:val="none" w:sz="0" w:space="0" w:color="auto"/>
            <w:right w:val="none" w:sz="0" w:space="0" w:color="auto"/>
          </w:divBdr>
        </w:div>
        <w:div w:id="1478886695">
          <w:marLeft w:val="0"/>
          <w:marRight w:val="0"/>
          <w:marTop w:val="0"/>
          <w:marBottom w:val="0"/>
          <w:divBdr>
            <w:top w:val="none" w:sz="0" w:space="0" w:color="auto"/>
            <w:left w:val="none" w:sz="0" w:space="0" w:color="auto"/>
            <w:bottom w:val="none" w:sz="0" w:space="0" w:color="auto"/>
            <w:right w:val="none" w:sz="0" w:space="0" w:color="auto"/>
          </w:divBdr>
        </w:div>
        <w:div w:id="533158729">
          <w:marLeft w:val="0"/>
          <w:marRight w:val="0"/>
          <w:marTop w:val="0"/>
          <w:marBottom w:val="0"/>
          <w:divBdr>
            <w:top w:val="none" w:sz="0" w:space="0" w:color="auto"/>
            <w:left w:val="none" w:sz="0" w:space="0" w:color="auto"/>
            <w:bottom w:val="none" w:sz="0" w:space="0" w:color="auto"/>
            <w:right w:val="none" w:sz="0" w:space="0" w:color="auto"/>
          </w:divBdr>
        </w:div>
        <w:div w:id="359667468">
          <w:marLeft w:val="0"/>
          <w:marRight w:val="0"/>
          <w:marTop w:val="0"/>
          <w:marBottom w:val="0"/>
          <w:divBdr>
            <w:top w:val="none" w:sz="0" w:space="0" w:color="auto"/>
            <w:left w:val="none" w:sz="0" w:space="0" w:color="auto"/>
            <w:bottom w:val="none" w:sz="0" w:space="0" w:color="auto"/>
            <w:right w:val="none" w:sz="0" w:space="0" w:color="auto"/>
          </w:divBdr>
        </w:div>
        <w:div w:id="1031765948">
          <w:marLeft w:val="0"/>
          <w:marRight w:val="0"/>
          <w:marTop w:val="0"/>
          <w:marBottom w:val="0"/>
          <w:divBdr>
            <w:top w:val="none" w:sz="0" w:space="0" w:color="auto"/>
            <w:left w:val="none" w:sz="0" w:space="0" w:color="auto"/>
            <w:bottom w:val="none" w:sz="0" w:space="0" w:color="auto"/>
            <w:right w:val="none" w:sz="0" w:space="0" w:color="auto"/>
          </w:divBdr>
        </w:div>
        <w:div w:id="2087146125">
          <w:marLeft w:val="0"/>
          <w:marRight w:val="0"/>
          <w:marTop w:val="0"/>
          <w:marBottom w:val="0"/>
          <w:divBdr>
            <w:top w:val="none" w:sz="0" w:space="0" w:color="auto"/>
            <w:left w:val="none" w:sz="0" w:space="0" w:color="auto"/>
            <w:bottom w:val="none" w:sz="0" w:space="0" w:color="auto"/>
            <w:right w:val="none" w:sz="0" w:space="0" w:color="auto"/>
          </w:divBdr>
        </w:div>
        <w:div w:id="95179617">
          <w:marLeft w:val="0"/>
          <w:marRight w:val="0"/>
          <w:marTop w:val="0"/>
          <w:marBottom w:val="0"/>
          <w:divBdr>
            <w:top w:val="none" w:sz="0" w:space="0" w:color="auto"/>
            <w:left w:val="none" w:sz="0" w:space="0" w:color="auto"/>
            <w:bottom w:val="none" w:sz="0" w:space="0" w:color="auto"/>
            <w:right w:val="none" w:sz="0" w:space="0" w:color="auto"/>
          </w:divBdr>
        </w:div>
        <w:div w:id="1384403747">
          <w:marLeft w:val="0"/>
          <w:marRight w:val="0"/>
          <w:marTop w:val="0"/>
          <w:marBottom w:val="0"/>
          <w:divBdr>
            <w:top w:val="none" w:sz="0" w:space="0" w:color="auto"/>
            <w:left w:val="none" w:sz="0" w:space="0" w:color="auto"/>
            <w:bottom w:val="none" w:sz="0" w:space="0" w:color="auto"/>
            <w:right w:val="none" w:sz="0" w:space="0" w:color="auto"/>
          </w:divBdr>
        </w:div>
        <w:div w:id="2035378543">
          <w:marLeft w:val="0"/>
          <w:marRight w:val="0"/>
          <w:marTop w:val="0"/>
          <w:marBottom w:val="0"/>
          <w:divBdr>
            <w:top w:val="none" w:sz="0" w:space="0" w:color="auto"/>
            <w:left w:val="none" w:sz="0" w:space="0" w:color="auto"/>
            <w:bottom w:val="none" w:sz="0" w:space="0" w:color="auto"/>
            <w:right w:val="none" w:sz="0" w:space="0" w:color="auto"/>
          </w:divBdr>
        </w:div>
        <w:div w:id="1913194726">
          <w:marLeft w:val="0"/>
          <w:marRight w:val="0"/>
          <w:marTop w:val="0"/>
          <w:marBottom w:val="0"/>
          <w:divBdr>
            <w:top w:val="none" w:sz="0" w:space="0" w:color="auto"/>
            <w:left w:val="none" w:sz="0" w:space="0" w:color="auto"/>
            <w:bottom w:val="none" w:sz="0" w:space="0" w:color="auto"/>
            <w:right w:val="none" w:sz="0" w:space="0" w:color="auto"/>
          </w:divBdr>
        </w:div>
        <w:div w:id="1852328653">
          <w:marLeft w:val="0"/>
          <w:marRight w:val="0"/>
          <w:marTop w:val="0"/>
          <w:marBottom w:val="0"/>
          <w:divBdr>
            <w:top w:val="none" w:sz="0" w:space="0" w:color="auto"/>
            <w:left w:val="none" w:sz="0" w:space="0" w:color="auto"/>
            <w:bottom w:val="none" w:sz="0" w:space="0" w:color="auto"/>
            <w:right w:val="none" w:sz="0" w:space="0" w:color="auto"/>
          </w:divBdr>
        </w:div>
        <w:div w:id="1237738356">
          <w:marLeft w:val="0"/>
          <w:marRight w:val="0"/>
          <w:marTop w:val="0"/>
          <w:marBottom w:val="0"/>
          <w:divBdr>
            <w:top w:val="none" w:sz="0" w:space="0" w:color="auto"/>
            <w:left w:val="none" w:sz="0" w:space="0" w:color="auto"/>
            <w:bottom w:val="none" w:sz="0" w:space="0" w:color="auto"/>
            <w:right w:val="none" w:sz="0" w:space="0" w:color="auto"/>
          </w:divBdr>
        </w:div>
        <w:div w:id="194742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oleObject" Target="embeddings/oleObject19.bin"/><Relationship Id="rId21" Type="http://schemas.openxmlformats.org/officeDocument/2006/relationships/image" Target="media/image8.wmf"/><Relationship Id="rId34" Type="http://schemas.openxmlformats.org/officeDocument/2006/relationships/image" Target="media/image11.wmf"/><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oleObject" Target="embeddings/oleObject34.bin"/><Relationship Id="rId63" Type="http://schemas.openxmlformats.org/officeDocument/2006/relationships/image" Target="media/image14.wmf"/><Relationship Id="rId68" Type="http://schemas.openxmlformats.org/officeDocument/2006/relationships/oleObject" Target="embeddings/oleObject44.bin"/><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7.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oleObject" Target="embeddings/oleObject43.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2.wmf"/><Relationship Id="rId49" Type="http://schemas.openxmlformats.org/officeDocument/2006/relationships/oleObject" Target="embeddings/oleObject29.bin"/><Relationship Id="rId57" Type="http://schemas.openxmlformats.org/officeDocument/2006/relationships/oleObject" Target="embeddings/oleObject36.bin"/><Relationship Id="rId61" Type="http://schemas.openxmlformats.org/officeDocument/2006/relationships/oleObject" Target="embeddings/oleObject40.bin"/><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oleObject" Target="embeddings/oleObject13.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image" Target="media/image1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5.bin"/><Relationship Id="rId64" Type="http://schemas.openxmlformats.org/officeDocument/2006/relationships/oleObject" Target="embeddings/oleObject42.bin"/><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oleObject" Target="embeddings/oleObject38.bin"/><Relationship Id="rId67" Type="http://schemas.openxmlformats.org/officeDocument/2006/relationships/image" Target="media/image16.wmf"/><Relationship Id="rId20" Type="http://schemas.openxmlformats.org/officeDocument/2006/relationships/oleObject" Target="embeddings/oleObject5.bin"/><Relationship Id="rId41" Type="http://schemas.openxmlformats.org/officeDocument/2006/relationships/oleObject" Target="embeddings/oleObject21.bin"/><Relationship Id="rId54" Type="http://schemas.openxmlformats.org/officeDocument/2006/relationships/oleObject" Target="embeddings/oleObject33.bin"/><Relationship Id="rId62" Type="http://schemas.openxmlformats.org/officeDocument/2006/relationships/oleObject" Target="embeddings/oleObject41.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99DE-039C-4191-8BC5-A084417E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29219</Words>
  <Characters>166549</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195378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 Bede</dc:creator>
  <cp:lastModifiedBy>Jessica V. Bede</cp:lastModifiedBy>
  <cp:revision>5</cp:revision>
  <cp:lastPrinted>2013-08-14T19:30:00Z</cp:lastPrinted>
  <dcterms:created xsi:type="dcterms:W3CDTF">2013-08-14T19:00:00Z</dcterms:created>
  <dcterms:modified xsi:type="dcterms:W3CDTF">2013-08-14T19:30:00Z</dcterms:modified>
</cp:coreProperties>
</file>