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F9C0DF" w14:textId="47A29AD0" w:rsidR="0087301A" w:rsidRPr="00B61FF1" w:rsidRDefault="00A97737" w:rsidP="0087301A">
      <w:pPr>
        <w:spacing w:line="360" w:lineRule="auto"/>
        <w:jc w:val="center"/>
        <w:rPr>
          <w:rFonts w:ascii="Arial" w:hAnsi="Arial" w:cs="Arial"/>
          <w:b/>
          <w:sz w:val="24"/>
          <w:szCs w:val="24"/>
        </w:rPr>
      </w:pPr>
      <w:bookmarkStart w:id="0" w:name="_GoBack"/>
      <w:bookmarkEnd w:id="0"/>
      <w:r w:rsidRPr="00B61FF1">
        <w:rPr>
          <w:rFonts w:ascii="Arial" w:hAnsi="Arial" w:cs="Arial"/>
          <w:b/>
          <w:sz w:val="24"/>
          <w:szCs w:val="24"/>
        </w:rPr>
        <w:t xml:space="preserve">DISCUSSION </w:t>
      </w:r>
      <w:r w:rsidR="00902BD5" w:rsidRPr="00B61FF1">
        <w:rPr>
          <w:rFonts w:ascii="Arial" w:hAnsi="Arial" w:cs="Arial"/>
          <w:b/>
          <w:sz w:val="24"/>
          <w:szCs w:val="24"/>
        </w:rPr>
        <w:t>DRAFT JULY</w:t>
      </w:r>
      <w:r w:rsidR="00FA573B" w:rsidRPr="00B61FF1">
        <w:rPr>
          <w:rFonts w:ascii="Arial" w:hAnsi="Arial" w:cs="Arial"/>
          <w:b/>
          <w:sz w:val="24"/>
          <w:szCs w:val="24"/>
        </w:rPr>
        <w:t xml:space="preserve"> 2013</w:t>
      </w:r>
    </w:p>
    <w:p w14:paraId="30691902" w14:textId="77777777" w:rsidR="00FE6B15" w:rsidRPr="00B61FF1" w:rsidRDefault="00CD0B83" w:rsidP="00457486">
      <w:pPr>
        <w:spacing w:line="360" w:lineRule="auto"/>
        <w:jc w:val="center"/>
        <w:rPr>
          <w:rFonts w:ascii="Arial" w:hAnsi="Arial" w:cs="Arial"/>
          <w:sz w:val="24"/>
          <w:szCs w:val="24"/>
        </w:rPr>
      </w:pPr>
      <w:r w:rsidRPr="00B61FF1">
        <w:rPr>
          <w:rFonts w:ascii="Arial" w:hAnsi="Arial" w:cs="Arial"/>
          <w:sz w:val="24"/>
          <w:szCs w:val="24"/>
        </w:rPr>
        <w:t xml:space="preserve">Adopt </w:t>
      </w:r>
      <w:r w:rsidR="00FE6B15" w:rsidRPr="00B61FF1">
        <w:rPr>
          <w:rFonts w:ascii="Arial" w:hAnsi="Arial" w:cs="Arial"/>
          <w:sz w:val="24"/>
          <w:szCs w:val="24"/>
        </w:rPr>
        <w:t>Subchapter 10 Climate Change, Ar</w:t>
      </w:r>
      <w:r w:rsidR="00942ED0" w:rsidRPr="00B61FF1">
        <w:rPr>
          <w:rFonts w:ascii="Arial" w:hAnsi="Arial" w:cs="Arial"/>
          <w:sz w:val="24"/>
          <w:szCs w:val="24"/>
        </w:rPr>
        <w:t>ticle 5, Sections 95800 to 96023</w:t>
      </w:r>
      <w:r w:rsidR="00FE6B15" w:rsidRPr="00B61FF1">
        <w:rPr>
          <w:rFonts w:ascii="Arial" w:hAnsi="Arial" w:cs="Arial"/>
          <w:sz w:val="24"/>
          <w:szCs w:val="24"/>
        </w:rPr>
        <w:t xml:space="preserve">, </w:t>
      </w:r>
      <w:r w:rsidRPr="00B61FF1">
        <w:rPr>
          <w:rFonts w:ascii="Arial" w:hAnsi="Arial" w:cs="Arial"/>
          <w:sz w:val="24"/>
          <w:szCs w:val="24"/>
        </w:rPr>
        <w:br/>
      </w:r>
      <w:r w:rsidR="00FE6B15" w:rsidRPr="00B61FF1">
        <w:rPr>
          <w:rFonts w:ascii="Arial" w:hAnsi="Arial" w:cs="Arial"/>
          <w:sz w:val="24"/>
          <w:szCs w:val="24"/>
        </w:rPr>
        <w:t>Title 17, California Code of Regulations, to read as follows:</w:t>
      </w:r>
      <w:r w:rsidR="00FE6B15" w:rsidRPr="00B61FF1">
        <w:rPr>
          <w:rFonts w:ascii="Arial" w:hAnsi="Arial" w:cs="Arial"/>
          <w:sz w:val="24"/>
          <w:szCs w:val="24"/>
        </w:rPr>
        <w:tab/>
      </w:r>
    </w:p>
    <w:p w14:paraId="33A2D1A2" w14:textId="77777777" w:rsidR="00A97737" w:rsidRPr="00B61FF1" w:rsidRDefault="00A97737" w:rsidP="00457486">
      <w:pPr>
        <w:spacing w:line="360" w:lineRule="auto"/>
        <w:jc w:val="center"/>
        <w:rPr>
          <w:rFonts w:ascii="Arial" w:hAnsi="Arial" w:cs="Arial"/>
          <w:sz w:val="24"/>
          <w:szCs w:val="24"/>
        </w:rPr>
      </w:pPr>
    </w:p>
    <w:p w14:paraId="4AF12E14" w14:textId="4419FF32" w:rsidR="00FE6B15" w:rsidRPr="00B61FF1" w:rsidRDefault="00FE6B15" w:rsidP="00457486">
      <w:pPr>
        <w:spacing w:line="360" w:lineRule="auto"/>
        <w:jc w:val="center"/>
        <w:rPr>
          <w:rFonts w:ascii="Arial" w:hAnsi="Arial" w:cs="Arial"/>
          <w:b/>
          <w:sz w:val="24"/>
          <w:szCs w:val="24"/>
        </w:rPr>
      </w:pPr>
      <w:r w:rsidRPr="00B61FF1">
        <w:rPr>
          <w:rFonts w:ascii="Arial" w:hAnsi="Arial" w:cs="Arial"/>
          <w:b/>
          <w:sz w:val="24"/>
          <w:szCs w:val="24"/>
        </w:rPr>
        <w:t>Article 5: CALIFORNIA CAP ON GREENHOUSE GAS EMISSIONS AND MARKET-BASED COMPLIANCE MECHANISMS</w:t>
      </w:r>
      <w:r w:rsidR="00A734E1" w:rsidRPr="00B61FF1">
        <w:rPr>
          <w:rFonts w:ascii="Arial" w:hAnsi="Arial" w:cs="Arial"/>
          <w:b/>
          <w:sz w:val="24"/>
          <w:szCs w:val="24"/>
        </w:rPr>
        <w:t xml:space="preserve"> </w:t>
      </w:r>
    </w:p>
    <w:p w14:paraId="218192A1" w14:textId="25C9392A" w:rsidR="00902BD5" w:rsidRPr="00B61FF1" w:rsidRDefault="00FE6B15" w:rsidP="00902BD5">
      <w:pPr>
        <w:pStyle w:val="CommentText"/>
        <w:rPr>
          <w:rFonts w:ascii="Arial" w:hAnsi="Arial" w:cs="Arial"/>
          <w:b/>
          <w:sz w:val="24"/>
          <w:szCs w:val="24"/>
        </w:rPr>
      </w:pPr>
      <w:r w:rsidRPr="00B61FF1">
        <w:rPr>
          <w:rFonts w:ascii="Arial" w:hAnsi="Arial" w:cs="Arial"/>
          <w:b/>
          <w:sz w:val="24"/>
          <w:szCs w:val="24"/>
        </w:rPr>
        <w:t>Note:</w:t>
      </w:r>
      <w:r w:rsidR="00902BD5" w:rsidRPr="00B61FF1">
        <w:t xml:space="preserve"> </w:t>
      </w:r>
      <w:r w:rsidR="00902BD5" w:rsidRPr="00B61FF1">
        <w:rPr>
          <w:rFonts w:ascii="Arial" w:hAnsi="Arial" w:cs="Arial"/>
          <w:b/>
          <w:sz w:val="24"/>
          <w:szCs w:val="24"/>
        </w:rPr>
        <w:t xml:space="preserve">The pre-existing regulation text is set forth below in normal type. The staff </w:t>
      </w:r>
      <w:r w:rsidR="00A97737" w:rsidRPr="00B61FF1">
        <w:rPr>
          <w:rFonts w:ascii="Arial" w:hAnsi="Arial" w:cs="Arial"/>
          <w:b/>
          <w:sz w:val="24"/>
          <w:szCs w:val="24"/>
        </w:rPr>
        <w:t>draft</w:t>
      </w:r>
      <w:r w:rsidR="00902BD5" w:rsidRPr="00B61FF1">
        <w:rPr>
          <w:rFonts w:ascii="Arial" w:hAnsi="Arial" w:cs="Arial"/>
          <w:b/>
          <w:sz w:val="24"/>
          <w:szCs w:val="24"/>
        </w:rPr>
        <w:t xml:space="preserve"> amendments are shown in </w:t>
      </w:r>
      <w:r w:rsidR="00902BD5" w:rsidRPr="00B61FF1">
        <w:rPr>
          <w:rFonts w:ascii="Arial" w:hAnsi="Arial" w:cs="Arial"/>
          <w:b/>
          <w:sz w:val="24"/>
          <w:szCs w:val="24"/>
          <w:u w:val="single"/>
        </w:rPr>
        <w:t>underline</w:t>
      </w:r>
      <w:r w:rsidR="00902BD5" w:rsidRPr="00B61FF1">
        <w:rPr>
          <w:rFonts w:ascii="Arial" w:hAnsi="Arial" w:cs="Arial"/>
          <w:b/>
          <w:sz w:val="24"/>
          <w:szCs w:val="24"/>
        </w:rPr>
        <w:t xml:space="preserve"> to indicate additions and </w:t>
      </w:r>
      <w:r w:rsidR="00902BD5" w:rsidRPr="00B61FF1">
        <w:rPr>
          <w:rFonts w:ascii="Arial" w:hAnsi="Arial" w:cs="Arial"/>
          <w:b/>
          <w:strike/>
          <w:sz w:val="24"/>
          <w:szCs w:val="24"/>
        </w:rPr>
        <w:t>strikeout</w:t>
      </w:r>
      <w:r w:rsidR="00902BD5" w:rsidRPr="00B61FF1">
        <w:rPr>
          <w:rFonts w:ascii="Arial" w:hAnsi="Arial" w:cs="Arial"/>
          <w:b/>
          <w:sz w:val="24"/>
          <w:szCs w:val="24"/>
        </w:rPr>
        <w:t xml:space="preserve"> to indicate deletions</w:t>
      </w:r>
      <w:r w:rsidR="008F7A91" w:rsidRPr="00B61FF1">
        <w:rPr>
          <w:rFonts w:ascii="Arial" w:hAnsi="Arial" w:cs="Arial"/>
          <w:b/>
          <w:sz w:val="24"/>
          <w:szCs w:val="24"/>
        </w:rPr>
        <w:t>.</w:t>
      </w:r>
    </w:p>
    <w:p w14:paraId="07C5D8AA" w14:textId="77777777" w:rsidR="00AC6E3B" w:rsidRPr="00B61FF1" w:rsidRDefault="00AC6E3B" w:rsidP="00CC193F">
      <w:pPr>
        <w:pStyle w:val="Heading1"/>
      </w:pPr>
      <w:bookmarkStart w:id="1" w:name="_Toc361659818"/>
      <w:bookmarkStart w:id="2" w:name="_Toc246820567"/>
      <w:bookmarkStart w:id="3" w:name="_Toc299094904"/>
      <w:bookmarkStart w:id="4" w:name="_Toc302746757"/>
      <w:bookmarkStart w:id="5" w:name="_Toc352146219"/>
      <w:bookmarkStart w:id="6" w:name="_Toc246820570"/>
      <w:bookmarkStart w:id="7" w:name="_Toc245793763"/>
      <w:bookmarkStart w:id="8" w:name="_Toc245800173"/>
      <w:bookmarkStart w:id="9" w:name="_Toc245801182"/>
      <w:bookmarkStart w:id="10" w:name="_Toc245803500"/>
      <w:bookmarkStart w:id="11" w:name="_Toc245804185"/>
      <w:bookmarkStart w:id="12" w:name="_Toc245811748"/>
      <w:bookmarkStart w:id="13" w:name="_Toc245811950"/>
      <w:bookmarkStart w:id="14" w:name="_Toc245812344"/>
      <w:bookmarkStart w:id="15" w:name="_Toc245812438"/>
      <w:bookmarkStart w:id="16" w:name="_Toc245713850"/>
      <w:bookmarkStart w:id="17" w:name="_Toc245720920"/>
      <w:bookmarkStart w:id="18" w:name="_Toc245725073"/>
      <w:bookmarkStart w:id="19" w:name="_Toc245725303"/>
      <w:bookmarkStart w:id="20" w:name="_Toc245899475"/>
      <w:bookmarkStart w:id="21" w:name="_Toc246504905"/>
      <w:bookmarkStart w:id="22" w:name="_Toc246592206"/>
      <w:bookmarkStart w:id="23" w:name="_Toc246592329"/>
      <w:bookmarkStart w:id="24" w:name="_Toc246598947"/>
      <w:r w:rsidRPr="00B61FF1">
        <w:t>Subarticle 1: Table of Contents</w:t>
      </w:r>
      <w:bookmarkEnd w:id="1"/>
    </w:p>
    <w:p w14:paraId="4C15A216" w14:textId="77777777" w:rsidR="00AC6E3B" w:rsidRPr="00B61FF1" w:rsidRDefault="00AC6E3B" w:rsidP="00AC6E3B">
      <w:pPr>
        <w:pStyle w:val="Heading2"/>
        <w:keepNext w:val="0"/>
        <w:tabs>
          <w:tab w:val="left" w:pos="3780"/>
        </w:tabs>
        <w:rPr>
          <w:i/>
          <w:szCs w:val="24"/>
        </w:rPr>
      </w:pPr>
      <w:bookmarkStart w:id="25" w:name="_Toc361659819"/>
      <w:r w:rsidRPr="00B61FF1">
        <w:rPr>
          <w:szCs w:val="24"/>
        </w:rPr>
        <w:t>§ 95800. Table of Contents.</w:t>
      </w:r>
      <w:bookmarkEnd w:id="25"/>
    </w:p>
    <w:p w14:paraId="06052A3C" w14:textId="77777777" w:rsidR="00570B7F" w:rsidRDefault="00AC6E3B">
      <w:pPr>
        <w:pStyle w:val="TOC1"/>
        <w:rPr>
          <w:rFonts w:asciiTheme="minorHAnsi" w:eastAsiaTheme="minorEastAsia" w:hAnsiTheme="minorHAnsi" w:cstheme="minorBidi"/>
          <w:b w:val="0"/>
          <w:bCs w:val="0"/>
          <w:caps w:val="0"/>
          <w:sz w:val="22"/>
          <w:szCs w:val="22"/>
        </w:rPr>
      </w:pPr>
      <w:r w:rsidRPr="004936CE">
        <w:rPr>
          <w:b w:val="0"/>
        </w:rPr>
        <w:fldChar w:fldCharType="begin"/>
      </w:r>
      <w:r w:rsidRPr="004936CE">
        <w:rPr>
          <w:b w:val="0"/>
        </w:rPr>
        <w:instrText xml:space="preserve"> TOC \o "1-3" \h \z \u </w:instrText>
      </w:r>
      <w:r w:rsidRPr="004936CE">
        <w:rPr>
          <w:b w:val="0"/>
        </w:rPr>
        <w:fldChar w:fldCharType="separate"/>
      </w:r>
      <w:hyperlink w:anchor="_Toc361659818" w:history="1">
        <w:r w:rsidR="00570B7F" w:rsidRPr="00570F4D">
          <w:rPr>
            <w:rStyle w:val="Hyperlink"/>
          </w:rPr>
          <w:t>Subarticle 1: Table of Contents</w:t>
        </w:r>
        <w:r w:rsidR="00570B7F">
          <w:rPr>
            <w:webHidden/>
          </w:rPr>
          <w:tab/>
        </w:r>
        <w:r w:rsidR="00570B7F">
          <w:rPr>
            <w:webHidden/>
          </w:rPr>
          <w:fldChar w:fldCharType="begin"/>
        </w:r>
        <w:r w:rsidR="00570B7F">
          <w:rPr>
            <w:webHidden/>
          </w:rPr>
          <w:instrText xml:space="preserve"> PAGEREF _Toc361659818 \h </w:instrText>
        </w:r>
        <w:r w:rsidR="00570B7F">
          <w:rPr>
            <w:webHidden/>
          </w:rPr>
        </w:r>
        <w:r w:rsidR="00570B7F">
          <w:rPr>
            <w:webHidden/>
          </w:rPr>
          <w:fldChar w:fldCharType="separate"/>
        </w:r>
        <w:r w:rsidR="004455B1">
          <w:rPr>
            <w:webHidden/>
          </w:rPr>
          <w:t>1</w:t>
        </w:r>
        <w:r w:rsidR="00570B7F">
          <w:rPr>
            <w:webHidden/>
          </w:rPr>
          <w:fldChar w:fldCharType="end"/>
        </w:r>
      </w:hyperlink>
    </w:p>
    <w:p w14:paraId="0F31F0CE"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19" w:history="1">
        <w:r w:rsidR="00570B7F" w:rsidRPr="00570F4D">
          <w:rPr>
            <w:rStyle w:val="Hyperlink"/>
          </w:rPr>
          <w:t>§ 95800. Table of Contents.</w:t>
        </w:r>
        <w:r w:rsidR="00570B7F">
          <w:rPr>
            <w:webHidden/>
          </w:rPr>
          <w:tab/>
        </w:r>
        <w:r w:rsidR="00570B7F">
          <w:rPr>
            <w:webHidden/>
          </w:rPr>
          <w:fldChar w:fldCharType="begin"/>
        </w:r>
        <w:r w:rsidR="00570B7F">
          <w:rPr>
            <w:webHidden/>
          </w:rPr>
          <w:instrText xml:space="preserve"> PAGEREF _Toc361659819 \h </w:instrText>
        </w:r>
        <w:r w:rsidR="00570B7F">
          <w:rPr>
            <w:webHidden/>
          </w:rPr>
        </w:r>
        <w:r w:rsidR="00570B7F">
          <w:rPr>
            <w:webHidden/>
          </w:rPr>
          <w:fldChar w:fldCharType="separate"/>
        </w:r>
        <w:r w:rsidR="004455B1">
          <w:rPr>
            <w:webHidden/>
          </w:rPr>
          <w:t>1</w:t>
        </w:r>
        <w:r w:rsidR="00570B7F">
          <w:rPr>
            <w:webHidden/>
          </w:rPr>
          <w:fldChar w:fldCharType="end"/>
        </w:r>
      </w:hyperlink>
    </w:p>
    <w:p w14:paraId="09EFBA5F" w14:textId="77777777" w:rsidR="00570B7F" w:rsidRDefault="00661852">
      <w:pPr>
        <w:pStyle w:val="TOC1"/>
        <w:rPr>
          <w:rFonts w:asciiTheme="minorHAnsi" w:eastAsiaTheme="minorEastAsia" w:hAnsiTheme="minorHAnsi" w:cstheme="minorBidi"/>
          <w:b w:val="0"/>
          <w:bCs w:val="0"/>
          <w:caps w:val="0"/>
          <w:sz w:val="22"/>
          <w:szCs w:val="22"/>
        </w:rPr>
      </w:pPr>
      <w:hyperlink w:anchor="_Toc361659820" w:history="1">
        <w:r w:rsidR="00570B7F" w:rsidRPr="00570F4D">
          <w:rPr>
            <w:rStyle w:val="Hyperlink"/>
          </w:rPr>
          <w:t>Subarticle 2: Purpose and Definitions</w:t>
        </w:r>
        <w:r w:rsidR="00570B7F">
          <w:rPr>
            <w:webHidden/>
          </w:rPr>
          <w:tab/>
        </w:r>
        <w:r w:rsidR="00570B7F">
          <w:rPr>
            <w:webHidden/>
          </w:rPr>
          <w:fldChar w:fldCharType="begin"/>
        </w:r>
        <w:r w:rsidR="00570B7F">
          <w:rPr>
            <w:webHidden/>
          </w:rPr>
          <w:instrText xml:space="preserve"> PAGEREF _Toc361659820 \h </w:instrText>
        </w:r>
        <w:r w:rsidR="00570B7F">
          <w:rPr>
            <w:webHidden/>
          </w:rPr>
        </w:r>
        <w:r w:rsidR="00570B7F">
          <w:rPr>
            <w:webHidden/>
          </w:rPr>
          <w:fldChar w:fldCharType="separate"/>
        </w:r>
        <w:r w:rsidR="004455B1">
          <w:rPr>
            <w:webHidden/>
          </w:rPr>
          <w:t>4</w:t>
        </w:r>
        <w:r w:rsidR="00570B7F">
          <w:rPr>
            <w:webHidden/>
          </w:rPr>
          <w:fldChar w:fldCharType="end"/>
        </w:r>
      </w:hyperlink>
    </w:p>
    <w:p w14:paraId="4CCD9671"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1" w:history="1">
        <w:r w:rsidR="00570B7F" w:rsidRPr="00570F4D">
          <w:rPr>
            <w:rStyle w:val="Hyperlink"/>
          </w:rPr>
          <w:t>§ 95801.  Purpose.</w:t>
        </w:r>
        <w:r w:rsidR="00570B7F">
          <w:rPr>
            <w:webHidden/>
          </w:rPr>
          <w:tab/>
        </w:r>
        <w:r w:rsidR="00570B7F">
          <w:rPr>
            <w:webHidden/>
          </w:rPr>
          <w:fldChar w:fldCharType="begin"/>
        </w:r>
        <w:r w:rsidR="00570B7F">
          <w:rPr>
            <w:webHidden/>
          </w:rPr>
          <w:instrText xml:space="preserve"> PAGEREF _Toc361659821 \h </w:instrText>
        </w:r>
        <w:r w:rsidR="00570B7F">
          <w:rPr>
            <w:webHidden/>
          </w:rPr>
        </w:r>
        <w:r w:rsidR="00570B7F">
          <w:rPr>
            <w:webHidden/>
          </w:rPr>
          <w:fldChar w:fldCharType="separate"/>
        </w:r>
        <w:r w:rsidR="004455B1">
          <w:rPr>
            <w:webHidden/>
          </w:rPr>
          <w:t>4</w:t>
        </w:r>
        <w:r w:rsidR="00570B7F">
          <w:rPr>
            <w:webHidden/>
          </w:rPr>
          <w:fldChar w:fldCharType="end"/>
        </w:r>
      </w:hyperlink>
    </w:p>
    <w:p w14:paraId="06115548"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2" w:history="1">
        <w:r w:rsidR="00570B7F" w:rsidRPr="00570F4D">
          <w:rPr>
            <w:rStyle w:val="Hyperlink"/>
          </w:rPr>
          <w:t>§ 95802.  Definitions.</w:t>
        </w:r>
        <w:r w:rsidR="00570B7F">
          <w:rPr>
            <w:webHidden/>
          </w:rPr>
          <w:tab/>
        </w:r>
        <w:r w:rsidR="00570B7F">
          <w:rPr>
            <w:webHidden/>
          </w:rPr>
          <w:fldChar w:fldCharType="begin"/>
        </w:r>
        <w:r w:rsidR="00570B7F">
          <w:rPr>
            <w:webHidden/>
          </w:rPr>
          <w:instrText xml:space="preserve"> PAGEREF _Toc361659822 \h </w:instrText>
        </w:r>
        <w:r w:rsidR="00570B7F">
          <w:rPr>
            <w:webHidden/>
          </w:rPr>
        </w:r>
        <w:r w:rsidR="00570B7F">
          <w:rPr>
            <w:webHidden/>
          </w:rPr>
          <w:fldChar w:fldCharType="separate"/>
        </w:r>
        <w:r w:rsidR="004455B1">
          <w:rPr>
            <w:webHidden/>
          </w:rPr>
          <w:t>4</w:t>
        </w:r>
        <w:r w:rsidR="00570B7F">
          <w:rPr>
            <w:webHidden/>
          </w:rPr>
          <w:fldChar w:fldCharType="end"/>
        </w:r>
      </w:hyperlink>
    </w:p>
    <w:p w14:paraId="620151AB" w14:textId="77777777" w:rsidR="00570B7F" w:rsidRDefault="00661852">
      <w:pPr>
        <w:pStyle w:val="TOC1"/>
        <w:rPr>
          <w:rFonts w:asciiTheme="minorHAnsi" w:eastAsiaTheme="minorEastAsia" w:hAnsiTheme="minorHAnsi" w:cstheme="minorBidi"/>
          <w:b w:val="0"/>
          <w:bCs w:val="0"/>
          <w:caps w:val="0"/>
          <w:sz w:val="22"/>
          <w:szCs w:val="22"/>
        </w:rPr>
      </w:pPr>
      <w:hyperlink w:anchor="_Toc361659823" w:history="1">
        <w:r w:rsidR="00570B7F" w:rsidRPr="00570F4D">
          <w:rPr>
            <w:rStyle w:val="Hyperlink"/>
          </w:rPr>
          <w:t>Subarticle 3: Applicability</w:t>
        </w:r>
        <w:r w:rsidR="00570B7F">
          <w:rPr>
            <w:webHidden/>
          </w:rPr>
          <w:tab/>
        </w:r>
        <w:r w:rsidR="00570B7F">
          <w:rPr>
            <w:webHidden/>
          </w:rPr>
          <w:fldChar w:fldCharType="begin"/>
        </w:r>
        <w:r w:rsidR="00570B7F">
          <w:rPr>
            <w:webHidden/>
          </w:rPr>
          <w:instrText xml:space="preserve"> PAGEREF _Toc361659823 \h </w:instrText>
        </w:r>
        <w:r w:rsidR="00570B7F">
          <w:rPr>
            <w:webHidden/>
          </w:rPr>
        </w:r>
        <w:r w:rsidR="00570B7F">
          <w:rPr>
            <w:webHidden/>
          </w:rPr>
          <w:fldChar w:fldCharType="separate"/>
        </w:r>
        <w:r w:rsidR="004455B1">
          <w:rPr>
            <w:webHidden/>
          </w:rPr>
          <w:t>55</w:t>
        </w:r>
        <w:r w:rsidR="00570B7F">
          <w:rPr>
            <w:webHidden/>
          </w:rPr>
          <w:fldChar w:fldCharType="end"/>
        </w:r>
      </w:hyperlink>
    </w:p>
    <w:p w14:paraId="67A6F4E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4" w:history="1">
        <w:r w:rsidR="00570B7F" w:rsidRPr="00570F4D">
          <w:rPr>
            <w:rStyle w:val="Hyperlink"/>
          </w:rPr>
          <w:t>§ 95810.  Covered Gases.</w:t>
        </w:r>
        <w:r w:rsidR="00570B7F">
          <w:rPr>
            <w:webHidden/>
          </w:rPr>
          <w:tab/>
        </w:r>
        <w:r w:rsidR="00570B7F">
          <w:rPr>
            <w:webHidden/>
          </w:rPr>
          <w:fldChar w:fldCharType="begin"/>
        </w:r>
        <w:r w:rsidR="00570B7F">
          <w:rPr>
            <w:webHidden/>
          </w:rPr>
          <w:instrText xml:space="preserve"> PAGEREF _Toc361659824 \h </w:instrText>
        </w:r>
        <w:r w:rsidR="00570B7F">
          <w:rPr>
            <w:webHidden/>
          </w:rPr>
        </w:r>
        <w:r w:rsidR="00570B7F">
          <w:rPr>
            <w:webHidden/>
          </w:rPr>
          <w:fldChar w:fldCharType="separate"/>
        </w:r>
        <w:r w:rsidR="004455B1">
          <w:rPr>
            <w:webHidden/>
          </w:rPr>
          <w:t>55</w:t>
        </w:r>
        <w:r w:rsidR="00570B7F">
          <w:rPr>
            <w:webHidden/>
          </w:rPr>
          <w:fldChar w:fldCharType="end"/>
        </w:r>
      </w:hyperlink>
    </w:p>
    <w:p w14:paraId="0B0DE4FD"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5" w:history="1">
        <w:r w:rsidR="00570B7F" w:rsidRPr="00570F4D">
          <w:rPr>
            <w:rStyle w:val="Hyperlink"/>
          </w:rPr>
          <w:t>§ 95811.  Covered Entities.</w:t>
        </w:r>
        <w:r w:rsidR="00570B7F">
          <w:rPr>
            <w:webHidden/>
          </w:rPr>
          <w:tab/>
        </w:r>
        <w:r w:rsidR="00570B7F">
          <w:rPr>
            <w:webHidden/>
          </w:rPr>
          <w:fldChar w:fldCharType="begin"/>
        </w:r>
        <w:r w:rsidR="00570B7F">
          <w:rPr>
            <w:webHidden/>
          </w:rPr>
          <w:instrText xml:space="preserve"> PAGEREF _Toc361659825 \h </w:instrText>
        </w:r>
        <w:r w:rsidR="00570B7F">
          <w:rPr>
            <w:webHidden/>
          </w:rPr>
        </w:r>
        <w:r w:rsidR="00570B7F">
          <w:rPr>
            <w:webHidden/>
          </w:rPr>
          <w:fldChar w:fldCharType="separate"/>
        </w:r>
        <w:r w:rsidR="004455B1">
          <w:rPr>
            <w:webHidden/>
          </w:rPr>
          <w:t>55</w:t>
        </w:r>
        <w:r w:rsidR="00570B7F">
          <w:rPr>
            <w:webHidden/>
          </w:rPr>
          <w:fldChar w:fldCharType="end"/>
        </w:r>
      </w:hyperlink>
    </w:p>
    <w:p w14:paraId="2F1671B0"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6" w:history="1">
        <w:r w:rsidR="00570B7F" w:rsidRPr="00570F4D">
          <w:rPr>
            <w:rStyle w:val="Hyperlink"/>
          </w:rPr>
          <w:t>§ 95812.  Inclusion Thresholds for Covered Entities.</w:t>
        </w:r>
        <w:r w:rsidR="00570B7F">
          <w:rPr>
            <w:webHidden/>
          </w:rPr>
          <w:tab/>
        </w:r>
        <w:r w:rsidR="00570B7F">
          <w:rPr>
            <w:webHidden/>
          </w:rPr>
          <w:fldChar w:fldCharType="begin"/>
        </w:r>
        <w:r w:rsidR="00570B7F">
          <w:rPr>
            <w:webHidden/>
          </w:rPr>
          <w:instrText xml:space="preserve"> PAGEREF _Toc361659826 \h </w:instrText>
        </w:r>
        <w:r w:rsidR="00570B7F">
          <w:rPr>
            <w:webHidden/>
          </w:rPr>
        </w:r>
        <w:r w:rsidR="00570B7F">
          <w:rPr>
            <w:webHidden/>
          </w:rPr>
          <w:fldChar w:fldCharType="separate"/>
        </w:r>
        <w:r w:rsidR="004455B1">
          <w:rPr>
            <w:webHidden/>
          </w:rPr>
          <w:t>57</w:t>
        </w:r>
        <w:r w:rsidR="00570B7F">
          <w:rPr>
            <w:webHidden/>
          </w:rPr>
          <w:fldChar w:fldCharType="end"/>
        </w:r>
      </w:hyperlink>
    </w:p>
    <w:p w14:paraId="0B14341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7" w:history="1">
        <w:r w:rsidR="00570B7F" w:rsidRPr="00570F4D">
          <w:rPr>
            <w:rStyle w:val="Hyperlink"/>
          </w:rPr>
          <w:t>§ 95813.  Opt-In Covered Entities.</w:t>
        </w:r>
        <w:r w:rsidR="00570B7F">
          <w:rPr>
            <w:webHidden/>
          </w:rPr>
          <w:tab/>
        </w:r>
        <w:r w:rsidR="00570B7F">
          <w:rPr>
            <w:webHidden/>
          </w:rPr>
          <w:fldChar w:fldCharType="begin"/>
        </w:r>
        <w:r w:rsidR="00570B7F">
          <w:rPr>
            <w:webHidden/>
          </w:rPr>
          <w:instrText xml:space="preserve"> PAGEREF _Toc361659827 \h </w:instrText>
        </w:r>
        <w:r w:rsidR="00570B7F">
          <w:rPr>
            <w:webHidden/>
          </w:rPr>
        </w:r>
        <w:r w:rsidR="00570B7F">
          <w:rPr>
            <w:webHidden/>
          </w:rPr>
          <w:fldChar w:fldCharType="separate"/>
        </w:r>
        <w:r w:rsidR="004455B1">
          <w:rPr>
            <w:webHidden/>
          </w:rPr>
          <w:t>59</w:t>
        </w:r>
        <w:r w:rsidR="00570B7F">
          <w:rPr>
            <w:webHidden/>
          </w:rPr>
          <w:fldChar w:fldCharType="end"/>
        </w:r>
      </w:hyperlink>
    </w:p>
    <w:p w14:paraId="2120522B"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28" w:history="1">
        <w:r w:rsidR="00570B7F" w:rsidRPr="00570F4D">
          <w:rPr>
            <w:rStyle w:val="Hyperlink"/>
          </w:rPr>
          <w:t>§ 95814.  Voluntarily Associated Entities and Other Registered Participants.</w:t>
        </w:r>
        <w:r w:rsidR="00570B7F">
          <w:rPr>
            <w:webHidden/>
          </w:rPr>
          <w:tab/>
        </w:r>
        <w:r w:rsidR="00570B7F">
          <w:rPr>
            <w:webHidden/>
          </w:rPr>
          <w:fldChar w:fldCharType="begin"/>
        </w:r>
        <w:r w:rsidR="00570B7F">
          <w:rPr>
            <w:webHidden/>
          </w:rPr>
          <w:instrText xml:space="preserve"> PAGEREF _Toc361659828 \h </w:instrText>
        </w:r>
        <w:r w:rsidR="00570B7F">
          <w:rPr>
            <w:webHidden/>
          </w:rPr>
        </w:r>
        <w:r w:rsidR="00570B7F">
          <w:rPr>
            <w:webHidden/>
          </w:rPr>
          <w:fldChar w:fldCharType="separate"/>
        </w:r>
        <w:r w:rsidR="004455B1">
          <w:rPr>
            <w:webHidden/>
          </w:rPr>
          <w:t>60</w:t>
        </w:r>
        <w:r w:rsidR="00570B7F">
          <w:rPr>
            <w:webHidden/>
          </w:rPr>
          <w:fldChar w:fldCharType="end"/>
        </w:r>
      </w:hyperlink>
    </w:p>
    <w:p w14:paraId="6FFD0B58" w14:textId="77777777" w:rsidR="00570B7F" w:rsidRDefault="00661852">
      <w:pPr>
        <w:pStyle w:val="TOC1"/>
        <w:rPr>
          <w:rFonts w:asciiTheme="minorHAnsi" w:eastAsiaTheme="minorEastAsia" w:hAnsiTheme="minorHAnsi" w:cstheme="minorBidi"/>
          <w:b w:val="0"/>
          <w:bCs w:val="0"/>
          <w:caps w:val="0"/>
          <w:sz w:val="22"/>
          <w:szCs w:val="22"/>
        </w:rPr>
      </w:pPr>
      <w:hyperlink w:anchor="_Toc361659829" w:history="1">
        <w:r w:rsidR="00570B7F" w:rsidRPr="00570F4D">
          <w:rPr>
            <w:rStyle w:val="Hyperlink"/>
          </w:rPr>
          <w:t>Subarticle 4: Compliance Instruments</w:t>
        </w:r>
        <w:r w:rsidR="00570B7F">
          <w:rPr>
            <w:webHidden/>
          </w:rPr>
          <w:tab/>
        </w:r>
        <w:r w:rsidR="00570B7F">
          <w:rPr>
            <w:webHidden/>
          </w:rPr>
          <w:fldChar w:fldCharType="begin"/>
        </w:r>
        <w:r w:rsidR="00570B7F">
          <w:rPr>
            <w:webHidden/>
          </w:rPr>
          <w:instrText xml:space="preserve"> PAGEREF _Toc361659829 \h </w:instrText>
        </w:r>
        <w:r w:rsidR="00570B7F">
          <w:rPr>
            <w:webHidden/>
          </w:rPr>
        </w:r>
        <w:r w:rsidR="00570B7F">
          <w:rPr>
            <w:webHidden/>
          </w:rPr>
          <w:fldChar w:fldCharType="separate"/>
        </w:r>
        <w:r w:rsidR="004455B1">
          <w:rPr>
            <w:webHidden/>
          </w:rPr>
          <w:t>62</w:t>
        </w:r>
        <w:r w:rsidR="00570B7F">
          <w:rPr>
            <w:webHidden/>
          </w:rPr>
          <w:fldChar w:fldCharType="end"/>
        </w:r>
      </w:hyperlink>
    </w:p>
    <w:p w14:paraId="59A912F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0" w:history="1">
        <w:r w:rsidR="00570B7F" w:rsidRPr="00570F4D">
          <w:rPr>
            <w:rStyle w:val="Hyperlink"/>
          </w:rPr>
          <w:t>§ 95820.  Compliance Instruments Issued by the Air Resources Board.</w:t>
        </w:r>
        <w:r w:rsidR="00570B7F">
          <w:rPr>
            <w:webHidden/>
          </w:rPr>
          <w:tab/>
        </w:r>
        <w:r w:rsidR="00570B7F">
          <w:rPr>
            <w:webHidden/>
          </w:rPr>
          <w:fldChar w:fldCharType="begin"/>
        </w:r>
        <w:r w:rsidR="00570B7F">
          <w:rPr>
            <w:webHidden/>
          </w:rPr>
          <w:instrText xml:space="preserve"> PAGEREF _Toc361659830 \h </w:instrText>
        </w:r>
        <w:r w:rsidR="00570B7F">
          <w:rPr>
            <w:webHidden/>
          </w:rPr>
        </w:r>
        <w:r w:rsidR="00570B7F">
          <w:rPr>
            <w:webHidden/>
          </w:rPr>
          <w:fldChar w:fldCharType="separate"/>
        </w:r>
        <w:r w:rsidR="004455B1">
          <w:rPr>
            <w:webHidden/>
          </w:rPr>
          <w:t>62</w:t>
        </w:r>
        <w:r w:rsidR="00570B7F">
          <w:rPr>
            <w:webHidden/>
          </w:rPr>
          <w:fldChar w:fldCharType="end"/>
        </w:r>
      </w:hyperlink>
    </w:p>
    <w:p w14:paraId="464AAD5C"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1" w:history="1">
        <w:r w:rsidR="00570B7F" w:rsidRPr="00570F4D">
          <w:rPr>
            <w:rStyle w:val="Hyperlink"/>
          </w:rPr>
          <w:t>§ 95821.  Compliance Instruments Issued by Approved Programs.</w:t>
        </w:r>
        <w:r w:rsidR="00570B7F">
          <w:rPr>
            <w:webHidden/>
          </w:rPr>
          <w:tab/>
        </w:r>
        <w:r w:rsidR="00570B7F">
          <w:rPr>
            <w:webHidden/>
          </w:rPr>
          <w:fldChar w:fldCharType="begin"/>
        </w:r>
        <w:r w:rsidR="00570B7F">
          <w:rPr>
            <w:webHidden/>
          </w:rPr>
          <w:instrText xml:space="preserve"> PAGEREF _Toc361659831 \h </w:instrText>
        </w:r>
        <w:r w:rsidR="00570B7F">
          <w:rPr>
            <w:webHidden/>
          </w:rPr>
        </w:r>
        <w:r w:rsidR="00570B7F">
          <w:rPr>
            <w:webHidden/>
          </w:rPr>
          <w:fldChar w:fldCharType="separate"/>
        </w:r>
        <w:r w:rsidR="004455B1">
          <w:rPr>
            <w:webHidden/>
          </w:rPr>
          <w:t>63</w:t>
        </w:r>
        <w:r w:rsidR="00570B7F">
          <w:rPr>
            <w:webHidden/>
          </w:rPr>
          <w:fldChar w:fldCharType="end"/>
        </w:r>
      </w:hyperlink>
    </w:p>
    <w:p w14:paraId="39E96B67" w14:textId="77777777" w:rsidR="00570B7F" w:rsidRDefault="00661852">
      <w:pPr>
        <w:pStyle w:val="TOC1"/>
        <w:rPr>
          <w:rFonts w:asciiTheme="minorHAnsi" w:eastAsiaTheme="minorEastAsia" w:hAnsiTheme="minorHAnsi" w:cstheme="minorBidi"/>
          <w:b w:val="0"/>
          <w:bCs w:val="0"/>
          <w:caps w:val="0"/>
          <w:sz w:val="22"/>
          <w:szCs w:val="22"/>
        </w:rPr>
      </w:pPr>
      <w:hyperlink w:anchor="_Toc361659832" w:history="1">
        <w:r w:rsidR="00570B7F" w:rsidRPr="00570F4D">
          <w:rPr>
            <w:rStyle w:val="Hyperlink"/>
          </w:rPr>
          <w:t>Subarticle 5: Registration and Accounts</w:t>
        </w:r>
        <w:r w:rsidR="00570B7F">
          <w:rPr>
            <w:webHidden/>
          </w:rPr>
          <w:tab/>
        </w:r>
        <w:r w:rsidR="00570B7F">
          <w:rPr>
            <w:webHidden/>
          </w:rPr>
          <w:fldChar w:fldCharType="begin"/>
        </w:r>
        <w:r w:rsidR="00570B7F">
          <w:rPr>
            <w:webHidden/>
          </w:rPr>
          <w:instrText xml:space="preserve"> PAGEREF _Toc361659832 \h </w:instrText>
        </w:r>
        <w:r w:rsidR="00570B7F">
          <w:rPr>
            <w:webHidden/>
          </w:rPr>
        </w:r>
        <w:r w:rsidR="00570B7F">
          <w:rPr>
            <w:webHidden/>
          </w:rPr>
          <w:fldChar w:fldCharType="separate"/>
        </w:r>
        <w:r w:rsidR="004455B1">
          <w:rPr>
            <w:webHidden/>
          </w:rPr>
          <w:t>64</w:t>
        </w:r>
        <w:r w:rsidR="00570B7F">
          <w:rPr>
            <w:webHidden/>
          </w:rPr>
          <w:fldChar w:fldCharType="end"/>
        </w:r>
      </w:hyperlink>
    </w:p>
    <w:p w14:paraId="4ACA251C"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3" w:history="1">
        <w:r w:rsidR="00570B7F" w:rsidRPr="00570F4D">
          <w:rPr>
            <w:rStyle w:val="Hyperlink"/>
          </w:rPr>
          <w:t>§ 95830.  Registration with ARB.</w:t>
        </w:r>
        <w:r w:rsidR="00570B7F">
          <w:rPr>
            <w:webHidden/>
          </w:rPr>
          <w:tab/>
        </w:r>
        <w:r w:rsidR="00570B7F">
          <w:rPr>
            <w:webHidden/>
          </w:rPr>
          <w:fldChar w:fldCharType="begin"/>
        </w:r>
        <w:r w:rsidR="00570B7F">
          <w:rPr>
            <w:webHidden/>
          </w:rPr>
          <w:instrText xml:space="preserve"> PAGEREF _Toc361659833 \h </w:instrText>
        </w:r>
        <w:r w:rsidR="00570B7F">
          <w:rPr>
            <w:webHidden/>
          </w:rPr>
        </w:r>
        <w:r w:rsidR="00570B7F">
          <w:rPr>
            <w:webHidden/>
          </w:rPr>
          <w:fldChar w:fldCharType="separate"/>
        </w:r>
        <w:r w:rsidR="004455B1">
          <w:rPr>
            <w:webHidden/>
          </w:rPr>
          <w:t>64</w:t>
        </w:r>
        <w:r w:rsidR="00570B7F">
          <w:rPr>
            <w:webHidden/>
          </w:rPr>
          <w:fldChar w:fldCharType="end"/>
        </w:r>
      </w:hyperlink>
    </w:p>
    <w:p w14:paraId="47FE831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4" w:history="1">
        <w:r w:rsidR="00570B7F" w:rsidRPr="00570F4D">
          <w:rPr>
            <w:rStyle w:val="Hyperlink"/>
          </w:rPr>
          <w:t>§ 95831.  Account Types.</w:t>
        </w:r>
        <w:r w:rsidR="00570B7F">
          <w:rPr>
            <w:webHidden/>
          </w:rPr>
          <w:tab/>
        </w:r>
        <w:r w:rsidR="00570B7F">
          <w:rPr>
            <w:webHidden/>
          </w:rPr>
          <w:fldChar w:fldCharType="begin"/>
        </w:r>
        <w:r w:rsidR="00570B7F">
          <w:rPr>
            <w:webHidden/>
          </w:rPr>
          <w:instrText xml:space="preserve"> PAGEREF _Toc361659834 \h </w:instrText>
        </w:r>
        <w:r w:rsidR="00570B7F">
          <w:rPr>
            <w:webHidden/>
          </w:rPr>
        </w:r>
        <w:r w:rsidR="00570B7F">
          <w:rPr>
            <w:webHidden/>
          </w:rPr>
          <w:fldChar w:fldCharType="separate"/>
        </w:r>
        <w:r w:rsidR="004455B1">
          <w:rPr>
            <w:webHidden/>
          </w:rPr>
          <w:t>70</w:t>
        </w:r>
        <w:r w:rsidR="00570B7F">
          <w:rPr>
            <w:webHidden/>
          </w:rPr>
          <w:fldChar w:fldCharType="end"/>
        </w:r>
      </w:hyperlink>
    </w:p>
    <w:p w14:paraId="09F7834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5" w:history="1">
        <w:r w:rsidR="00570B7F" w:rsidRPr="00570F4D">
          <w:rPr>
            <w:rStyle w:val="Hyperlink"/>
          </w:rPr>
          <w:t>§ 95832.  Designation of Representatives and Agents.</w:t>
        </w:r>
        <w:r w:rsidR="00570B7F">
          <w:rPr>
            <w:webHidden/>
          </w:rPr>
          <w:tab/>
        </w:r>
        <w:r w:rsidR="00570B7F">
          <w:rPr>
            <w:webHidden/>
          </w:rPr>
          <w:fldChar w:fldCharType="begin"/>
        </w:r>
        <w:r w:rsidR="00570B7F">
          <w:rPr>
            <w:webHidden/>
          </w:rPr>
          <w:instrText xml:space="preserve"> PAGEREF _Toc361659835 \h </w:instrText>
        </w:r>
        <w:r w:rsidR="00570B7F">
          <w:rPr>
            <w:webHidden/>
          </w:rPr>
        </w:r>
        <w:r w:rsidR="00570B7F">
          <w:rPr>
            <w:webHidden/>
          </w:rPr>
          <w:fldChar w:fldCharType="separate"/>
        </w:r>
        <w:r w:rsidR="004455B1">
          <w:rPr>
            <w:webHidden/>
          </w:rPr>
          <w:t>74</w:t>
        </w:r>
        <w:r w:rsidR="00570B7F">
          <w:rPr>
            <w:webHidden/>
          </w:rPr>
          <w:fldChar w:fldCharType="end"/>
        </w:r>
      </w:hyperlink>
    </w:p>
    <w:p w14:paraId="77746C5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6" w:history="1">
        <w:r w:rsidR="00570B7F" w:rsidRPr="00570F4D">
          <w:rPr>
            <w:rStyle w:val="Hyperlink"/>
          </w:rPr>
          <w:t>§ 95833.  Disclosure of Corporate Associations.</w:t>
        </w:r>
        <w:r w:rsidR="00570B7F">
          <w:rPr>
            <w:webHidden/>
          </w:rPr>
          <w:tab/>
        </w:r>
        <w:r w:rsidR="00570B7F">
          <w:rPr>
            <w:webHidden/>
          </w:rPr>
          <w:fldChar w:fldCharType="begin"/>
        </w:r>
        <w:r w:rsidR="00570B7F">
          <w:rPr>
            <w:webHidden/>
          </w:rPr>
          <w:instrText xml:space="preserve"> PAGEREF _Toc361659836 \h </w:instrText>
        </w:r>
        <w:r w:rsidR="00570B7F">
          <w:rPr>
            <w:webHidden/>
          </w:rPr>
        </w:r>
        <w:r w:rsidR="00570B7F">
          <w:rPr>
            <w:webHidden/>
          </w:rPr>
          <w:fldChar w:fldCharType="separate"/>
        </w:r>
        <w:r w:rsidR="004455B1">
          <w:rPr>
            <w:webHidden/>
          </w:rPr>
          <w:t>79</w:t>
        </w:r>
        <w:r w:rsidR="00570B7F">
          <w:rPr>
            <w:webHidden/>
          </w:rPr>
          <w:fldChar w:fldCharType="end"/>
        </w:r>
      </w:hyperlink>
    </w:p>
    <w:p w14:paraId="486E651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7" w:history="1">
        <w:r w:rsidR="00570B7F" w:rsidRPr="00570F4D">
          <w:rPr>
            <w:rStyle w:val="Hyperlink"/>
          </w:rPr>
          <w:t>§ 95834.  Know-Your Customer Requirements.</w:t>
        </w:r>
        <w:r w:rsidR="00570B7F">
          <w:rPr>
            <w:webHidden/>
          </w:rPr>
          <w:tab/>
        </w:r>
        <w:r w:rsidR="00570B7F">
          <w:rPr>
            <w:webHidden/>
          </w:rPr>
          <w:fldChar w:fldCharType="begin"/>
        </w:r>
        <w:r w:rsidR="00570B7F">
          <w:rPr>
            <w:webHidden/>
          </w:rPr>
          <w:instrText xml:space="preserve"> PAGEREF _Toc361659837 \h </w:instrText>
        </w:r>
        <w:r w:rsidR="00570B7F">
          <w:rPr>
            <w:webHidden/>
          </w:rPr>
        </w:r>
        <w:r w:rsidR="00570B7F">
          <w:rPr>
            <w:webHidden/>
          </w:rPr>
          <w:fldChar w:fldCharType="separate"/>
        </w:r>
        <w:r w:rsidR="004455B1">
          <w:rPr>
            <w:webHidden/>
          </w:rPr>
          <w:t>85</w:t>
        </w:r>
        <w:r w:rsidR="00570B7F">
          <w:rPr>
            <w:webHidden/>
          </w:rPr>
          <w:fldChar w:fldCharType="end"/>
        </w:r>
      </w:hyperlink>
    </w:p>
    <w:p w14:paraId="4E28B81C" w14:textId="77777777" w:rsidR="00570B7F" w:rsidRDefault="00661852">
      <w:pPr>
        <w:pStyle w:val="TOC1"/>
        <w:rPr>
          <w:rFonts w:asciiTheme="minorHAnsi" w:eastAsiaTheme="minorEastAsia" w:hAnsiTheme="minorHAnsi" w:cstheme="minorBidi"/>
          <w:b w:val="0"/>
          <w:bCs w:val="0"/>
          <w:caps w:val="0"/>
          <w:sz w:val="22"/>
          <w:szCs w:val="22"/>
        </w:rPr>
      </w:pPr>
      <w:hyperlink w:anchor="_Toc361659838" w:history="1">
        <w:r w:rsidR="00570B7F" w:rsidRPr="00570F4D">
          <w:rPr>
            <w:rStyle w:val="Hyperlink"/>
          </w:rPr>
          <w:t>Subarticle 6: California Greenhouse Gas Allowance Budgets</w:t>
        </w:r>
        <w:r w:rsidR="00570B7F">
          <w:rPr>
            <w:webHidden/>
          </w:rPr>
          <w:tab/>
        </w:r>
        <w:r w:rsidR="00570B7F">
          <w:rPr>
            <w:webHidden/>
          </w:rPr>
          <w:fldChar w:fldCharType="begin"/>
        </w:r>
        <w:r w:rsidR="00570B7F">
          <w:rPr>
            <w:webHidden/>
          </w:rPr>
          <w:instrText xml:space="preserve"> PAGEREF _Toc361659838 \h </w:instrText>
        </w:r>
        <w:r w:rsidR="00570B7F">
          <w:rPr>
            <w:webHidden/>
          </w:rPr>
        </w:r>
        <w:r w:rsidR="00570B7F">
          <w:rPr>
            <w:webHidden/>
          </w:rPr>
          <w:fldChar w:fldCharType="separate"/>
        </w:r>
        <w:r w:rsidR="004455B1">
          <w:rPr>
            <w:webHidden/>
          </w:rPr>
          <w:t>87</w:t>
        </w:r>
        <w:r w:rsidR="00570B7F">
          <w:rPr>
            <w:webHidden/>
          </w:rPr>
          <w:fldChar w:fldCharType="end"/>
        </w:r>
      </w:hyperlink>
    </w:p>
    <w:p w14:paraId="0B2BF01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39" w:history="1">
        <w:r w:rsidR="00570B7F" w:rsidRPr="00570F4D">
          <w:rPr>
            <w:rStyle w:val="Hyperlink"/>
          </w:rPr>
          <w:t>§ 95840.  Compliance Periods.</w:t>
        </w:r>
        <w:r w:rsidR="00570B7F">
          <w:rPr>
            <w:webHidden/>
          </w:rPr>
          <w:tab/>
        </w:r>
        <w:r w:rsidR="00570B7F">
          <w:rPr>
            <w:webHidden/>
          </w:rPr>
          <w:fldChar w:fldCharType="begin"/>
        </w:r>
        <w:r w:rsidR="00570B7F">
          <w:rPr>
            <w:webHidden/>
          </w:rPr>
          <w:instrText xml:space="preserve"> PAGEREF _Toc361659839 \h </w:instrText>
        </w:r>
        <w:r w:rsidR="00570B7F">
          <w:rPr>
            <w:webHidden/>
          </w:rPr>
        </w:r>
        <w:r w:rsidR="00570B7F">
          <w:rPr>
            <w:webHidden/>
          </w:rPr>
          <w:fldChar w:fldCharType="separate"/>
        </w:r>
        <w:r w:rsidR="004455B1">
          <w:rPr>
            <w:webHidden/>
          </w:rPr>
          <w:t>87</w:t>
        </w:r>
        <w:r w:rsidR="00570B7F">
          <w:rPr>
            <w:webHidden/>
          </w:rPr>
          <w:fldChar w:fldCharType="end"/>
        </w:r>
      </w:hyperlink>
    </w:p>
    <w:p w14:paraId="2FA5E3F1"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0" w:history="1">
        <w:r w:rsidR="00570B7F" w:rsidRPr="00570F4D">
          <w:rPr>
            <w:rStyle w:val="Hyperlink"/>
          </w:rPr>
          <w:t>§ 95841.  Annual Allowance Budgets for Calendar Years 2013-2020.</w:t>
        </w:r>
        <w:r w:rsidR="00570B7F">
          <w:rPr>
            <w:webHidden/>
          </w:rPr>
          <w:tab/>
        </w:r>
        <w:r w:rsidR="00570B7F">
          <w:rPr>
            <w:webHidden/>
          </w:rPr>
          <w:fldChar w:fldCharType="begin"/>
        </w:r>
        <w:r w:rsidR="00570B7F">
          <w:rPr>
            <w:webHidden/>
          </w:rPr>
          <w:instrText xml:space="preserve"> PAGEREF _Toc361659840 \h </w:instrText>
        </w:r>
        <w:r w:rsidR="00570B7F">
          <w:rPr>
            <w:webHidden/>
          </w:rPr>
        </w:r>
        <w:r w:rsidR="00570B7F">
          <w:rPr>
            <w:webHidden/>
          </w:rPr>
          <w:fldChar w:fldCharType="separate"/>
        </w:r>
        <w:r w:rsidR="004455B1">
          <w:rPr>
            <w:webHidden/>
          </w:rPr>
          <w:t>88</w:t>
        </w:r>
        <w:r w:rsidR="00570B7F">
          <w:rPr>
            <w:webHidden/>
          </w:rPr>
          <w:fldChar w:fldCharType="end"/>
        </w:r>
      </w:hyperlink>
    </w:p>
    <w:p w14:paraId="0A2662A1"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1" w:history="1">
        <w:r w:rsidR="00570B7F" w:rsidRPr="00570F4D">
          <w:rPr>
            <w:rStyle w:val="Hyperlink"/>
          </w:rPr>
          <w:t>Table 6-1: California GHG Allowances Budgets</w:t>
        </w:r>
        <w:r w:rsidR="00570B7F">
          <w:rPr>
            <w:webHidden/>
          </w:rPr>
          <w:tab/>
        </w:r>
        <w:r w:rsidR="00570B7F">
          <w:rPr>
            <w:webHidden/>
          </w:rPr>
          <w:fldChar w:fldCharType="begin"/>
        </w:r>
        <w:r w:rsidR="00570B7F">
          <w:rPr>
            <w:webHidden/>
          </w:rPr>
          <w:instrText xml:space="preserve"> PAGEREF _Toc361659841 \h </w:instrText>
        </w:r>
        <w:r w:rsidR="00570B7F">
          <w:rPr>
            <w:webHidden/>
          </w:rPr>
        </w:r>
        <w:r w:rsidR="00570B7F">
          <w:rPr>
            <w:webHidden/>
          </w:rPr>
          <w:fldChar w:fldCharType="separate"/>
        </w:r>
        <w:r w:rsidR="004455B1">
          <w:rPr>
            <w:webHidden/>
          </w:rPr>
          <w:t>88</w:t>
        </w:r>
        <w:r w:rsidR="00570B7F">
          <w:rPr>
            <w:webHidden/>
          </w:rPr>
          <w:fldChar w:fldCharType="end"/>
        </w:r>
      </w:hyperlink>
    </w:p>
    <w:p w14:paraId="7DA2784D"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2" w:history="1">
        <w:r w:rsidR="00570B7F" w:rsidRPr="00570F4D">
          <w:rPr>
            <w:rStyle w:val="Hyperlink"/>
          </w:rPr>
          <w:t>§ 95841.1 Voluntary Renewable Electricity.</w:t>
        </w:r>
        <w:r w:rsidR="00570B7F">
          <w:rPr>
            <w:webHidden/>
          </w:rPr>
          <w:tab/>
        </w:r>
        <w:r w:rsidR="00570B7F">
          <w:rPr>
            <w:webHidden/>
          </w:rPr>
          <w:fldChar w:fldCharType="begin"/>
        </w:r>
        <w:r w:rsidR="00570B7F">
          <w:rPr>
            <w:webHidden/>
          </w:rPr>
          <w:instrText xml:space="preserve"> PAGEREF _Toc361659842 \h </w:instrText>
        </w:r>
        <w:r w:rsidR="00570B7F">
          <w:rPr>
            <w:webHidden/>
          </w:rPr>
        </w:r>
        <w:r w:rsidR="00570B7F">
          <w:rPr>
            <w:webHidden/>
          </w:rPr>
          <w:fldChar w:fldCharType="separate"/>
        </w:r>
        <w:r w:rsidR="004455B1">
          <w:rPr>
            <w:webHidden/>
          </w:rPr>
          <w:t>88</w:t>
        </w:r>
        <w:r w:rsidR="00570B7F">
          <w:rPr>
            <w:webHidden/>
          </w:rPr>
          <w:fldChar w:fldCharType="end"/>
        </w:r>
      </w:hyperlink>
    </w:p>
    <w:p w14:paraId="5CEE1C8E" w14:textId="77777777" w:rsidR="00570B7F" w:rsidRDefault="00661852">
      <w:pPr>
        <w:pStyle w:val="TOC1"/>
        <w:rPr>
          <w:rFonts w:asciiTheme="minorHAnsi" w:eastAsiaTheme="minorEastAsia" w:hAnsiTheme="minorHAnsi" w:cstheme="minorBidi"/>
          <w:b w:val="0"/>
          <w:bCs w:val="0"/>
          <w:caps w:val="0"/>
          <w:sz w:val="22"/>
          <w:szCs w:val="22"/>
        </w:rPr>
      </w:pPr>
      <w:hyperlink w:anchor="_Toc361659843" w:history="1">
        <w:r w:rsidR="00570B7F" w:rsidRPr="00570F4D">
          <w:rPr>
            <w:rStyle w:val="Hyperlink"/>
          </w:rPr>
          <w:t>Subarticle 7: Compliance Requirements for Covered Entities</w:t>
        </w:r>
        <w:r w:rsidR="00570B7F">
          <w:rPr>
            <w:webHidden/>
          </w:rPr>
          <w:tab/>
        </w:r>
        <w:r w:rsidR="00570B7F">
          <w:rPr>
            <w:webHidden/>
          </w:rPr>
          <w:fldChar w:fldCharType="begin"/>
        </w:r>
        <w:r w:rsidR="00570B7F">
          <w:rPr>
            <w:webHidden/>
          </w:rPr>
          <w:instrText xml:space="preserve"> PAGEREF _Toc361659843 \h </w:instrText>
        </w:r>
        <w:r w:rsidR="00570B7F">
          <w:rPr>
            <w:webHidden/>
          </w:rPr>
        </w:r>
        <w:r w:rsidR="00570B7F">
          <w:rPr>
            <w:webHidden/>
          </w:rPr>
          <w:fldChar w:fldCharType="separate"/>
        </w:r>
        <w:r w:rsidR="004455B1">
          <w:rPr>
            <w:webHidden/>
          </w:rPr>
          <w:t>92</w:t>
        </w:r>
        <w:r w:rsidR="00570B7F">
          <w:rPr>
            <w:webHidden/>
          </w:rPr>
          <w:fldChar w:fldCharType="end"/>
        </w:r>
      </w:hyperlink>
    </w:p>
    <w:p w14:paraId="35CA53B8"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4" w:history="1">
        <w:r w:rsidR="00570B7F" w:rsidRPr="00570F4D">
          <w:rPr>
            <w:rStyle w:val="Hyperlink"/>
          </w:rPr>
          <w:t>§ 95850.  General Requirements.</w:t>
        </w:r>
        <w:r w:rsidR="00570B7F">
          <w:rPr>
            <w:webHidden/>
          </w:rPr>
          <w:tab/>
        </w:r>
        <w:r w:rsidR="00570B7F">
          <w:rPr>
            <w:webHidden/>
          </w:rPr>
          <w:fldChar w:fldCharType="begin"/>
        </w:r>
        <w:r w:rsidR="00570B7F">
          <w:rPr>
            <w:webHidden/>
          </w:rPr>
          <w:instrText xml:space="preserve"> PAGEREF _Toc361659844 \h </w:instrText>
        </w:r>
        <w:r w:rsidR="00570B7F">
          <w:rPr>
            <w:webHidden/>
          </w:rPr>
        </w:r>
        <w:r w:rsidR="00570B7F">
          <w:rPr>
            <w:webHidden/>
          </w:rPr>
          <w:fldChar w:fldCharType="separate"/>
        </w:r>
        <w:r w:rsidR="004455B1">
          <w:rPr>
            <w:webHidden/>
          </w:rPr>
          <w:t>92</w:t>
        </w:r>
        <w:r w:rsidR="00570B7F">
          <w:rPr>
            <w:webHidden/>
          </w:rPr>
          <w:fldChar w:fldCharType="end"/>
        </w:r>
      </w:hyperlink>
    </w:p>
    <w:p w14:paraId="2DFA9568"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5" w:history="1">
        <w:r w:rsidR="00570B7F" w:rsidRPr="00570F4D">
          <w:rPr>
            <w:rStyle w:val="Hyperlink"/>
          </w:rPr>
          <w:t>§ 95851.  Phase-in of Compliance Obligation for Covered Entities.</w:t>
        </w:r>
        <w:r w:rsidR="00570B7F">
          <w:rPr>
            <w:webHidden/>
          </w:rPr>
          <w:tab/>
        </w:r>
        <w:r w:rsidR="00570B7F">
          <w:rPr>
            <w:webHidden/>
          </w:rPr>
          <w:fldChar w:fldCharType="begin"/>
        </w:r>
        <w:r w:rsidR="00570B7F">
          <w:rPr>
            <w:webHidden/>
          </w:rPr>
          <w:instrText xml:space="preserve"> PAGEREF _Toc361659845 \h </w:instrText>
        </w:r>
        <w:r w:rsidR="00570B7F">
          <w:rPr>
            <w:webHidden/>
          </w:rPr>
        </w:r>
        <w:r w:rsidR="00570B7F">
          <w:rPr>
            <w:webHidden/>
          </w:rPr>
          <w:fldChar w:fldCharType="separate"/>
        </w:r>
        <w:r w:rsidR="004455B1">
          <w:rPr>
            <w:webHidden/>
          </w:rPr>
          <w:t>93</w:t>
        </w:r>
        <w:r w:rsidR="00570B7F">
          <w:rPr>
            <w:webHidden/>
          </w:rPr>
          <w:fldChar w:fldCharType="end"/>
        </w:r>
      </w:hyperlink>
    </w:p>
    <w:p w14:paraId="01428F47"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6" w:history="1">
        <w:r w:rsidR="00570B7F" w:rsidRPr="00570F4D">
          <w:rPr>
            <w:rStyle w:val="Hyperlink"/>
          </w:rPr>
          <w:t>§ 95852.  Emission Categories Used to Calculate Compliance Obligations.</w:t>
        </w:r>
        <w:r w:rsidR="00570B7F">
          <w:rPr>
            <w:webHidden/>
          </w:rPr>
          <w:tab/>
        </w:r>
        <w:r w:rsidR="00570B7F">
          <w:rPr>
            <w:webHidden/>
          </w:rPr>
          <w:fldChar w:fldCharType="begin"/>
        </w:r>
        <w:r w:rsidR="00570B7F">
          <w:rPr>
            <w:webHidden/>
          </w:rPr>
          <w:instrText xml:space="preserve"> PAGEREF _Toc361659846 \h </w:instrText>
        </w:r>
        <w:r w:rsidR="00570B7F">
          <w:rPr>
            <w:webHidden/>
          </w:rPr>
        </w:r>
        <w:r w:rsidR="00570B7F">
          <w:rPr>
            <w:webHidden/>
          </w:rPr>
          <w:fldChar w:fldCharType="separate"/>
        </w:r>
        <w:r w:rsidR="004455B1">
          <w:rPr>
            <w:webHidden/>
          </w:rPr>
          <w:t>94</w:t>
        </w:r>
        <w:r w:rsidR="00570B7F">
          <w:rPr>
            <w:webHidden/>
          </w:rPr>
          <w:fldChar w:fldCharType="end"/>
        </w:r>
      </w:hyperlink>
    </w:p>
    <w:p w14:paraId="717F37C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7" w:history="1">
        <w:r w:rsidR="00570B7F" w:rsidRPr="00570F4D">
          <w:rPr>
            <w:rStyle w:val="Hyperlink"/>
          </w:rPr>
          <w:t>§ 95852.1.  Compliance Obligations for Biomass-Derived Fuels.</w:t>
        </w:r>
        <w:r w:rsidR="00570B7F">
          <w:rPr>
            <w:webHidden/>
          </w:rPr>
          <w:tab/>
        </w:r>
        <w:r w:rsidR="00570B7F">
          <w:rPr>
            <w:webHidden/>
          </w:rPr>
          <w:fldChar w:fldCharType="begin"/>
        </w:r>
        <w:r w:rsidR="00570B7F">
          <w:rPr>
            <w:webHidden/>
          </w:rPr>
          <w:instrText xml:space="preserve"> PAGEREF _Toc361659847 \h </w:instrText>
        </w:r>
        <w:r w:rsidR="00570B7F">
          <w:rPr>
            <w:webHidden/>
          </w:rPr>
        </w:r>
        <w:r w:rsidR="00570B7F">
          <w:rPr>
            <w:webHidden/>
          </w:rPr>
          <w:fldChar w:fldCharType="separate"/>
        </w:r>
        <w:r w:rsidR="004455B1">
          <w:rPr>
            <w:webHidden/>
          </w:rPr>
          <w:t>107</w:t>
        </w:r>
        <w:r w:rsidR="00570B7F">
          <w:rPr>
            <w:webHidden/>
          </w:rPr>
          <w:fldChar w:fldCharType="end"/>
        </w:r>
      </w:hyperlink>
    </w:p>
    <w:p w14:paraId="388B0AA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8" w:history="1">
        <w:r w:rsidR="00570B7F" w:rsidRPr="00570F4D">
          <w:rPr>
            <w:rStyle w:val="Hyperlink"/>
          </w:rPr>
          <w:t>§ 95852.1.1.  Eligibility Requirements for Biomass-Derived Fuels.</w:t>
        </w:r>
        <w:r w:rsidR="00570B7F">
          <w:rPr>
            <w:webHidden/>
          </w:rPr>
          <w:tab/>
        </w:r>
        <w:r w:rsidR="00570B7F">
          <w:rPr>
            <w:webHidden/>
          </w:rPr>
          <w:fldChar w:fldCharType="begin"/>
        </w:r>
        <w:r w:rsidR="00570B7F">
          <w:rPr>
            <w:webHidden/>
          </w:rPr>
          <w:instrText xml:space="preserve"> PAGEREF _Toc361659848 \h </w:instrText>
        </w:r>
        <w:r w:rsidR="00570B7F">
          <w:rPr>
            <w:webHidden/>
          </w:rPr>
        </w:r>
        <w:r w:rsidR="00570B7F">
          <w:rPr>
            <w:webHidden/>
          </w:rPr>
          <w:fldChar w:fldCharType="separate"/>
        </w:r>
        <w:r w:rsidR="004455B1">
          <w:rPr>
            <w:webHidden/>
          </w:rPr>
          <w:t>108</w:t>
        </w:r>
        <w:r w:rsidR="00570B7F">
          <w:rPr>
            <w:webHidden/>
          </w:rPr>
          <w:fldChar w:fldCharType="end"/>
        </w:r>
      </w:hyperlink>
    </w:p>
    <w:p w14:paraId="4925AE8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49" w:history="1">
        <w:r w:rsidR="00570B7F" w:rsidRPr="00570F4D">
          <w:rPr>
            <w:rStyle w:val="Hyperlink"/>
          </w:rPr>
          <w:t>§ 95852.2.  Emissions without a Compliance Obligation.</w:t>
        </w:r>
        <w:r w:rsidR="00570B7F">
          <w:rPr>
            <w:webHidden/>
          </w:rPr>
          <w:tab/>
        </w:r>
        <w:r w:rsidR="00570B7F">
          <w:rPr>
            <w:webHidden/>
          </w:rPr>
          <w:fldChar w:fldCharType="begin"/>
        </w:r>
        <w:r w:rsidR="00570B7F">
          <w:rPr>
            <w:webHidden/>
          </w:rPr>
          <w:instrText xml:space="preserve"> PAGEREF _Toc361659849 \h </w:instrText>
        </w:r>
        <w:r w:rsidR="00570B7F">
          <w:rPr>
            <w:webHidden/>
          </w:rPr>
        </w:r>
        <w:r w:rsidR="00570B7F">
          <w:rPr>
            <w:webHidden/>
          </w:rPr>
          <w:fldChar w:fldCharType="separate"/>
        </w:r>
        <w:r w:rsidR="004455B1">
          <w:rPr>
            <w:webHidden/>
          </w:rPr>
          <w:t>110</w:t>
        </w:r>
        <w:r w:rsidR="00570B7F">
          <w:rPr>
            <w:webHidden/>
          </w:rPr>
          <w:fldChar w:fldCharType="end"/>
        </w:r>
      </w:hyperlink>
    </w:p>
    <w:p w14:paraId="45A5011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0" w:history="1">
        <w:r w:rsidR="00570B7F" w:rsidRPr="00570F4D">
          <w:rPr>
            <w:rStyle w:val="Hyperlink"/>
          </w:rPr>
          <w:t>§ 95853.  Calculation of Covered Entity’s Triennial Compliance Obligation.</w:t>
        </w:r>
        <w:r w:rsidR="00570B7F">
          <w:rPr>
            <w:webHidden/>
          </w:rPr>
          <w:tab/>
        </w:r>
        <w:r w:rsidR="00570B7F">
          <w:rPr>
            <w:webHidden/>
          </w:rPr>
          <w:fldChar w:fldCharType="begin"/>
        </w:r>
        <w:r w:rsidR="00570B7F">
          <w:rPr>
            <w:webHidden/>
          </w:rPr>
          <w:instrText xml:space="preserve"> PAGEREF _Toc361659850 \h </w:instrText>
        </w:r>
        <w:r w:rsidR="00570B7F">
          <w:rPr>
            <w:webHidden/>
          </w:rPr>
        </w:r>
        <w:r w:rsidR="00570B7F">
          <w:rPr>
            <w:webHidden/>
          </w:rPr>
          <w:fldChar w:fldCharType="separate"/>
        </w:r>
        <w:r w:rsidR="004455B1">
          <w:rPr>
            <w:webHidden/>
          </w:rPr>
          <w:t>113</w:t>
        </w:r>
        <w:r w:rsidR="00570B7F">
          <w:rPr>
            <w:webHidden/>
          </w:rPr>
          <w:fldChar w:fldCharType="end"/>
        </w:r>
      </w:hyperlink>
    </w:p>
    <w:p w14:paraId="66273128"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1" w:history="1">
        <w:r w:rsidR="00570B7F" w:rsidRPr="00570F4D">
          <w:rPr>
            <w:rStyle w:val="Hyperlink"/>
          </w:rPr>
          <w:t>§ 95854.  Quantitative Usage Limit on Designated Compliance Instruments—Including Offset Credits.</w:t>
        </w:r>
        <w:r w:rsidR="00570B7F">
          <w:rPr>
            <w:webHidden/>
          </w:rPr>
          <w:tab/>
        </w:r>
        <w:r w:rsidR="00570B7F">
          <w:rPr>
            <w:webHidden/>
          </w:rPr>
          <w:fldChar w:fldCharType="begin"/>
        </w:r>
        <w:r w:rsidR="00570B7F">
          <w:rPr>
            <w:webHidden/>
          </w:rPr>
          <w:instrText xml:space="preserve"> PAGEREF _Toc361659851 \h </w:instrText>
        </w:r>
        <w:r w:rsidR="00570B7F">
          <w:rPr>
            <w:webHidden/>
          </w:rPr>
        </w:r>
        <w:r w:rsidR="00570B7F">
          <w:rPr>
            <w:webHidden/>
          </w:rPr>
          <w:fldChar w:fldCharType="separate"/>
        </w:r>
        <w:r w:rsidR="004455B1">
          <w:rPr>
            <w:webHidden/>
          </w:rPr>
          <w:t>115</w:t>
        </w:r>
        <w:r w:rsidR="00570B7F">
          <w:rPr>
            <w:webHidden/>
          </w:rPr>
          <w:fldChar w:fldCharType="end"/>
        </w:r>
      </w:hyperlink>
    </w:p>
    <w:p w14:paraId="0895C40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2" w:history="1">
        <w:r w:rsidR="00570B7F" w:rsidRPr="00570F4D">
          <w:rPr>
            <w:rStyle w:val="Hyperlink"/>
          </w:rPr>
          <w:t>§ 95855.  Annual Compliance Obligation.</w:t>
        </w:r>
        <w:r w:rsidR="00570B7F">
          <w:rPr>
            <w:webHidden/>
          </w:rPr>
          <w:tab/>
        </w:r>
        <w:r w:rsidR="00570B7F">
          <w:rPr>
            <w:webHidden/>
          </w:rPr>
          <w:fldChar w:fldCharType="begin"/>
        </w:r>
        <w:r w:rsidR="00570B7F">
          <w:rPr>
            <w:webHidden/>
          </w:rPr>
          <w:instrText xml:space="preserve"> PAGEREF _Toc361659852 \h </w:instrText>
        </w:r>
        <w:r w:rsidR="00570B7F">
          <w:rPr>
            <w:webHidden/>
          </w:rPr>
        </w:r>
        <w:r w:rsidR="00570B7F">
          <w:rPr>
            <w:webHidden/>
          </w:rPr>
          <w:fldChar w:fldCharType="separate"/>
        </w:r>
        <w:r w:rsidR="004455B1">
          <w:rPr>
            <w:webHidden/>
          </w:rPr>
          <w:t>115</w:t>
        </w:r>
        <w:r w:rsidR="00570B7F">
          <w:rPr>
            <w:webHidden/>
          </w:rPr>
          <w:fldChar w:fldCharType="end"/>
        </w:r>
      </w:hyperlink>
    </w:p>
    <w:p w14:paraId="748DAA49"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3" w:history="1">
        <w:r w:rsidR="00570B7F" w:rsidRPr="00570F4D">
          <w:rPr>
            <w:rStyle w:val="Hyperlink"/>
          </w:rPr>
          <w:t>§ 95856.  Timely Surrender of Compliance Instruments by a Covered Entity.</w:t>
        </w:r>
        <w:r w:rsidR="00570B7F">
          <w:rPr>
            <w:webHidden/>
          </w:rPr>
          <w:tab/>
        </w:r>
        <w:r w:rsidR="00570B7F">
          <w:rPr>
            <w:webHidden/>
          </w:rPr>
          <w:fldChar w:fldCharType="begin"/>
        </w:r>
        <w:r w:rsidR="00570B7F">
          <w:rPr>
            <w:webHidden/>
          </w:rPr>
          <w:instrText xml:space="preserve"> PAGEREF _Toc361659853 \h </w:instrText>
        </w:r>
        <w:r w:rsidR="00570B7F">
          <w:rPr>
            <w:webHidden/>
          </w:rPr>
        </w:r>
        <w:r w:rsidR="00570B7F">
          <w:rPr>
            <w:webHidden/>
          </w:rPr>
          <w:fldChar w:fldCharType="separate"/>
        </w:r>
        <w:r w:rsidR="004455B1">
          <w:rPr>
            <w:webHidden/>
          </w:rPr>
          <w:t>116</w:t>
        </w:r>
        <w:r w:rsidR="00570B7F">
          <w:rPr>
            <w:webHidden/>
          </w:rPr>
          <w:fldChar w:fldCharType="end"/>
        </w:r>
      </w:hyperlink>
    </w:p>
    <w:p w14:paraId="79CAB4BE"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4" w:history="1">
        <w:r w:rsidR="00570B7F" w:rsidRPr="00570F4D">
          <w:rPr>
            <w:rStyle w:val="Hyperlink"/>
          </w:rPr>
          <w:t>§ 95857.  Untimely Surrender of Compliance Instruments by a Covered Entity.</w:t>
        </w:r>
        <w:r w:rsidR="00570B7F">
          <w:rPr>
            <w:webHidden/>
          </w:rPr>
          <w:tab/>
        </w:r>
        <w:r w:rsidR="00570B7F">
          <w:rPr>
            <w:webHidden/>
          </w:rPr>
          <w:fldChar w:fldCharType="begin"/>
        </w:r>
        <w:r w:rsidR="00570B7F">
          <w:rPr>
            <w:webHidden/>
          </w:rPr>
          <w:instrText xml:space="preserve"> PAGEREF _Toc361659854 \h </w:instrText>
        </w:r>
        <w:r w:rsidR="00570B7F">
          <w:rPr>
            <w:webHidden/>
          </w:rPr>
        </w:r>
        <w:r w:rsidR="00570B7F">
          <w:rPr>
            <w:webHidden/>
          </w:rPr>
          <w:fldChar w:fldCharType="separate"/>
        </w:r>
        <w:r w:rsidR="004455B1">
          <w:rPr>
            <w:webHidden/>
          </w:rPr>
          <w:t>120</w:t>
        </w:r>
        <w:r w:rsidR="00570B7F">
          <w:rPr>
            <w:webHidden/>
          </w:rPr>
          <w:fldChar w:fldCharType="end"/>
        </w:r>
      </w:hyperlink>
    </w:p>
    <w:p w14:paraId="7084D16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5" w:history="1">
        <w:r w:rsidR="00570B7F" w:rsidRPr="00570F4D">
          <w:rPr>
            <w:rStyle w:val="Hyperlink"/>
          </w:rPr>
          <w:t>§ 95858.  Compliance Obligation for Under-Reporting in a Previous Compliance Period.</w:t>
        </w:r>
        <w:r w:rsidR="00570B7F">
          <w:rPr>
            <w:webHidden/>
          </w:rPr>
          <w:tab/>
        </w:r>
        <w:r w:rsidR="00570B7F">
          <w:rPr>
            <w:webHidden/>
          </w:rPr>
          <w:fldChar w:fldCharType="begin"/>
        </w:r>
        <w:r w:rsidR="00570B7F">
          <w:rPr>
            <w:webHidden/>
          </w:rPr>
          <w:instrText xml:space="preserve"> PAGEREF _Toc361659855 \h </w:instrText>
        </w:r>
        <w:r w:rsidR="00570B7F">
          <w:rPr>
            <w:webHidden/>
          </w:rPr>
        </w:r>
        <w:r w:rsidR="00570B7F">
          <w:rPr>
            <w:webHidden/>
          </w:rPr>
          <w:fldChar w:fldCharType="separate"/>
        </w:r>
        <w:r w:rsidR="004455B1">
          <w:rPr>
            <w:webHidden/>
          </w:rPr>
          <w:t>122</w:t>
        </w:r>
        <w:r w:rsidR="00570B7F">
          <w:rPr>
            <w:webHidden/>
          </w:rPr>
          <w:fldChar w:fldCharType="end"/>
        </w:r>
      </w:hyperlink>
    </w:p>
    <w:p w14:paraId="3261A040" w14:textId="77777777" w:rsidR="00570B7F" w:rsidRDefault="00661852">
      <w:pPr>
        <w:pStyle w:val="TOC1"/>
        <w:rPr>
          <w:rFonts w:asciiTheme="minorHAnsi" w:eastAsiaTheme="minorEastAsia" w:hAnsiTheme="minorHAnsi" w:cstheme="minorBidi"/>
          <w:b w:val="0"/>
          <w:bCs w:val="0"/>
          <w:caps w:val="0"/>
          <w:sz w:val="22"/>
          <w:szCs w:val="22"/>
        </w:rPr>
      </w:pPr>
      <w:hyperlink w:anchor="_Toc361659856" w:history="1">
        <w:r w:rsidR="00570B7F" w:rsidRPr="00570F4D">
          <w:rPr>
            <w:rStyle w:val="Hyperlink"/>
          </w:rPr>
          <w:t>Subarticle 8: Disposition of Allowances</w:t>
        </w:r>
        <w:r w:rsidR="00570B7F">
          <w:rPr>
            <w:webHidden/>
          </w:rPr>
          <w:tab/>
        </w:r>
        <w:r w:rsidR="00570B7F">
          <w:rPr>
            <w:webHidden/>
          </w:rPr>
          <w:fldChar w:fldCharType="begin"/>
        </w:r>
        <w:r w:rsidR="00570B7F">
          <w:rPr>
            <w:webHidden/>
          </w:rPr>
          <w:instrText xml:space="preserve"> PAGEREF _Toc361659856 \h </w:instrText>
        </w:r>
        <w:r w:rsidR="00570B7F">
          <w:rPr>
            <w:webHidden/>
          </w:rPr>
        </w:r>
        <w:r w:rsidR="00570B7F">
          <w:rPr>
            <w:webHidden/>
          </w:rPr>
          <w:fldChar w:fldCharType="separate"/>
        </w:r>
        <w:r w:rsidR="004455B1">
          <w:rPr>
            <w:webHidden/>
          </w:rPr>
          <w:t>124</w:t>
        </w:r>
        <w:r w:rsidR="00570B7F">
          <w:rPr>
            <w:webHidden/>
          </w:rPr>
          <w:fldChar w:fldCharType="end"/>
        </w:r>
      </w:hyperlink>
    </w:p>
    <w:p w14:paraId="664D96A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7" w:history="1">
        <w:r w:rsidR="00570B7F" w:rsidRPr="00570F4D">
          <w:rPr>
            <w:rStyle w:val="Hyperlink"/>
          </w:rPr>
          <w:t>§ 95870.  Disposition of Allowances.</w:t>
        </w:r>
        <w:r w:rsidR="00570B7F">
          <w:rPr>
            <w:webHidden/>
          </w:rPr>
          <w:tab/>
        </w:r>
        <w:r w:rsidR="00570B7F">
          <w:rPr>
            <w:webHidden/>
          </w:rPr>
          <w:fldChar w:fldCharType="begin"/>
        </w:r>
        <w:r w:rsidR="00570B7F">
          <w:rPr>
            <w:webHidden/>
          </w:rPr>
          <w:instrText xml:space="preserve"> PAGEREF _Toc361659857 \h </w:instrText>
        </w:r>
        <w:r w:rsidR="00570B7F">
          <w:rPr>
            <w:webHidden/>
          </w:rPr>
        </w:r>
        <w:r w:rsidR="00570B7F">
          <w:rPr>
            <w:webHidden/>
          </w:rPr>
          <w:fldChar w:fldCharType="separate"/>
        </w:r>
        <w:r w:rsidR="004455B1">
          <w:rPr>
            <w:webHidden/>
          </w:rPr>
          <w:t>124</w:t>
        </w:r>
        <w:r w:rsidR="00570B7F">
          <w:rPr>
            <w:webHidden/>
          </w:rPr>
          <w:fldChar w:fldCharType="end"/>
        </w:r>
      </w:hyperlink>
    </w:p>
    <w:p w14:paraId="4998A77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58" w:history="1">
        <w:r w:rsidR="00570B7F" w:rsidRPr="00570F4D">
          <w:rPr>
            <w:rStyle w:val="Hyperlink"/>
          </w:rPr>
          <w:t>Table 8-1: Industry Assistance</w:t>
        </w:r>
        <w:r w:rsidR="00570B7F">
          <w:rPr>
            <w:webHidden/>
          </w:rPr>
          <w:tab/>
        </w:r>
        <w:r w:rsidR="00570B7F">
          <w:rPr>
            <w:webHidden/>
          </w:rPr>
          <w:fldChar w:fldCharType="begin"/>
        </w:r>
        <w:r w:rsidR="00570B7F">
          <w:rPr>
            <w:webHidden/>
          </w:rPr>
          <w:instrText xml:space="preserve"> PAGEREF _Toc361659858 \h </w:instrText>
        </w:r>
        <w:r w:rsidR="00570B7F">
          <w:rPr>
            <w:webHidden/>
          </w:rPr>
        </w:r>
        <w:r w:rsidR="00570B7F">
          <w:rPr>
            <w:webHidden/>
          </w:rPr>
          <w:fldChar w:fldCharType="separate"/>
        </w:r>
        <w:r w:rsidR="004455B1">
          <w:rPr>
            <w:webHidden/>
          </w:rPr>
          <w:t>129</w:t>
        </w:r>
        <w:r w:rsidR="00570B7F">
          <w:rPr>
            <w:webHidden/>
          </w:rPr>
          <w:fldChar w:fldCharType="end"/>
        </w:r>
      </w:hyperlink>
    </w:p>
    <w:p w14:paraId="005D0ED9" w14:textId="77777777" w:rsidR="00570B7F" w:rsidRDefault="00661852">
      <w:pPr>
        <w:pStyle w:val="TOC1"/>
        <w:rPr>
          <w:rFonts w:asciiTheme="minorHAnsi" w:eastAsiaTheme="minorEastAsia" w:hAnsiTheme="minorHAnsi" w:cstheme="minorBidi"/>
          <w:b w:val="0"/>
          <w:bCs w:val="0"/>
          <w:caps w:val="0"/>
          <w:sz w:val="22"/>
          <w:szCs w:val="22"/>
        </w:rPr>
      </w:pPr>
      <w:hyperlink w:anchor="_Toc361659859" w:history="1">
        <w:r w:rsidR="00570B7F" w:rsidRPr="00570F4D">
          <w:rPr>
            <w:rStyle w:val="Hyperlink"/>
          </w:rPr>
          <w:t>Subarticle 9: Direct Allocations of California GHG Allowances</w:t>
        </w:r>
        <w:r w:rsidR="00570B7F">
          <w:rPr>
            <w:webHidden/>
          </w:rPr>
          <w:tab/>
        </w:r>
        <w:r w:rsidR="00570B7F">
          <w:rPr>
            <w:webHidden/>
          </w:rPr>
          <w:fldChar w:fldCharType="begin"/>
        </w:r>
        <w:r w:rsidR="00570B7F">
          <w:rPr>
            <w:webHidden/>
          </w:rPr>
          <w:instrText xml:space="preserve"> PAGEREF _Toc361659859 \h </w:instrText>
        </w:r>
        <w:r w:rsidR="00570B7F">
          <w:rPr>
            <w:webHidden/>
          </w:rPr>
        </w:r>
        <w:r w:rsidR="00570B7F">
          <w:rPr>
            <w:webHidden/>
          </w:rPr>
          <w:fldChar w:fldCharType="separate"/>
        </w:r>
        <w:r w:rsidR="004455B1">
          <w:rPr>
            <w:webHidden/>
          </w:rPr>
          <w:t>132</w:t>
        </w:r>
        <w:r w:rsidR="00570B7F">
          <w:rPr>
            <w:webHidden/>
          </w:rPr>
          <w:fldChar w:fldCharType="end"/>
        </w:r>
      </w:hyperlink>
    </w:p>
    <w:p w14:paraId="0D0F380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0" w:history="1">
        <w:r w:rsidR="00570B7F" w:rsidRPr="00570F4D">
          <w:rPr>
            <w:rStyle w:val="Hyperlink"/>
          </w:rPr>
          <w:t>§ 95890.  General Provisions for Direct Allocations.</w:t>
        </w:r>
        <w:r w:rsidR="00570B7F">
          <w:rPr>
            <w:webHidden/>
          </w:rPr>
          <w:tab/>
        </w:r>
        <w:r w:rsidR="00570B7F">
          <w:rPr>
            <w:webHidden/>
          </w:rPr>
          <w:fldChar w:fldCharType="begin"/>
        </w:r>
        <w:r w:rsidR="00570B7F">
          <w:rPr>
            <w:webHidden/>
          </w:rPr>
          <w:instrText xml:space="preserve"> PAGEREF _Toc361659860 \h </w:instrText>
        </w:r>
        <w:r w:rsidR="00570B7F">
          <w:rPr>
            <w:webHidden/>
          </w:rPr>
        </w:r>
        <w:r w:rsidR="00570B7F">
          <w:rPr>
            <w:webHidden/>
          </w:rPr>
          <w:fldChar w:fldCharType="separate"/>
        </w:r>
        <w:r w:rsidR="004455B1">
          <w:rPr>
            <w:webHidden/>
          </w:rPr>
          <w:t>132</w:t>
        </w:r>
        <w:r w:rsidR="00570B7F">
          <w:rPr>
            <w:webHidden/>
          </w:rPr>
          <w:fldChar w:fldCharType="end"/>
        </w:r>
      </w:hyperlink>
    </w:p>
    <w:p w14:paraId="1BE644C9"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1" w:history="1">
        <w:r w:rsidR="00570B7F" w:rsidRPr="00570F4D">
          <w:rPr>
            <w:rStyle w:val="Hyperlink"/>
          </w:rPr>
          <w:t>§ 95891.  Allocation for Industry Assistance.</w:t>
        </w:r>
        <w:r w:rsidR="00570B7F">
          <w:rPr>
            <w:webHidden/>
          </w:rPr>
          <w:tab/>
        </w:r>
        <w:r w:rsidR="00570B7F">
          <w:rPr>
            <w:webHidden/>
          </w:rPr>
          <w:fldChar w:fldCharType="begin"/>
        </w:r>
        <w:r w:rsidR="00570B7F">
          <w:rPr>
            <w:webHidden/>
          </w:rPr>
          <w:instrText xml:space="preserve"> PAGEREF _Toc361659861 \h </w:instrText>
        </w:r>
        <w:r w:rsidR="00570B7F">
          <w:rPr>
            <w:webHidden/>
          </w:rPr>
        </w:r>
        <w:r w:rsidR="00570B7F">
          <w:rPr>
            <w:webHidden/>
          </w:rPr>
          <w:fldChar w:fldCharType="separate"/>
        </w:r>
        <w:r w:rsidR="004455B1">
          <w:rPr>
            <w:webHidden/>
          </w:rPr>
          <w:t>133</w:t>
        </w:r>
        <w:r w:rsidR="00570B7F">
          <w:rPr>
            <w:webHidden/>
          </w:rPr>
          <w:fldChar w:fldCharType="end"/>
        </w:r>
      </w:hyperlink>
    </w:p>
    <w:p w14:paraId="6BE990C0"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2" w:history="1">
        <w:r w:rsidR="00570B7F" w:rsidRPr="00570F4D">
          <w:rPr>
            <w:rStyle w:val="Hyperlink"/>
          </w:rPr>
          <w:t>Table 9-1: Product-Based Emissions Efficiency Benchmarks</w:t>
        </w:r>
        <w:r w:rsidR="00570B7F">
          <w:rPr>
            <w:webHidden/>
          </w:rPr>
          <w:tab/>
        </w:r>
        <w:r w:rsidR="00570B7F">
          <w:rPr>
            <w:webHidden/>
          </w:rPr>
          <w:fldChar w:fldCharType="begin"/>
        </w:r>
        <w:r w:rsidR="00570B7F">
          <w:rPr>
            <w:webHidden/>
          </w:rPr>
          <w:instrText xml:space="preserve"> PAGEREF _Toc361659862 \h </w:instrText>
        </w:r>
        <w:r w:rsidR="00570B7F">
          <w:rPr>
            <w:webHidden/>
          </w:rPr>
        </w:r>
        <w:r w:rsidR="00570B7F">
          <w:rPr>
            <w:webHidden/>
          </w:rPr>
          <w:fldChar w:fldCharType="separate"/>
        </w:r>
        <w:r w:rsidR="004455B1">
          <w:rPr>
            <w:webHidden/>
          </w:rPr>
          <w:t>137</w:t>
        </w:r>
        <w:r w:rsidR="00570B7F">
          <w:rPr>
            <w:webHidden/>
          </w:rPr>
          <w:fldChar w:fldCharType="end"/>
        </w:r>
      </w:hyperlink>
    </w:p>
    <w:p w14:paraId="7A62FA1D"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3" w:history="1">
        <w:r w:rsidR="00570B7F" w:rsidRPr="00570F4D">
          <w:rPr>
            <w:rStyle w:val="Hyperlink"/>
          </w:rPr>
          <w:t>Table 9-2: Cap Adjustment Factors for Allowance Allocation</w:t>
        </w:r>
        <w:r w:rsidR="00570B7F">
          <w:rPr>
            <w:webHidden/>
          </w:rPr>
          <w:tab/>
        </w:r>
        <w:r w:rsidR="00570B7F">
          <w:rPr>
            <w:webHidden/>
          </w:rPr>
          <w:fldChar w:fldCharType="begin"/>
        </w:r>
        <w:r w:rsidR="00570B7F">
          <w:rPr>
            <w:webHidden/>
          </w:rPr>
          <w:instrText xml:space="preserve"> PAGEREF _Toc361659863 \h </w:instrText>
        </w:r>
        <w:r w:rsidR="00570B7F">
          <w:rPr>
            <w:webHidden/>
          </w:rPr>
        </w:r>
        <w:r w:rsidR="00570B7F">
          <w:rPr>
            <w:webHidden/>
          </w:rPr>
          <w:fldChar w:fldCharType="separate"/>
        </w:r>
        <w:r w:rsidR="004455B1">
          <w:rPr>
            <w:webHidden/>
          </w:rPr>
          <w:t>163</w:t>
        </w:r>
        <w:r w:rsidR="00570B7F">
          <w:rPr>
            <w:webHidden/>
          </w:rPr>
          <w:fldChar w:fldCharType="end"/>
        </w:r>
      </w:hyperlink>
    </w:p>
    <w:p w14:paraId="4222236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4" w:history="1">
        <w:r w:rsidR="00570B7F" w:rsidRPr="00570F4D">
          <w:rPr>
            <w:rStyle w:val="Hyperlink"/>
          </w:rPr>
          <w:t>§ 95892.  Allocation to Electrical Distribution Utilities for Protection of Electricity Ratepayers.</w:t>
        </w:r>
        <w:r w:rsidR="00570B7F">
          <w:rPr>
            <w:webHidden/>
          </w:rPr>
          <w:tab/>
        </w:r>
        <w:r w:rsidR="00570B7F">
          <w:rPr>
            <w:webHidden/>
          </w:rPr>
          <w:fldChar w:fldCharType="begin"/>
        </w:r>
        <w:r w:rsidR="00570B7F">
          <w:rPr>
            <w:webHidden/>
          </w:rPr>
          <w:instrText xml:space="preserve"> PAGEREF _Toc361659864 \h </w:instrText>
        </w:r>
        <w:r w:rsidR="00570B7F">
          <w:rPr>
            <w:webHidden/>
          </w:rPr>
        </w:r>
        <w:r w:rsidR="00570B7F">
          <w:rPr>
            <w:webHidden/>
          </w:rPr>
          <w:fldChar w:fldCharType="separate"/>
        </w:r>
        <w:r w:rsidR="004455B1">
          <w:rPr>
            <w:webHidden/>
          </w:rPr>
          <w:t>164</w:t>
        </w:r>
        <w:r w:rsidR="00570B7F">
          <w:rPr>
            <w:webHidden/>
          </w:rPr>
          <w:fldChar w:fldCharType="end"/>
        </w:r>
      </w:hyperlink>
    </w:p>
    <w:p w14:paraId="32B4B31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5" w:history="1">
        <w:r w:rsidR="00570B7F" w:rsidRPr="00570F4D">
          <w:rPr>
            <w:rStyle w:val="Hyperlink"/>
          </w:rPr>
          <w:t>Table 9-3: Percentage of Electric Sector Allocation Allocated to Each Utility</w:t>
        </w:r>
        <w:r w:rsidR="00570B7F">
          <w:rPr>
            <w:webHidden/>
          </w:rPr>
          <w:tab/>
        </w:r>
        <w:r w:rsidR="00570B7F">
          <w:rPr>
            <w:webHidden/>
          </w:rPr>
          <w:fldChar w:fldCharType="begin"/>
        </w:r>
        <w:r w:rsidR="00570B7F">
          <w:rPr>
            <w:webHidden/>
          </w:rPr>
          <w:instrText xml:space="preserve"> PAGEREF _Toc361659865 \h </w:instrText>
        </w:r>
        <w:r w:rsidR="00570B7F">
          <w:rPr>
            <w:webHidden/>
          </w:rPr>
        </w:r>
        <w:r w:rsidR="00570B7F">
          <w:rPr>
            <w:webHidden/>
          </w:rPr>
          <w:fldChar w:fldCharType="separate"/>
        </w:r>
        <w:r w:rsidR="004455B1">
          <w:rPr>
            <w:webHidden/>
          </w:rPr>
          <w:t>167</w:t>
        </w:r>
        <w:r w:rsidR="00570B7F">
          <w:rPr>
            <w:webHidden/>
          </w:rPr>
          <w:fldChar w:fldCharType="end"/>
        </w:r>
      </w:hyperlink>
    </w:p>
    <w:p w14:paraId="5946FAD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6" w:history="1">
        <w:r w:rsidR="00570B7F" w:rsidRPr="00570F4D">
          <w:rPr>
            <w:rStyle w:val="Hyperlink"/>
          </w:rPr>
          <w:t>§ 95893.  Allocation to Natural Gas Suppliers for Protection of Natural Gas Ratepayers.</w:t>
        </w:r>
        <w:r w:rsidR="00570B7F">
          <w:rPr>
            <w:webHidden/>
          </w:rPr>
          <w:tab/>
        </w:r>
        <w:r w:rsidR="00570B7F">
          <w:rPr>
            <w:webHidden/>
          </w:rPr>
          <w:fldChar w:fldCharType="begin"/>
        </w:r>
        <w:r w:rsidR="00570B7F">
          <w:rPr>
            <w:webHidden/>
          </w:rPr>
          <w:instrText xml:space="preserve"> PAGEREF _Toc361659866 \h </w:instrText>
        </w:r>
        <w:r w:rsidR="00570B7F">
          <w:rPr>
            <w:webHidden/>
          </w:rPr>
        </w:r>
        <w:r w:rsidR="00570B7F">
          <w:rPr>
            <w:webHidden/>
          </w:rPr>
          <w:fldChar w:fldCharType="separate"/>
        </w:r>
        <w:r w:rsidR="004455B1">
          <w:rPr>
            <w:webHidden/>
          </w:rPr>
          <w:t>172</w:t>
        </w:r>
        <w:r w:rsidR="00570B7F">
          <w:rPr>
            <w:webHidden/>
          </w:rPr>
          <w:fldChar w:fldCharType="end"/>
        </w:r>
      </w:hyperlink>
    </w:p>
    <w:p w14:paraId="13126F50"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7" w:history="1">
        <w:r w:rsidR="00570B7F" w:rsidRPr="00570F4D">
          <w:rPr>
            <w:rStyle w:val="Hyperlink"/>
          </w:rPr>
          <w:t>Table 9-4: Percentage Consignment Requirements for Natural Gas Utilities by Year</w:t>
        </w:r>
        <w:r w:rsidR="00570B7F">
          <w:rPr>
            <w:webHidden/>
          </w:rPr>
          <w:tab/>
        </w:r>
        <w:r w:rsidR="00570B7F">
          <w:rPr>
            <w:webHidden/>
          </w:rPr>
          <w:fldChar w:fldCharType="begin"/>
        </w:r>
        <w:r w:rsidR="00570B7F">
          <w:rPr>
            <w:webHidden/>
          </w:rPr>
          <w:instrText xml:space="preserve"> PAGEREF _Toc361659867 \h </w:instrText>
        </w:r>
        <w:r w:rsidR="00570B7F">
          <w:rPr>
            <w:webHidden/>
          </w:rPr>
        </w:r>
        <w:r w:rsidR="00570B7F">
          <w:rPr>
            <w:webHidden/>
          </w:rPr>
          <w:fldChar w:fldCharType="separate"/>
        </w:r>
        <w:r w:rsidR="004455B1">
          <w:rPr>
            <w:webHidden/>
          </w:rPr>
          <w:t>175</w:t>
        </w:r>
        <w:r w:rsidR="00570B7F">
          <w:rPr>
            <w:webHidden/>
          </w:rPr>
          <w:fldChar w:fldCharType="end"/>
        </w:r>
      </w:hyperlink>
    </w:p>
    <w:p w14:paraId="45451C0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68" w:history="1">
        <w:r w:rsidR="00570B7F" w:rsidRPr="00570F4D">
          <w:rPr>
            <w:rStyle w:val="Hyperlink"/>
          </w:rPr>
          <w:t>§ 95894.  Allocation to Legacy Contract Generators for Transition Assistance.</w:t>
        </w:r>
        <w:r w:rsidR="00570B7F">
          <w:rPr>
            <w:webHidden/>
          </w:rPr>
          <w:tab/>
        </w:r>
        <w:r w:rsidR="00570B7F">
          <w:rPr>
            <w:webHidden/>
          </w:rPr>
          <w:fldChar w:fldCharType="begin"/>
        </w:r>
        <w:r w:rsidR="00570B7F">
          <w:rPr>
            <w:webHidden/>
          </w:rPr>
          <w:instrText xml:space="preserve"> PAGEREF _Toc361659868 \h </w:instrText>
        </w:r>
        <w:r w:rsidR="00570B7F">
          <w:rPr>
            <w:webHidden/>
          </w:rPr>
        </w:r>
        <w:r w:rsidR="00570B7F">
          <w:rPr>
            <w:webHidden/>
          </w:rPr>
          <w:fldChar w:fldCharType="separate"/>
        </w:r>
        <w:r w:rsidR="004455B1">
          <w:rPr>
            <w:webHidden/>
          </w:rPr>
          <w:t>175</w:t>
        </w:r>
        <w:r w:rsidR="00570B7F">
          <w:rPr>
            <w:webHidden/>
          </w:rPr>
          <w:fldChar w:fldCharType="end"/>
        </w:r>
      </w:hyperlink>
    </w:p>
    <w:p w14:paraId="07518C85" w14:textId="77777777" w:rsidR="00570B7F" w:rsidRDefault="00661852">
      <w:pPr>
        <w:pStyle w:val="TOC1"/>
        <w:rPr>
          <w:rFonts w:asciiTheme="minorHAnsi" w:eastAsiaTheme="minorEastAsia" w:hAnsiTheme="minorHAnsi" w:cstheme="minorBidi"/>
          <w:b w:val="0"/>
          <w:bCs w:val="0"/>
          <w:caps w:val="0"/>
          <w:sz w:val="22"/>
          <w:szCs w:val="22"/>
        </w:rPr>
      </w:pPr>
      <w:hyperlink w:anchor="_Toc361659869" w:history="1">
        <w:r w:rsidR="00570B7F" w:rsidRPr="00570F4D">
          <w:rPr>
            <w:rStyle w:val="Hyperlink"/>
          </w:rPr>
          <w:t>Subarticle 10: Auction and Sale of California Greenhouse Gas Allowances</w:t>
        </w:r>
        <w:r w:rsidR="00570B7F">
          <w:rPr>
            <w:webHidden/>
          </w:rPr>
          <w:tab/>
        </w:r>
        <w:r w:rsidR="00570B7F">
          <w:rPr>
            <w:webHidden/>
          </w:rPr>
          <w:fldChar w:fldCharType="begin"/>
        </w:r>
        <w:r w:rsidR="00570B7F">
          <w:rPr>
            <w:webHidden/>
          </w:rPr>
          <w:instrText xml:space="preserve"> PAGEREF _Toc361659869 \h </w:instrText>
        </w:r>
        <w:r w:rsidR="00570B7F">
          <w:rPr>
            <w:webHidden/>
          </w:rPr>
        </w:r>
        <w:r w:rsidR="00570B7F">
          <w:rPr>
            <w:webHidden/>
          </w:rPr>
          <w:fldChar w:fldCharType="separate"/>
        </w:r>
        <w:r w:rsidR="004455B1">
          <w:rPr>
            <w:webHidden/>
          </w:rPr>
          <w:t>179</w:t>
        </w:r>
        <w:r w:rsidR="00570B7F">
          <w:rPr>
            <w:webHidden/>
          </w:rPr>
          <w:fldChar w:fldCharType="end"/>
        </w:r>
      </w:hyperlink>
    </w:p>
    <w:p w14:paraId="5E887878"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0" w:history="1">
        <w:r w:rsidR="00570B7F" w:rsidRPr="00570F4D">
          <w:rPr>
            <w:rStyle w:val="Hyperlink"/>
          </w:rPr>
          <w:t>§ 95910.  Auction of California GHG Allowances.</w:t>
        </w:r>
        <w:r w:rsidR="00570B7F">
          <w:rPr>
            <w:webHidden/>
          </w:rPr>
          <w:tab/>
        </w:r>
        <w:r w:rsidR="00570B7F">
          <w:rPr>
            <w:webHidden/>
          </w:rPr>
          <w:fldChar w:fldCharType="begin"/>
        </w:r>
        <w:r w:rsidR="00570B7F">
          <w:rPr>
            <w:webHidden/>
          </w:rPr>
          <w:instrText xml:space="preserve"> PAGEREF _Toc361659870 \h </w:instrText>
        </w:r>
        <w:r w:rsidR="00570B7F">
          <w:rPr>
            <w:webHidden/>
          </w:rPr>
        </w:r>
        <w:r w:rsidR="00570B7F">
          <w:rPr>
            <w:webHidden/>
          </w:rPr>
          <w:fldChar w:fldCharType="separate"/>
        </w:r>
        <w:r w:rsidR="004455B1">
          <w:rPr>
            <w:webHidden/>
          </w:rPr>
          <w:t>179</w:t>
        </w:r>
        <w:r w:rsidR="00570B7F">
          <w:rPr>
            <w:webHidden/>
          </w:rPr>
          <w:fldChar w:fldCharType="end"/>
        </w:r>
      </w:hyperlink>
    </w:p>
    <w:p w14:paraId="34828F9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1" w:history="1">
        <w:r w:rsidR="00570B7F" w:rsidRPr="00570F4D">
          <w:rPr>
            <w:rStyle w:val="Hyperlink"/>
          </w:rPr>
          <w:t>§ 95911.  Format for Auction of California GHG Allowances.</w:t>
        </w:r>
        <w:r w:rsidR="00570B7F">
          <w:rPr>
            <w:webHidden/>
          </w:rPr>
          <w:tab/>
        </w:r>
        <w:r w:rsidR="00570B7F">
          <w:rPr>
            <w:webHidden/>
          </w:rPr>
          <w:fldChar w:fldCharType="begin"/>
        </w:r>
        <w:r w:rsidR="00570B7F">
          <w:rPr>
            <w:webHidden/>
          </w:rPr>
          <w:instrText xml:space="preserve"> PAGEREF _Toc361659871 \h </w:instrText>
        </w:r>
        <w:r w:rsidR="00570B7F">
          <w:rPr>
            <w:webHidden/>
          </w:rPr>
        </w:r>
        <w:r w:rsidR="00570B7F">
          <w:rPr>
            <w:webHidden/>
          </w:rPr>
          <w:fldChar w:fldCharType="separate"/>
        </w:r>
        <w:r w:rsidR="004455B1">
          <w:rPr>
            <w:webHidden/>
          </w:rPr>
          <w:t>182</w:t>
        </w:r>
        <w:r w:rsidR="00570B7F">
          <w:rPr>
            <w:webHidden/>
          </w:rPr>
          <w:fldChar w:fldCharType="end"/>
        </w:r>
      </w:hyperlink>
    </w:p>
    <w:p w14:paraId="0FCBD207"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2" w:history="1">
        <w:r w:rsidR="00570B7F" w:rsidRPr="00570F4D">
          <w:rPr>
            <w:rStyle w:val="Hyperlink"/>
          </w:rPr>
          <w:t>§ 95912.  Auction Administration and Participant Application.</w:t>
        </w:r>
        <w:r w:rsidR="00570B7F">
          <w:rPr>
            <w:webHidden/>
          </w:rPr>
          <w:tab/>
        </w:r>
        <w:r w:rsidR="00570B7F">
          <w:rPr>
            <w:webHidden/>
          </w:rPr>
          <w:fldChar w:fldCharType="begin"/>
        </w:r>
        <w:r w:rsidR="00570B7F">
          <w:rPr>
            <w:webHidden/>
          </w:rPr>
          <w:instrText xml:space="preserve"> PAGEREF _Toc361659872 \h </w:instrText>
        </w:r>
        <w:r w:rsidR="00570B7F">
          <w:rPr>
            <w:webHidden/>
          </w:rPr>
        </w:r>
        <w:r w:rsidR="00570B7F">
          <w:rPr>
            <w:webHidden/>
          </w:rPr>
          <w:fldChar w:fldCharType="separate"/>
        </w:r>
        <w:r w:rsidR="004455B1">
          <w:rPr>
            <w:webHidden/>
          </w:rPr>
          <w:t>187</w:t>
        </w:r>
        <w:r w:rsidR="00570B7F">
          <w:rPr>
            <w:webHidden/>
          </w:rPr>
          <w:fldChar w:fldCharType="end"/>
        </w:r>
      </w:hyperlink>
    </w:p>
    <w:p w14:paraId="19450A2C"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3" w:history="1">
        <w:r w:rsidR="00570B7F" w:rsidRPr="00570F4D">
          <w:rPr>
            <w:rStyle w:val="Hyperlink"/>
          </w:rPr>
          <w:t>§ 95913. Sale of Allowances from the Allowance Price Containment Reserve.</w:t>
        </w:r>
        <w:r w:rsidR="00570B7F">
          <w:rPr>
            <w:webHidden/>
          </w:rPr>
          <w:tab/>
        </w:r>
        <w:r w:rsidR="00570B7F">
          <w:rPr>
            <w:webHidden/>
          </w:rPr>
          <w:fldChar w:fldCharType="begin"/>
        </w:r>
        <w:r w:rsidR="00570B7F">
          <w:rPr>
            <w:webHidden/>
          </w:rPr>
          <w:instrText xml:space="preserve"> PAGEREF _Toc361659873 \h </w:instrText>
        </w:r>
        <w:r w:rsidR="00570B7F">
          <w:rPr>
            <w:webHidden/>
          </w:rPr>
        </w:r>
        <w:r w:rsidR="00570B7F">
          <w:rPr>
            <w:webHidden/>
          </w:rPr>
          <w:fldChar w:fldCharType="separate"/>
        </w:r>
        <w:r w:rsidR="004455B1">
          <w:rPr>
            <w:webHidden/>
          </w:rPr>
          <w:t>194</w:t>
        </w:r>
        <w:r w:rsidR="00570B7F">
          <w:rPr>
            <w:webHidden/>
          </w:rPr>
          <w:fldChar w:fldCharType="end"/>
        </w:r>
      </w:hyperlink>
    </w:p>
    <w:p w14:paraId="08A3F33C"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4" w:history="1">
        <w:r w:rsidR="00570B7F" w:rsidRPr="00570F4D">
          <w:rPr>
            <w:rStyle w:val="Hyperlink"/>
          </w:rPr>
          <w:t>§ 95914.  Auction Participation and Limitations.</w:t>
        </w:r>
        <w:r w:rsidR="00570B7F">
          <w:rPr>
            <w:webHidden/>
          </w:rPr>
          <w:tab/>
        </w:r>
        <w:r w:rsidR="00570B7F">
          <w:rPr>
            <w:webHidden/>
          </w:rPr>
          <w:fldChar w:fldCharType="begin"/>
        </w:r>
        <w:r w:rsidR="00570B7F">
          <w:rPr>
            <w:webHidden/>
          </w:rPr>
          <w:instrText xml:space="preserve"> PAGEREF _Toc361659874 \h </w:instrText>
        </w:r>
        <w:r w:rsidR="00570B7F">
          <w:rPr>
            <w:webHidden/>
          </w:rPr>
        </w:r>
        <w:r w:rsidR="00570B7F">
          <w:rPr>
            <w:webHidden/>
          </w:rPr>
          <w:fldChar w:fldCharType="separate"/>
        </w:r>
        <w:r w:rsidR="004455B1">
          <w:rPr>
            <w:webHidden/>
          </w:rPr>
          <w:t>202</w:t>
        </w:r>
        <w:r w:rsidR="00570B7F">
          <w:rPr>
            <w:webHidden/>
          </w:rPr>
          <w:fldChar w:fldCharType="end"/>
        </w:r>
      </w:hyperlink>
    </w:p>
    <w:p w14:paraId="14B6EF95" w14:textId="77777777" w:rsidR="00570B7F" w:rsidRDefault="00661852">
      <w:pPr>
        <w:pStyle w:val="TOC1"/>
        <w:rPr>
          <w:rFonts w:asciiTheme="minorHAnsi" w:eastAsiaTheme="minorEastAsia" w:hAnsiTheme="minorHAnsi" w:cstheme="minorBidi"/>
          <w:b w:val="0"/>
          <w:bCs w:val="0"/>
          <w:caps w:val="0"/>
          <w:sz w:val="22"/>
          <w:szCs w:val="22"/>
        </w:rPr>
      </w:pPr>
      <w:hyperlink w:anchor="_Toc361659875" w:history="1">
        <w:r w:rsidR="00570B7F" w:rsidRPr="00570F4D">
          <w:rPr>
            <w:rStyle w:val="Hyperlink"/>
          </w:rPr>
          <w:t>Subarticle 11: Trading and Banking</w:t>
        </w:r>
        <w:r w:rsidR="00570B7F">
          <w:rPr>
            <w:webHidden/>
          </w:rPr>
          <w:tab/>
        </w:r>
        <w:r w:rsidR="00570B7F">
          <w:rPr>
            <w:webHidden/>
          </w:rPr>
          <w:fldChar w:fldCharType="begin"/>
        </w:r>
        <w:r w:rsidR="00570B7F">
          <w:rPr>
            <w:webHidden/>
          </w:rPr>
          <w:instrText xml:space="preserve"> PAGEREF _Toc361659875 \h </w:instrText>
        </w:r>
        <w:r w:rsidR="00570B7F">
          <w:rPr>
            <w:webHidden/>
          </w:rPr>
        </w:r>
        <w:r w:rsidR="00570B7F">
          <w:rPr>
            <w:webHidden/>
          </w:rPr>
          <w:fldChar w:fldCharType="separate"/>
        </w:r>
        <w:r w:rsidR="004455B1">
          <w:rPr>
            <w:webHidden/>
          </w:rPr>
          <w:t>206</w:t>
        </w:r>
        <w:r w:rsidR="00570B7F">
          <w:rPr>
            <w:webHidden/>
          </w:rPr>
          <w:fldChar w:fldCharType="end"/>
        </w:r>
      </w:hyperlink>
    </w:p>
    <w:p w14:paraId="4911F61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6" w:history="1">
        <w:r w:rsidR="00570B7F" w:rsidRPr="00570F4D">
          <w:rPr>
            <w:rStyle w:val="Hyperlink"/>
          </w:rPr>
          <w:t>§ 95920.  Trading.</w:t>
        </w:r>
        <w:r w:rsidR="00570B7F">
          <w:rPr>
            <w:webHidden/>
          </w:rPr>
          <w:tab/>
        </w:r>
        <w:r w:rsidR="00570B7F">
          <w:rPr>
            <w:webHidden/>
          </w:rPr>
          <w:fldChar w:fldCharType="begin"/>
        </w:r>
        <w:r w:rsidR="00570B7F">
          <w:rPr>
            <w:webHidden/>
          </w:rPr>
          <w:instrText xml:space="preserve"> PAGEREF _Toc361659876 \h </w:instrText>
        </w:r>
        <w:r w:rsidR="00570B7F">
          <w:rPr>
            <w:webHidden/>
          </w:rPr>
        </w:r>
        <w:r w:rsidR="00570B7F">
          <w:rPr>
            <w:webHidden/>
          </w:rPr>
          <w:fldChar w:fldCharType="separate"/>
        </w:r>
        <w:r w:rsidR="004455B1">
          <w:rPr>
            <w:webHidden/>
          </w:rPr>
          <w:t>206</w:t>
        </w:r>
        <w:r w:rsidR="00570B7F">
          <w:rPr>
            <w:webHidden/>
          </w:rPr>
          <w:fldChar w:fldCharType="end"/>
        </w:r>
      </w:hyperlink>
    </w:p>
    <w:p w14:paraId="511B2E8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7" w:history="1">
        <w:r w:rsidR="00570B7F" w:rsidRPr="00570F4D">
          <w:rPr>
            <w:rStyle w:val="Hyperlink"/>
          </w:rPr>
          <w:t>§ 95921.  Conduct of Trade.</w:t>
        </w:r>
        <w:r w:rsidR="00570B7F">
          <w:rPr>
            <w:webHidden/>
          </w:rPr>
          <w:tab/>
        </w:r>
        <w:r w:rsidR="00570B7F">
          <w:rPr>
            <w:webHidden/>
          </w:rPr>
          <w:fldChar w:fldCharType="begin"/>
        </w:r>
        <w:r w:rsidR="00570B7F">
          <w:rPr>
            <w:webHidden/>
          </w:rPr>
          <w:instrText xml:space="preserve"> PAGEREF _Toc361659877 \h </w:instrText>
        </w:r>
        <w:r w:rsidR="00570B7F">
          <w:rPr>
            <w:webHidden/>
          </w:rPr>
        </w:r>
        <w:r w:rsidR="00570B7F">
          <w:rPr>
            <w:webHidden/>
          </w:rPr>
          <w:fldChar w:fldCharType="separate"/>
        </w:r>
        <w:r w:rsidR="004455B1">
          <w:rPr>
            <w:webHidden/>
          </w:rPr>
          <w:t>211</w:t>
        </w:r>
        <w:r w:rsidR="00570B7F">
          <w:rPr>
            <w:webHidden/>
          </w:rPr>
          <w:fldChar w:fldCharType="end"/>
        </w:r>
      </w:hyperlink>
    </w:p>
    <w:p w14:paraId="1AD46D73"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8" w:history="1">
        <w:r w:rsidR="00570B7F" w:rsidRPr="00570F4D">
          <w:rPr>
            <w:rStyle w:val="Hyperlink"/>
          </w:rPr>
          <w:t>§ 95922.  Banking, Expiration, and Voluntary Retirement.</w:t>
        </w:r>
        <w:r w:rsidR="00570B7F">
          <w:rPr>
            <w:webHidden/>
          </w:rPr>
          <w:tab/>
        </w:r>
        <w:r w:rsidR="00570B7F">
          <w:rPr>
            <w:webHidden/>
          </w:rPr>
          <w:fldChar w:fldCharType="begin"/>
        </w:r>
        <w:r w:rsidR="00570B7F">
          <w:rPr>
            <w:webHidden/>
          </w:rPr>
          <w:instrText xml:space="preserve"> PAGEREF _Toc361659878 \h </w:instrText>
        </w:r>
        <w:r w:rsidR="00570B7F">
          <w:rPr>
            <w:webHidden/>
          </w:rPr>
        </w:r>
        <w:r w:rsidR="00570B7F">
          <w:rPr>
            <w:webHidden/>
          </w:rPr>
          <w:fldChar w:fldCharType="separate"/>
        </w:r>
        <w:r w:rsidR="004455B1">
          <w:rPr>
            <w:webHidden/>
          </w:rPr>
          <w:t>221</w:t>
        </w:r>
        <w:r w:rsidR="00570B7F">
          <w:rPr>
            <w:webHidden/>
          </w:rPr>
          <w:fldChar w:fldCharType="end"/>
        </w:r>
      </w:hyperlink>
    </w:p>
    <w:p w14:paraId="6277930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79" w:history="1">
        <w:r w:rsidR="00570B7F" w:rsidRPr="00570F4D">
          <w:rPr>
            <w:rStyle w:val="Hyperlink"/>
          </w:rPr>
          <w:t>§ 95923.  Disclosure of Cap-and-Trade Contractors.</w:t>
        </w:r>
        <w:r w:rsidR="00570B7F">
          <w:rPr>
            <w:webHidden/>
          </w:rPr>
          <w:tab/>
        </w:r>
        <w:r w:rsidR="00570B7F">
          <w:rPr>
            <w:webHidden/>
          </w:rPr>
          <w:fldChar w:fldCharType="begin"/>
        </w:r>
        <w:r w:rsidR="00570B7F">
          <w:rPr>
            <w:webHidden/>
          </w:rPr>
          <w:instrText xml:space="preserve"> PAGEREF _Toc361659879 \h </w:instrText>
        </w:r>
        <w:r w:rsidR="00570B7F">
          <w:rPr>
            <w:webHidden/>
          </w:rPr>
        </w:r>
        <w:r w:rsidR="00570B7F">
          <w:rPr>
            <w:webHidden/>
          </w:rPr>
          <w:fldChar w:fldCharType="separate"/>
        </w:r>
        <w:r w:rsidR="004455B1">
          <w:rPr>
            <w:webHidden/>
          </w:rPr>
          <w:t>222</w:t>
        </w:r>
        <w:r w:rsidR="00570B7F">
          <w:rPr>
            <w:webHidden/>
          </w:rPr>
          <w:fldChar w:fldCharType="end"/>
        </w:r>
      </w:hyperlink>
    </w:p>
    <w:p w14:paraId="2050E4AA" w14:textId="77777777" w:rsidR="00570B7F" w:rsidRDefault="00661852">
      <w:pPr>
        <w:pStyle w:val="TOC1"/>
        <w:rPr>
          <w:rFonts w:asciiTheme="minorHAnsi" w:eastAsiaTheme="minorEastAsia" w:hAnsiTheme="minorHAnsi" w:cstheme="minorBidi"/>
          <w:b w:val="0"/>
          <w:bCs w:val="0"/>
          <w:caps w:val="0"/>
          <w:sz w:val="22"/>
          <w:szCs w:val="22"/>
        </w:rPr>
      </w:pPr>
      <w:hyperlink w:anchor="_Toc361659880" w:history="1">
        <w:r w:rsidR="00570B7F" w:rsidRPr="00570F4D">
          <w:rPr>
            <w:rStyle w:val="Hyperlink"/>
          </w:rPr>
          <w:t>Subarticle 12: Linkage to External Greenhouse Gas Emissions Trading Systems</w:t>
        </w:r>
        <w:r w:rsidR="00570B7F">
          <w:rPr>
            <w:webHidden/>
          </w:rPr>
          <w:tab/>
        </w:r>
        <w:r w:rsidR="00570B7F">
          <w:rPr>
            <w:webHidden/>
          </w:rPr>
          <w:fldChar w:fldCharType="begin"/>
        </w:r>
        <w:r w:rsidR="00570B7F">
          <w:rPr>
            <w:webHidden/>
          </w:rPr>
          <w:instrText xml:space="preserve"> PAGEREF _Toc361659880 \h </w:instrText>
        </w:r>
        <w:r w:rsidR="00570B7F">
          <w:rPr>
            <w:webHidden/>
          </w:rPr>
        </w:r>
        <w:r w:rsidR="00570B7F">
          <w:rPr>
            <w:webHidden/>
          </w:rPr>
          <w:fldChar w:fldCharType="separate"/>
        </w:r>
        <w:r w:rsidR="004455B1">
          <w:rPr>
            <w:webHidden/>
          </w:rPr>
          <w:t>223</w:t>
        </w:r>
        <w:r w:rsidR="00570B7F">
          <w:rPr>
            <w:webHidden/>
          </w:rPr>
          <w:fldChar w:fldCharType="end"/>
        </w:r>
      </w:hyperlink>
    </w:p>
    <w:p w14:paraId="5A61152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1" w:history="1">
        <w:r w:rsidR="00570B7F" w:rsidRPr="00570F4D">
          <w:rPr>
            <w:rStyle w:val="Hyperlink"/>
          </w:rPr>
          <w:t>§ 95940.  General Requirements.</w:t>
        </w:r>
        <w:r w:rsidR="00570B7F">
          <w:rPr>
            <w:webHidden/>
          </w:rPr>
          <w:tab/>
        </w:r>
        <w:r w:rsidR="00570B7F">
          <w:rPr>
            <w:webHidden/>
          </w:rPr>
          <w:fldChar w:fldCharType="begin"/>
        </w:r>
        <w:r w:rsidR="00570B7F">
          <w:rPr>
            <w:webHidden/>
          </w:rPr>
          <w:instrText xml:space="preserve"> PAGEREF _Toc361659881 \h </w:instrText>
        </w:r>
        <w:r w:rsidR="00570B7F">
          <w:rPr>
            <w:webHidden/>
          </w:rPr>
        </w:r>
        <w:r w:rsidR="00570B7F">
          <w:rPr>
            <w:webHidden/>
          </w:rPr>
          <w:fldChar w:fldCharType="separate"/>
        </w:r>
        <w:r w:rsidR="004455B1">
          <w:rPr>
            <w:webHidden/>
          </w:rPr>
          <w:t>223</w:t>
        </w:r>
        <w:r w:rsidR="00570B7F">
          <w:rPr>
            <w:webHidden/>
          </w:rPr>
          <w:fldChar w:fldCharType="end"/>
        </w:r>
      </w:hyperlink>
    </w:p>
    <w:p w14:paraId="5975CA11"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2" w:history="1">
        <w:r w:rsidR="00570B7F" w:rsidRPr="00570F4D">
          <w:rPr>
            <w:rStyle w:val="Hyperlink"/>
          </w:rPr>
          <w:t>§ 95941.  Procedures for Approval of External GHG ETS.</w:t>
        </w:r>
        <w:r w:rsidR="00570B7F">
          <w:rPr>
            <w:webHidden/>
          </w:rPr>
          <w:tab/>
        </w:r>
        <w:r w:rsidR="00570B7F">
          <w:rPr>
            <w:webHidden/>
          </w:rPr>
          <w:fldChar w:fldCharType="begin"/>
        </w:r>
        <w:r w:rsidR="00570B7F">
          <w:rPr>
            <w:webHidden/>
          </w:rPr>
          <w:instrText xml:space="preserve"> PAGEREF _Toc361659882 \h </w:instrText>
        </w:r>
        <w:r w:rsidR="00570B7F">
          <w:rPr>
            <w:webHidden/>
          </w:rPr>
        </w:r>
        <w:r w:rsidR="00570B7F">
          <w:rPr>
            <w:webHidden/>
          </w:rPr>
          <w:fldChar w:fldCharType="separate"/>
        </w:r>
        <w:r w:rsidR="004455B1">
          <w:rPr>
            <w:webHidden/>
          </w:rPr>
          <w:t>223</w:t>
        </w:r>
        <w:r w:rsidR="00570B7F">
          <w:rPr>
            <w:webHidden/>
          </w:rPr>
          <w:fldChar w:fldCharType="end"/>
        </w:r>
      </w:hyperlink>
    </w:p>
    <w:p w14:paraId="16D5D7E7"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3" w:history="1">
        <w:r w:rsidR="00570B7F" w:rsidRPr="00570F4D">
          <w:rPr>
            <w:rStyle w:val="Hyperlink"/>
          </w:rPr>
          <w:t>§ 95942.  Interchange of Compliance Instruments with Linked External Greenhouse Gas Emissions Trading Systems.</w:t>
        </w:r>
        <w:r w:rsidR="00570B7F">
          <w:rPr>
            <w:webHidden/>
          </w:rPr>
          <w:tab/>
        </w:r>
        <w:r w:rsidR="00570B7F">
          <w:rPr>
            <w:webHidden/>
          </w:rPr>
          <w:fldChar w:fldCharType="begin"/>
        </w:r>
        <w:r w:rsidR="00570B7F">
          <w:rPr>
            <w:webHidden/>
          </w:rPr>
          <w:instrText xml:space="preserve"> PAGEREF _Toc361659883 \h </w:instrText>
        </w:r>
        <w:r w:rsidR="00570B7F">
          <w:rPr>
            <w:webHidden/>
          </w:rPr>
        </w:r>
        <w:r w:rsidR="00570B7F">
          <w:rPr>
            <w:webHidden/>
          </w:rPr>
          <w:fldChar w:fldCharType="separate"/>
        </w:r>
        <w:r w:rsidR="004455B1">
          <w:rPr>
            <w:webHidden/>
          </w:rPr>
          <w:t>223</w:t>
        </w:r>
        <w:r w:rsidR="00570B7F">
          <w:rPr>
            <w:webHidden/>
          </w:rPr>
          <w:fldChar w:fldCharType="end"/>
        </w:r>
      </w:hyperlink>
    </w:p>
    <w:p w14:paraId="24C877B6"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4" w:history="1">
        <w:r w:rsidR="00570B7F" w:rsidRPr="00570F4D">
          <w:rPr>
            <w:rStyle w:val="Hyperlink"/>
          </w:rPr>
          <w:t>§ 95943.  Linked External GHG ETS.</w:t>
        </w:r>
        <w:r w:rsidR="00570B7F">
          <w:rPr>
            <w:webHidden/>
          </w:rPr>
          <w:tab/>
        </w:r>
        <w:r w:rsidR="00570B7F">
          <w:rPr>
            <w:webHidden/>
          </w:rPr>
          <w:fldChar w:fldCharType="begin"/>
        </w:r>
        <w:r w:rsidR="00570B7F">
          <w:rPr>
            <w:webHidden/>
          </w:rPr>
          <w:instrText xml:space="preserve"> PAGEREF _Toc361659884 \h </w:instrText>
        </w:r>
        <w:r w:rsidR="00570B7F">
          <w:rPr>
            <w:webHidden/>
          </w:rPr>
        </w:r>
        <w:r w:rsidR="00570B7F">
          <w:rPr>
            <w:webHidden/>
          </w:rPr>
          <w:fldChar w:fldCharType="separate"/>
        </w:r>
        <w:r w:rsidR="004455B1">
          <w:rPr>
            <w:webHidden/>
          </w:rPr>
          <w:t>224</w:t>
        </w:r>
        <w:r w:rsidR="00570B7F">
          <w:rPr>
            <w:webHidden/>
          </w:rPr>
          <w:fldChar w:fldCharType="end"/>
        </w:r>
      </w:hyperlink>
    </w:p>
    <w:p w14:paraId="39A53CD6" w14:textId="77777777" w:rsidR="00570B7F" w:rsidRDefault="00661852">
      <w:pPr>
        <w:pStyle w:val="TOC1"/>
        <w:rPr>
          <w:rFonts w:asciiTheme="minorHAnsi" w:eastAsiaTheme="minorEastAsia" w:hAnsiTheme="minorHAnsi" w:cstheme="minorBidi"/>
          <w:b w:val="0"/>
          <w:bCs w:val="0"/>
          <w:caps w:val="0"/>
          <w:sz w:val="22"/>
          <w:szCs w:val="22"/>
        </w:rPr>
      </w:pPr>
      <w:hyperlink w:anchor="_Toc361659885" w:history="1">
        <w:r w:rsidR="00570B7F" w:rsidRPr="00570F4D">
          <w:rPr>
            <w:rStyle w:val="Hyperlink"/>
          </w:rPr>
          <w:t>Subarticle 13: ARB Offset Credits and Registry Offset Credits</w:t>
        </w:r>
        <w:r w:rsidR="00570B7F">
          <w:rPr>
            <w:webHidden/>
          </w:rPr>
          <w:tab/>
        </w:r>
        <w:r w:rsidR="00570B7F">
          <w:rPr>
            <w:webHidden/>
          </w:rPr>
          <w:fldChar w:fldCharType="begin"/>
        </w:r>
        <w:r w:rsidR="00570B7F">
          <w:rPr>
            <w:webHidden/>
          </w:rPr>
          <w:instrText xml:space="preserve"> PAGEREF _Toc361659885 \h </w:instrText>
        </w:r>
        <w:r w:rsidR="00570B7F">
          <w:rPr>
            <w:webHidden/>
          </w:rPr>
        </w:r>
        <w:r w:rsidR="00570B7F">
          <w:rPr>
            <w:webHidden/>
          </w:rPr>
          <w:fldChar w:fldCharType="separate"/>
        </w:r>
        <w:r w:rsidR="004455B1">
          <w:rPr>
            <w:webHidden/>
          </w:rPr>
          <w:t>225</w:t>
        </w:r>
        <w:r w:rsidR="00570B7F">
          <w:rPr>
            <w:webHidden/>
          </w:rPr>
          <w:fldChar w:fldCharType="end"/>
        </w:r>
      </w:hyperlink>
    </w:p>
    <w:p w14:paraId="131BAEAB"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6" w:history="1">
        <w:r w:rsidR="00570B7F" w:rsidRPr="00570F4D">
          <w:rPr>
            <w:rStyle w:val="Hyperlink"/>
            <w:rFonts w:cs="Arial"/>
            <w:b/>
          </w:rPr>
          <w:t>§ 95970.  General Requirements for ARB Offset Credits.</w:t>
        </w:r>
        <w:r w:rsidR="00570B7F">
          <w:rPr>
            <w:webHidden/>
          </w:rPr>
          <w:tab/>
        </w:r>
        <w:r w:rsidR="00570B7F">
          <w:rPr>
            <w:webHidden/>
          </w:rPr>
          <w:fldChar w:fldCharType="begin"/>
        </w:r>
        <w:r w:rsidR="00570B7F">
          <w:rPr>
            <w:webHidden/>
          </w:rPr>
          <w:instrText xml:space="preserve"> PAGEREF _Toc361659886 \h </w:instrText>
        </w:r>
        <w:r w:rsidR="00570B7F">
          <w:rPr>
            <w:webHidden/>
          </w:rPr>
        </w:r>
        <w:r w:rsidR="00570B7F">
          <w:rPr>
            <w:webHidden/>
          </w:rPr>
          <w:fldChar w:fldCharType="separate"/>
        </w:r>
        <w:r w:rsidR="004455B1">
          <w:rPr>
            <w:webHidden/>
          </w:rPr>
          <w:t>225</w:t>
        </w:r>
        <w:r w:rsidR="00570B7F">
          <w:rPr>
            <w:webHidden/>
          </w:rPr>
          <w:fldChar w:fldCharType="end"/>
        </w:r>
      </w:hyperlink>
    </w:p>
    <w:p w14:paraId="28089031"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7" w:history="1">
        <w:r w:rsidR="00570B7F" w:rsidRPr="00570F4D">
          <w:rPr>
            <w:rStyle w:val="Hyperlink"/>
            <w:rFonts w:cs="Arial"/>
            <w:b/>
          </w:rPr>
          <w:t>§ 95971.  Procedures for Approval of Compliance Offset Protocols.</w:t>
        </w:r>
        <w:r w:rsidR="00570B7F">
          <w:rPr>
            <w:webHidden/>
          </w:rPr>
          <w:tab/>
        </w:r>
        <w:r w:rsidR="00570B7F">
          <w:rPr>
            <w:webHidden/>
          </w:rPr>
          <w:fldChar w:fldCharType="begin"/>
        </w:r>
        <w:r w:rsidR="00570B7F">
          <w:rPr>
            <w:webHidden/>
          </w:rPr>
          <w:instrText xml:space="preserve"> PAGEREF _Toc361659887 \h </w:instrText>
        </w:r>
        <w:r w:rsidR="00570B7F">
          <w:rPr>
            <w:webHidden/>
          </w:rPr>
        </w:r>
        <w:r w:rsidR="00570B7F">
          <w:rPr>
            <w:webHidden/>
          </w:rPr>
          <w:fldChar w:fldCharType="separate"/>
        </w:r>
        <w:r w:rsidR="004455B1">
          <w:rPr>
            <w:webHidden/>
          </w:rPr>
          <w:t>226</w:t>
        </w:r>
        <w:r w:rsidR="00570B7F">
          <w:rPr>
            <w:webHidden/>
          </w:rPr>
          <w:fldChar w:fldCharType="end"/>
        </w:r>
      </w:hyperlink>
    </w:p>
    <w:p w14:paraId="6B9078D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8" w:history="1">
        <w:r w:rsidR="00570B7F" w:rsidRPr="00570F4D">
          <w:rPr>
            <w:rStyle w:val="Hyperlink"/>
            <w:rFonts w:cs="Arial"/>
            <w:b/>
          </w:rPr>
          <w:t>§ 95972.  Requirements for Compliance Offset Protocols.</w:t>
        </w:r>
        <w:r w:rsidR="00570B7F">
          <w:rPr>
            <w:webHidden/>
          </w:rPr>
          <w:tab/>
        </w:r>
        <w:r w:rsidR="00570B7F">
          <w:rPr>
            <w:webHidden/>
          </w:rPr>
          <w:fldChar w:fldCharType="begin"/>
        </w:r>
        <w:r w:rsidR="00570B7F">
          <w:rPr>
            <w:webHidden/>
          </w:rPr>
          <w:instrText xml:space="preserve"> PAGEREF _Toc361659888 \h </w:instrText>
        </w:r>
        <w:r w:rsidR="00570B7F">
          <w:rPr>
            <w:webHidden/>
          </w:rPr>
        </w:r>
        <w:r w:rsidR="00570B7F">
          <w:rPr>
            <w:webHidden/>
          </w:rPr>
          <w:fldChar w:fldCharType="separate"/>
        </w:r>
        <w:r w:rsidR="004455B1">
          <w:rPr>
            <w:webHidden/>
          </w:rPr>
          <w:t>226</w:t>
        </w:r>
        <w:r w:rsidR="00570B7F">
          <w:rPr>
            <w:webHidden/>
          </w:rPr>
          <w:fldChar w:fldCharType="end"/>
        </w:r>
      </w:hyperlink>
    </w:p>
    <w:p w14:paraId="2079F16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89" w:history="1">
        <w:r w:rsidR="00570B7F" w:rsidRPr="00570F4D">
          <w:rPr>
            <w:rStyle w:val="Hyperlink"/>
            <w:rFonts w:cs="Arial"/>
            <w:b/>
          </w:rPr>
          <w:t>§ 95973.  Requirements for Offset Projects Using ARB Compliance Offset Protocols.</w:t>
        </w:r>
        <w:r w:rsidR="00570B7F">
          <w:rPr>
            <w:webHidden/>
          </w:rPr>
          <w:tab/>
        </w:r>
        <w:r w:rsidR="00570B7F">
          <w:rPr>
            <w:webHidden/>
          </w:rPr>
          <w:fldChar w:fldCharType="begin"/>
        </w:r>
        <w:r w:rsidR="00570B7F">
          <w:rPr>
            <w:webHidden/>
          </w:rPr>
          <w:instrText xml:space="preserve"> PAGEREF _Toc361659889 \h </w:instrText>
        </w:r>
        <w:r w:rsidR="00570B7F">
          <w:rPr>
            <w:webHidden/>
          </w:rPr>
        </w:r>
        <w:r w:rsidR="00570B7F">
          <w:rPr>
            <w:webHidden/>
          </w:rPr>
          <w:fldChar w:fldCharType="separate"/>
        </w:r>
        <w:r w:rsidR="004455B1">
          <w:rPr>
            <w:webHidden/>
          </w:rPr>
          <w:t>227</w:t>
        </w:r>
        <w:r w:rsidR="00570B7F">
          <w:rPr>
            <w:webHidden/>
          </w:rPr>
          <w:fldChar w:fldCharType="end"/>
        </w:r>
      </w:hyperlink>
    </w:p>
    <w:p w14:paraId="012E0583"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0" w:history="1">
        <w:r w:rsidR="00570B7F" w:rsidRPr="00570F4D">
          <w:rPr>
            <w:rStyle w:val="Hyperlink"/>
            <w:rFonts w:cs="Arial"/>
            <w:b/>
          </w:rPr>
          <w:t>§ 95974.  Authorized Project Designee.</w:t>
        </w:r>
        <w:r w:rsidR="00570B7F">
          <w:rPr>
            <w:webHidden/>
          </w:rPr>
          <w:tab/>
        </w:r>
        <w:r w:rsidR="00570B7F">
          <w:rPr>
            <w:webHidden/>
          </w:rPr>
          <w:fldChar w:fldCharType="begin"/>
        </w:r>
        <w:r w:rsidR="00570B7F">
          <w:rPr>
            <w:webHidden/>
          </w:rPr>
          <w:instrText xml:space="preserve"> PAGEREF _Toc361659890 \h </w:instrText>
        </w:r>
        <w:r w:rsidR="00570B7F">
          <w:rPr>
            <w:webHidden/>
          </w:rPr>
        </w:r>
        <w:r w:rsidR="00570B7F">
          <w:rPr>
            <w:webHidden/>
          </w:rPr>
          <w:fldChar w:fldCharType="separate"/>
        </w:r>
        <w:r w:rsidR="004455B1">
          <w:rPr>
            <w:webHidden/>
          </w:rPr>
          <w:t>229</w:t>
        </w:r>
        <w:r w:rsidR="00570B7F">
          <w:rPr>
            <w:webHidden/>
          </w:rPr>
          <w:fldChar w:fldCharType="end"/>
        </w:r>
      </w:hyperlink>
    </w:p>
    <w:p w14:paraId="5D961BF3"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1" w:history="1">
        <w:r w:rsidR="00570B7F" w:rsidRPr="00570F4D">
          <w:rPr>
            <w:rStyle w:val="Hyperlink"/>
            <w:rFonts w:cs="Arial"/>
            <w:b/>
          </w:rPr>
          <w:t>§ 95975.  Listing of Offset Projects Using ARB Compliance Offset Protocols.</w:t>
        </w:r>
        <w:r w:rsidR="00570B7F">
          <w:rPr>
            <w:webHidden/>
          </w:rPr>
          <w:tab/>
        </w:r>
        <w:r w:rsidR="00570B7F">
          <w:rPr>
            <w:webHidden/>
          </w:rPr>
          <w:fldChar w:fldCharType="begin"/>
        </w:r>
        <w:r w:rsidR="00570B7F">
          <w:rPr>
            <w:webHidden/>
          </w:rPr>
          <w:instrText xml:space="preserve"> PAGEREF _Toc361659891 \h </w:instrText>
        </w:r>
        <w:r w:rsidR="00570B7F">
          <w:rPr>
            <w:webHidden/>
          </w:rPr>
        </w:r>
        <w:r w:rsidR="00570B7F">
          <w:rPr>
            <w:webHidden/>
          </w:rPr>
          <w:fldChar w:fldCharType="separate"/>
        </w:r>
        <w:r w:rsidR="004455B1">
          <w:rPr>
            <w:webHidden/>
          </w:rPr>
          <w:t>231</w:t>
        </w:r>
        <w:r w:rsidR="00570B7F">
          <w:rPr>
            <w:webHidden/>
          </w:rPr>
          <w:fldChar w:fldCharType="end"/>
        </w:r>
      </w:hyperlink>
    </w:p>
    <w:p w14:paraId="62BB1D4E"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2" w:history="1">
        <w:r w:rsidR="00570B7F" w:rsidRPr="00570F4D">
          <w:rPr>
            <w:rStyle w:val="Hyperlink"/>
            <w:rFonts w:cs="Arial"/>
            <w:b/>
          </w:rPr>
          <w:t>§ 95976.  Monitoring, Reporting, and Record Retention Requirements for Offset Projects.</w:t>
        </w:r>
        <w:r w:rsidR="00570B7F">
          <w:rPr>
            <w:webHidden/>
          </w:rPr>
          <w:tab/>
        </w:r>
        <w:r w:rsidR="00570B7F">
          <w:rPr>
            <w:webHidden/>
          </w:rPr>
          <w:fldChar w:fldCharType="begin"/>
        </w:r>
        <w:r w:rsidR="00570B7F">
          <w:rPr>
            <w:webHidden/>
          </w:rPr>
          <w:instrText xml:space="preserve"> PAGEREF _Toc361659892 \h </w:instrText>
        </w:r>
        <w:r w:rsidR="00570B7F">
          <w:rPr>
            <w:webHidden/>
          </w:rPr>
        </w:r>
        <w:r w:rsidR="00570B7F">
          <w:rPr>
            <w:webHidden/>
          </w:rPr>
          <w:fldChar w:fldCharType="separate"/>
        </w:r>
        <w:r w:rsidR="004455B1">
          <w:rPr>
            <w:webHidden/>
          </w:rPr>
          <w:t>238</w:t>
        </w:r>
        <w:r w:rsidR="00570B7F">
          <w:rPr>
            <w:webHidden/>
          </w:rPr>
          <w:fldChar w:fldCharType="end"/>
        </w:r>
      </w:hyperlink>
    </w:p>
    <w:p w14:paraId="3F60317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3" w:history="1">
        <w:r w:rsidR="00570B7F" w:rsidRPr="00570F4D">
          <w:rPr>
            <w:rStyle w:val="Hyperlink"/>
            <w:rFonts w:cs="Arial"/>
            <w:b/>
          </w:rPr>
          <w:t>§ 95977.  Verification of GHG Emission Reductions and GHG Removal Enhancements from Offset Projects.</w:t>
        </w:r>
        <w:r w:rsidR="00570B7F">
          <w:rPr>
            <w:webHidden/>
          </w:rPr>
          <w:tab/>
        </w:r>
        <w:r w:rsidR="00570B7F">
          <w:rPr>
            <w:webHidden/>
          </w:rPr>
          <w:fldChar w:fldCharType="begin"/>
        </w:r>
        <w:r w:rsidR="00570B7F">
          <w:rPr>
            <w:webHidden/>
          </w:rPr>
          <w:instrText xml:space="preserve"> PAGEREF _Toc361659893 \h </w:instrText>
        </w:r>
        <w:r w:rsidR="00570B7F">
          <w:rPr>
            <w:webHidden/>
          </w:rPr>
        </w:r>
        <w:r w:rsidR="00570B7F">
          <w:rPr>
            <w:webHidden/>
          </w:rPr>
          <w:fldChar w:fldCharType="separate"/>
        </w:r>
        <w:r w:rsidR="004455B1">
          <w:rPr>
            <w:webHidden/>
          </w:rPr>
          <w:t>244</w:t>
        </w:r>
        <w:r w:rsidR="00570B7F">
          <w:rPr>
            <w:webHidden/>
          </w:rPr>
          <w:fldChar w:fldCharType="end"/>
        </w:r>
      </w:hyperlink>
    </w:p>
    <w:p w14:paraId="6855C2C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4" w:history="1">
        <w:r w:rsidR="00570B7F" w:rsidRPr="00570F4D">
          <w:rPr>
            <w:rStyle w:val="Hyperlink"/>
            <w:rFonts w:cs="Arial"/>
            <w:b/>
          </w:rPr>
          <w:t>§ 95977.1.  Requirements for Offset Verification Services.</w:t>
        </w:r>
        <w:r w:rsidR="00570B7F">
          <w:rPr>
            <w:webHidden/>
          </w:rPr>
          <w:tab/>
        </w:r>
        <w:r w:rsidR="00570B7F">
          <w:rPr>
            <w:webHidden/>
          </w:rPr>
          <w:fldChar w:fldCharType="begin"/>
        </w:r>
        <w:r w:rsidR="00570B7F">
          <w:rPr>
            <w:webHidden/>
          </w:rPr>
          <w:instrText xml:space="preserve"> PAGEREF _Toc361659894 \h </w:instrText>
        </w:r>
        <w:r w:rsidR="00570B7F">
          <w:rPr>
            <w:webHidden/>
          </w:rPr>
        </w:r>
        <w:r w:rsidR="00570B7F">
          <w:rPr>
            <w:webHidden/>
          </w:rPr>
          <w:fldChar w:fldCharType="separate"/>
        </w:r>
        <w:r w:rsidR="004455B1">
          <w:rPr>
            <w:webHidden/>
          </w:rPr>
          <w:t>246</w:t>
        </w:r>
        <w:r w:rsidR="00570B7F">
          <w:rPr>
            <w:webHidden/>
          </w:rPr>
          <w:fldChar w:fldCharType="end"/>
        </w:r>
      </w:hyperlink>
    </w:p>
    <w:p w14:paraId="3D1DF009"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5" w:history="1">
        <w:r w:rsidR="00570B7F" w:rsidRPr="00570F4D">
          <w:rPr>
            <w:rStyle w:val="Hyperlink"/>
            <w:rFonts w:cs="Arial"/>
            <w:b/>
          </w:rPr>
          <w:t>§ 95977.2.  Additional Project Specific Requirements for Offset Verification Services.</w:t>
        </w:r>
        <w:r w:rsidR="00570B7F">
          <w:rPr>
            <w:webHidden/>
          </w:rPr>
          <w:tab/>
        </w:r>
        <w:r w:rsidR="00570B7F">
          <w:rPr>
            <w:webHidden/>
          </w:rPr>
          <w:fldChar w:fldCharType="begin"/>
        </w:r>
        <w:r w:rsidR="00570B7F">
          <w:rPr>
            <w:webHidden/>
          </w:rPr>
          <w:instrText xml:space="preserve"> PAGEREF _Toc361659895 \h </w:instrText>
        </w:r>
        <w:r w:rsidR="00570B7F">
          <w:rPr>
            <w:webHidden/>
          </w:rPr>
        </w:r>
        <w:r w:rsidR="00570B7F">
          <w:rPr>
            <w:webHidden/>
          </w:rPr>
          <w:fldChar w:fldCharType="separate"/>
        </w:r>
        <w:r w:rsidR="004455B1">
          <w:rPr>
            <w:webHidden/>
          </w:rPr>
          <w:t>267</w:t>
        </w:r>
        <w:r w:rsidR="00570B7F">
          <w:rPr>
            <w:webHidden/>
          </w:rPr>
          <w:fldChar w:fldCharType="end"/>
        </w:r>
      </w:hyperlink>
    </w:p>
    <w:p w14:paraId="408E5566"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6" w:history="1">
        <w:r w:rsidR="00570B7F" w:rsidRPr="00570F4D">
          <w:rPr>
            <w:rStyle w:val="Hyperlink"/>
            <w:rFonts w:cs="Arial"/>
            <w:b/>
          </w:rPr>
          <w:t>§ 95978.  Offset Verifier and Verification Body Accreditation.</w:t>
        </w:r>
        <w:r w:rsidR="00570B7F">
          <w:rPr>
            <w:webHidden/>
          </w:rPr>
          <w:tab/>
        </w:r>
        <w:r w:rsidR="00570B7F">
          <w:rPr>
            <w:webHidden/>
          </w:rPr>
          <w:fldChar w:fldCharType="begin"/>
        </w:r>
        <w:r w:rsidR="00570B7F">
          <w:rPr>
            <w:webHidden/>
          </w:rPr>
          <w:instrText xml:space="preserve"> PAGEREF _Toc361659896 \h </w:instrText>
        </w:r>
        <w:r w:rsidR="00570B7F">
          <w:rPr>
            <w:webHidden/>
          </w:rPr>
        </w:r>
        <w:r w:rsidR="00570B7F">
          <w:rPr>
            <w:webHidden/>
          </w:rPr>
          <w:fldChar w:fldCharType="separate"/>
        </w:r>
        <w:r w:rsidR="004455B1">
          <w:rPr>
            <w:webHidden/>
          </w:rPr>
          <w:t>267</w:t>
        </w:r>
        <w:r w:rsidR="00570B7F">
          <w:rPr>
            <w:webHidden/>
          </w:rPr>
          <w:fldChar w:fldCharType="end"/>
        </w:r>
      </w:hyperlink>
    </w:p>
    <w:p w14:paraId="2F6EF283"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7" w:history="1">
        <w:r w:rsidR="00570B7F" w:rsidRPr="00570F4D">
          <w:rPr>
            <w:rStyle w:val="Hyperlink"/>
            <w:rFonts w:cs="Arial"/>
            <w:b/>
          </w:rPr>
          <w:t>§ 95979.  Conflict of Interest Requirements for Verification Bodies and Offset Verifiers for Verification of Offset Project Data Reports.</w:t>
        </w:r>
        <w:r w:rsidR="00570B7F">
          <w:rPr>
            <w:webHidden/>
          </w:rPr>
          <w:tab/>
        </w:r>
        <w:r w:rsidR="00570B7F">
          <w:rPr>
            <w:webHidden/>
          </w:rPr>
          <w:fldChar w:fldCharType="begin"/>
        </w:r>
        <w:r w:rsidR="00570B7F">
          <w:rPr>
            <w:webHidden/>
          </w:rPr>
          <w:instrText xml:space="preserve"> PAGEREF _Toc361659897 \h </w:instrText>
        </w:r>
        <w:r w:rsidR="00570B7F">
          <w:rPr>
            <w:webHidden/>
          </w:rPr>
        </w:r>
        <w:r w:rsidR="00570B7F">
          <w:rPr>
            <w:webHidden/>
          </w:rPr>
          <w:fldChar w:fldCharType="separate"/>
        </w:r>
        <w:r w:rsidR="004455B1">
          <w:rPr>
            <w:webHidden/>
          </w:rPr>
          <w:t>268</w:t>
        </w:r>
        <w:r w:rsidR="00570B7F">
          <w:rPr>
            <w:webHidden/>
          </w:rPr>
          <w:fldChar w:fldCharType="end"/>
        </w:r>
      </w:hyperlink>
    </w:p>
    <w:p w14:paraId="4E5A57DE"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8" w:history="1">
        <w:r w:rsidR="00570B7F" w:rsidRPr="00570F4D">
          <w:rPr>
            <w:rStyle w:val="Hyperlink"/>
          </w:rPr>
          <w:t>95979.1   Additional Requirements for Air Quality Management and Air Pollution Control Districts.</w:t>
        </w:r>
        <w:r w:rsidR="00570B7F">
          <w:rPr>
            <w:webHidden/>
          </w:rPr>
          <w:tab/>
        </w:r>
        <w:r w:rsidR="00570B7F">
          <w:rPr>
            <w:webHidden/>
          </w:rPr>
          <w:fldChar w:fldCharType="begin"/>
        </w:r>
        <w:r w:rsidR="00570B7F">
          <w:rPr>
            <w:webHidden/>
          </w:rPr>
          <w:instrText xml:space="preserve"> PAGEREF _Toc361659898 \h </w:instrText>
        </w:r>
        <w:r w:rsidR="00570B7F">
          <w:rPr>
            <w:webHidden/>
          </w:rPr>
        </w:r>
        <w:r w:rsidR="00570B7F">
          <w:rPr>
            <w:webHidden/>
          </w:rPr>
          <w:fldChar w:fldCharType="separate"/>
        </w:r>
        <w:r w:rsidR="004455B1">
          <w:rPr>
            <w:webHidden/>
          </w:rPr>
          <w:t>278</w:t>
        </w:r>
        <w:r w:rsidR="00570B7F">
          <w:rPr>
            <w:webHidden/>
          </w:rPr>
          <w:fldChar w:fldCharType="end"/>
        </w:r>
      </w:hyperlink>
    </w:p>
    <w:p w14:paraId="7AE9B60A"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899" w:history="1">
        <w:r w:rsidR="00570B7F" w:rsidRPr="00570F4D">
          <w:rPr>
            <w:rStyle w:val="Hyperlink"/>
            <w:rFonts w:cs="Arial"/>
            <w:b/>
          </w:rPr>
          <w:t>§ 95980.  Issuance of Registry Offset Credits.</w:t>
        </w:r>
        <w:r w:rsidR="00570B7F">
          <w:rPr>
            <w:webHidden/>
          </w:rPr>
          <w:tab/>
        </w:r>
        <w:r w:rsidR="00570B7F">
          <w:rPr>
            <w:webHidden/>
          </w:rPr>
          <w:fldChar w:fldCharType="begin"/>
        </w:r>
        <w:r w:rsidR="00570B7F">
          <w:rPr>
            <w:webHidden/>
          </w:rPr>
          <w:instrText xml:space="preserve"> PAGEREF _Toc361659899 \h </w:instrText>
        </w:r>
        <w:r w:rsidR="00570B7F">
          <w:rPr>
            <w:webHidden/>
          </w:rPr>
        </w:r>
        <w:r w:rsidR="00570B7F">
          <w:rPr>
            <w:webHidden/>
          </w:rPr>
          <w:fldChar w:fldCharType="separate"/>
        </w:r>
        <w:r w:rsidR="004455B1">
          <w:rPr>
            <w:webHidden/>
          </w:rPr>
          <w:t>278</w:t>
        </w:r>
        <w:r w:rsidR="00570B7F">
          <w:rPr>
            <w:webHidden/>
          </w:rPr>
          <w:fldChar w:fldCharType="end"/>
        </w:r>
      </w:hyperlink>
    </w:p>
    <w:p w14:paraId="72F98807"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0" w:history="1">
        <w:r w:rsidR="00570B7F" w:rsidRPr="00570F4D">
          <w:rPr>
            <w:rStyle w:val="Hyperlink"/>
            <w:rFonts w:cs="Arial"/>
            <w:b/>
          </w:rPr>
          <w:t>§ 95980.1  Process for Issuance of Registry Offset Credits.</w:t>
        </w:r>
        <w:r w:rsidR="00570B7F">
          <w:rPr>
            <w:webHidden/>
          </w:rPr>
          <w:tab/>
        </w:r>
        <w:r w:rsidR="00570B7F">
          <w:rPr>
            <w:webHidden/>
          </w:rPr>
          <w:fldChar w:fldCharType="begin"/>
        </w:r>
        <w:r w:rsidR="00570B7F">
          <w:rPr>
            <w:webHidden/>
          </w:rPr>
          <w:instrText xml:space="preserve"> PAGEREF _Toc361659900 \h </w:instrText>
        </w:r>
        <w:r w:rsidR="00570B7F">
          <w:rPr>
            <w:webHidden/>
          </w:rPr>
        </w:r>
        <w:r w:rsidR="00570B7F">
          <w:rPr>
            <w:webHidden/>
          </w:rPr>
          <w:fldChar w:fldCharType="separate"/>
        </w:r>
        <w:r w:rsidR="004455B1">
          <w:rPr>
            <w:webHidden/>
          </w:rPr>
          <w:t>280</w:t>
        </w:r>
        <w:r w:rsidR="00570B7F">
          <w:rPr>
            <w:webHidden/>
          </w:rPr>
          <w:fldChar w:fldCharType="end"/>
        </w:r>
      </w:hyperlink>
    </w:p>
    <w:p w14:paraId="69E4720C"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1" w:history="1">
        <w:r w:rsidR="00570B7F" w:rsidRPr="00570F4D">
          <w:rPr>
            <w:rStyle w:val="Hyperlink"/>
            <w:rFonts w:cs="Arial"/>
            <w:b/>
          </w:rPr>
          <w:t>§ 95981.  Issuance of ARB Offset Credits.</w:t>
        </w:r>
        <w:r w:rsidR="00570B7F">
          <w:rPr>
            <w:webHidden/>
          </w:rPr>
          <w:tab/>
        </w:r>
        <w:r w:rsidR="00570B7F">
          <w:rPr>
            <w:webHidden/>
          </w:rPr>
          <w:fldChar w:fldCharType="begin"/>
        </w:r>
        <w:r w:rsidR="00570B7F">
          <w:rPr>
            <w:webHidden/>
          </w:rPr>
          <w:instrText xml:space="preserve"> PAGEREF _Toc361659901 \h </w:instrText>
        </w:r>
        <w:r w:rsidR="00570B7F">
          <w:rPr>
            <w:webHidden/>
          </w:rPr>
        </w:r>
        <w:r w:rsidR="00570B7F">
          <w:rPr>
            <w:webHidden/>
          </w:rPr>
          <w:fldChar w:fldCharType="separate"/>
        </w:r>
        <w:r w:rsidR="004455B1">
          <w:rPr>
            <w:webHidden/>
          </w:rPr>
          <w:t>282</w:t>
        </w:r>
        <w:r w:rsidR="00570B7F">
          <w:rPr>
            <w:webHidden/>
          </w:rPr>
          <w:fldChar w:fldCharType="end"/>
        </w:r>
      </w:hyperlink>
    </w:p>
    <w:p w14:paraId="7BF819C9"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2" w:history="1">
        <w:r w:rsidR="00570B7F" w:rsidRPr="00570F4D">
          <w:rPr>
            <w:rStyle w:val="Hyperlink"/>
            <w:rFonts w:cs="Arial"/>
            <w:b/>
          </w:rPr>
          <w:t>§ 95981.1  Process for Issuance of ARB Offset Credits.</w:t>
        </w:r>
        <w:r w:rsidR="00570B7F">
          <w:rPr>
            <w:webHidden/>
          </w:rPr>
          <w:tab/>
        </w:r>
        <w:r w:rsidR="00570B7F">
          <w:rPr>
            <w:webHidden/>
          </w:rPr>
          <w:fldChar w:fldCharType="begin"/>
        </w:r>
        <w:r w:rsidR="00570B7F">
          <w:rPr>
            <w:webHidden/>
          </w:rPr>
          <w:instrText xml:space="preserve"> PAGEREF _Toc361659902 \h </w:instrText>
        </w:r>
        <w:r w:rsidR="00570B7F">
          <w:rPr>
            <w:webHidden/>
          </w:rPr>
        </w:r>
        <w:r w:rsidR="00570B7F">
          <w:rPr>
            <w:webHidden/>
          </w:rPr>
          <w:fldChar w:fldCharType="separate"/>
        </w:r>
        <w:r w:rsidR="004455B1">
          <w:rPr>
            <w:webHidden/>
          </w:rPr>
          <w:t>286</w:t>
        </w:r>
        <w:r w:rsidR="00570B7F">
          <w:rPr>
            <w:webHidden/>
          </w:rPr>
          <w:fldChar w:fldCharType="end"/>
        </w:r>
      </w:hyperlink>
    </w:p>
    <w:p w14:paraId="780235A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3" w:history="1">
        <w:r w:rsidR="00570B7F" w:rsidRPr="00570F4D">
          <w:rPr>
            <w:rStyle w:val="Hyperlink"/>
            <w:rFonts w:cs="Arial"/>
            <w:b/>
          </w:rPr>
          <w:t>§ 95982.  Registration of ARB Offset Credits.</w:t>
        </w:r>
        <w:r w:rsidR="00570B7F">
          <w:rPr>
            <w:webHidden/>
          </w:rPr>
          <w:tab/>
        </w:r>
        <w:r w:rsidR="00570B7F">
          <w:rPr>
            <w:webHidden/>
          </w:rPr>
          <w:fldChar w:fldCharType="begin"/>
        </w:r>
        <w:r w:rsidR="00570B7F">
          <w:rPr>
            <w:webHidden/>
          </w:rPr>
          <w:instrText xml:space="preserve"> PAGEREF _Toc361659903 \h </w:instrText>
        </w:r>
        <w:r w:rsidR="00570B7F">
          <w:rPr>
            <w:webHidden/>
          </w:rPr>
        </w:r>
        <w:r w:rsidR="00570B7F">
          <w:rPr>
            <w:webHidden/>
          </w:rPr>
          <w:fldChar w:fldCharType="separate"/>
        </w:r>
        <w:r w:rsidR="004455B1">
          <w:rPr>
            <w:webHidden/>
          </w:rPr>
          <w:t>288</w:t>
        </w:r>
        <w:r w:rsidR="00570B7F">
          <w:rPr>
            <w:webHidden/>
          </w:rPr>
          <w:fldChar w:fldCharType="end"/>
        </w:r>
      </w:hyperlink>
    </w:p>
    <w:p w14:paraId="07D0DDED"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4" w:history="1">
        <w:r w:rsidR="00570B7F" w:rsidRPr="00570F4D">
          <w:rPr>
            <w:rStyle w:val="Hyperlink"/>
            <w:rFonts w:cs="Arial"/>
            <w:b/>
          </w:rPr>
          <w:t>§ 95983.  Forestry Offset Reversals.</w:t>
        </w:r>
        <w:r w:rsidR="00570B7F">
          <w:rPr>
            <w:webHidden/>
          </w:rPr>
          <w:tab/>
        </w:r>
        <w:r w:rsidR="00570B7F">
          <w:rPr>
            <w:webHidden/>
          </w:rPr>
          <w:fldChar w:fldCharType="begin"/>
        </w:r>
        <w:r w:rsidR="00570B7F">
          <w:rPr>
            <w:webHidden/>
          </w:rPr>
          <w:instrText xml:space="preserve"> PAGEREF _Toc361659904 \h </w:instrText>
        </w:r>
        <w:r w:rsidR="00570B7F">
          <w:rPr>
            <w:webHidden/>
          </w:rPr>
        </w:r>
        <w:r w:rsidR="00570B7F">
          <w:rPr>
            <w:webHidden/>
          </w:rPr>
          <w:fldChar w:fldCharType="separate"/>
        </w:r>
        <w:r w:rsidR="004455B1">
          <w:rPr>
            <w:webHidden/>
          </w:rPr>
          <w:t>288</w:t>
        </w:r>
        <w:r w:rsidR="00570B7F">
          <w:rPr>
            <w:webHidden/>
          </w:rPr>
          <w:fldChar w:fldCharType="end"/>
        </w:r>
      </w:hyperlink>
    </w:p>
    <w:p w14:paraId="72DE7E9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5" w:history="1">
        <w:r w:rsidR="00570B7F" w:rsidRPr="00570F4D">
          <w:rPr>
            <w:rStyle w:val="Hyperlink"/>
            <w:rFonts w:cs="Arial"/>
            <w:b/>
          </w:rPr>
          <w:t>§ 95984.  Ownership and Transferability of ARB Offset Credits.</w:t>
        </w:r>
        <w:r w:rsidR="00570B7F">
          <w:rPr>
            <w:webHidden/>
          </w:rPr>
          <w:tab/>
        </w:r>
        <w:r w:rsidR="00570B7F">
          <w:rPr>
            <w:webHidden/>
          </w:rPr>
          <w:fldChar w:fldCharType="begin"/>
        </w:r>
        <w:r w:rsidR="00570B7F">
          <w:rPr>
            <w:webHidden/>
          </w:rPr>
          <w:instrText xml:space="preserve"> PAGEREF _Toc361659905 \h </w:instrText>
        </w:r>
        <w:r w:rsidR="00570B7F">
          <w:rPr>
            <w:webHidden/>
          </w:rPr>
        </w:r>
        <w:r w:rsidR="00570B7F">
          <w:rPr>
            <w:webHidden/>
          </w:rPr>
          <w:fldChar w:fldCharType="separate"/>
        </w:r>
        <w:r w:rsidR="004455B1">
          <w:rPr>
            <w:webHidden/>
          </w:rPr>
          <w:t>297</w:t>
        </w:r>
        <w:r w:rsidR="00570B7F">
          <w:rPr>
            <w:webHidden/>
          </w:rPr>
          <w:fldChar w:fldCharType="end"/>
        </w:r>
      </w:hyperlink>
    </w:p>
    <w:p w14:paraId="5CAC9C6F"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6" w:history="1">
        <w:r w:rsidR="00570B7F" w:rsidRPr="00570F4D">
          <w:rPr>
            <w:rStyle w:val="Hyperlink"/>
          </w:rPr>
          <w:t>§ 95985.  Invalidation of ARB Offset Credits.</w:t>
        </w:r>
        <w:r w:rsidR="00570B7F">
          <w:rPr>
            <w:webHidden/>
          </w:rPr>
          <w:tab/>
        </w:r>
        <w:r w:rsidR="00570B7F">
          <w:rPr>
            <w:webHidden/>
          </w:rPr>
          <w:fldChar w:fldCharType="begin"/>
        </w:r>
        <w:r w:rsidR="00570B7F">
          <w:rPr>
            <w:webHidden/>
          </w:rPr>
          <w:instrText xml:space="preserve"> PAGEREF _Toc361659906 \h </w:instrText>
        </w:r>
        <w:r w:rsidR="00570B7F">
          <w:rPr>
            <w:webHidden/>
          </w:rPr>
        </w:r>
        <w:r w:rsidR="00570B7F">
          <w:rPr>
            <w:webHidden/>
          </w:rPr>
          <w:fldChar w:fldCharType="separate"/>
        </w:r>
        <w:r w:rsidR="004455B1">
          <w:rPr>
            <w:webHidden/>
          </w:rPr>
          <w:t>297</w:t>
        </w:r>
        <w:r w:rsidR="00570B7F">
          <w:rPr>
            <w:webHidden/>
          </w:rPr>
          <w:fldChar w:fldCharType="end"/>
        </w:r>
      </w:hyperlink>
    </w:p>
    <w:p w14:paraId="64FA462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7" w:history="1">
        <w:r w:rsidR="00570B7F" w:rsidRPr="00570F4D">
          <w:rPr>
            <w:rStyle w:val="Hyperlink"/>
            <w:rFonts w:cs="Arial"/>
            <w:b/>
          </w:rPr>
          <w:t>§ 95986.  Executive Officer Approval Requirements for Offset Project Registries.</w:t>
        </w:r>
        <w:r w:rsidR="00570B7F">
          <w:rPr>
            <w:webHidden/>
          </w:rPr>
          <w:tab/>
        </w:r>
        <w:r w:rsidR="00570B7F">
          <w:rPr>
            <w:webHidden/>
          </w:rPr>
          <w:fldChar w:fldCharType="begin"/>
        </w:r>
        <w:r w:rsidR="00570B7F">
          <w:rPr>
            <w:webHidden/>
          </w:rPr>
          <w:instrText xml:space="preserve"> PAGEREF _Toc361659907 \h </w:instrText>
        </w:r>
        <w:r w:rsidR="00570B7F">
          <w:rPr>
            <w:webHidden/>
          </w:rPr>
        </w:r>
        <w:r w:rsidR="00570B7F">
          <w:rPr>
            <w:webHidden/>
          </w:rPr>
          <w:fldChar w:fldCharType="separate"/>
        </w:r>
        <w:r w:rsidR="004455B1">
          <w:rPr>
            <w:webHidden/>
          </w:rPr>
          <w:t>314</w:t>
        </w:r>
        <w:r w:rsidR="00570B7F">
          <w:rPr>
            <w:webHidden/>
          </w:rPr>
          <w:fldChar w:fldCharType="end"/>
        </w:r>
      </w:hyperlink>
    </w:p>
    <w:p w14:paraId="70617132"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8" w:history="1">
        <w:r w:rsidR="00570B7F" w:rsidRPr="00570F4D">
          <w:rPr>
            <w:rStyle w:val="Hyperlink"/>
            <w:rFonts w:cs="Arial"/>
            <w:b/>
          </w:rPr>
          <w:t>§ 95987.  Offset Project Registry Requirements.</w:t>
        </w:r>
        <w:r w:rsidR="00570B7F">
          <w:rPr>
            <w:webHidden/>
          </w:rPr>
          <w:tab/>
        </w:r>
        <w:r w:rsidR="00570B7F">
          <w:rPr>
            <w:webHidden/>
          </w:rPr>
          <w:fldChar w:fldCharType="begin"/>
        </w:r>
        <w:r w:rsidR="00570B7F">
          <w:rPr>
            <w:webHidden/>
          </w:rPr>
          <w:instrText xml:space="preserve"> PAGEREF _Toc361659908 \h </w:instrText>
        </w:r>
        <w:r w:rsidR="00570B7F">
          <w:rPr>
            <w:webHidden/>
          </w:rPr>
        </w:r>
        <w:r w:rsidR="00570B7F">
          <w:rPr>
            <w:webHidden/>
          </w:rPr>
          <w:fldChar w:fldCharType="separate"/>
        </w:r>
        <w:r w:rsidR="004455B1">
          <w:rPr>
            <w:webHidden/>
          </w:rPr>
          <w:t>320</w:t>
        </w:r>
        <w:r w:rsidR="00570B7F">
          <w:rPr>
            <w:webHidden/>
          </w:rPr>
          <w:fldChar w:fldCharType="end"/>
        </w:r>
      </w:hyperlink>
    </w:p>
    <w:p w14:paraId="65408C1D"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09" w:history="1">
        <w:r w:rsidR="00570B7F" w:rsidRPr="00570F4D">
          <w:rPr>
            <w:rStyle w:val="Hyperlink"/>
            <w:rFonts w:cs="Arial"/>
            <w:b/>
          </w:rPr>
          <w:t>§ 95988.  Record Retention Requirements for Offset Project Registries.</w:t>
        </w:r>
        <w:r w:rsidR="00570B7F">
          <w:rPr>
            <w:webHidden/>
          </w:rPr>
          <w:tab/>
        </w:r>
        <w:r w:rsidR="00570B7F">
          <w:rPr>
            <w:webHidden/>
          </w:rPr>
          <w:fldChar w:fldCharType="begin"/>
        </w:r>
        <w:r w:rsidR="00570B7F">
          <w:rPr>
            <w:webHidden/>
          </w:rPr>
          <w:instrText xml:space="preserve"> PAGEREF _Toc361659909 \h </w:instrText>
        </w:r>
        <w:r w:rsidR="00570B7F">
          <w:rPr>
            <w:webHidden/>
          </w:rPr>
        </w:r>
        <w:r w:rsidR="00570B7F">
          <w:rPr>
            <w:webHidden/>
          </w:rPr>
          <w:fldChar w:fldCharType="separate"/>
        </w:r>
        <w:r w:rsidR="004455B1">
          <w:rPr>
            <w:webHidden/>
          </w:rPr>
          <w:t>325</w:t>
        </w:r>
        <w:r w:rsidR="00570B7F">
          <w:rPr>
            <w:webHidden/>
          </w:rPr>
          <w:fldChar w:fldCharType="end"/>
        </w:r>
      </w:hyperlink>
    </w:p>
    <w:p w14:paraId="784C2599" w14:textId="77777777" w:rsidR="00570B7F" w:rsidRDefault="00661852">
      <w:pPr>
        <w:pStyle w:val="TOC1"/>
        <w:rPr>
          <w:rFonts w:asciiTheme="minorHAnsi" w:eastAsiaTheme="minorEastAsia" w:hAnsiTheme="minorHAnsi" w:cstheme="minorBidi"/>
          <w:b w:val="0"/>
          <w:bCs w:val="0"/>
          <w:caps w:val="0"/>
          <w:sz w:val="22"/>
          <w:szCs w:val="22"/>
        </w:rPr>
      </w:pPr>
      <w:hyperlink w:anchor="_Toc361659910" w:history="1">
        <w:r w:rsidR="00570B7F" w:rsidRPr="00570F4D">
          <w:rPr>
            <w:rStyle w:val="Hyperlink"/>
            <w:rFonts w:cs="Arial"/>
            <w:kern w:val="36"/>
          </w:rPr>
          <w:t>Subarticle 14: Recognition of Compliance Instruments from Other Programs</w:t>
        </w:r>
        <w:r w:rsidR="00570B7F">
          <w:rPr>
            <w:webHidden/>
          </w:rPr>
          <w:tab/>
        </w:r>
        <w:r w:rsidR="00570B7F">
          <w:rPr>
            <w:webHidden/>
          </w:rPr>
          <w:fldChar w:fldCharType="begin"/>
        </w:r>
        <w:r w:rsidR="00570B7F">
          <w:rPr>
            <w:webHidden/>
          </w:rPr>
          <w:instrText xml:space="preserve"> PAGEREF _Toc361659910 \h </w:instrText>
        </w:r>
        <w:r w:rsidR="00570B7F">
          <w:rPr>
            <w:webHidden/>
          </w:rPr>
        </w:r>
        <w:r w:rsidR="00570B7F">
          <w:rPr>
            <w:webHidden/>
          </w:rPr>
          <w:fldChar w:fldCharType="separate"/>
        </w:r>
        <w:r w:rsidR="004455B1">
          <w:rPr>
            <w:webHidden/>
          </w:rPr>
          <w:t>326</w:t>
        </w:r>
        <w:r w:rsidR="00570B7F">
          <w:rPr>
            <w:webHidden/>
          </w:rPr>
          <w:fldChar w:fldCharType="end"/>
        </w:r>
      </w:hyperlink>
    </w:p>
    <w:p w14:paraId="1C4B627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1" w:history="1">
        <w:r w:rsidR="00570B7F" w:rsidRPr="00570F4D">
          <w:rPr>
            <w:rStyle w:val="Hyperlink"/>
            <w:rFonts w:cs="Arial"/>
            <w:b/>
          </w:rPr>
          <w:t>§ 95990.  Recognition of Early Action Offset Credits.</w:t>
        </w:r>
        <w:r w:rsidR="00570B7F">
          <w:rPr>
            <w:webHidden/>
          </w:rPr>
          <w:tab/>
        </w:r>
        <w:r w:rsidR="00570B7F">
          <w:rPr>
            <w:webHidden/>
          </w:rPr>
          <w:fldChar w:fldCharType="begin"/>
        </w:r>
        <w:r w:rsidR="00570B7F">
          <w:rPr>
            <w:webHidden/>
          </w:rPr>
          <w:instrText xml:space="preserve"> PAGEREF _Toc361659911 \h </w:instrText>
        </w:r>
        <w:r w:rsidR="00570B7F">
          <w:rPr>
            <w:webHidden/>
          </w:rPr>
        </w:r>
        <w:r w:rsidR="00570B7F">
          <w:rPr>
            <w:webHidden/>
          </w:rPr>
          <w:fldChar w:fldCharType="separate"/>
        </w:r>
        <w:r w:rsidR="004455B1">
          <w:rPr>
            <w:webHidden/>
          </w:rPr>
          <w:t>326</w:t>
        </w:r>
        <w:r w:rsidR="00570B7F">
          <w:rPr>
            <w:webHidden/>
          </w:rPr>
          <w:fldChar w:fldCharType="end"/>
        </w:r>
      </w:hyperlink>
    </w:p>
    <w:p w14:paraId="130CF05C" w14:textId="77777777" w:rsidR="00570B7F" w:rsidRDefault="00661852">
      <w:pPr>
        <w:pStyle w:val="TOC1"/>
        <w:rPr>
          <w:rFonts w:asciiTheme="minorHAnsi" w:eastAsiaTheme="minorEastAsia" w:hAnsiTheme="minorHAnsi" w:cstheme="minorBidi"/>
          <w:b w:val="0"/>
          <w:bCs w:val="0"/>
          <w:caps w:val="0"/>
          <w:sz w:val="22"/>
          <w:szCs w:val="22"/>
        </w:rPr>
      </w:pPr>
      <w:hyperlink w:anchor="_Toc361659912" w:history="1">
        <w:r w:rsidR="00570B7F" w:rsidRPr="00570F4D">
          <w:rPr>
            <w:rStyle w:val="Hyperlink"/>
          </w:rPr>
          <w:t>Subarticle 15: Enforcement and Penalties</w:t>
        </w:r>
        <w:r w:rsidR="00570B7F">
          <w:rPr>
            <w:webHidden/>
          </w:rPr>
          <w:tab/>
        </w:r>
        <w:r w:rsidR="00570B7F">
          <w:rPr>
            <w:webHidden/>
          </w:rPr>
          <w:fldChar w:fldCharType="begin"/>
        </w:r>
        <w:r w:rsidR="00570B7F">
          <w:rPr>
            <w:webHidden/>
          </w:rPr>
          <w:instrText xml:space="preserve"> PAGEREF _Toc361659912 \h </w:instrText>
        </w:r>
        <w:r w:rsidR="00570B7F">
          <w:rPr>
            <w:webHidden/>
          </w:rPr>
        </w:r>
        <w:r w:rsidR="00570B7F">
          <w:rPr>
            <w:webHidden/>
          </w:rPr>
          <w:fldChar w:fldCharType="separate"/>
        </w:r>
        <w:r w:rsidR="004455B1">
          <w:rPr>
            <w:webHidden/>
          </w:rPr>
          <w:t>367</w:t>
        </w:r>
        <w:r w:rsidR="00570B7F">
          <w:rPr>
            <w:webHidden/>
          </w:rPr>
          <w:fldChar w:fldCharType="end"/>
        </w:r>
      </w:hyperlink>
    </w:p>
    <w:p w14:paraId="726DA25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3" w:history="1">
        <w:r w:rsidR="00570B7F" w:rsidRPr="00570F4D">
          <w:rPr>
            <w:rStyle w:val="Hyperlink"/>
          </w:rPr>
          <w:t>§ 96010.  Jurisdiction.</w:t>
        </w:r>
        <w:r w:rsidR="00570B7F">
          <w:rPr>
            <w:webHidden/>
          </w:rPr>
          <w:tab/>
        </w:r>
        <w:r w:rsidR="00570B7F">
          <w:rPr>
            <w:webHidden/>
          </w:rPr>
          <w:fldChar w:fldCharType="begin"/>
        </w:r>
        <w:r w:rsidR="00570B7F">
          <w:rPr>
            <w:webHidden/>
          </w:rPr>
          <w:instrText xml:space="preserve"> PAGEREF _Toc361659913 \h </w:instrText>
        </w:r>
        <w:r w:rsidR="00570B7F">
          <w:rPr>
            <w:webHidden/>
          </w:rPr>
        </w:r>
        <w:r w:rsidR="00570B7F">
          <w:rPr>
            <w:webHidden/>
          </w:rPr>
          <w:fldChar w:fldCharType="separate"/>
        </w:r>
        <w:r w:rsidR="004455B1">
          <w:rPr>
            <w:webHidden/>
          </w:rPr>
          <w:t>367</w:t>
        </w:r>
        <w:r w:rsidR="00570B7F">
          <w:rPr>
            <w:webHidden/>
          </w:rPr>
          <w:fldChar w:fldCharType="end"/>
        </w:r>
      </w:hyperlink>
    </w:p>
    <w:p w14:paraId="72F9777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4" w:history="1">
        <w:r w:rsidR="00570B7F" w:rsidRPr="00570F4D">
          <w:rPr>
            <w:rStyle w:val="Hyperlink"/>
          </w:rPr>
          <w:t>§ 96011.  Authority to Suspend, Revoke, or Modify.</w:t>
        </w:r>
        <w:r w:rsidR="00570B7F">
          <w:rPr>
            <w:webHidden/>
          </w:rPr>
          <w:tab/>
        </w:r>
        <w:r w:rsidR="00570B7F">
          <w:rPr>
            <w:webHidden/>
          </w:rPr>
          <w:fldChar w:fldCharType="begin"/>
        </w:r>
        <w:r w:rsidR="00570B7F">
          <w:rPr>
            <w:webHidden/>
          </w:rPr>
          <w:instrText xml:space="preserve"> PAGEREF _Toc361659914 \h </w:instrText>
        </w:r>
        <w:r w:rsidR="00570B7F">
          <w:rPr>
            <w:webHidden/>
          </w:rPr>
        </w:r>
        <w:r w:rsidR="00570B7F">
          <w:rPr>
            <w:webHidden/>
          </w:rPr>
          <w:fldChar w:fldCharType="separate"/>
        </w:r>
        <w:r w:rsidR="004455B1">
          <w:rPr>
            <w:webHidden/>
          </w:rPr>
          <w:t>368</w:t>
        </w:r>
        <w:r w:rsidR="00570B7F">
          <w:rPr>
            <w:webHidden/>
          </w:rPr>
          <w:fldChar w:fldCharType="end"/>
        </w:r>
      </w:hyperlink>
    </w:p>
    <w:p w14:paraId="6768C8F3"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5" w:history="1">
        <w:r w:rsidR="00570B7F" w:rsidRPr="00570F4D">
          <w:rPr>
            <w:rStyle w:val="Hyperlink"/>
          </w:rPr>
          <w:t>§ 96012.  Injunctions.</w:t>
        </w:r>
        <w:r w:rsidR="00570B7F">
          <w:rPr>
            <w:webHidden/>
          </w:rPr>
          <w:tab/>
        </w:r>
        <w:r w:rsidR="00570B7F">
          <w:rPr>
            <w:webHidden/>
          </w:rPr>
          <w:fldChar w:fldCharType="begin"/>
        </w:r>
        <w:r w:rsidR="00570B7F">
          <w:rPr>
            <w:webHidden/>
          </w:rPr>
          <w:instrText xml:space="preserve"> PAGEREF _Toc361659915 \h </w:instrText>
        </w:r>
        <w:r w:rsidR="00570B7F">
          <w:rPr>
            <w:webHidden/>
          </w:rPr>
        </w:r>
        <w:r w:rsidR="00570B7F">
          <w:rPr>
            <w:webHidden/>
          </w:rPr>
          <w:fldChar w:fldCharType="separate"/>
        </w:r>
        <w:r w:rsidR="004455B1">
          <w:rPr>
            <w:webHidden/>
          </w:rPr>
          <w:t>368</w:t>
        </w:r>
        <w:r w:rsidR="00570B7F">
          <w:rPr>
            <w:webHidden/>
          </w:rPr>
          <w:fldChar w:fldCharType="end"/>
        </w:r>
      </w:hyperlink>
    </w:p>
    <w:p w14:paraId="39F1FF73"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6" w:history="1">
        <w:r w:rsidR="00570B7F" w:rsidRPr="00570F4D">
          <w:rPr>
            <w:rStyle w:val="Hyperlink"/>
          </w:rPr>
          <w:t>§ 96013.  Penalties.</w:t>
        </w:r>
        <w:r w:rsidR="00570B7F">
          <w:rPr>
            <w:webHidden/>
          </w:rPr>
          <w:tab/>
        </w:r>
        <w:r w:rsidR="00570B7F">
          <w:rPr>
            <w:webHidden/>
          </w:rPr>
          <w:fldChar w:fldCharType="begin"/>
        </w:r>
        <w:r w:rsidR="00570B7F">
          <w:rPr>
            <w:webHidden/>
          </w:rPr>
          <w:instrText xml:space="preserve"> PAGEREF _Toc361659916 \h </w:instrText>
        </w:r>
        <w:r w:rsidR="00570B7F">
          <w:rPr>
            <w:webHidden/>
          </w:rPr>
        </w:r>
        <w:r w:rsidR="00570B7F">
          <w:rPr>
            <w:webHidden/>
          </w:rPr>
          <w:fldChar w:fldCharType="separate"/>
        </w:r>
        <w:r w:rsidR="004455B1">
          <w:rPr>
            <w:webHidden/>
          </w:rPr>
          <w:t>369</w:t>
        </w:r>
        <w:r w:rsidR="00570B7F">
          <w:rPr>
            <w:webHidden/>
          </w:rPr>
          <w:fldChar w:fldCharType="end"/>
        </w:r>
      </w:hyperlink>
    </w:p>
    <w:p w14:paraId="13E1AB35"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7" w:history="1">
        <w:r w:rsidR="00570B7F" w:rsidRPr="00570F4D">
          <w:rPr>
            <w:rStyle w:val="Hyperlink"/>
          </w:rPr>
          <w:t>§ 96014.  Violations.</w:t>
        </w:r>
        <w:r w:rsidR="00570B7F">
          <w:rPr>
            <w:webHidden/>
          </w:rPr>
          <w:tab/>
        </w:r>
        <w:r w:rsidR="00570B7F">
          <w:rPr>
            <w:webHidden/>
          </w:rPr>
          <w:fldChar w:fldCharType="begin"/>
        </w:r>
        <w:r w:rsidR="00570B7F">
          <w:rPr>
            <w:webHidden/>
          </w:rPr>
          <w:instrText xml:space="preserve"> PAGEREF _Toc361659917 \h </w:instrText>
        </w:r>
        <w:r w:rsidR="00570B7F">
          <w:rPr>
            <w:webHidden/>
          </w:rPr>
        </w:r>
        <w:r w:rsidR="00570B7F">
          <w:rPr>
            <w:webHidden/>
          </w:rPr>
          <w:fldChar w:fldCharType="separate"/>
        </w:r>
        <w:r w:rsidR="004455B1">
          <w:rPr>
            <w:webHidden/>
          </w:rPr>
          <w:t>369</w:t>
        </w:r>
        <w:r w:rsidR="00570B7F">
          <w:rPr>
            <w:webHidden/>
          </w:rPr>
          <w:fldChar w:fldCharType="end"/>
        </w:r>
      </w:hyperlink>
    </w:p>
    <w:p w14:paraId="5371CE38" w14:textId="77777777" w:rsidR="00570B7F" w:rsidRDefault="00661852">
      <w:pPr>
        <w:pStyle w:val="TOC1"/>
        <w:rPr>
          <w:rFonts w:asciiTheme="minorHAnsi" w:eastAsiaTheme="minorEastAsia" w:hAnsiTheme="minorHAnsi" w:cstheme="minorBidi"/>
          <w:b w:val="0"/>
          <w:bCs w:val="0"/>
          <w:caps w:val="0"/>
          <w:sz w:val="22"/>
          <w:szCs w:val="22"/>
        </w:rPr>
      </w:pPr>
      <w:hyperlink w:anchor="_Toc361659918" w:history="1">
        <w:r w:rsidR="00570B7F" w:rsidRPr="00570F4D">
          <w:rPr>
            <w:rStyle w:val="Hyperlink"/>
          </w:rPr>
          <w:t>Subarticle 16: Other Provisions</w:t>
        </w:r>
        <w:r w:rsidR="00570B7F">
          <w:rPr>
            <w:webHidden/>
          </w:rPr>
          <w:tab/>
        </w:r>
        <w:r w:rsidR="00570B7F">
          <w:rPr>
            <w:webHidden/>
          </w:rPr>
          <w:fldChar w:fldCharType="begin"/>
        </w:r>
        <w:r w:rsidR="00570B7F">
          <w:rPr>
            <w:webHidden/>
          </w:rPr>
          <w:instrText xml:space="preserve"> PAGEREF _Toc361659918 \h </w:instrText>
        </w:r>
        <w:r w:rsidR="00570B7F">
          <w:rPr>
            <w:webHidden/>
          </w:rPr>
        </w:r>
        <w:r w:rsidR="00570B7F">
          <w:rPr>
            <w:webHidden/>
          </w:rPr>
          <w:fldChar w:fldCharType="separate"/>
        </w:r>
        <w:r w:rsidR="004455B1">
          <w:rPr>
            <w:webHidden/>
          </w:rPr>
          <w:t>370</w:t>
        </w:r>
        <w:r w:rsidR="00570B7F">
          <w:rPr>
            <w:webHidden/>
          </w:rPr>
          <w:fldChar w:fldCharType="end"/>
        </w:r>
      </w:hyperlink>
    </w:p>
    <w:p w14:paraId="50011C80"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19" w:history="1">
        <w:r w:rsidR="00570B7F" w:rsidRPr="00570F4D">
          <w:rPr>
            <w:rStyle w:val="Hyperlink"/>
          </w:rPr>
          <w:t>§ 96020.  Severability, Effect of Judicial Order.</w:t>
        </w:r>
        <w:r w:rsidR="00570B7F">
          <w:rPr>
            <w:webHidden/>
          </w:rPr>
          <w:tab/>
        </w:r>
        <w:r w:rsidR="00570B7F">
          <w:rPr>
            <w:webHidden/>
          </w:rPr>
          <w:fldChar w:fldCharType="begin"/>
        </w:r>
        <w:r w:rsidR="00570B7F">
          <w:rPr>
            <w:webHidden/>
          </w:rPr>
          <w:instrText xml:space="preserve"> PAGEREF _Toc361659919 \h </w:instrText>
        </w:r>
        <w:r w:rsidR="00570B7F">
          <w:rPr>
            <w:webHidden/>
          </w:rPr>
        </w:r>
        <w:r w:rsidR="00570B7F">
          <w:rPr>
            <w:webHidden/>
          </w:rPr>
          <w:fldChar w:fldCharType="separate"/>
        </w:r>
        <w:r w:rsidR="004455B1">
          <w:rPr>
            <w:webHidden/>
          </w:rPr>
          <w:t>370</w:t>
        </w:r>
        <w:r w:rsidR="00570B7F">
          <w:rPr>
            <w:webHidden/>
          </w:rPr>
          <w:fldChar w:fldCharType="end"/>
        </w:r>
      </w:hyperlink>
    </w:p>
    <w:p w14:paraId="55AF326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20" w:history="1">
        <w:r w:rsidR="00570B7F" w:rsidRPr="00570F4D">
          <w:rPr>
            <w:rStyle w:val="Hyperlink"/>
          </w:rPr>
          <w:t>§ 96021.  Confidentiality.</w:t>
        </w:r>
        <w:r w:rsidR="00570B7F">
          <w:rPr>
            <w:webHidden/>
          </w:rPr>
          <w:tab/>
        </w:r>
        <w:r w:rsidR="00570B7F">
          <w:rPr>
            <w:webHidden/>
          </w:rPr>
          <w:fldChar w:fldCharType="begin"/>
        </w:r>
        <w:r w:rsidR="00570B7F">
          <w:rPr>
            <w:webHidden/>
          </w:rPr>
          <w:instrText xml:space="preserve"> PAGEREF _Toc361659920 \h </w:instrText>
        </w:r>
        <w:r w:rsidR="00570B7F">
          <w:rPr>
            <w:webHidden/>
          </w:rPr>
        </w:r>
        <w:r w:rsidR="00570B7F">
          <w:rPr>
            <w:webHidden/>
          </w:rPr>
          <w:fldChar w:fldCharType="separate"/>
        </w:r>
        <w:r w:rsidR="004455B1">
          <w:rPr>
            <w:webHidden/>
          </w:rPr>
          <w:t>370</w:t>
        </w:r>
        <w:r w:rsidR="00570B7F">
          <w:rPr>
            <w:webHidden/>
          </w:rPr>
          <w:fldChar w:fldCharType="end"/>
        </w:r>
      </w:hyperlink>
    </w:p>
    <w:p w14:paraId="3D2D02A4" w14:textId="77777777" w:rsidR="00570B7F" w:rsidRDefault="00661852">
      <w:pPr>
        <w:pStyle w:val="TOC2"/>
        <w:rPr>
          <w:rFonts w:asciiTheme="minorHAnsi" w:eastAsiaTheme="minorEastAsia" w:hAnsiTheme="minorHAnsi" w:cstheme="minorBidi"/>
          <w:bCs w:val="0"/>
          <w:iCs w:val="0"/>
          <w:smallCaps w:val="0"/>
          <w:sz w:val="22"/>
          <w:szCs w:val="22"/>
        </w:rPr>
      </w:pPr>
      <w:hyperlink w:anchor="_Toc361659921" w:history="1">
        <w:r w:rsidR="00570B7F" w:rsidRPr="00570F4D">
          <w:rPr>
            <w:rStyle w:val="Hyperlink"/>
          </w:rPr>
          <w:t>§ 96022.  Jurisdiction of California.</w:t>
        </w:r>
        <w:r w:rsidR="00570B7F">
          <w:rPr>
            <w:webHidden/>
          </w:rPr>
          <w:tab/>
        </w:r>
        <w:r w:rsidR="00570B7F">
          <w:rPr>
            <w:webHidden/>
          </w:rPr>
          <w:fldChar w:fldCharType="begin"/>
        </w:r>
        <w:r w:rsidR="00570B7F">
          <w:rPr>
            <w:webHidden/>
          </w:rPr>
          <w:instrText xml:space="preserve"> PAGEREF _Toc361659921 \h </w:instrText>
        </w:r>
        <w:r w:rsidR="00570B7F">
          <w:rPr>
            <w:webHidden/>
          </w:rPr>
        </w:r>
        <w:r w:rsidR="00570B7F">
          <w:rPr>
            <w:webHidden/>
          </w:rPr>
          <w:fldChar w:fldCharType="separate"/>
        </w:r>
        <w:r w:rsidR="004455B1">
          <w:rPr>
            <w:webHidden/>
          </w:rPr>
          <w:t>371</w:t>
        </w:r>
        <w:r w:rsidR="00570B7F">
          <w:rPr>
            <w:webHidden/>
          </w:rPr>
          <w:fldChar w:fldCharType="end"/>
        </w:r>
      </w:hyperlink>
    </w:p>
    <w:p w14:paraId="708642AA" w14:textId="77777777" w:rsidR="00AC6E3B" w:rsidRPr="004936CE" w:rsidRDefault="00AC6E3B" w:rsidP="00D12675">
      <w:pPr>
        <w:rPr>
          <w:rFonts w:ascii="Arial" w:eastAsia="MS Mincho" w:hAnsi="Arial" w:cs="Arial"/>
          <w:bCs/>
          <w:kern w:val="36"/>
          <w:sz w:val="24"/>
          <w:szCs w:val="24"/>
        </w:rPr>
      </w:pPr>
      <w:r w:rsidRPr="004936CE">
        <w:fldChar w:fldCharType="end"/>
      </w:r>
      <w:r w:rsidRPr="004936CE">
        <w:br w:type="page"/>
      </w:r>
    </w:p>
    <w:p w14:paraId="69B85B02" w14:textId="77777777" w:rsidR="00FE6B15" w:rsidRPr="00B61FF1" w:rsidRDefault="00FE6B15" w:rsidP="00CC193F">
      <w:pPr>
        <w:pStyle w:val="Heading1"/>
      </w:pPr>
      <w:bookmarkStart w:id="26" w:name="_Toc361659820"/>
      <w:r w:rsidRPr="00B61FF1">
        <w:lastRenderedPageBreak/>
        <w:t>Subarticle 2: Purpose and Definitions</w:t>
      </w:r>
      <w:bookmarkEnd w:id="2"/>
      <w:bookmarkEnd w:id="3"/>
      <w:bookmarkEnd w:id="4"/>
      <w:bookmarkEnd w:id="5"/>
      <w:bookmarkEnd w:id="26"/>
    </w:p>
    <w:p w14:paraId="60884141" w14:textId="77777777" w:rsidR="00FE6B15" w:rsidRPr="00B61FF1" w:rsidRDefault="00FE6B15" w:rsidP="004E3B67">
      <w:pPr>
        <w:pStyle w:val="Heading2"/>
        <w:keepNext w:val="0"/>
        <w:tabs>
          <w:tab w:val="left" w:pos="3780"/>
        </w:tabs>
        <w:rPr>
          <w:i/>
          <w:szCs w:val="24"/>
        </w:rPr>
      </w:pPr>
      <w:bookmarkStart w:id="27" w:name="_Toc246820568"/>
      <w:bookmarkStart w:id="28" w:name="_Toc266709965"/>
      <w:bookmarkStart w:id="29" w:name="_Toc299094905"/>
      <w:bookmarkStart w:id="30" w:name="_Toc302746758"/>
      <w:bookmarkStart w:id="31" w:name="_Toc352146220"/>
      <w:bookmarkStart w:id="32" w:name="_Toc361659821"/>
      <w:bookmarkStart w:id="33" w:name="_Toc245899474"/>
      <w:bookmarkStart w:id="34" w:name="_Toc246820569"/>
      <w:bookmarkStart w:id="35" w:name="_Toc2656608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61FF1">
        <w:rPr>
          <w:szCs w:val="24"/>
        </w:rPr>
        <w:t>§ 95801.  Purpose</w:t>
      </w:r>
      <w:bookmarkEnd w:id="27"/>
      <w:bookmarkEnd w:id="28"/>
      <w:r w:rsidR="00C75481" w:rsidRPr="00B61FF1">
        <w:rPr>
          <w:szCs w:val="24"/>
        </w:rPr>
        <w:t>.</w:t>
      </w:r>
      <w:bookmarkEnd w:id="29"/>
      <w:bookmarkEnd w:id="30"/>
      <w:bookmarkEnd w:id="31"/>
      <w:bookmarkEnd w:id="32"/>
    </w:p>
    <w:p w14:paraId="663C392C" w14:textId="77777777" w:rsidR="00FE6B15" w:rsidRPr="00B61FF1" w:rsidRDefault="00FE6B15" w:rsidP="005363A7">
      <w:pPr>
        <w:tabs>
          <w:tab w:val="left" w:pos="3780"/>
        </w:tabs>
        <w:spacing w:line="360" w:lineRule="auto"/>
        <w:rPr>
          <w:rFonts w:ascii="Arial" w:hAnsi="Arial" w:cs="Arial"/>
          <w:sz w:val="24"/>
          <w:szCs w:val="24"/>
        </w:rPr>
      </w:pPr>
      <w:r w:rsidRPr="00B61FF1">
        <w:rPr>
          <w:rFonts w:ascii="Arial" w:hAnsi="Arial" w:cs="Arial"/>
          <w:sz w:val="24"/>
          <w:szCs w:val="24"/>
        </w:rPr>
        <w:t>The purpose of this article is to reduce emissions of greenhouse gases associated with entities identified in this article through the establishment, administration, and enforcement of the California Greenhouse Gas Cap</w:t>
      </w:r>
      <w:r w:rsidRPr="00B61FF1">
        <w:rPr>
          <w:rFonts w:ascii="Arial" w:hAnsi="Arial" w:cs="Arial"/>
          <w:sz w:val="24"/>
          <w:szCs w:val="24"/>
        </w:rPr>
        <w:noBreakHyphen/>
        <w:t xml:space="preserve">and-Trade Program by applying an aggregate greenhouse gas allowance budget on covered entities and providing a trading mechanism for compliance instruments. </w:t>
      </w:r>
    </w:p>
    <w:p w14:paraId="2F6A2FAB" w14:textId="77777777" w:rsidR="00FE6B15" w:rsidRPr="00B61FF1" w:rsidRDefault="00FE6B15" w:rsidP="004E3B67">
      <w:pPr>
        <w:spacing w:line="360" w:lineRule="auto"/>
        <w:rPr>
          <w:rFonts w:ascii="Arial" w:hAnsi="Arial" w:cs="Arial"/>
        </w:rPr>
      </w:pPr>
    </w:p>
    <w:p w14:paraId="17B36F11" w14:textId="77777777" w:rsidR="00FE6B15" w:rsidRPr="00B61FF1" w:rsidRDefault="00FE6B15" w:rsidP="00334251">
      <w:pPr>
        <w:rPr>
          <w:rFonts w:ascii="Arial" w:hAnsi="Arial" w:cs="Arial"/>
        </w:rPr>
      </w:pPr>
      <w:r w:rsidRPr="00B61FF1">
        <w:rPr>
          <w:rFonts w:ascii="Arial" w:hAnsi="Arial" w:cs="Arial"/>
        </w:rPr>
        <w:t>NOTE:  Authority cited:  Sections 38510, 38560, 38562, 38570, 38571, 38580, 39600 and 39601, Health and Safety Code.</w:t>
      </w:r>
    </w:p>
    <w:p w14:paraId="59B89EA4" w14:textId="77777777" w:rsidR="00FE6B15" w:rsidRPr="00B61FF1" w:rsidRDefault="00FE6B15" w:rsidP="00334251">
      <w:pPr>
        <w:rPr>
          <w:rFonts w:ascii="Arial" w:hAnsi="Arial" w:cs="Arial"/>
        </w:rPr>
      </w:pPr>
      <w:r w:rsidRPr="00B61FF1">
        <w:rPr>
          <w:rFonts w:ascii="Arial" w:hAnsi="Arial" w:cs="Arial"/>
        </w:rPr>
        <w:t>Reference:  Sections 38530, 38560.5, 38564, 38565, 38570 and 39600, Health and Safety Code.</w:t>
      </w:r>
    </w:p>
    <w:p w14:paraId="1AAACDA6" w14:textId="77777777" w:rsidR="00BD1FA4" w:rsidRPr="00B61FF1" w:rsidRDefault="00BD1FA4" w:rsidP="00334251">
      <w:pPr>
        <w:rPr>
          <w:rFonts w:ascii="Arial" w:hAnsi="Arial" w:cs="Arial"/>
        </w:rPr>
      </w:pPr>
    </w:p>
    <w:p w14:paraId="25A02B81" w14:textId="77777777" w:rsidR="00C15E7F" w:rsidRPr="00B61FF1" w:rsidRDefault="00C15E7F" w:rsidP="00C15E7F">
      <w:pPr>
        <w:pStyle w:val="Heading2"/>
        <w:keepNext w:val="0"/>
        <w:tabs>
          <w:tab w:val="left" w:pos="3780"/>
        </w:tabs>
        <w:rPr>
          <w:i/>
          <w:szCs w:val="24"/>
        </w:rPr>
      </w:pPr>
      <w:bookmarkStart w:id="36" w:name="_Toc266709966"/>
      <w:bookmarkStart w:id="37" w:name="_Toc269206208"/>
      <w:bookmarkStart w:id="38" w:name="_Toc295478335"/>
      <w:bookmarkStart w:id="39" w:name="_Toc299094906"/>
      <w:bookmarkStart w:id="40" w:name="_Toc302746759"/>
      <w:bookmarkStart w:id="41" w:name="_Toc352146221"/>
      <w:bookmarkStart w:id="42" w:name="_Toc361659822"/>
      <w:bookmarkEnd w:id="33"/>
      <w:bookmarkEnd w:id="34"/>
      <w:r w:rsidRPr="00B61FF1">
        <w:rPr>
          <w:szCs w:val="24"/>
        </w:rPr>
        <w:t>§ 95802.  Definitions</w:t>
      </w:r>
      <w:bookmarkEnd w:id="36"/>
      <w:bookmarkEnd w:id="37"/>
      <w:bookmarkEnd w:id="38"/>
      <w:r w:rsidR="00C75481" w:rsidRPr="00B61FF1">
        <w:rPr>
          <w:szCs w:val="24"/>
        </w:rPr>
        <w:t>.</w:t>
      </w:r>
      <w:bookmarkEnd w:id="39"/>
      <w:bookmarkEnd w:id="40"/>
      <w:bookmarkEnd w:id="41"/>
      <w:bookmarkEnd w:id="42"/>
    </w:p>
    <w:p w14:paraId="0CB1B14F" w14:textId="77777777" w:rsidR="0054122B" w:rsidRPr="00B61FF1" w:rsidRDefault="0054122B" w:rsidP="00FE6A4C">
      <w:pPr>
        <w:numPr>
          <w:ilvl w:val="0"/>
          <w:numId w:val="21"/>
        </w:numPr>
        <w:tabs>
          <w:tab w:val="left" w:pos="3780"/>
        </w:tabs>
        <w:spacing w:line="360" w:lineRule="auto"/>
        <w:rPr>
          <w:rFonts w:ascii="Arial" w:hAnsi="Arial" w:cs="Arial"/>
          <w:sz w:val="24"/>
          <w:szCs w:val="24"/>
        </w:rPr>
      </w:pPr>
      <w:r w:rsidRPr="00B61FF1">
        <w:rPr>
          <w:rStyle w:val="Heading2Char"/>
          <w:b w:val="0"/>
          <w:bCs w:val="0"/>
          <w:i w:val="0"/>
          <w:iCs w:val="0"/>
          <w:sz w:val="24"/>
          <w:szCs w:val="24"/>
        </w:rPr>
        <w:t>Definitions</w:t>
      </w:r>
      <w:r w:rsidRPr="00B61FF1">
        <w:rPr>
          <w:rFonts w:ascii="Arial" w:hAnsi="Arial" w:cs="Arial"/>
          <w:sz w:val="24"/>
          <w:szCs w:val="24"/>
        </w:rPr>
        <w:t>.  For the purposes of this article, the following definitions shall apply:</w:t>
      </w:r>
    </w:p>
    <w:p w14:paraId="17EBD514" w14:textId="77777777" w:rsidR="00E12B7A" w:rsidRPr="00B61FF1" w:rsidRDefault="00E12B7A" w:rsidP="00FE6A4C">
      <w:pPr>
        <w:pStyle w:val="ListParagraph"/>
        <w:numPr>
          <w:ilvl w:val="1"/>
          <w:numId w:val="21"/>
        </w:numPr>
        <w:tabs>
          <w:tab w:val="clear" w:pos="720"/>
          <w:tab w:val="left" w:pos="3780"/>
        </w:tabs>
        <w:spacing w:line="360" w:lineRule="auto"/>
        <w:ind w:left="1080"/>
        <w:rPr>
          <w:rFonts w:ascii="Arial" w:hAnsi="Arial" w:cs="Arial"/>
          <w:sz w:val="24"/>
          <w:szCs w:val="24"/>
        </w:rPr>
      </w:pPr>
      <w:r w:rsidRPr="00B61FF1">
        <w:rPr>
          <w:rFonts w:ascii="Arial" w:hAnsi="Arial" w:cs="Arial"/>
          <w:sz w:val="24"/>
          <w:szCs w:val="24"/>
        </w:rPr>
        <w:t>“Account Viewing Agent” means an individual authorized by a registered entity to view all the information on the entity’s accounts contained in the tracking system.</w:t>
      </w:r>
    </w:p>
    <w:p w14:paraId="4D5A2EA4" w14:textId="77777777" w:rsidR="0054122B" w:rsidRPr="00B61FF1" w:rsidRDefault="00E520A3" w:rsidP="00FE6A4C">
      <w:pPr>
        <w:pStyle w:val="ListParagraph"/>
        <w:numPr>
          <w:ilvl w:val="1"/>
          <w:numId w:val="21"/>
        </w:numPr>
        <w:tabs>
          <w:tab w:val="clear" w:pos="720"/>
          <w:tab w:val="left" w:pos="3780"/>
        </w:tabs>
        <w:spacing w:line="360" w:lineRule="auto"/>
        <w:ind w:left="1080"/>
        <w:rPr>
          <w:rFonts w:ascii="Arial" w:hAnsi="Arial" w:cs="Arial"/>
          <w:sz w:val="24"/>
          <w:szCs w:val="24"/>
        </w:rPr>
      </w:pPr>
      <w:r w:rsidRPr="00B61FF1">
        <w:rPr>
          <w:rFonts w:ascii="Arial" w:hAnsi="Arial" w:cs="Arial"/>
          <w:sz w:val="24"/>
          <w:szCs w:val="24"/>
        </w:rPr>
        <w:t xml:space="preserve">“Accounts </w:t>
      </w:r>
      <w:r w:rsidR="001C6B5D" w:rsidRPr="00B61FF1">
        <w:rPr>
          <w:rFonts w:ascii="Arial" w:hAnsi="Arial" w:cs="Arial"/>
          <w:sz w:val="24"/>
          <w:szCs w:val="24"/>
        </w:rPr>
        <w:t>A</w:t>
      </w:r>
      <w:r w:rsidR="0054122B" w:rsidRPr="00B61FF1">
        <w:rPr>
          <w:rFonts w:ascii="Arial" w:hAnsi="Arial" w:cs="Arial"/>
          <w:sz w:val="24"/>
          <w:szCs w:val="24"/>
        </w:rPr>
        <w:t>dministrator” means the entity acting in the capacity to administer the accounts identified in this regulation.  This may be ARB, or could be an entity ARB enters into a contract with.</w:t>
      </w:r>
    </w:p>
    <w:p w14:paraId="17BC2345" w14:textId="77777777" w:rsidR="0054122B" w:rsidRPr="00B61FF1" w:rsidRDefault="00E520A3" w:rsidP="00FE6A4C">
      <w:pPr>
        <w:pStyle w:val="ListParagraph"/>
        <w:numPr>
          <w:ilvl w:val="1"/>
          <w:numId w:val="21"/>
        </w:numPr>
        <w:tabs>
          <w:tab w:val="clear" w:pos="720"/>
          <w:tab w:val="num" w:pos="1080"/>
          <w:tab w:val="left" w:pos="3780"/>
        </w:tabs>
        <w:spacing w:line="360" w:lineRule="auto"/>
        <w:ind w:left="1080"/>
        <w:rPr>
          <w:rFonts w:ascii="Arial" w:hAnsi="Arial" w:cs="Arial"/>
          <w:sz w:val="24"/>
          <w:szCs w:val="24"/>
        </w:rPr>
      </w:pPr>
      <w:r w:rsidRPr="00B61FF1">
        <w:rPr>
          <w:rFonts w:ascii="Arial" w:hAnsi="Arial" w:cs="Arial"/>
          <w:sz w:val="24"/>
          <w:szCs w:val="24"/>
        </w:rPr>
        <w:t>“Activity-</w:t>
      </w:r>
      <w:r w:rsidR="001C6B5D" w:rsidRPr="00B61FF1">
        <w:rPr>
          <w:rFonts w:ascii="Arial" w:hAnsi="Arial" w:cs="Arial"/>
          <w:sz w:val="24"/>
          <w:szCs w:val="24"/>
        </w:rPr>
        <w:t>S</w:t>
      </w:r>
      <w:r w:rsidRPr="00B61FF1">
        <w:rPr>
          <w:rFonts w:ascii="Arial" w:hAnsi="Arial" w:cs="Arial"/>
          <w:sz w:val="24"/>
          <w:szCs w:val="24"/>
        </w:rPr>
        <w:t xml:space="preserve">hifting </w:t>
      </w:r>
      <w:r w:rsidR="001C6B5D" w:rsidRPr="00B61FF1">
        <w:rPr>
          <w:rFonts w:ascii="Arial" w:hAnsi="Arial" w:cs="Arial"/>
          <w:sz w:val="24"/>
          <w:szCs w:val="24"/>
        </w:rPr>
        <w:t>L</w:t>
      </w:r>
      <w:r w:rsidR="0054122B" w:rsidRPr="00B61FF1">
        <w:rPr>
          <w:rFonts w:ascii="Arial" w:hAnsi="Arial" w:cs="Arial"/>
          <w:sz w:val="24"/>
          <w:szCs w:val="24"/>
        </w:rPr>
        <w:t>eakage” means</w:t>
      </w:r>
      <w:r w:rsidR="0054122B" w:rsidRPr="00B61FF1">
        <w:rPr>
          <w:rFonts w:ascii="Arial" w:eastAsia="MS Mincho" w:hAnsi="Arial" w:cs="Arial"/>
          <w:sz w:val="24"/>
          <w:szCs w:val="24"/>
          <w:lang w:eastAsia="ja-JP"/>
        </w:rPr>
        <w:t xml:space="preserve"> increased GHG emissions or decreased GHG removals that result from the displacement of activities or resources from inside the offset project’s boundary to locations outside the offset project</w:t>
      </w:r>
      <w:r w:rsidR="0054122B" w:rsidRPr="00B61FF1">
        <w:rPr>
          <w:rFonts w:ascii="Arial" w:eastAsia="Times New Roman" w:hAnsi="Arial" w:cs="Arial"/>
          <w:sz w:val="24"/>
          <w:szCs w:val="24"/>
          <w:lang w:bidi="en-US"/>
        </w:rPr>
        <w:t>’s boundary as a result of the offset project activity.</w:t>
      </w:r>
    </w:p>
    <w:p w14:paraId="27A1D1CE" w14:textId="77777777" w:rsidR="0054122B" w:rsidRPr="00B61FF1" w:rsidRDefault="0054122B" w:rsidP="00FE6A4C">
      <w:pPr>
        <w:pStyle w:val="ListParagraph"/>
        <w:numPr>
          <w:ilvl w:val="1"/>
          <w:numId w:val="21"/>
        </w:numPr>
        <w:tabs>
          <w:tab w:val="clear" w:pos="720"/>
          <w:tab w:val="left" w:pos="3780"/>
        </w:tabs>
        <w:spacing w:line="360" w:lineRule="auto"/>
        <w:ind w:left="1080"/>
        <w:rPr>
          <w:rFonts w:ascii="Arial" w:hAnsi="Arial" w:cs="Arial"/>
          <w:sz w:val="24"/>
          <w:szCs w:val="24"/>
        </w:rPr>
      </w:pPr>
      <w:r w:rsidRPr="00B61FF1">
        <w:rPr>
          <w:rFonts w:ascii="Arial" w:hAnsi="Arial" w:cs="Arial"/>
          <w:sz w:val="24"/>
          <w:szCs w:val="24"/>
        </w:rPr>
        <w:t>“Additional” means, in the context of offset credits, greenhouse gas emission reductions or removals that exceed any greenhouse gas reduction or removals otherwise required by law, regulation or legally binding mandate, and that exceed any greenhouse gas reductions or removals that would otherwise occur in a conservative business-as-usual scenario.</w:t>
      </w:r>
    </w:p>
    <w:p w14:paraId="05FA871C" w14:textId="77777777" w:rsidR="0054122B" w:rsidRPr="00B61FF1" w:rsidRDefault="0054122B" w:rsidP="00216289">
      <w:pPr>
        <w:tabs>
          <w:tab w:val="left" w:pos="720"/>
          <w:tab w:val="left" w:pos="3780"/>
        </w:tabs>
        <w:spacing w:line="360" w:lineRule="auto"/>
        <w:ind w:left="1080" w:hanging="660"/>
        <w:rPr>
          <w:rFonts w:ascii="Arial" w:hAnsi="Arial" w:cs="Arial"/>
          <w:sz w:val="24"/>
          <w:szCs w:val="24"/>
        </w:rPr>
      </w:pPr>
      <w:r w:rsidRPr="00B61FF1">
        <w:rPr>
          <w:rFonts w:ascii="Arial" w:hAnsi="Arial" w:cs="Arial"/>
          <w:sz w:val="24"/>
          <w:szCs w:val="24"/>
        </w:rPr>
        <w:lastRenderedPageBreak/>
        <w:t xml:space="preserve">(5) </w:t>
      </w:r>
      <w:r w:rsidR="001066AD" w:rsidRPr="00B61FF1">
        <w:rPr>
          <w:rFonts w:ascii="Arial" w:hAnsi="Arial" w:cs="Arial"/>
          <w:sz w:val="24"/>
          <w:szCs w:val="24"/>
        </w:rPr>
        <w:tab/>
      </w:r>
      <w:r w:rsidR="00E12B7A" w:rsidRPr="00B61FF1">
        <w:rPr>
          <w:rFonts w:ascii="Arial" w:eastAsiaTheme="minorEastAsia" w:hAnsi="Arial" w:cs="Arial"/>
          <w:sz w:val="24"/>
          <w:szCs w:val="24"/>
          <w:lang w:eastAsia="ja-JP"/>
        </w:rPr>
        <w:t>"Adjusted Clinker and Mineral Additives Produced" means annual amount of clinker and mineral additives (limestone and gypsum) derived by using the following metric: Adjusted clinker and mineral additives produced = clinker produced x (1 + (limestone and gypsum consumed)/clinker consumed)).</w:t>
      </w:r>
    </w:p>
    <w:p w14:paraId="771DE448" w14:textId="77777777" w:rsidR="00EE6E88" w:rsidRPr="00B61FF1" w:rsidRDefault="00A50160" w:rsidP="00EE6E88">
      <w:pPr>
        <w:tabs>
          <w:tab w:val="left" w:pos="720"/>
          <w:tab w:val="left" w:pos="3780"/>
        </w:tabs>
        <w:spacing w:line="360" w:lineRule="auto"/>
        <w:ind w:left="1080" w:hanging="660"/>
        <w:rPr>
          <w:rFonts w:ascii="Arial" w:hAnsi="Arial" w:cs="Arial"/>
          <w:sz w:val="24"/>
          <w:szCs w:val="24"/>
        </w:rPr>
      </w:pPr>
      <w:r w:rsidRPr="00B61FF1">
        <w:rPr>
          <w:rFonts w:ascii="Arial" w:hAnsi="Arial" w:cs="Arial"/>
          <w:sz w:val="24"/>
          <w:szCs w:val="24"/>
        </w:rPr>
        <w:t>(6)</w:t>
      </w:r>
      <w:r w:rsidR="007F0184" w:rsidRPr="00B61FF1">
        <w:rPr>
          <w:rFonts w:ascii="Arial" w:hAnsi="Arial" w:cs="Arial"/>
          <w:sz w:val="24"/>
          <w:szCs w:val="24"/>
        </w:rPr>
        <w:tab/>
      </w:r>
      <w:r w:rsidRPr="00B61FF1">
        <w:rPr>
          <w:rFonts w:ascii="Arial" w:hAnsi="Arial" w:cs="Arial"/>
          <w:sz w:val="24"/>
          <w:szCs w:val="24"/>
        </w:rPr>
        <w:tab/>
      </w:r>
      <w:r w:rsidR="00E12B7A" w:rsidRPr="00B61FF1">
        <w:rPr>
          <w:rFonts w:ascii="Arial" w:hAnsi="Arial" w:cs="Arial"/>
          <w:sz w:val="24"/>
          <w:szCs w:val="24"/>
        </w:rPr>
        <w:t>“Adverse Offset Verification Statement” means an Offset Verification Statement rendered by a verification body attesting that the verification body cannot say with reasonable assurance that the submitted Offset Project Data Report is free of an offset material misstatement, or that it cannot attest that the Offset Project Data Report conforms to the requirements of this article or applicable Compliance Offset Protocol.</w:t>
      </w:r>
    </w:p>
    <w:p w14:paraId="50CB9751" w14:textId="77777777" w:rsidR="0054122B" w:rsidRPr="00B61FF1" w:rsidRDefault="0054122B" w:rsidP="00EE6E88">
      <w:pPr>
        <w:tabs>
          <w:tab w:val="left" w:pos="720"/>
          <w:tab w:val="left" w:pos="3780"/>
        </w:tabs>
        <w:spacing w:line="360" w:lineRule="auto"/>
        <w:ind w:left="1080" w:hanging="660"/>
        <w:rPr>
          <w:rFonts w:ascii="Arial" w:hAnsi="Arial" w:cs="Arial"/>
          <w:sz w:val="24"/>
          <w:szCs w:val="24"/>
        </w:rPr>
      </w:pPr>
      <w:r w:rsidRPr="00B61FF1">
        <w:rPr>
          <w:rFonts w:ascii="Arial" w:hAnsi="Arial" w:cs="Arial"/>
          <w:sz w:val="24"/>
          <w:szCs w:val="24"/>
        </w:rPr>
        <w:t>(</w:t>
      </w:r>
      <w:r w:rsidR="00B930F8" w:rsidRPr="00B61FF1">
        <w:rPr>
          <w:rFonts w:ascii="Arial" w:hAnsi="Arial" w:cs="Arial"/>
          <w:sz w:val="24"/>
          <w:szCs w:val="24"/>
        </w:rPr>
        <w:t>7</w:t>
      </w:r>
      <w:r w:rsidRPr="00B61FF1">
        <w:rPr>
          <w:rFonts w:ascii="Arial" w:hAnsi="Arial" w:cs="Arial"/>
          <w:sz w:val="24"/>
          <w:szCs w:val="24"/>
        </w:rPr>
        <w:t>)</w:t>
      </w:r>
      <w:r w:rsidR="007F0184" w:rsidRPr="00B61FF1">
        <w:rPr>
          <w:rFonts w:ascii="Arial" w:hAnsi="Arial" w:cs="Arial"/>
          <w:sz w:val="24"/>
          <w:szCs w:val="24"/>
        </w:rPr>
        <w:tab/>
      </w:r>
      <w:r w:rsidR="001066AD" w:rsidRPr="00B61FF1">
        <w:rPr>
          <w:rFonts w:ascii="Arial" w:hAnsi="Arial" w:cs="Arial"/>
          <w:sz w:val="24"/>
          <w:szCs w:val="24"/>
        </w:rPr>
        <w:tab/>
      </w:r>
      <w:r w:rsidRPr="00B61FF1">
        <w:rPr>
          <w:rFonts w:ascii="Arial" w:hAnsi="Arial" w:cs="Arial"/>
          <w:sz w:val="24"/>
          <w:szCs w:val="24"/>
        </w:rPr>
        <w:t>“Air Dried Ton of Paper” means paper with 6</w:t>
      </w:r>
      <w:r w:rsidR="00C75481" w:rsidRPr="00B61FF1">
        <w:rPr>
          <w:rFonts w:ascii="Arial" w:hAnsi="Arial" w:cs="Arial"/>
          <w:sz w:val="24"/>
          <w:szCs w:val="24"/>
        </w:rPr>
        <w:t xml:space="preserve"> percent</w:t>
      </w:r>
      <w:r w:rsidRPr="00B61FF1">
        <w:rPr>
          <w:rFonts w:ascii="Arial" w:hAnsi="Arial" w:cs="Arial"/>
          <w:sz w:val="24"/>
          <w:szCs w:val="24"/>
        </w:rPr>
        <w:t xml:space="preserve"> moisture content.</w:t>
      </w:r>
    </w:p>
    <w:p w14:paraId="0D702157" w14:textId="72D1A04D" w:rsidR="00B80CC5" w:rsidRPr="00B61FF1" w:rsidRDefault="00B80CC5" w:rsidP="0071755A">
      <w:pPr>
        <w:tabs>
          <w:tab w:val="left" w:pos="720"/>
          <w:tab w:val="left" w:pos="3780"/>
        </w:tabs>
        <w:spacing w:line="360" w:lineRule="auto"/>
        <w:ind w:left="1080" w:hanging="660"/>
        <w:rPr>
          <w:rFonts w:ascii="Arial" w:hAnsi="Arial" w:cs="Arial"/>
          <w:sz w:val="24"/>
          <w:szCs w:val="24"/>
          <w:u w:val="single"/>
        </w:rPr>
      </w:pPr>
      <w:r w:rsidRPr="00B61FF1">
        <w:rPr>
          <w:rFonts w:ascii="Arial" w:hAnsi="Arial" w:cs="Arial"/>
          <w:sz w:val="24"/>
          <w:szCs w:val="24"/>
          <w:u w:val="single"/>
        </w:rPr>
        <w:t>(X)</w:t>
      </w:r>
      <w:r w:rsidRPr="00B61FF1">
        <w:rPr>
          <w:rFonts w:ascii="Arial" w:hAnsi="Arial" w:cs="Arial"/>
          <w:sz w:val="24"/>
          <w:szCs w:val="24"/>
        </w:rPr>
        <w:tab/>
      </w:r>
      <w:r w:rsidRPr="00B61FF1">
        <w:rPr>
          <w:rFonts w:ascii="Arial" w:hAnsi="Arial" w:cs="Arial"/>
          <w:sz w:val="24"/>
          <w:szCs w:val="24"/>
          <w:u w:val="single"/>
        </w:rPr>
        <w:t>Air Pollution Control District” or “Air Quality Management District” or “Air District” means any district created or continued in existence pursuant to the provisions of Part 3 (commencing with Section 40000) of Division 26 of the Health and Safety Code.</w:t>
      </w:r>
    </w:p>
    <w:p w14:paraId="2D78CD54" w14:textId="77777777" w:rsidR="0054122B" w:rsidRPr="00B61FF1" w:rsidRDefault="001066AD" w:rsidP="00216289">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 </w:t>
      </w:r>
      <w:r w:rsidR="0054122B" w:rsidRPr="00B61FF1">
        <w:rPr>
          <w:rFonts w:ascii="Arial" w:hAnsi="Arial" w:cs="Arial"/>
          <w:sz w:val="24"/>
          <w:szCs w:val="24"/>
        </w:rPr>
        <w:t>(</w:t>
      </w:r>
      <w:r w:rsidR="008028C9" w:rsidRPr="00B61FF1">
        <w:rPr>
          <w:rFonts w:ascii="Arial" w:hAnsi="Arial" w:cs="Arial"/>
          <w:sz w:val="24"/>
          <w:szCs w:val="24"/>
        </w:rPr>
        <w:t>8</w:t>
      </w:r>
      <w:r w:rsidR="0054122B" w:rsidRPr="00B61FF1">
        <w:rPr>
          <w:rFonts w:ascii="Arial" w:hAnsi="Arial" w:cs="Arial"/>
          <w:sz w:val="24"/>
          <w:szCs w:val="24"/>
        </w:rPr>
        <w:t xml:space="preserve">) </w:t>
      </w:r>
      <w:r w:rsidRPr="00B61FF1">
        <w:rPr>
          <w:rFonts w:ascii="Arial" w:hAnsi="Arial" w:cs="Arial"/>
          <w:sz w:val="24"/>
          <w:szCs w:val="24"/>
        </w:rPr>
        <w:tab/>
      </w:r>
      <w:r w:rsidR="0054122B" w:rsidRPr="00B61FF1">
        <w:rPr>
          <w:rFonts w:ascii="Arial" w:hAnsi="Arial" w:cs="Arial"/>
          <w:sz w:val="24"/>
          <w:szCs w:val="24"/>
        </w:rPr>
        <w:t xml:space="preserve">“Allowance” means a limited tradable authorization to emit up to one </w:t>
      </w:r>
    </w:p>
    <w:p w14:paraId="0E69CD43" w14:textId="77777777" w:rsidR="0054122B" w:rsidRPr="00B61FF1" w:rsidRDefault="00216289" w:rsidP="00216289">
      <w:pPr>
        <w:spacing w:line="360" w:lineRule="auto"/>
        <w:ind w:left="1080" w:hanging="720"/>
        <w:rPr>
          <w:rFonts w:ascii="Arial" w:hAnsi="Arial" w:cs="Arial"/>
          <w:sz w:val="24"/>
          <w:szCs w:val="24"/>
        </w:rPr>
      </w:pPr>
      <w:r w:rsidRPr="00B61FF1">
        <w:rPr>
          <w:rFonts w:ascii="Arial" w:hAnsi="Arial" w:cs="Arial"/>
          <w:sz w:val="24"/>
          <w:szCs w:val="24"/>
        </w:rPr>
        <w:tab/>
      </w:r>
      <w:r w:rsidR="0054122B" w:rsidRPr="00B61FF1">
        <w:rPr>
          <w:rFonts w:ascii="Arial" w:hAnsi="Arial" w:cs="Arial"/>
          <w:sz w:val="24"/>
          <w:szCs w:val="24"/>
        </w:rPr>
        <w:t>metric ton of carbon dioxide equivalent.</w:t>
      </w:r>
    </w:p>
    <w:p w14:paraId="0BF42A3B" w14:textId="77777777" w:rsidR="0054122B" w:rsidRPr="00B61FF1" w:rsidRDefault="0054122B" w:rsidP="00216289">
      <w:pPr>
        <w:tabs>
          <w:tab w:val="left" w:pos="3780"/>
        </w:tabs>
        <w:spacing w:line="360" w:lineRule="auto"/>
        <w:ind w:left="1080" w:hanging="630"/>
        <w:rPr>
          <w:rFonts w:ascii="Arial" w:eastAsia="Times New Roman" w:hAnsi="Arial" w:cs="Arial"/>
          <w:sz w:val="24"/>
          <w:szCs w:val="24"/>
          <w:lang w:bidi="en-US"/>
        </w:rPr>
      </w:pPr>
      <w:r w:rsidRPr="00B61FF1">
        <w:rPr>
          <w:rFonts w:ascii="Arial" w:eastAsia="Times New Roman" w:hAnsi="Arial" w:cs="Arial"/>
          <w:sz w:val="24"/>
          <w:szCs w:val="24"/>
          <w:lang w:bidi="en-US"/>
        </w:rPr>
        <w:t>(</w:t>
      </w:r>
      <w:r w:rsidR="008028C9" w:rsidRPr="00B61FF1">
        <w:rPr>
          <w:rFonts w:ascii="Arial" w:eastAsia="Times New Roman" w:hAnsi="Arial" w:cs="Arial"/>
          <w:sz w:val="24"/>
          <w:szCs w:val="24"/>
          <w:lang w:bidi="en-US"/>
        </w:rPr>
        <w:t>9</w:t>
      </w:r>
      <w:r w:rsidRPr="00B61FF1">
        <w:rPr>
          <w:rFonts w:ascii="Arial" w:eastAsia="Times New Roman" w:hAnsi="Arial" w:cs="Arial"/>
          <w:sz w:val="24"/>
          <w:szCs w:val="24"/>
          <w:lang w:bidi="en-US"/>
        </w:rPr>
        <w:t>)</w:t>
      </w:r>
      <w:r w:rsidR="00AE52E6" w:rsidRPr="00B61FF1">
        <w:rPr>
          <w:rFonts w:ascii="Arial" w:eastAsia="Times New Roman" w:hAnsi="Arial" w:cs="Arial"/>
          <w:sz w:val="24"/>
          <w:szCs w:val="24"/>
          <w:lang w:bidi="en-US"/>
        </w:rPr>
        <w:t xml:space="preserve"> </w:t>
      </w:r>
      <w:r w:rsidR="001066AD" w:rsidRPr="00B61FF1">
        <w:rPr>
          <w:rFonts w:ascii="Arial" w:eastAsia="Times New Roman" w:hAnsi="Arial" w:cs="Arial"/>
          <w:sz w:val="24"/>
          <w:szCs w:val="24"/>
          <w:lang w:bidi="en-US"/>
        </w:rPr>
        <w:tab/>
      </w:r>
      <w:r w:rsidR="0040497D" w:rsidRPr="00B61FF1">
        <w:rPr>
          <w:rFonts w:ascii="Arial" w:eastAsia="Times New Roman" w:hAnsi="Arial" w:cs="Arial"/>
          <w:sz w:val="24"/>
          <w:szCs w:val="24"/>
          <w:lang w:bidi="en-US"/>
        </w:rPr>
        <w:t>“Alternate</w:t>
      </w:r>
      <w:r w:rsidRPr="00B61FF1">
        <w:rPr>
          <w:rFonts w:ascii="Arial" w:eastAsia="Times New Roman" w:hAnsi="Arial" w:cs="Arial"/>
          <w:sz w:val="24"/>
          <w:szCs w:val="24"/>
          <w:lang w:bidi="en-US"/>
        </w:rPr>
        <w:t xml:space="preserve"> </w:t>
      </w:r>
      <w:r w:rsidR="001C6B5D" w:rsidRPr="00B61FF1">
        <w:rPr>
          <w:rFonts w:ascii="Arial" w:eastAsia="Times New Roman" w:hAnsi="Arial" w:cs="Arial"/>
          <w:sz w:val="24"/>
          <w:szCs w:val="24"/>
          <w:lang w:bidi="en-US"/>
        </w:rPr>
        <w:t>A</w:t>
      </w:r>
      <w:r w:rsidRPr="00B61FF1">
        <w:rPr>
          <w:rFonts w:ascii="Arial" w:eastAsia="Times New Roman" w:hAnsi="Arial" w:cs="Arial"/>
          <w:sz w:val="24"/>
          <w:szCs w:val="24"/>
          <w:lang w:bidi="en-US"/>
        </w:rPr>
        <w:t xml:space="preserve">ccount </w:t>
      </w:r>
      <w:r w:rsidR="001C6B5D" w:rsidRPr="00B61FF1">
        <w:rPr>
          <w:rFonts w:ascii="Arial" w:eastAsia="Times New Roman" w:hAnsi="Arial" w:cs="Arial"/>
          <w:sz w:val="24"/>
          <w:szCs w:val="24"/>
          <w:lang w:bidi="en-US"/>
        </w:rPr>
        <w:t>R</w:t>
      </w:r>
      <w:r w:rsidRPr="00B61FF1">
        <w:rPr>
          <w:rFonts w:ascii="Arial" w:eastAsia="Times New Roman" w:hAnsi="Arial" w:cs="Arial"/>
          <w:sz w:val="24"/>
          <w:szCs w:val="24"/>
          <w:lang w:bidi="en-US"/>
        </w:rPr>
        <w:t xml:space="preserve">epresentative” means </w:t>
      </w:r>
      <w:r w:rsidR="00E12B7A" w:rsidRPr="00B61FF1">
        <w:rPr>
          <w:rFonts w:ascii="Arial" w:eastAsia="Times New Roman" w:hAnsi="Arial" w:cs="Arial"/>
          <w:sz w:val="24"/>
          <w:szCs w:val="24"/>
          <w:lang w:bidi="en-US"/>
        </w:rPr>
        <w:t>an individual designated pursuant to section 95832 to take actions on an entity’s accounts.</w:t>
      </w:r>
    </w:p>
    <w:p w14:paraId="3104D753" w14:textId="77777777" w:rsidR="0054122B" w:rsidRPr="00B61FF1" w:rsidRDefault="0054122B" w:rsidP="00216289">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10</w:t>
      </w:r>
      <w:r w:rsidRPr="00B61FF1">
        <w:rPr>
          <w:rFonts w:ascii="Arial" w:hAnsi="Arial" w:cs="Arial"/>
          <w:sz w:val="24"/>
          <w:szCs w:val="24"/>
        </w:rPr>
        <w:t xml:space="preserve">) </w:t>
      </w:r>
      <w:r w:rsidR="001066AD" w:rsidRPr="00B61FF1">
        <w:rPr>
          <w:rFonts w:ascii="Arial" w:hAnsi="Arial" w:cs="Arial"/>
          <w:sz w:val="24"/>
          <w:szCs w:val="24"/>
        </w:rPr>
        <w:tab/>
      </w:r>
      <w:r w:rsidR="0040497D" w:rsidRPr="00B61FF1">
        <w:rPr>
          <w:rFonts w:ascii="Arial" w:hAnsi="Arial" w:cs="Arial"/>
          <w:sz w:val="24"/>
          <w:szCs w:val="24"/>
        </w:rPr>
        <w:t xml:space="preserve">“Annual </w:t>
      </w:r>
      <w:r w:rsidR="001C6B5D" w:rsidRPr="00B61FF1">
        <w:rPr>
          <w:rFonts w:ascii="Arial" w:hAnsi="Arial" w:cs="Arial"/>
          <w:sz w:val="24"/>
          <w:szCs w:val="24"/>
        </w:rPr>
        <w:t>A</w:t>
      </w:r>
      <w:r w:rsidR="0040497D" w:rsidRPr="00B61FF1">
        <w:rPr>
          <w:rFonts w:ascii="Arial" w:hAnsi="Arial" w:cs="Arial"/>
          <w:sz w:val="24"/>
          <w:szCs w:val="24"/>
        </w:rPr>
        <w:t xml:space="preserve">llowance </w:t>
      </w:r>
      <w:r w:rsidR="001C6B5D" w:rsidRPr="00B61FF1">
        <w:rPr>
          <w:rFonts w:ascii="Arial" w:hAnsi="Arial" w:cs="Arial"/>
          <w:sz w:val="24"/>
          <w:szCs w:val="24"/>
        </w:rPr>
        <w:t>B</w:t>
      </w:r>
      <w:r w:rsidRPr="00B61FF1">
        <w:rPr>
          <w:rFonts w:ascii="Arial" w:hAnsi="Arial" w:cs="Arial"/>
          <w:sz w:val="24"/>
          <w:szCs w:val="24"/>
        </w:rPr>
        <w:t xml:space="preserve">udget” means the number of California </w:t>
      </w:r>
    </w:p>
    <w:p w14:paraId="21C56658" w14:textId="77777777" w:rsidR="0054122B" w:rsidRPr="00B61FF1" w:rsidRDefault="0054122B" w:rsidP="00216289">
      <w:pPr>
        <w:spacing w:line="360" w:lineRule="auto"/>
        <w:ind w:left="1080"/>
        <w:rPr>
          <w:rFonts w:ascii="Arial" w:hAnsi="Arial" w:cs="Arial"/>
          <w:sz w:val="24"/>
          <w:szCs w:val="24"/>
        </w:rPr>
      </w:pPr>
      <w:r w:rsidRPr="00B61FF1">
        <w:rPr>
          <w:rFonts w:ascii="Arial" w:hAnsi="Arial" w:cs="Arial"/>
          <w:sz w:val="24"/>
          <w:szCs w:val="24"/>
        </w:rPr>
        <w:t xml:space="preserve">Greenhouse Gas Allowances associated with one year of the Cap-and-Trade Program in subarticle 6.  </w:t>
      </w:r>
    </w:p>
    <w:p w14:paraId="2CF3F39E" w14:textId="77777777" w:rsidR="005F7984" w:rsidRPr="00B61FF1" w:rsidRDefault="0054122B" w:rsidP="008357F1">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11</w:t>
      </w:r>
      <w:r w:rsidRPr="00B61FF1">
        <w:rPr>
          <w:rFonts w:ascii="Arial" w:hAnsi="Arial" w:cs="Arial"/>
          <w:sz w:val="24"/>
          <w:szCs w:val="24"/>
        </w:rPr>
        <w:t>)</w:t>
      </w:r>
      <w:r w:rsidR="00216289" w:rsidRPr="00B61FF1">
        <w:rPr>
          <w:rFonts w:ascii="Arial" w:hAnsi="Arial" w:cs="Arial"/>
          <w:sz w:val="24"/>
          <w:szCs w:val="24"/>
        </w:rPr>
        <w:tab/>
      </w:r>
      <w:r w:rsidRPr="00B61FF1">
        <w:rPr>
          <w:rFonts w:ascii="Arial" w:hAnsi="Arial" w:cs="Arial"/>
          <w:sz w:val="24"/>
          <w:szCs w:val="24"/>
        </w:rPr>
        <w:t>"API Gravity" means a scale used to refle</w:t>
      </w:r>
      <w:r w:rsidR="00216289" w:rsidRPr="00B61FF1">
        <w:rPr>
          <w:rFonts w:ascii="Arial" w:hAnsi="Arial" w:cs="Arial"/>
          <w:sz w:val="24"/>
          <w:szCs w:val="24"/>
        </w:rPr>
        <w:t xml:space="preserve">ct the specific gravity (SG) of </w:t>
      </w:r>
      <w:r w:rsidRPr="00B61FF1">
        <w:rPr>
          <w:rFonts w:ascii="Arial" w:hAnsi="Arial" w:cs="Arial"/>
          <w:sz w:val="24"/>
          <w:szCs w:val="24"/>
        </w:rPr>
        <w:t>a fluid such as crude oil, water, or natural gas.  The API gravity is</w:t>
      </w:r>
      <w:r w:rsidR="006D3FE7" w:rsidRPr="00B61FF1">
        <w:rPr>
          <w:rFonts w:ascii="Arial" w:hAnsi="Arial" w:cs="Arial"/>
          <w:sz w:val="24"/>
          <w:szCs w:val="24"/>
        </w:rPr>
        <w:t xml:space="preserve"> </w:t>
      </w:r>
      <w:r w:rsidRPr="00B61FF1">
        <w:rPr>
          <w:rFonts w:ascii="Arial" w:hAnsi="Arial" w:cs="Arial"/>
          <w:sz w:val="24"/>
          <w:szCs w:val="24"/>
        </w:rPr>
        <w:t>calculated as [(141.5/SG) - 131.5], where SG is the specific gravity of the fluid at 60°F</w:t>
      </w:r>
      <w:r w:rsidR="00C64C59" w:rsidRPr="00B61FF1">
        <w:rPr>
          <w:rFonts w:ascii="Arial" w:hAnsi="Arial" w:cs="Arial"/>
          <w:sz w:val="24"/>
          <w:szCs w:val="24"/>
        </w:rPr>
        <w:t>, where</w:t>
      </w:r>
      <w:r w:rsidR="005F7984" w:rsidRPr="00B61FF1">
        <w:rPr>
          <w:rFonts w:ascii="Arial" w:hAnsi="Arial" w:cs="Arial"/>
          <w:sz w:val="24"/>
          <w:szCs w:val="24"/>
        </w:rPr>
        <w:t xml:space="preserve"> </w:t>
      </w:r>
      <w:r w:rsidR="006D3FE7" w:rsidRPr="00B61FF1">
        <w:rPr>
          <w:rFonts w:ascii="Arial" w:hAnsi="Arial" w:cs="Arial"/>
          <w:sz w:val="24"/>
          <w:szCs w:val="24"/>
        </w:rPr>
        <w:t xml:space="preserve">API </w:t>
      </w:r>
      <w:r w:rsidR="005F7984" w:rsidRPr="00B61FF1">
        <w:rPr>
          <w:rFonts w:ascii="Arial" w:hAnsi="Arial" w:cs="Arial"/>
          <w:sz w:val="24"/>
          <w:szCs w:val="24"/>
        </w:rPr>
        <w:t>refers to the</w:t>
      </w:r>
      <w:r w:rsidR="006D3FE7" w:rsidRPr="00B61FF1">
        <w:rPr>
          <w:rFonts w:ascii="Arial" w:hAnsi="Arial" w:cs="Arial"/>
          <w:sz w:val="24"/>
          <w:szCs w:val="24"/>
        </w:rPr>
        <w:t xml:space="preserve"> American P</w:t>
      </w:r>
      <w:r w:rsidR="005F7984" w:rsidRPr="00B61FF1">
        <w:rPr>
          <w:rFonts w:ascii="Arial" w:hAnsi="Arial" w:cs="Arial"/>
          <w:sz w:val="24"/>
          <w:szCs w:val="24"/>
        </w:rPr>
        <w:t>etroleum Institute.</w:t>
      </w:r>
      <w:r w:rsidR="006D3FE7" w:rsidRPr="00B61FF1">
        <w:rPr>
          <w:rFonts w:ascii="Arial" w:hAnsi="Arial" w:cs="Arial"/>
          <w:sz w:val="24"/>
          <w:szCs w:val="24"/>
        </w:rPr>
        <w:t xml:space="preserve"> </w:t>
      </w:r>
    </w:p>
    <w:p w14:paraId="25D5D056" w14:textId="77777777" w:rsidR="0054122B" w:rsidRPr="00B61FF1" w:rsidRDefault="0054122B" w:rsidP="00216289">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12</w:t>
      </w:r>
      <w:r w:rsidRPr="00B61FF1">
        <w:rPr>
          <w:rFonts w:ascii="Arial" w:hAnsi="Arial" w:cs="Arial"/>
          <w:sz w:val="24"/>
          <w:szCs w:val="24"/>
        </w:rPr>
        <w:t>)</w:t>
      </w:r>
      <w:r w:rsidR="00216289" w:rsidRPr="00B61FF1">
        <w:rPr>
          <w:rFonts w:ascii="Arial" w:hAnsi="Arial" w:cs="Arial"/>
          <w:sz w:val="24"/>
          <w:szCs w:val="24"/>
        </w:rPr>
        <w:tab/>
      </w:r>
      <w:r w:rsidRPr="00B61FF1">
        <w:rPr>
          <w:rFonts w:ascii="Arial" w:hAnsi="Arial" w:cs="Arial"/>
          <w:sz w:val="24"/>
          <w:szCs w:val="24"/>
        </w:rPr>
        <w:t>“ARB Offset Credit” means a tradable compliance instrument issued by ARB that represents a GHG reduction or GHG removal enhancement of one metric ton of CO</w:t>
      </w:r>
      <w:r w:rsidRPr="00B61FF1">
        <w:rPr>
          <w:rFonts w:ascii="Arial" w:hAnsi="Arial" w:cs="Arial"/>
          <w:sz w:val="24"/>
          <w:szCs w:val="24"/>
          <w:vertAlign w:val="subscript"/>
        </w:rPr>
        <w:t>2</w:t>
      </w:r>
      <w:r w:rsidRPr="00B61FF1">
        <w:rPr>
          <w:rFonts w:ascii="Arial" w:hAnsi="Arial" w:cs="Arial"/>
          <w:sz w:val="24"/>
          <w:szCs w:val="24"/>
        </w:rPr>
        <w:t xml:space="preserve">e.  The GHG reduction or GHG removal </w:t>
      </w:r>
      <w:r w:rsidRPr="00B61FF1">
        <w:rPr>
          <w:rFonts w:ascii="Arial" w:hAnsi="Arial" w:cs="Arial"/>
          <w:sz w:val="24"/>
          <w:szCs w:val="24"/>
        </w:rPr>
        <w:lastRenderedPageBreak/>
        <w:t>enhancement must be real, additional, quantifiable, permanent, verifiable, and enforceable.</w:t>
      </w:r>
    </w:p>
    <w:p w14:paraId="16A64837" w14:textId="77777777" w:rsidR="0054122B" w:rsidRPr="00B61FF1" w:rsidRDefault="0054122B" w:rsidP="00216289">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13</w:t>
      </w:r>
      <w:r w:rsidRPr="00B61FF1">
        <w:rPr>
          <w:rFonts w:ascii="Arial" w:hAnsi="Arial" w:cs="Arial"/>
          <w:sz w:val="24"/>
          <w:szCs w:val="24"/>
        </w:rPr>
        <w:t>)</w:t>
      </w:r>
      <w:r w:rsidR="00720975" w:rsidRPr="00B61FF1">
        <w:rPr>
          <w:rFonts w:ascii="Arial" w:hAnsi="Arial" w:cs="Arial"/>
          <w:sz w:val="24"/>
          <w:szCs w:val="24"/>
        </w:rPr>
        <w:tab/>
      </w:r>
      <w:r w:rsidRPr="00B61FF1">
        <w:rPr>
          <w:rFonts w:ascii="Arial" w:hAnsi="Arial" w:cs="Arial"/>
          <w:sz w:val="24"/>
          <w:szCs w:val="24"/>
        </w:rPr>
        <w:t>"Asphalt" means a dark brown-to-black</w:t>
      </w:r>
      <w:r w:rsidR="00D72AA9" w:rsidRPr="00B61FF1">
        <w:rPr>
          <w:rFonts w:ascii="Arial" w:hAnsi="Arial" w:cs="Arial"/>
          <w:sz w:val="24"/>
          <w:szCs w:val="24"/>
        </w:rPr>
        <w:t>,</w:t>
      </w:r>
      <w:r w:rsidRPr="00B61FF1">
        <w:rPr>
          <w:rFonts w:ascii="Arial" w:hAnsi="Arial" w:cs="Arial"/>
          <w:sz w:val="24"/>
          <w:szCs w:val="24"/>
        </w:rPr>
        <w:t xml:space="preserve"> cement-like material obtained by petroleum processing and containing bitumens as the predominant component.  It includes crude asphalt as well as the following finished products: cements, fluxes, the asphalt content of emulsions (exclusive of water), and petroleum distillates blended with asphalt to make cutback asphalts.</w:t>
      </w:r>
    </w:p>
    <w:p w14:paraId="042D18B6" w14:textId="0850F15F" w:rsidR="0054122B" w:rsidRPr="00B61FF1" w:rsidRDefault="0054122B" w:rsidP="00720975">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t>(</w:t>
      </w:r>
      <w:r w:rsidR="008028C9" w:rsidRPr="00B61FF1">
        <w:rPr>
          <w:rFonts w:ascii="Arial" w:hAnsi="Arial" w:cs="Arial"/>
          <w:sz w:val="24"/>
          <w:szCs w:val="24"/>
        </w:rPr>
        <w:t>14</w:t>
      </w:r>
      <w:r w:rsidRPr="00B61FF1">
        <w:rPr>
          <w:rFonts w:ascii="Arial" w:hAnsi="Arial" w:cs="Arial"/>
          <w:sz w:val="24"/>
          <w:szCs w:val="24"/>
        </w:rPr>
        <w:t xml:space="preserve">) </w:t>
      </w:r>
      <w:r w:rsidR="00460E4E" w:rsidRPr="00B61FF1">
        <w:rPr>
          <w:rFonts w:ascii="Arial" w:hAnsi="Arial" w:cs="Arial"/>
          <w:sz w:val="24"/>
          <w:szCs w:val="24"/>
        </w:rPr>
        <w:tab/>
      </w:r>
      <w:r w:rsidR="0040497D" w:rsidRPr="00B61FF1">
        <w:rPr>
          <w:rFonts w:ascii="Arial" w:hAnsi="Arial" w:cs="Arial"/>
          <w:sz w:val="24"/>
          <w:szCs w:val="24"/>
        </w:rPr>
        <w:t xml:space="preserve">“Asset </w:t>
      </w:r>
      <w:r w:rsidR="001C6B5D" w:rsidRPr="00B61FF1">
        <w:rPr>
          <w:rFonts w:ascii="Arial" w:hAnsi="Arial" w:cs="Arial"/>
          <w:sz w:val="24"/>
          <w:szCs w:val="24"/>
        </w:rPr>
        <w:t>C</w:t>
      </w:r>
      <w:r w:rsidR="0040497D" w:rsidRPr="00B61FF1">
        <w:rPr>
          <w:rFonts w:ascii="Arial" w:hAnsi="Arial" w:cs="Arial"/>
          <w:sz w:val="24"/>
          <w:szCs w:val="24"/>
        </w:rPr>
        <w:t xml:space="preserve">ontrolling </w:t>
      </w:r>
      <w:r w:rsidR="001C6B5D" w:rsidRPr="00B61FF1">
        <w:rPr>
          <w:rFonts w:ascii="Arial" w:hAnsi="Arial" w:cs="Arial"/>
          <w:sz w:val="24"/>
          <w:szCs w:val="24"/>
        </w:rPr>
        <w:t>S</w:t>
      </w:r>
      <w:r w:rsidRPr="00B61FF1">
        <w:rPr>
          <w:rFonts w:ascii="Arial" w:hAnsi="Arial" w:cs="Arial"/>
          <w:sz w:val="24"/>
          <w:szCs w:val="24"/>
        </w:rPr>
        <w:t xml:space="preserve">upplier” means </w:t>
      </w:r>
      <w:r w:rsidRPr="00B61FF1">
        <w:rPr>
          <w:rFonts w:ascii="Arial" w:eastAsia="MS Mincho" w:hAnsi="Arial" w:cs="Arial"/>
          <w:sz w:val="24"/>
          <w:szCs w:val="24"/>
          <w:lang w:eastAsia="ja-JP"/>
        </w:rPr>
        <w:t>a</w:t>
      </w:r>
      <w:r w:rsidR="00720975" w:rsidRPr="00B61FF1">
        <w:rPr>
          <w:rFonts w:ascii="Arial" w:eastAsia="MS Mincho" w:hAnsi="Arial" w:cs="Arial"/>
          <w:sz w:val="24"/>
          <w:szCs w:val="24"/>
          <w:lang w:eastAsia="ja-JP"/>
        </w:rPr>
        <w:t xml:space="preserve">ny entity that owns or operates </w:t>
      </w:r>
      <w:r w:rsidR="004B3782" w:rsidRPr="00B61FF1">
        <w:rPr>
          <w:rFonts w:ascii="Arial" w:eastAsia="MS Mincho" w:hAnsi="Arial" w:cs="Arial"/>
          <w:sz w:val="24"/>
          <w:szCs w:val="24"/>
          <w:lang w:eastAsia="ja-JP"/>
        </w:rPr>
        <w:t xml:space="preserve">inter-connected </w:t>
      </w:r>
      <w:r w:rsidRPr="00B61FF1">
        <w:rPr>
          <w:rFonts w:ascii="Arial" w:eastAsia="MS Mincho" w:hAnsi="Arial" w:cs="Arial"/>
          <w:sz w:val="24"/>
          <w:szCs w:val="24"/>
          <w:lang w:eastAsia="ja-JP"/>
        </w:rPr>
        <w:t>electricity generating facilities or serv</w:t>
      </w:r>
      <w:r w:rsidR="004B3782" w:rsidRPr="00B61FF1">
        <w:rPr>
          <w:rFonts w:ascii="Arial" w:eastAsia="MS Mincho" w:hAnsi="Arial" w:cs="Arial"/>
          <w:sz w:val="24"/>
          <w:szCs w:val="24"/>
          <w:lang w:eastAsia="ja-JP"/>
        </w:rPr>
        <w:t>es as an exclusive marketer for these</w:t>
      </w:r>
      <w:r w:rsidRPr="00B61FF1">
        <w:rPr>
          <w:rFonts w:ascii="Arial" w:eastAsia="MS Mincho" w:hAnsi="Arial" w:cs="Arial"/>
          <w:sz w:val="24"/>
          <w:szCs w:val="24"/>
          <w:lang w:eastAsia="ja-JP"/>
        </w:rPr>
        <w:t xml:space="preserve"> facilities even though it does not own them, and is assigned a supplier-specific identification number and </w:t>
      </w:r>
      <w:r w:rsidR="004B3782" w:rsidRPr="00B61FF1">
        <w:rPr>
          <w:rFonts w:ascii="Arial" w:eastAsia="MS Mincho" w:hAnsi="Arial" w:cs="Arial"/>
          <w:sz w:val="24"/>
          <w:szCs w:val="24"/>
          <w:lang w:eastAsia="ja-JP"/>
        </w:rPr>
        <w:t>system</w:t>
      </w:r>
      <w:r w:rsidRPr="00B61FF1">
        <w:rPr>
          <w:rFonts w:ascii="Arial" w:eastAsia="MS Mincho" w:hAnsi="Arial" w:cs="Arial"/>
          <w:sz w:val="24"/>
          <w:szCs w:val="24"/>
          <w:lang w:eastAsia="ja-JP"/>
        </w:rPr>
        <w:t xml:space="preserve"> emission factor by ARB for the wholesale electricity procured from its system</w:t>
      </w:r>
      <w:r w:rsidR="000E7420" w:rsidRPr="00B61FF1">
        <w:rPr>
          <w:rFonts w:ascii="Arial" w:eastAsia="MS Mincho" w:hAnsi="Arial" w:cs="Arial"/>
          <w:sz w:val="24"/>
          <w:szCs w:val="24"/>
          <w:lang w:eastAsia="ja-JP"/>
        </w:rPr>
        <w:t xml:space="preserve"> and imported into California. </w:t>
      </w:r>
      <w:r w:rsidR="00A97737" w:rsidRPr="00B61FF1">
        <w:rPr>
          <w:rFonts w:ascii="Arial" w:eastAsia="MS Mincho" w:hAnsi="Arial" w:cs="Arial"/>
          <w:sz w:val="24"/>
          <w:szCs w:val="24"/>
          <w:lang w:eastAsia="ja-JP"/>
        </w:rPr>
        <w:t xml:space="preserve"> </w:t>
      </w:r>
      <w:r w:rsidR="000E7420" w:rsidRPr="00B61FF1">
        <w:rPr>
          <w:rFonts w:ascii="Arial" w:eastAsia="MS Mincho" w:hAnsi="Arial" w:cs="Arial"/>
          <w:sz w:val="24"/>
          <w:szCs w:val="24"/>
          <w:u w:val="single"/>
          <w:lang w:eastAsia="ja-JP"/>
        </w:rPr>
        <w:t xml:space="preserve">Asset </w:t>
      </w:r>
      <w:r w:rsidR="001F3A12" w:rsidRPr="00B61FF1">
        <w:rPr>
          <w:rFonts w:ascii="Arial" w:eastAsia="MS Mincho" w:hAnsi="Arial" w:cs="Arial"/>
          <w:sz w:val="24"/>
          <w:szCs w:val="24"/>
          <w:u w:val="single"/>
          <w:lang w:eastAsia="ja-JP"/>
        </w:rPr>
        <w:t>Controlling</w:t>
      </w:r>
      <w:r w:rsidR="000E7420" w:rsidRPr="00B61FF1">
        <w:rPr>
          <w:rFonts w:ascii="Arial" w:eastAsia="MS Mincho" w:hAnsi="Arial" w:cs="Arial"/>
          <w:sz w:val="24"/>
          <w:szCs w:val="24"/>
          <w:u w:val="single"/>
          <w:lang w:eastAsia="ja-JP"/>
        </w:rPr>
        <w:t xml:space="preserve"> Suppliers are considered specified sources.</w:t>
      </w:r>
    </w:p>
    <w:p w14:paraId="5119B078" w14:textId="77777777" w:rsidR="0054122B" w:rsidRPr="00B61FF1" w:rsidRDefault="0054122B" w:rsidP="00720975">
      <w:pPr>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8028C9" w:rsidRPr="00B61FF1">
        <w:rPr>
          <w:rFonts w:ascii="Arial" w:eastAsia="MS Mincho" w:hAnsi="Arial" w:cs="Arial"/>
          <w:sz w:val="24"/>
          <w:szCs w:val="24"/>
          <w:lang w:eastAsia="ja-JP"/>
        </w:rPr>
        <w:t>15</w:t>
      </w:r>
      <w:r w:rsidRPr="00B61FF1">
        <w:rPr>
          <w:rFonts w:ascii="Arial" w:eastAsia="MS Mincho" w:hAnsi="Arial" w:cs="Arial"/>
          <w:sz w:val="24"/>
          <w:szCs w:val="24"/>
          <w:lang w:eastAsia="ja-JP"/>
        </w:rPr>
        <w:t>)</w:t>
      </w:r>
      <w:r w:rsidR="00720975" w:rsidRPr="00B61FF1">
        <w:rPr>
          <w:rFonts w:ascii="Arial" w:eastAsia="MS Mincho" w:hAnsi="Arial" w:cs="Arial"/>
          <w:sz w:val="24"/>
          <w:szCs w:val="24"/>
          <w:lang w:eastAsia="ja-JP"/>
        </w:rPr>
        <w:tab/>
      </w:r>
      <w:r w:rsidRPr="00B61FF1">
        <w:rPr>
          <w:rFonts w:ascii="Arial" w:eastAsia="MS Mincho" w:hAnsi="Arial" w:cs="Arial"/>
          <w:sz w:val="24"/>
          <w:szCs w:val="24"/>
          <w:lang w:eastAsia="ja-JP"/>
        </w:rPr>
        <w:t xml:space="preserve">“Assigned Emissions” </w:t>
      </w:r>
      <w:r w:rsidR="00771186" w:rsidRPr="00B61FF1">
        <w:rPr>
          <w:rFonts w:ascii="Arial" w:eastAsia="MS Mincho" w:hAnsi="Arial" w:cs="Arial"/>
          <w:sz w:val="24"/>
          <w:szCs w:val="24"/>
          <w:lang w:eastAsia="ja-JP"/>
        </w:rPr>
        <w:t xml:space="preserve">or “Assigned Emissions Level” </w:t>
      </w:r>
      <w:r w:rsidRPr="00B61FF1">
        <w:rPr>
          <w:rFonts w:ascii="Arial" w:eastAsia="MS Mincho" w:hAnsi="Arial" w:cs="Arial"/>
          <w:sz w:val="24"/>
          <w:szCs w:val="24"/>
          <w:lang w:eastAsia="ja-JP"/>
        </w:rPr>
        <w:t xml:space="preserve">means </w:t>
      </w:r>
      <w:r w:rsidR="00057E39" w:rsidRPr="00B61FF1">
        <w:rPr>
          <w:rFonts w:ascii="Arial" w:eastAsia="MS Mincho" w:hAnsi="Arial" w:cs="Arial"/>
          <w:sz w:val="24"/>
          <w:szCs w:val="24"/>
          <w:lang w:eastAsia="ja-JP"/>
        </w:rPr>
        <w:t>an amount of emissions, in CO</w:t>
      </w:r>
      <w:r w:rsidR="00057E39" w:rsidRPr="00B61FF1">
        <w:rPr>
          <w:rFonts w:ascii="Arial" w:eastAsia="MS Mincho" w:hAnsi="Arial" w:cs="Arial"/>
          <w:sz w:val="24"/>
          <w:szCs w:val="24"/>
          <w:vertAlign w:val="subscript"/>
          <w:lang w:eastAsia="ja-JP"/>
        </w:rPr>
        <w:t>2</w:t>
      </w:r>
      <w:r w:rsidR="00057E39" w:rsidRPr="00B61FF1">
        <w:rPr>
          <w:rFonts w:ascii="Arial" w:eastAsia="MS Mincho" w:hAnsi="Arial" w:cs="Arial"/>
          <w:sz w:val="24"/>
          <w:szCs w:val="24"/>
          <w:lang w:eastAsia="ja-JP"/>
        </w:rPr>
        <w:t>e, assigned to the reporting entity by the Executive Officer under the requirements of section 95103(g) of MRR.</w:t>
      </w:r>
    </w:p>
    <w:p w14:paraId="6193C7D4" w14:textId="77777777" w:rsidR="0054122B" w:rsidRPr="00B61FF1" w:rsidRDefault="0054122B" w:rsidP="00E520A3">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8028C9" w:rsidRPr="00B61FF1">
        <w:rPr>
          <w:rFonts w:ascii="Arial" w:eastAsia="MS Mincho" w:hAnsi="Arial" w:cs="Arial"/>
          <w:sz w:val="24"/>
          <w:szCs w:val="24"/>
          <w:lang w:eastAsia="ja-JP"/>
        </w:rPr>
        <w:t>16</w:t>
      </w:r>
      <w:r w:rsidRPr="00B61FF1">
        <w:rPr>
          <w:rFonts w:ascii="Arial" w:eastAsia="MS Mincho" w:hAnsi="Arial" w:cs="Arial"/>
          <w:sz w:val="24"/>
          <w:szCs w:val="24"/>
          <w:lang w:eastAsia="ja-JP"/>
        </w:rPr>
        <w:t>)</w:t>
      </w:r>
      <w:r w:rsidR="00720975" w:rsidRPr="00B61FF1">
        <w:rPr>
          <w:rFonts w:ascii="Arial" w:eastAsia="MS Mincho" w:hAnsi="Arial" w:cs="Arial"/>
          <w:sz w:val="24"/>
          <w:szCs w:val="24"/>
          <w:lang w:eastAsia="ja-JP"/>
        </w:rPr>
        <w:tab/>
      </w:r>
      <w:r w:rsidRPr="00B61FF1">
        <w:rPr>
          <w:rFonts w:ascii="Arial" w:eastAsia="MS Mincho" w:hAnsi="Arial" w:cs="Arial"/>
          <w:sz w:val="24"/>
          <w:szCs w:val="24"/>
          <w:lang w:eastAsia="ja-JP"/>
        </w:rPr>
        <w:t>“Associated Gas” or “Produced Gas” means a</w:t>
      </w:r>
      <w:r w:rsidR="00E520A3" w:rsidRPr="00B61FF1">
        <w:rPr>
          <w:rFonts w:ascii="Arial" w:eastAsia="MS Mincho" w:hAnsi="Arial" w:cs="Arial"/>
          <w:sz w:val="24"/>
          <w:szCs w:val="24"/>
          <w:lang w:eastAsia="ja-JP"/>
        </w:rPr>
        <w:t xml:space="preserve"> natural gas that is produced </w:t>
      </w:r>
      <w:r w:rsidRPr="00B61FF1">
        <w:rPr>
          <w:rFonts w:ascii="Arial" w:eastAsia="MS Mincho" w:hAnsi="Arial" w:cs="Arial"/>
          <w:sz w:val="24"/>
          <w:szCs w:val="24"/>
          <w:lang w:eastAsia="ja-JP"/>
        </w:rPr>
        <w:t>in association with the production of crude oil.</w:t>
      </w:r>
    </w:p>
    <w:p w14:paraId="618C319C" w14:textId="77777777" w:rsidR="00C350B6" w:rsidRPr="00B61FF1" w:rsidRDefault="00C350B6" w:rsidP="00C350B6">
      <w:pPr>
        <w:tabs>
          <w:tab w:val="left" w:pos="3780"/>
        </w:tabs>
        <w:spacing w:line="360" w:lineRule="auto"/>
        <w:ind w:left="1080" w:hanging="720"/>
        <w:rPr>
          <w:rFonts w:ascii="Arial" w:hAnsi="Arial" w:cs="Arial"/>
          <w:sz w:val="24"/>
          <w:szCs w:val="24"/>
        </w:rPr>
      </w:pPr>
      <w:r w:rsidRPr="00B61FF1">
        <w:rPr>
          <w:rFonts w:ascii="Arial" w:hAnsi="Arial" w:cs="Arial"/>
          <w:sz w:val="24"/>
          <w:szCs w:val="24"/>
        </w:rPr>
        <w:t>(17)</w:t>
      </w:r>
      <w:r w:rsidRPr="00B61FF1">
        <w:rPr>
          <w:rFonts w:ascii="Arial" w:hAnsi="Arial" w:cs="Arial"/>
          <w:sz w:val="24"/>
          <w:szCs w:val="24"/>
        </w:rPr>
        <w:tab/>
        <w:t xml:space="preserve">“Auction” means the process of selling California Greenhouse Gas </w:t>
      </w:r>
    </w:p>
    <w:p w14:paraId="5A580D6E" w14:textId="77777777" w:rsidR="00C350B6" w:rsidRPr="00B61FF1" w:rsidRDefault="00C350B6" w:rsidP="00C350B6">
      <w:pPr>
        <w:spacing w:line="360" w:lineRule="auto"/>
        <w:ind w:left="1080"/>
        <w:rPr>
          <w:rFonts w:ascii="Arial" w:hAnsi="Arial" w:cs="Arial"/>
          <w:sz w:val="24"/>
          <w:szCs w:val="24"/>
        </w:rPr>
      </w:pPr>
      <w:r w:rsidRPr="00B61FF1">
        <w:rPr>
          <w:rFonts w:ascii="Arial" w:hAnsi="Arial" w:cs="Arial"/>
          <w:sz w:val="24"/>
          <w:szCs w:val="24"/>
        </w:rPr>
        <w:t>Allowances, along with allowances from External Greenhouse Gas Emissions Trading Systems with which California has linked its Cap-and-Trade Program pursuant to subarticle 12, by offering them up for bid, taking bids, and then distributing the allowances to winning bidders.</w:t>
      </w:r>
    </w:p>
    <w:p w14:paraId="0855D556" w14:textId="7F08140B" w:rsidR="0054122B" w:rsidRPr="00B61FF1" w:rsidRDefault="00C350B6" w:rsidP="00C350B6">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 </w:t>
      </w:r>
      <w:r w:rsidR="0054122B" w:rsidRPr="00B61FF1">
        <w:rPr>
          <w:rFonts w:ascii="Arial" w:hAnsi="Arial" w:cs="Arial"/>
          <w:sz w:val="24"/>
          <w:szCs w:val="24"/>
        </w:rPr>
        <w:t>(</w:t>
      </w:r>
      <w:r w:rsidR="008028C9" w:rsidRPr="00B61FF1">
        <w:rPr>
          <w:rFonts w:ascii="Arial" w:hAnsi="Arial" w:cs="Arial"/>
          <w:sz w:val="24"/>
          <w:szCs w:val="24"/>
        </w:rPr>
        <w:t>18</w:t>
      </w:r>
      <w:r w:rsidR="0054122B" w:rsidRPr="00B61FF1">
        <w:rPr>
          <w:rFonts w:ascii="Arial" w:hAnsi="Arial" w:cs="Arial"/>
          <w:sz w:val="24"/>
          <w:szCs w:val="24"/>
        </w:rPr>
        <w:t xml:space="preserve">) </w:t>
      </w:r>
      <w:r w:rsidR="00460E4E" w:rsidRPr="00B61FF1">
        <w:rPr>
          <w:rFonts w:ascii="Arial" w:hAnsi="Arial" w:cs="Arial"/>
          <w:sz w:val="24"/>
          <w:szCs w:val="24"/>
        </w:rPr>
        <w:tab/>
      </w:r>
      <w:r w:rsidR="0054122B" w:rsidRPr="00B61FF1">
        <w:rPr>
          <w:rFonts w:ascii="Arial" w:hAnsi="Arial" w:cs="Arial"/>
          <w:sz w:val="24"/>
          <w:szCs w:val="24"/>
        </w:rPr>
        <w:t xml:space="preserve">“Auction </w:t>
      </w:r>
      <w:r w:rsidR="001C6B5D" w:rsidRPr="00B61FF1">
        <w:rPr>
          <w:rFonts w:ascii="Arial" w:hAnsi="Arial" w:cs="Arial"/>
          <w:sz w:val="24"/>
          <w:szCs w:val="24"/>
        </w:rPr>
        <w:t>P</w:t>
      </w:r>
      <w:r w:rsidR="0040497D" w:rsidRPr="00B61FF1">
        <w:rPr>
          <w:rFonts w:ascii="Arial" w:hAnsi="Arial" w:cs="Arial"/>
          <w:sz w:val="24"/>
          <w:szCs w:val="24"/>
        </w:rPr>
        <w:t xml:space="preserve">urchase </w:t>
      </w:r>
      <w:r w:rsidR="001C6B5D" w:rsidRPr="00B61FF1">
        <w:rPr>
          <w:rFonts w:ascii="Arial" w:hAnsi="Arial" w:cs="Arial"/>
          <w:sz w:val="24"/>
          <w:szCs w:val="24"/>
        </w:rPr>
        <w:t>L</w:t>
      </w:r>
      <w:r w:rsidR="0054122B" w:rsidRPr="00B61FF1">
        <w:rPr>
          <w:rFonts w:ascii="Arial" w:hAnsi="Arial" w:cs="Arial"/>
          <w:sz w:val="24"/>
          <w:szCs w:val="24"/>
        </w:rPr>
        <w:t>imit” means the limit on the number of allowances one entity or a group of affiliated entities may purchase from the share of allowances sold at a quarterly auction.</w:t>
      </w:r>
    </w:p>
    <w:p w14:paraId="5FE5F2FF"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19</w:t>
      </w:r>
      <w:r w:rsidRPr="00B61FF1">
        <w:rPr>
          <w:rFonts w:ascii="Arial" w:hAnsi="Arial" w:cs="Arial"/>
          <w:sz w:val="24"/>
          <w:szCs w:val="24"/>
        </w:rPr>
        <w:t xml:space="preserve">) </w:t>
      </w:r>
      <w:r w:rsidR="00460E4E" w:rsidRPr="00B61FF1">
        <w:rPr>
          <w:rFonts w:ascii="Arial" w:hAnsi="Arial" w:cs="Arial"/>
          <w:sz w:val="24"/>
          <w:szCs w:val="24"/>
        </w:rPr>
        <w:tab/>
      </w:r>
      <w:r w:rsidRPr="00B61FF1">
        <w:rPr>
          <w:rFonts w:ascii="Arial" w:hAnsi="Arial" w:cs="Arial"/>
          <w:sz w:val="24"/>
          <w:szCs w:val="24"/>
        </w:rPr>
        <w:t xml:space="preserve">“Auction </w:t>
      </w:r>
      <w:r w:rsidR="001C6B5D" w:rsidRPr="00B61FF1">
        <w:rPr>
          <w:rFonts w:ascii="Arial" w:hAnsi="Arial" w:cs="Arial"/>
          <w:sz w:val="24"/>
          <w:szCs w:val="24"/>
        </w:rPr>
        <w:t>R</w:t>
      </w:r>
      <w:r w:rsidRPr="00B61FF1">
        <w:rPr>
          <w:rFonts w:ascii="Arial" w:hAnsi="Arial" w:cs="Arial"/>
          <w:sz w:val="24"/>
          <w:szCs w:val="24"/>
        </w:rPr>
        <w:t xml:space="preserve">eserve </w:t>
      </w:r>
      <w:r w:rsidR="001C6B5D" w:rsidRPr="00B61FF1">
        <w:rPr>
          <w:rFonts w:ascii="Arial" w:hAnsi="Arial" w:cs="Arial"/>
          <w:sz w:val="24"/>
          <w:szCs w:val="24"/>
        </w:rPr>
        <w:t>P</w:t>
      </w:r>
      <w:r w:rsidRPr="00B61FF1">
        <w:rPr>
          <w:rFonts w:ascii="Arial" w:hAnsi="Arial" w:cs="Arial"/>
          <w:sz w:val="24"/>
          <w:szCs w:val="24"/>
        </w:rPr>
        <w:t>rice” means a price for allowances below which bids at auction would not be accepted.</w:t>
      </w:r>
    </w:p>
    <w:p w14:paraId="13A807AB"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8028C9" w:rsidRPr="00B61FF1">
        <w:rPr>
          <w:rFonts w:ascii="Arial" w:hAnsi="Arial" w:cs="Arial"/>
          <w:sz w:val="24"/>
          <w:szCs w:val="24"/>
        </w:rPr>
        <w:t>20</w:t>
      </w:r>
      <w:r w:rsidRPr="00B61FF1">
        <w:rPr>
          <w:rFonts w:ascii="Arial" w:hAnsi="Arial" w:cs="Arial"/>
          <w:sz w:val="24"/>
          <w:szCs w:val="24"/>
        </w:rPr>
        <w:t xml:space="preserve">) </w:t>
      </w:r>
      <w:r w:rsidR="00460E4E" w:rsidRPr="00B61FF1">
        <w:rPr>
          <w:rFonts w:ascii="Arial" w:hAnsi="Arial" w:cs="Arial"/>
          <w:sz w:val="24"/>
          <w:szCs w:val="24"/>
        </w:rPr>
        <w:tab/>
      </w:r>
      <w:r w:rsidRPr="00B61FF1">
        <w:rPr>
          <w:rFonts w:ascii="Arial" w:hAnsi="Arial" w:cs="Arial"/>
          <w:sz w:val="24"/>
          <w:szCs w:val="24"/>
        </w:rPr>
        <w:t xml:space="preserve">“Auction </w:t>
      </w:r>
      <w:r w:rsidR="001C6B5D" w:rsidRPr="00B61FF1">
        <w:rPr>
          <w:rFonts w:ascii="Arial" w:hAnsi="Arial" w:cs="Arial"/>
          <w:sz w:val="24"/>
          <w:szCs w:val="24"/>
        </w:rPr>
        <w:t>S</w:t>
      </w:r>
      <w:r w:rsidR="0040497D" w:rsidRPr="00B61FF1">
        <w:rPr>
          <w:rFonts w:ascii="Arial" w:hAnsi="Arial" w:cs="Arial"/>
          <w:sz w:val="24"/>
          <w:szCs w:val="24"/>
        </w:rPr>
        <w:t xml:space="preserve">ettlement </w:t>
      </w:r>
      <w:r w:rsidR="001C6B5D" w:rsidRPr="00B61FF1">
        <w:rPr>
          <w:rFonts w:ascii="Arial" w:hAnsi="Arial" w:cs="Arial"/>
          <w:sz w:val="24"/>
          <w:szCs w:val="24"/>
        </w:rPr>
        <w:t>P</w:t>
      </w:r>
      <w:r w:rsidRPr="00B61FF1">
        <w:rPr>
          <w:rFonts w:ascii="Arial" w:hAnsi="Arial" w:cs="Arial"/>
          <w:sz w:val="24"/>
          <w:szCs w:val="24"/>
        </w:rPr>
        <w:t xml:space="preserve">rice” means the price announced by the </w:t>
      </w:r>
      <w:r w:rsidR="006A4600" w:rsidRPr="00B61FF1">
        <w:rPr>
          <w:rFonts w:ascii="Arial" w:hAnsi="Arial" w:cs="Arial"/>
          <w:sz w:val="24"/>
          <w:szCs w:val="24"/>
        </w:rPr>
        <w:t>A</w:t>
      </w:r>
      <w:r w:rsidRPr="00B61FF1">
        <w:rPr>
          <w:rFonts w:ascii="Arial" w:hAnsi="Arial" w:cs="Arial"/>
          <w:sz w:val="24"/>
          <w:szCs w:val="24"/>
        </w:rPr>
        <w:t xml:space="preserve">uction </w:t>
      </w:r>
      <w:r w:rsidR="006A4600" w:rsidRPr="00B61FF1">
        <w:rPr>
          <w:rFonts w:ascii="Arial" w:hAnsi="Arial" w:cs="Arial"/>
          <w:sz w:val="24"/>
          <w:szCs w:val="24"/>
        </w:rPr>
        <w:t>A</w:t>
      </w:r>
      <w:r w:rsidRPr="00B61FF1">
        <w:rPr>
          <w:rFonts w:ascii="Arial" w:hAnsi="Arial" w:cs="Arial"/>
          <w:sz w:val="24"/>
          <w:szCs w:val="24"/>
        </w:rPr>
        <w:t>dministrator at the conclusion of each quarterly auction.  It is the price which all successful bidders will pay for their allowances and also the price to be paid to those entities which consigned allowances to the auction.</w:t>
      </w:r>
    </w:p>
    <w:p w14:paraId="303AD53B"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21</w:t>
      </w:r>
      <w:r w:rsidRPr="00B61FF1">
        <w:rPr>
          <w:rFonts w:ascii="Arial" w:hAnsi="Arial" w:cs="Arial"/>
          <w:sz w:val="24"/>
          <w:szCs w:val="24"/>
        </w:rPr>
        <w:t>)</w:t>
      </w:r>
      <w:r w:rsidR="007F0184" w:rsidRPr="00B61FF1">
        <w:rPr>
          <w:rFonts w:ascii="Arial" w:hAnsi="Arial" w:cs="Arial"/>
          <w:sz w:val="24"/>
          <w:szCs w:val="24"/>
        </w:rPr>
        <w:tab/>
      </w:r>
      <w:r w:rsidR="00E12B7A" w:rsidRPr="00B61FF1">
        <w:rPr>
          <w:rFonts w:ascii="Arial" w:hAnsi="Arial" w:cs="Arial"/>
          <w:sz w:val="24"/>
          <w:szCs w:val="24"/>
        </w:rPr>
        <w:t>“Authorized Project Designee” means an entity authorized by an Offset Project Operator to act on behalf of the Offset Project Operator.</w:t>
      </w:r>
    </w:p>
    <w:p w14:paraId="5C13156B" w14:textId="77777777" w:rsidR="0054122B" w:rsidRPr="00B61FF1" w:rsidRDefault="00460E4E" w:rsidP="00E520A3">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22</w:t>
      </w:r>
      <w:r w:rsidR="0054122B" w:rsidRPr="00B61FF1">
        <w:rPr>
          <w:rFonts w:ascii="Arial" w:hAnsi="Arial" w:cs="Arial"/>
          <w:sz w:val="24"/>
          <w:szCs w:val="24"/>
        </w:rPr>
        <w:t xml:space="preserve">) </w:t>
      </w:r>
      <w:r w:rsidRPr="00B61FF1">
        <w:rPr>
          <w:rFonts w:ascii="Arial" w:hAnsi="Arial" w:cs="Arial"/>
          <w:sz w:val="24"/>
          <w:szCs w:val="24"/>
        </w:rPr>
        <w:t xml:space="preserve"> </w:t>
      </w:r>
      <w:r w:rsidR="007F0184" w:rsidRPr="00B61FF1">
        <w:rPr>
          <w:rFonts w:ascii="Arial" w:hAnsi="Arial" w:cs="Arial"/>
          <w:sz w:val="24"/>
          <w:szCs w:val="24"/>
        </w:rPr>
        <w:tab/>
      </w:r>
      <w:r w:rsidR="00E12B7A" w:rsidRPr="00B61FF1">
        <w:rPr>
          <w:rFonts w:ascii="Arial" w:hAnsi="Arial" w:cs="Arial"/>
          <w:sz w:val="24"/>
          <w:szCs w:val="24"/>
        </w:rPr>
        <w:t>"Aviation Gasoline" means a complex mixture of volatile hydrocarbons, with or without additives, suitably blended to be used in aviation reciprocating engines.  Specifications are as stated in MRR, section 95102(a).</w:t>
      </w:r>
    </w:p>
    <w:p w14:paraId="632993AB"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23</w:t>
      </w:r>
      <w:r w:rsidRPr="00B61FF1">
        <w:rPr>
          <w:rFonts w:ascii="Arial" w:hAnsi="Arial" w:cs="Arial"/>
          <w:sz w:val="24"/>
          <w:szCs w:val="24"/>
        </w:rPr>
        <w:t>)</w:t>
      </w:r>
      <w:r w:rsidR="00720975" w:rsidRPr="00B61FF1">
        <w:rPr>
          <w:rFonts w:ascii="Arial" w:hAnsi="Arial" w:cs="Arial"/>
          <w:sz w:val="24"/>
          <w:szCs w:val="24"/>
        </w:rPr>
        <w:tab/>
      </w:r>
      <w:r w:rsidR="00E12B7A" w:rsidRPr="00B61FF1">
        <w:rPr>
          <w:rFonts w:ascii="Arial" w:hAnsi="Arial" w:cs="Arial"/>
          <w:sz w:val="24"/>
          <w:szCs w:val="24"/>
        </w:rPr>
        <w:t>“Balancing Authority” means t</w:t>
      </w:r>
      <w:r w:rsidR="00E12B7A" w:rsidRPr="00B61FF1">
        <w:rPr>
          <w:rFonts w:ascii="Arial" w:eastAsia="Times New Roman" w:hAnsi="Arial" w:cs="Arial"/>
          <w:sz w:val="24"/>
          <w:szCs w:val="24"/>
        </w:rPr>
        <w:t>he responsible entity that integrates   resource plans ahead of time, maintains load-interchange-generation balance within a balancing authority area, and supports interconnection frequency in real time.</w:t>
      </w:r>
    </w:p>
    <w:p w14:paraId="4D12F33E" w14:textId="77777777" w:rsidR="0054122B" w:rsidRPr="00B61FF1" w:rsidRDefault="0054122B" w:rsidP="00E520A3">
      <w:pPr>
        <w:tabs>
          <w:tab w:val="left" w:pos="3780"/>
        </w:tabs>
        <w:spacing w:line="360" w:lineRule="auto"/>
        <w:ind w:left="1080" w:hanging="720"/>
        <w:rPr>
          <w:rFonts w:ascii="Arial" w:eastAsia="Times New Roman" w:hAnsi="Arial" w:cs="Arial"/>
          <w:sz w:val="24"/>
          <w:szCs w:val="24"/>
        </w:rPr>
      </w:pPr>
      <w:r w:rsidRPr="00B61FF1">
        <w:rPr>
          <w:rFonts w:ascii="Arial" w:hAnsi="Arial" w:cs="Arial"/>
          <w:sz w:val="24"/>
          <w:szCs w:val="24"/>
        </w:rPr>
        <w:t>(</w:t>
      </w:r>
      <w:r w:rsidR="008028C9" w:rsidRPr="00B61FF1">
        <w:rPr>
          <w:rFonts w:ascii="Arial" w:hAnsi="Arial" w:cs="Arial"/>
          <w:sz w:val="24"/>
          <w:szCs w:val="24"/>
        </w:rPr>
        <w:t>24</w:t>
      </w:r>
      <w:r w:rsidRPr="00B61FF1">
        <w:rPr>
          <w:rFonts w:ascii="Arial" w:hAnsi="Arial" w:cs="Arial"/>
          <w:sz w:val="24"/>
          <w:szCs w:val="24"/>
        </w:rPr>
        <w:t xml:space="preserve">) </w:t>
      </w:r>
      <w:r w:rsidR="007F0184" w:rsidRPr="00B61FF1">
        <w:rPr>
          <w:rFonts w:ascii="Arial" w:hAnsi="Arial" w:cs="Arial"/>
          <w:sz w:val="24"/>
          <w:szCs w:val="24"/>
        </w:rPr>
        <w:tab/>
      </w:r>
      <w:r w:rsidR="00E12B7A" w:rsidRPr="00B61FF1">
        <w:rPr>
          <w:rFonts w:ascii="Arial" w:hAnsi="Arial" w:cs="Arial"/>
          <w:sz w:val="24"/>
          <w:szCs w:val="24"/>
        </w:rPr>
        <w:t>“Balancing Authority Area” means the collection of generation, transmission, and loads within the metered boundaries of a balancing authority.  A balancing authority maintains load-resource balance within this area.</w:t>
      </w:r>
    </w:p>
    <w:p w14:paraId="6B0A6F7B"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25</w:t>
      </w:r>
      <w:r w:rsidRPr="00B61FF1">
        <w:rPr>
          <w:rFonts w:ascii="Arial" w:hAnsi="Arial" w:cs="Arial"/>
          <w:sz w:val="24"/>
          <w:szCs w:val="24"/>
        </w:rPr>
        <w:t xml:space="preserve">) </w:t>
      </w:r>
      <w:r w:rsidR="007F0184" w:rsidRPr="00B61FF1">
        <w:rPr>
          <w:rFonts w:ascii="Arial" w:hAnsi="Arial" w:cs="Arial"/>
          <w:sz w:val="24"/>
          <w:szCs w:val="24"/>
        </w:rPr>
        <w:tab/>
      </w:r>
      <w:r w:rsidR="00E12B7A" w:rsidRPr="00B61FF1">
        <w:rPr>
          <w:rFonts w:ascii="Arial" w:hAnsi="Arial" w:cs="Arial"/>
          <w:sz w:val="24"/>
          <w:szCs w:val="24"/>
        </w:rPr>
        <w:t>“Banking” means the holding of compliance instruments from one compliance period for the purpose of sale or surrender in a future compliance period.</w:t>
      </w:r>
    </w:p>
    <w:p w14:paraId="0A63B959"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26</w:t>
      </w:r>
      <w:r w:rsidRPr="00B61FF1">
        <w:rPr>
          <w:rFonts w:ascii="Arial" w:hAnsi="Arial" w:cs="Arial"/>
          <w:sz w:val="24"/>
          <w:szCs w:val="24"/>
        </w:rPr>
        <w:t>)</w:t>
      </w:r>
      <w:r w:rsidR="007F0184" w:rsidRPr="00B61FF1">
        <w:rPr>
          <w:rFonts w:ascii="Arial" w:hAnsi="Arial" w:cs="Arial"/>
          <w:sz w:val="24"/>
          <w:szCs w:val="24"/>
        </w:rPr>
        <w:tab/>
      </w:r>
      <w:r w:rsidR="00E12B7A" w:rsidRPr="00B61FF1">
        <w:rPr>
          <w:rFonts w:ascii="Arial" w:hAnsi="Arial" w:cs="Arial"/>
          <w:sz w:val="24"/>
          <w:szCs w:val="24"/>
        </w:rPr>
        <w:t>"Barrel of Oil Equivalent," with respect to reporting of oil and gas production, means barrels of crude oil produced, plus associated gas produced converted to barrels at 5.8 MMbtu per barrel.</w:t>
      </w:r>
    </w:p>
    <w:p w14:paraId="2ECA41F5" w14:textId="5E5AC07D" w:rsidR="003265FD" w:rsidRPr="00B61FF1" w:rsidRDefault="0041123E" w:rsidP="003265FD">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 </w:t>
      </w:r>
      <w:r w:rsidR="0054122B" w:rsidRPr="00B61FF1">
        <w:rPr>
          <w:rFonts w:ascii="Arial" w:hAnsi="Arial" w:cs="Arial"/>
          <w:sz w:val="24"/>
          <w:szCs w:val="24"/>
        </w:rPr>
        <w:t>(</w:t>
      </w:r>
      <w:r w:rsidR="008028C9" w:rsidRPr="00B61FF1">
        <w:rPr>
          <w:rFonts w:ascii="Arial" w:hAnsi="Arial" w:cs="Arial"/>
          <w:sz w:val="24"/>
          <w:szCs w:val="24"/>
        </w:rPr>
        <w:t>27</w:t>
      </w:r>
      <w:r w:rsidR="0054122B" w:rsidRPr="00B61FF1">
        <w:rPr>
          <w:rFonts w:ascii="Arial" w:hAnsi="Arial" w:cs="Arial"/>
          <w:sz w:val="24"/>
          <w:szCs w:val="24"/>
        </w:rPr>
        <w:t>)</w:t>
      </w:r>
      <w:r w:rsidR="00720975" w:rsidRPr="00B61FF1">
        <w:rPr>
          <w:rFonts w:ascii="Arial" w:hAnsi="Arial" w:cs="Arial"/>
          <w:sz w:val="24"/>
          <w:szCs w:val="24"/>
        </w:rPr>
        <w:tab/>
      </w:r>
      <w:r w:rsidR="003265FD" w:rsidRPr="00B61FF1">
        <w:rPr>
          <w:rFonts w:ascii="Arial" w:hAnsi="Arial" w:cs="Arial"/>
          <w:sz w:val="24"/>
          <w:szCs w:val="24"/>
        </w:rPr>
        <w:t>“Biodiesel” means a diesel fuel substitute produced from nonpetroleum renewable resources that meet the registration requirements for fuels and fuel additives established by the U.S. Environmental Protection Agency under section 211 of the Clean Air Act.  It includes biodiesel that is all of the following:</w:t>
      </w:r>
    </w:p>
    <w:p w14:paraId="20511771" w14:textId="77777777" w:rsidR="003265FD" w:rsidRPr="00B61FF1" w:rsidRDefault="003265FD" w:rsidP="003265FD">
      <w:pPr>
        <w:tabs>
          <w:tab w:val="left" w:pos="450"/>
          <w:tab w:val="left" w:pos="3780"/>
        </w:tabs>
        <w:spacing w:line="360" w:lineRule="auto"/>
        <w:ind w:left="1800" w:hanging="720"/>
        <w:rPr>
          <w:rFonts w:ascii="Arial" w:hAnsi="Arial" w:cs="Arial"/>
          <w:sz w:val="24"/>
          <w:szCs w:val="24"/>
        </w:rPr>
      </w:pPr>
      <w:r w:rsidRPr="00B61FF1">
        <w:rPr>
          <w:rFonts w:ascii="Arial" w:hAnsi="Arial" w:cs="Arial"/>
          <w:sz w:val="24"/>
          <w:szCs w:val="24"/>
        </w:rPr>
        <w:lastRenderedPageBreak/>
        <w:t>(A)</w:t>
      </w:r>
      <w:r w:rsidRPr="00B61FF1">
        <w:rPr>
          <w:rFonts w:ascii="Arial" w:hAnsi="Arial" w:cs="Arial"/>
          <w:sz w:val="24"/>
          <w:szCs w:val="24"/>
        </w:rPr>
        <w:tab/>
        <w:t>Registered as a motor vehicle fuel or fuel additive under 40 CFR Part 79;</w:t>
      </w:r>
    </w:p>
    <w:p w14:paraId="61FD0FCF" w14:textId="77777777" w:rsidR="003265FD" w:rsidRPr="00B61FF1" w:rsidRDefault="003265FD" w:rsidP="003265FD">
      <w:pPr>
        <w:tabs>
          <w:tab w:val="left" w:pos="450"/>
          <w:tab w:val="left" w:pos="378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 mono-alkyl ester;</w:t>
      </w:r>
    </w:p>
    <w:p w14:paraId="44545629" w14:textId="77777777" w:rsidR="003265FD" w:rsidRPr="00B61FF1" w:rsidRDefault="003265FD" w:rsidP="003265FD">
      <w:pPr>
        <w:tabs>
          <w:tab w:val="left" w:pos="450"/>
          <w:tab w:val="left" w:pos="378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Meets American Society for Testing and Material designation ASTM D 6751-08 (</w:t>
      </w:r>
      <w:r w:rsidRPr="00B61FF1">
        <w:rPr>
          <w:rFonts w:ascii="Arial" w:hAnsi="Arial" w:cs="Arial"/>
          <w:i/>
          <w:sz w:val="24"/>
          <w:szCs w:val="24"/>
        </w:rPr>
        <w:t>Standard Specification for Biodiesel Fuel Blendstock (B100) for Middle Distillate Fuels, 2008</w:t>
      </w:r>
      <w:r w:rsidRPr="00B61FF1">
        <w:rPr>
          <w:rFonts w:ascii="Arial" w:hAnsi="Arial" w:cs="Arial"/>
          <w:sz w:val="24"/>
          <w:szCs w:val="24"/>
        </w:rPr>
        <w:t>);</w:t>
      </w:r>
    </w:p>
    <w:p w14:paraId="727A3430" w14:textId="77777777" w:rsidR="003265FD" w:rsidRPr="00B61FF1" w:rsidRDefault="003265FD" w:rsidP="003265FD">
      <w:pPr>
        <w:tabs>
          <w:tab w:val="left" w:pos="450"/>
          <w:tab w:val="left" w:pos="3780"/>
        </w:tabs>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Intended for use in engines that are designated to run on conventional diesel fuel; and</w:t>
      </w:r>
    </w:p>
    <w:p w14:paraId="553118B6" w14:textId="77777777" w:rsidR="0054122B" w:rsidRPr="00B61FF1" w:rsidRDefault="003265FD" w:rsidP="008357F1">
      <w:pPr>
        <w:tabs>
          <w:tab w:val="left" w:pos="450"/>
          <w:tab w:val="left" w:pos="3780"/>
        </w:tabs>
        <w:spacing w:line="360" w:lineRule="auto"/>
        <w:ind w:left="1800" w:hanging="720"/>
        <w:rPr>
          <w:rFonts w:ascii="Arial" w:eastAsia="MS Mincho" w:hAnsi="Arial" w:cs="Arial"/>
          <w:sz w:val="24"/>
          <w:szCs w:val="24"/>
          <w:lang w:eastAsia="ja-JP"/>
        </w:rPr>
      </w:pPr>
      <w:r w:rsidRPr="00B61FF1">
        <w:rPr>
          <w:rFonts w:ascii="Arial" w:hAnsi="Arial" w:cs="Arial"/>
          <w:sz w:val="24"/>
          <w:szCs w:val="24"/>
        </w:rPr>
        <w:t>(E)</w:t>
      </w:r>
      <w:r w:rsidRPr="00B61FF1">
        <w:rPr>
          <w:rFonts w:ascii="Arial" w:hAnsi="Arial" w:cs="Arial"/>
          <w:sz w:val="24"/>
          <w:szCs w:val="24"/>
        </w:rPr>
        <w:tab/>
        <w:t>Derived from nonpetroleum renewable resources.</w:t>
      </w:r>
    </w:p>
    <w:p w14:paraId="578DE0F2" w14:textId="77777777" w:rsidR="0054122B" w:rsidRPr="00B61FF1" w:rsidRDefault="00AE52E6" w:rsidP="00EE6E88">
      <w:pPr>
        <w:tabs>
          <w:tab w:val="left" w:pos="3780"/>
        </w:tabs>
        <w:spacing w:line="360" w:lineRule="auto"/>
        <w:ind w:left="1080" w:hanging="720"/>
        <w:rPr>
          <w:rFonts w:ascii="Arial" w:hAnsi="Arial" w:cs="Arial"/>
          <w:dstrike/>
          <w:sz w:val="24"/>
          <w:szCs w:val="24"/>
        </w:rPr>
      </w:pPr>
      <w:r w:rsidRPr="00B61FF1">
        <w:rPr>
          <w:rFonts w:ascii="Arial" w:hAnsi="Arial" w:cs="Arial"/>
          <w:sz w:val="24"/>
          <w:szCs w:val="24"/>
        </w:rPr>
        <w:t>(</w:t>
      </w:r>
      <w:r w:rsidR="008028C9" w:rsidRPr="00B61FF1">
        <w:rPr>
          <w:rFonts w:ascii="Arial" w:hAnsi="Arial" w:cs="Arial"/>
          <w:sz w:val="24"/>
          <w:szCs w:val="24"/>
        </w:rPr>
        <w:t>28</w:t>
      </w:r>
      <w:r w:rsidR="0054122B" w:rsidRPr="00B61FF1">
        <w:rPr>
          <w:rFonts w:ascii="Arial" w:hAnsi="Arial" w:cs="Arial"/>
          <w:sz w:val="24"/>
          <w:szCs w:val="24"/>
        </w:rPr>
        <w:t>)</w:t>
      </w:r>
      <w:r w:rsidR="007F0184" w:rsidRPr="00B61FF1">
        <w:rPr>
          <w:rFonts w:ascii="Arial" w:hAnsi="Arial" w:cs="Arial"/>
          <w:sz w:val="24"/>
          <w:szCs w:val="24"/>
        </w:rPr>
        <w:tab/>
      </w:r>
      <w:r w:rsidR="003265FD" w:rsidRPr="00B61FF1">
        <w:rPr>
          <w:rFonts w:ascii="Arial" w:hAnsi="Arial" w:cs="Arial"/>
          <w:sz w:val="24"/>
          <w:szCs w:val="24"/>
        </w:rPr>
        <w:t>“Biogas” means gas that is produced from the breakdown of organic material in the absence of oxygen.  Biogas is produced in processes including anaerobic digestion, anaerobic decomposition, and thermochemical decomposition.  These processes are applied to biodegradable biomass materials, such as manure, sewage, municipal solid waste, green waste, and waste from energy crops, to produce landfill gas, digester gas, and other forms of biogas.</w:t>
      </w:r>
    </w:p>
    <w:p w14:paraId="78FB9427" w14:textId="77777777" w:rsidR="0054122B" w:rsidRPr="00B61FF1" w:rsidRDefault="00AE52E6" w:rsidP="003265FD">
      <w:pPr>
        <w:tabs>
          <w:tab w:val="left" w:pos="450"/>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t>(</w:t>
      </w:r>
      <w:r w:rsidR="008028C9" w:rsidRPr="00B61FF1">
        <w:rPr>
          <w:rFonts w:ascii="Arial" w:hAnsi="Arial" w:cs="Arial"/>
          <w:sz w:val="24"/>
          <w:szCs w:val="24"/>
        </w:rPr>
        <w:t>29</w:t>
      </w:r>
      <w:r w:rsidR="0054122B" w:rsidRPr="00B61FF1">
        <w:rPr>
          <w:rFonts w:ascii="Arial" w:hAnsi="Arial" w:cs="Arial"/>
          <w:sz w:val="24"/>
          <w:szCs w:val="24"/>
        </w:rPr>
        <w:t>)</w:t>
      </w:r>
      <w:r w:rsidR="007F0184" w:rsidRPr="00B61FF1">
        <w:rPr>
          <w:rFonts w:ascii="Arial" w:hAnsi="Arial" w:cs="Arial"/>
          <w:sz w:val="24"/>
          <w:szCs w:val="24"/>
        </w:rPr>
        <w:tab/>
      </w:r>
      <w:r w:rsidR="003265FD" w:rsidRPr="00B61FF1">
        <w:rPr>
          <w:rFonts w:ascii="Arial" w:eastAsia="MS Mincho" w:hAnsi="Arial" w:cs="Arial"/>
          <w:sz w:val="24"/>
          <w:szCs w:val="24"/>
          <w:lang w:eastAsia="ja-JP"/>
        </w:rPr>
        <w:t>“Biomass”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and municipal wastes, including gases and liquids recovered from the decomposition of non-fossilized and biodegradable organic material.  For the purpose of this article, biomass includes both California Renewable Portfolio Standard (RPS) eligible and non-eligible biomass as defined by the California Energy Commission.</w:t>
      </w:r>
    </w:p>
    <w:p w14:paraId="666FA01D" w14:textId="77777777" w:rsidR="0054122B" w:rsidRPr="00B61FF1" w:rsidRDefault="00AE52E6"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30</w:t>
      </w:r>
      <w:r w:rsidR="0054122B" w:rsidRPr="00B61FF1">
        <w:rPr>
          <w:rFonts w:ascii="Arial" w:hAnsi="Arial" w:cs="Arial"/>
          <w:sz w:val="24"/>
          <w:szCs w:val="24"/>
        </w:rPr>
        <w:t>)</w:t>
      </w:r>
      <w:r w:rsidRPr="00B61FF1">
        <w:rPr>
          <w:rFonts w:ascii="Arial" w:hAnsi="Arial" w:cs="Arial"/>
          <w:sz w:val="24"/>
          <w:szCs w:val="24"/>
        </w:rPr>
        <w:tab/>
      </w:r>
      <w:r w:rsidR="003265FD" w:rsidRPr="00B61FF1">
        <w:rPr>
          <w:rFonts w:ascii="Arial" w:hAnsi="Arial" w:cs="Arial"/>
          <w:sz w:val="24"/>
          <w:szCs w:val="24"/>
        </w:rPr>
        <w:t>"Biomass-Derived Fuels” or “Biomass Fuels” or “Biofuels” means fuels derived from biomass.</w:t>
      </w:r>
    </w:p>
    <w:p w14:paraId="635E73CA" w14:textId="77777777" w:rsidR="0054122B" w:rsidRPr="00B61FF1" w:rsidRDefault="00AE52E6" w:rsidP="00E520A3">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8028C9" w:rsidRPr="00B61FF1">
        <w:rPr>
          <w:rFonts w:ascii="Arial" w:eastAsia="MS Mincho" w:hAnsi="Arial" w:cs="Arial"/>
          <w:sz w:val="24"/>
          <w:szCs w:val="24"/>
          <w:lang w:eastAsia="ja-JP"/>
        </w:rPr>
        <w:t>31</w:t>
      </w:r>
      <w:r w:rsidR="0054122B" w:rsidRPr="00B61FF1">
        <w:rPr>
          <w:rFonts w:ascii="Arial" w:eastAsia="MS Mincho" w:hAnsi="Arial" w:cs="Arial"/>
          <w:sz w:val="24"/>
          <w:szCs w:val="24"/>
          <w:lang w:eastAsia="ja-JP"/>
        </w:rPr>
        <w:t xml:space="preserve">) </w:t>
      </w:r>
      <w:r w:rsidR="007F0184" w:rsidRPr="00B61FF1">
        <w:rPr>
          <w:rFonts w:ascii="Arial" w:eastAsia="MS Mincho" w:hAnsi="Arial" w:cs="Arial"/>
          <w:sz w:val="24"/>
          <w:szCs w:val="24"/>
          <w:lang w:eastAsia="ja-JP"/>
        </w:rPr>
        <w:tab/>
      </w:r>
      <w:r w:rsidR="003265FD" w:rsidRPr="00B61FF1">
        <w:rPr>
          <w:rFonts w:ascii="Arial" w:hAnsi="Arial" w:cs="Arial"/>
          <w:sz w:val="24"/>
          <w:szCs w:val="24"/>
        </w:rPr>
        <w:t>“Biomethane” means biogas that meets pipeline quality natural gas standards.</w:t>
      </w:r>
    </w:p>
    <w:p w14:paraId="398D04DE" w14:textId="77777777" w:rsidR="0054122B" w:rsidRPr="00B61FF1" w:rsidRDefault="00AE52E6" w:rsidP="00E520A3">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8028C9" w:rsidRPr="00B61FF1">
        <w:rPr>
          <w:rFonts w:ascii="Arial" w:hAnsi="Arial" w:cs="Arial"/>
          <w:sz w:val="24"/>
          <w:szCs w:val="24"/>
        </w:rPr>
        <w:t>32</w:t>
      </w:r>
      <w:r w:rsidR="0054122B" w:rsidRPr="00B61FF1">
        <w:rPr>
          <w:rFonts w:ascii="Arial" w:hAnsi="Arial" w:cs="Arial"/>
          <w:sz w:val="24"/>
          <w:szCs w:val="24"/>
        </w:rPr>
        <w:t>)</w:t>
      </w:r>
      <w:r w:rsidR="007F0184" w:rsidRPr="00B61FF1">
        <w:rPr>
          <w:rFonts w:ascii="Arial" w:hAnsi="Arial" w:cs="Arial"/>
          <w:sz w:val="24"/>
          <w:szCs w:val="24"/>
        </w:rPr>
        <w:tab/>
      </w:r>
      <w:r w:rsidR="003265FD" w:rsidRPr="00B61FF1">
        <w:rPr>
          <w:rFonts w:ascii="Arial" w:hAnsi="Arial" w:cs="Arial"/>
          <w:sz w:val="24"/>
          <w:szCs w:val="24"/>
        </w:rPr>
        <w:t>“Blendstocks” are petroleum products used for blending or compounding into finished motor gasoline.  These include RBOB (reformulated blendstock for oxygenate blending) and CBOB (conventional blendstock for oxygenate blending), but exclude oxygenates, butane, and pentanes plus.</w:t>
      </w:r>
    </w:p>
    <w:p w14:paraId="7200957B"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33</w:t>
      </w:r>
      <w:r w:rsidRPr="00B61FF1">
        <w:rPr>
          <w:rFonts w:ascii="Arial" w:hAnsi="Arial" w:cs="Arial"/>
          <w:sz w:val="24"/>
          <w:szCs w:val="24"/>
        </w:rPr>
        <w:t>)</w:t>
      </w:r>
      <w:r w:rsidR="00AE52E6" w:rsidRPr="00B61FF1">
        <w:rPr>
          <w:rFonts w:ascii="Arial" w:hAnsi="Arial" w:cs="Arial"/>
          <w:sz w:val="24"/>
          <w:szCs w:val="24"/>
        </w:rPr>
        <w:tab/>
      </w:r>
      <w:r w:rsidR="003265FD" w:rsidRPr="00B61FF1">
        <w:rPr>
          <w:rFonts w:ascii="Arial" w:hAnsi="Arial" w:cs="Arial"/>
          <w:sz w:val="24"/>
          <w:szCs w:val="24"/>
        </w:rPr>
        <w:t>“Budget Year” means the annual allowance budget assigned pursuant to subarticle 6.</w:t>
      </w:r>
    </w:p>
    <w:p w14:paraId="1B7391E9"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34</w:t>
      </w:r>
      <w:r w:rsidRPr="00B61FF1">
        <w:rPr>
          <w:rFonts w:ascii="Arial" w:hAnsi="Arial" w:cs="Arial"/>
          <w:sz w:val="24"/>
          <w:szCs w:val="24"/>
        </w:rPr>
        <w:t xml:space="preserve">) </w:t>
      </w:r>
      <w:r w:rsidR="007F0184" w:rsidRPr="00B61FF1">
        <w:rPr>
          <w:rFonts w:ascii="Arial" w:hAnsi="Arial" w:cs="Arial"/>
          <w:sz w:val="24"/>
          <w:szCs w:val="24"/>
        </w:rPr>
        <w:tab/>
      </w:r>
      <w:r w:rsidR="003265FD" w:rsidRPr="00B61FF1">
        <w:rPr>
          <w:rFonts w:ascii="Arial" w:hAnsi="Arial" w:cs="Arial"/>
          <w:sz w:val="24"/>
          <w:szCs w:val="24"/>
        </w:rPr>
        <w:t xml:space="preserve">“Business-as-Usual Scenario” </w:t>
      </w:r>
      <w:r w:rsidR="003265FD" w:rsidRPr="00B61FF1">
        <w:rPr>
          <w:rFonts w:ascii="Arial" w:eastAsia="MS Mincho" w:hAnsi="Arial" w:cs="Arial"/>
          <w:sz w:val="24"/>
          <w:szCs w:val="24"/>
          <w:lang w:eastAsia="ja-JP"/>
        </w:rPr>
        <w:t>means the set of conditions reasonably expected to occur within the offset project boundary in the absence of the financial incentives provided by offset credits, taking into account all current laws and regulations, as well as current economic and technological trends.</w:t>
      </w:r>
    </w:p>
    <w:p w14:paraId="3BB165CC"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35</w:t>
      </w:r>
      <w:r w:rsidRPr="00B61FF1">
        <w:rPr>
          <w:rFonts w:ascii="Arial" w:hAnsi="Arial" w:cs="Arial"/>
          <w:sz w:val="24"/>
          <w:szCs w:val="24"/>
        </w:rPr>
        <w:t xml:space="preserve">) </w:t>
      </w:r>
      <w:r w:rsidR="007F0184" w:rsidRPr="00B61FF1">
        <w:rPr>
          <w:rFonts w:ascii="Arial" w:hAnsi="Arial" w:cs="Arial"/>
          <w:sz w:val="24"/>
          <w:szCs w:val="24"/>
        </w:rPr>
        <w:tab/>
      </w:r>
      <w:r w:rsidR="003265FD" w:rsidRPr="00B61FF1">
        <w:rPr>
          <w:rFonts w:ascii="Arial" w:hAnsi="Arial" w:cs="Arial"/>
          <w:sz w:val="24"/>
          <w:szCs w:val="24"/>
        </w:rPr>
        <w:t>"Calcium Ammonium Nitrate Solution" means calcium nitrate that contains ammonium nitrate and water.  Calcium ammonium nitrate solution is generally used as agricultural fertilizer.</w:t>
      </w:r>
    </w:p>
    <w:p w14:paraId="1F9B07E5"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36</w:t>
      </w:r>
      <w:r w:rsidRPr="00B61FF1">
        <w:rPr>
          <w:rFonts w:ascii="Arial" w:hAnsi="Arial" w:cs="Arial"/>
          <w:sz w:val="24"/>
          <w:szCs w:val="24"/>
        </w:rPr>
        <w:t xml:space="preserve">) </w:t>
      </w:r>
      <w:r w:rsidR="007F0184" w:rsidRPr="00B61FF1">
        <w:rPr>
          <w:rFonts w:ascii="Arial" w:hAnsi="Arial" w:cs="Arial"/>
          <w:sz w:val="24"/>
          <w:szCs w:val="24"/>
        </w:rPr>
        <w:tab/>
      </w:r>
      <w:r w:rsidR="003265FD" w:rsidRPr="00B61FF1">
        <w:rPr>
          <w:rFonts w:ascii="Arial" w:hAnsi="Arial" w:cs="Arial"/>
          <w:sz w:val="24"/>
          <w:szCs w:val="24"/>
        </w:rPr>
        <w:t>“Calendar Year” means the time period from January 1 through December 31.</w:t>
      </w:r>
    </w:p>
    <w:p w14:paraId="198AAC4B"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37</w:t>
      </w:r>
      <w:r w:rsidRPr="00B61FF1">
        <w:rPr>
          <w:rFonts w:ascii="Arial" w:hAnsi="Arial" w:cs="Arial"/>
          <w:sz w:val="24"/>
          <w:szCs w:val="24"/>
        </w:rPr>
        <w:t>)</w:t>
      </w:r>
      <w:r w:rsidR="00AE52E6" w:rsidRPr="00B61FF1">
        <w:rPr>
          <w:rFonts w:ascii="Arial" w:hAnsi="Arial" w:cs="Arial"/>
          <w:sz w:val="24"/>
          <w:szCs w:val="24"/>
        </w:rPr>
        <w:tab/>
      </w:r>
      <w:r w:rsidR="003265FD" w:rsidRPr="00B61FF1">
        <w:rPr>
          <w:rFonts w:ascii="Arial" w:hAnsi="Arial" w:cs="Arial"/>
          <w:sz w:val="24"/>
          <w:szCs w:val="24"/>
        </w:rPr>
        <w:t>“California Balancing Authority” shall have the same meaning ascribed in section 95102(a) of MRR.</w:t>
      </w:r>
    </w:p>
    <w:p w14:paraId="78007363" w14:textId="77777777" w:rsidR="0054122B" w:rsidRPr="00B61FF1" w:rsidRDefault="0054122B" w:rsidP="00E520A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38</w:t>
      </w:r>
      <w:r w:rsidRPr="00B61FF1">
        <w:rPr>
          <w:rFonts w:ascii="Arial" w:hAnsi="Arial" w:cs="Arial"/>
          <w:sz w:val="24"/>
          <w:szCs w:val="24"/>
        </w:rPr>
        <w:t>)</w:t>
      </w:r>
      <w:r w:rsidR="007F0184" w:rsidRPr="00B61FF1">
        <w:rPr>
          <w:rFonts w:ascii="Arial" w:hAnsi="Arial" w:cs="Arial"/>
          <w:sz w:val="24"/>
          <w:szCs w:val="24"/>
        </w:rPr>
        <w:tab/>
      </w:r>
      <w:r w:rsidR="003265FD" w:rsidRPr="00B61FF1">
        <w:rPr>
          <w:rFonts w:ascii="Arial" w:hAnsi="Arial" w:cs="Arial"/>
          <w:sz w:val="24"/>
          <w:szCs w:val="24"/>
        </w:rPr>
        <w:t xml:space="preserve">“California Electricity Transmission and Distribution System” </w:t>
      </w:r>
      <w:r w:rsidR="003265FD" w:rsidRPr="00B61FF1">
        <w:rPr>
          <w:rFonts w:ascii="Arial" w:eastAsia="MS Mincho" w:hAnsi="Arial" w:cs="Arial"/>
          <w:sz w:val="24"/>
          <w:szCs w:val="24"/>
        </w:rPr>
        <w:t>means the combination of the entire</w:t>
      </w:r>
      <w:r w:rsidR="003265FD" w:rsidRPr="00B61FF1">
        <w:rPr>
          <w:rFonts w:ascii="Arial" w:eastAsia="MS Mincho" w:hAnsi="Arial" w:cs="Arial"/>
          <w:b/>
          <w:bCs/>
          <w:sz w:val="24"/>
          <w:szCs w:val="24"/>
        </w:rPr>
        <w:t xml:space="preserve"> </w:t>
      </w:r>
      <w:r w:rsidR="003265FD" w:rsidRPr="00B61FF1">
        <w:rPr>
          <w:rFonts w:ascii="Arial" w:eastAsia="MS Mincho" w:hAnsi="Arial" w:cs="Arial"/>
          <w:sz w:val="24"/>
          <w:szCs w:val="24"/>
        </w:rPr>
        <w:t>infrastructure within California</w:t>
      </w:r>
      <w:r w:rsidR="003265FD" w:rsidRPr="00B61FF1">
        <w:rPr>
          <w:rFonts w:ascii="Arial" w:eastAsia="MS Mincho" w:hAnsi="Arial" w:cs="Arial"/>
          <w:b/>
          <w:bCs/>
          <w:sz w:val="24"/>
          <w:szCs w:val="24"/>
        </w:rPr>
        <w:t xml:space="preserve"> </w:t>
      </w:r>
      <w:r w:rsidR="003265FD" w:rsidRPr="00B61FF1">
        <w:rPr>
          <w:rFonts w:ascii="Arial" w:eastAsia="MS Mincho" w:hAnsi="Arial" w:cs="Arial"/>
          <w:bCs/>
          <w:sz w:val="24"/>
          <w:szCs w:val="24"/>
        </w:rPr>
        <w:t>that delivers</w:t>
      </w:r>
      <w:r w:rsidR="003265FD" w:rsidRPr="00B61FF1">
        <w:rPr>
          <w:rFonts w:ascii="Arial" w:eastAsia="MS Mincho" w:hAnsi="Arial" w:cs="Arial"/>
          <w:sz w:val="24"/>
          <w:szCs w:val="24"/>
        </w:rPr>
        <w:t xml:space="preserve"> electric power</w:t>
      </w:r>
      <w:r w:rsidR="003265FD" w:rsidRPr="00B61FF1">
        <w:rPr>
          <w:rFonts w:ascii="Arial" w:eastAsia="MS Mincho" w:hAnsi="Arial" w:cs="Arial"/>
          <w:b/>
          <w:bCs/>
          <w:sz w:val="24"/>
          <w:szCs w:val="24"/>
        </w:rPr>
        <w:t xml:space="preserve"> </w:t>
      </w:r>
      <w:r w:rsidR="003265FD" w:rsidRPr="00B61FF1">
        <w:rPr>
          <w:rFonts w:ascii="Arial" w:eastAsia="MS Mincho" w:hAnsi="Arial" w:cs="Arial"/>
          <w:bCs/>
          <w:sz w:val="24"/>
          <w:szCs w:val="24"/>
        </w:rPr>
        <w:t>from electric generating facilities to end users</w:t>
      </w:r>
      <w:r w:rsidR="003265FD" w:rsidRPr="00B61FF1">
        <w:rPr>
          <w:rFonts w:ascii="Arial" w:eastAsia="MS Mincho" w:hAnsi="Arial" w:cs="Arial"/>
          <w:b/>
          <w:bCs/>
          <w:sz w:val="24"/>
          <w:szCs w:val="24"/>
        </w:rPr>
        <w:t xml:space="preserve"> </w:t>
      </w:r>
      <w:r w:rsidR="003265FD" w:rsidRPr="00B61FF1">
        <w:rPr>
          <w:rFonts w:ascii="Arial" w:eastAsia="MS Mincho" w:hAnsi="Arial" w:cs="Arial"/>
          <w:sz w:val="24"/>
          <w:szCs w:val="24"/>
        </w:rPr>
        <w:t>over single or multiple paths.</w:t>
      </w:r>
    </w:p>
    <w:p w14:paraId="44579B5E" w14:textId="77777777" w:rsidR="003265FD" w:rsidRPr="00B61FF1" w:rsidRDefault="001850BF" w:rsidP="003265FD">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8028C9" w:rsidRPr="00B61FF1">
        <w:rPr>
          <w:rFonts w:ascii="Arial" w:hAnsi="Arial" w:cs="Arial"/>
          <w:sz w:val="24"/>
          <w:szCs w:val="24"/>
        </w:rPr>
        <w:t>39</w:t>
      </w:r>
      <w:r w:rsidRPr="00B61FF1">
        <w:rPr>
          <w:rFonts w:ascii="Arial" w:hAnsi="Arial" w:cs="Arial"/>
          <w:sz w:val="24"/>
          <w:szCs w:val="24"/>
        </w:rPr>
        <w:t>)</w:t>
      </w:r>
      <w:r w:rsidRPr="00B61FF1">
        <w:rPr>
          <w:rFonts w:ascii="Arial" w:hAnsi="Arial" w:cs="Arial"/>
          <w:sz w:val="24"/>
          <w:szCs w:val="24"/>
        </w:rPr>
        <w:tab/>
      </w:r>
      <w:r w:rsidR="003265FD" w:rsidRPr="00B61FF1">
        <w:rPr>
          <w:rFonts w:ascii="Arial" w:hAnsi="Arial" w:cs="Arial"/>
          <w:sz w:val="24"/>
          <w:szCs w:val="24"/>
        </w:rPr>
        <w:t xml:space="preserve">“California Greenhouse Gas Emissions Allowance” or “CA GHG </w:t>
      </w:r>
    </w:p>
    <w:p w14:paraId="6FF04F78" w14:textId="77777777" w:rsidR="001850BF" w:rsidRPr="00B61FF1" w:rsidRDefault="003265FD" w:rsidP="008357F1">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tab/>
        <w:t>Allowance” means an allowance issued by ARB and equal to up to one metric ton of CO</w:t>
      </w:r>
      <w:r w:rsidRPr="00B61FF1">
        <w:rPr>
          <w:rFonts w:ascii="Arial" w:hAnsi="Arial" w:cs="Arial"/>
          <w:sz w:val="24"/>
          <w:szCs w:val="24"/>
          <w:vertAlign w:val="subscript"/>
        </w:rPr>
        <w:t>2</w:t>
      </w:r>
      <w:r w:rsidRPr="00B61FF1">
        <w:rPr>
          <w:rFonts w:ascii="Arial" w:hAnsi="Arial" w:cs="Arial"/>
          <w:sz w:val="24"/>
          <w:szCs w:val="24"/>
        </w:rPr>
        <w:t xml:space="preserve"> equivalent.</w:t>
      </w:r>
    </w:p>
    <w:p w14:paraId="7125A521" w14:textId="77777777" w:rsidR="0054122B" w:rsidRPr="00B61FF1" w:rsidRDefault="0054122B" w:rsidP="00E520A3">
      <w:pPr>
        <w:tabs>
          <w:tab w:val="left" w:pos="3780"/>
        </w:tabs>
        <w:spacing w:line="360" w:lineRule="auto"/>
        <w:ind w:left="1080" w:hanging="720"/>
        <w:rPr>
          <w:rFonts w:ascii="Arial" w:eastAsia="MS Mincho" w:hAnsi="Arial" w:cs="Arial"/>
          <w:sz w:val="24"/>
          <w:szCs w:val="24"/>
        </w:rPr>
      </w:pPr>
      <w:r w:rsidRPr="00B61FF1">
        <w:rPr>
          <w:rFonts w:ascii="Arial" w:hAnsi="Arial" w:cs="Arial"/>
          <w:sz w:val="24"/>
          <w:szCs w:val="24"/>
        </w:rPr>
        <w:t>(</w:t>
      </w:r>
      <w:r w:rsidR="008028C9" w:rsidRPr="00B61FF1">
        <w:rPr>
          <w:rFonts w:ascii="Arial" w:hAnsi="Arial" w:cs="Arial"/>
          <w:sz w:val="24"/>
          <w:szCs w:val="24"/>
        </w:rPr>
        <w:t>40</w:t>
      </w:r>
      <w:r w:rsidRPr="00B61FF1">
        <w:rPr>
          <w:rFonts w:ascii="Arial" w:hAnsi="Arial" w:cs="Arial"/>
          <w:sz w:val="24"/>
          <w:szCs w:val="24"/>
        </w:rPr>
        <w:t>)</w:t>
      </w:r>
      <w:r w:rsidR="007F0184" w:rsidRPr="00B61FF1">
        <w:rPr>
          <w:rFonts w:ascii="Arial" w:hAnsi="Arial" w:cs="Arial"/>
          <w:sz w:val="24"/>
          <w:szCs w:val="24"/>
        </w:rPr>
        <w:tab/>
      </w:r>
      <w:r w:rsidR="003265FD" w:rsidRPr="00B61FF1">
        <w:rPr>
          <w:rFonts w:ascii="Arial" w:hAnsi="Arial" w:cs="Arial"/>
          <w:sz w:val="24"/>
          <w:szCs w:val="24"/>
        </w:rPr>
        <w:t>“Cap” means the total number of California GHG Allowances that the Executive Officer issues over a given period of time.</w:t>
      </w:r>
    </w:p>
    <w:p w14:paraId="4C3CCA9D" w14:textId="77777777" w:rsidR="0054122B" w:rsidRPr="00B61FF1" w:rsidRDefault="0054122B" w:rsidP="003265FD">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t>(</w:t>
      </w:r>
      <w:r w:rsidR="008028C9" w:rsidRPr="00B61FF1">
        <w:rPr>
          <w:rFonts w:ascii="Arial" w:hAnsi="Arial" w:cs="Arial"/>
          <w:sz w:val="24"/>
          <w:szCs w:val="24"/>
        </w:rPr>
        <w:t>41</w:t>
      </w:r>
      <w:r w:rsidRPr="00B61FF1">
        <w:rPr>
          <w:rFonts w:ascii="Arial" w:hAnsi="Arial" w:cs="Arial"/>
          <w:sz w:val="24"/>
          <w:szCs w:val="24"/>
        </w:rPr>
        <w:t xml:space="preserve">) </w:t>
      </w:r>
      <w:r w:rsidR="007F0184" w:rsidRPr="00B61FF1">
        <w:rPr>
          <w:rFonts w:ascii="Arial" w:hAnsi="Arial" w:cs="Arial"/>
          <w:sz w:val="24"/>
          <w:szCs w:val="24"/>
        </w:rPr>
        <w:tab/>
      </w:r>
      <w:r w:rsidR="003265FD" w:rsidRPr="00B61FF1">
        <w:rPr>
          <w:rFonts w:ascii="Arial" w:hAnsi="Arial" w:cs="Arial"/>
          <w:sz w:val="24"/>
          <w:szCs w:val="24"/>
        </w:rPr>
        <w:t>“Cap-and-Trade Program” means the requirements of this article.</w:t>
      </w:r>
    </w:p>
    <w:p w14:paraId="5335CAF7" w14:textId="77777777" w:rsidR="0054122B" w:rsidRPr="00B61FF1" w:rsidRDefault="00AE52E6" w:rsidP="0040497D">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8028C9" w:rsidRPr="00B61FF1">
        <w:rPr>
          <w:rFonts w:ascii="Arial" w:hAnsi="Arial" w:cs="Arial"/>
          <w:sz w:val="24"/>
          <w:szCs w:val="24"/>
        </w:rPr>
        <w:t>42</w:t>
      </w:r>
      <w:r w:rsidR="0054122B" w:rsidRPr="00B61FF1">
        <w:rPr>
          <w:rFonts w:ascii="Arial" w:hAnsi="Arial" w:cs="Arial"/>
          <w:sz w:val="24"/>
          <w:szCs w:val="24"/>
        </w:rPr>
        <w:t xml:space="preserve">) </w:t>
      </w:r>
      <w:r w:rsidR="007F0184" w:rsidRPr="00B61FF1">
        <w:rPr>
          <w:rFonts w:ascii="Arial" w:hAnsi="Arial" w:cs="Arial"/>
          <w:sz w:val="24"/>
          <w:szCs w:val="24"/>
        </w:rPr>
        <w:tab/>
      </w:r>
      <w:r w:rsidR="003265FD" w:rsidRPr="00B61FF1">
        <w:rPr>
          <w:rFonts w:ascii="Arial" w:hAnsi="Arial" w:cs="Arial"/>
          <w:sz w:val="24"/>
          <w:szCs w:val="24"/>
        </w:rPr>
        <w:t>“Carbon Dioxide” or “CO</w:t>
      </w:r>
      <w:r w:rsidR="003265FD" w:rsidRPr="00B61FF1">
        <w:rPr>
          <w:rFonts w:ascii="Arial" w:hAnsi="Arial" w:cs="Arial"/>
          <w:sz w:val="24"/>
          <w:szCs w:val="24"/>
          <w:vertAlign w:val="subscript"/>
        </w:rPr>
        <w:t>2</w:t>
      </w:r>
      <w:r w:rsidR="003265FD" w:rsidRPr="00B61FF1">
        <w:rPr>
          <w:rFonts w:ascii="Arial" w:hAnsi="Arial" w:cs="Arial"/>
          <w:sz w:val="24"/>
          <w:szCs w:val="24"/>
        </w:rPr>
        <w:t>” means the most common of the primary greenhouse gases, consisting on a molecular level of a single carbon atom and two oxygen atoms.</w:t>
      </w:r>
    </w:p>
    <w:p w14:paraId="51B84F14" w14:textId="77777777" w:rsidR="0054122B" w:rsidRPr="00B61FF1" w:rsidRDefault="0054122B" w:rsidP="0040497D">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D13A9" w:rsidRPr="00B61FF1">
        <w:rPr>
          <w:rFonts w:ascii="Arial" w:hAnsi="Arial" w:cs="Arial"/>
          <w:sz w:val="24"/>
          <w:szCs w:val="24"/>
        </w:rPr>
        <w:t>4</w:t>
      </w:r>
      <w:r w:rsidR="003265FD" w:rsidRPr="00B61FF1">
        <w:rPr>
          <w:rFonts w:ascii="Arial" w:hAnsi="Arial" w:cs="Arial"/>
          <w:sz w:val="24"/>
          <w:szCs w:val="24"/>
        </w:rPr>
        <w:t>3</w:t>
      </w:r>
      <w:r w:rsidRPr="00B61FF1">
        <w:rPr>
          <w:rFonts w:ascii="Arial" w:hAnsi="Arial" w:cs="Arial"/>
          <w:sz w:val="24"/>
          <w:szCs w:val="24"/>
        </w:rPr>
        <w:t xml:space="preserve">) </w:t>
      </w:r>
      <w:r w:rsidR="007F0184" w:rsidRPr="00B61FF1">
        <w:rPr>
          <w:rFonts w:ascii="Arial" w:hAnsi="Arial" w:cs="Arial"/>
          <w:sz w:val="24"/>
          <w:szCs w:val="24"/>
        </w:rPr>
        <w:tab/>
      </w:r>
      <w:r w:rsidR="00481A8A" w:rsidRPr="00B61FF1">
        <w:rPr>
          <w:rFonts w:ascii="Arial" w:hAnsi="Arial" w:cs="Arial"/>
          <w:sz w:val="24"/>
          <w:szCs w:val="24"/>
        </w:rPr>
        <w:t xml:space="preserve">“Carbon </w:t>
      </w:r>
      <w:r w:rsidR="00B43F70" w:rsidRPr="00B61FF1">
        <w:rPr>
          <w:rFonts w:ascii="Arial" w:hAnsi="Arial" w:cs="Arial"/>
          <w:sz w:val="24"/>
          <w:szCs w:val="24"/>
        </w:rPr>
        <w:t>D</w:t>
      </w:r>
      <w:r w:rsidR="00481A8A" w:rsidRPr="00B61FF1">
        <w:rPr>
          <w:rFonts w:ascii="Arial" w:hAnsi="Arial" w:cs="Arial"/>
          <w:sz w:val="24"/>
          <w:szCs w:val="24"/>
        </w:rPr>
        <w:t xml:space="preserve">ioxide </w:t>
      </w:r>
      <w:r w:rsidR="00B43F70" w:rsidRPr="00B61FF1">
        <w:rPr>
          <w:rFonts w:ascii="Arial" w:hAnsi="Arial" w:cs="Arial"/>
          <w:sz w:val="24"/>
          <w:szCs w:val="24"/>
        </w:rPr>
        <w:t>E</w:t>
      </w:r>
      <w:r w:rsidRPr="00B61FF1">
        <w:rPr>
          <w:rFonts w:ascii="Arial" w:hAnsi="Arial" w:cs="Arial"/>
          <w:sz w:val="24"/>
          <w:szCs w:val="24"/>
        </w:rPr>
        <w:t>quivalent" or “CO</w:t>
      </w:r>
      <w:r w:rsidRPr="00B61FF1">
        <w:rPr>
          <w:rFonts w:ascii="Arial" w:hAnsi="Arial" w:cs="Arial"/>
          <w:sz w:val="24"/>
          <w:szCs w:val="24"/>
          <w:vertAlign w:val="subscript"/>
        </w:rPr>
        <w:t xml:space="preserve">2 </w:t>
      </w:r>
      <w:r w:rsidR="00481A8A" w:rsidRPr="00B61FF1">
        <w:rPr>
          <w:rFonts w:ascii="Arial" w:hAnsi="Arial" w:cs="Arial"/>
          <w:sz w:val="24"/>
          <w:szCs w:val="24"/>
        </w:rPr>
        <w:t>e</w:t>
      </w:r>
      <w:r w:rsidRPr="00B61FF1">
        <w:rPr>
          <w:rFonts w:ascii="Arial" w:hAnsi="Arial" w:cs="Arial"/>
          <w:sz w:val="24"/>
          <w:szCs w:val="24"/>
        </w:rPr>
        <w:t>quivalent” or “CO</w:t>
      </w:r>
      <w:r w:rsidRPr="00B61FF1">
        <w:rPr>
          <w:rFonts w:ascii="Arial" w:hAnsi="Arial" w:cs="Arial"/>
          <w:sz w:val="24"/>
          <w:szCs w:val="24"/>
          <w:vertAlign w:val="subscript"/>
        </w:rPr>
        <w:t>2</w:t>
      </w:r>
      <w:r w:rsidRPr="00B61FF1">
        <w:rPr>
          <w:rFonts w:ascii="Arial" w:hAnsi="Arial" w:cs="Arial"/>
          <w:sz w:val="24"/>
          <w:szCs w:val="24"/>
        </w:rPr>
        <w:t>e” means the number of metric tons of CO</w:t>
      </w:r>
      <w:r w:rsidRPr="00B61FF1">
        <w:rPr>
          <w:rFonts w:ascii="Arial" w:hAnsi="Arial" w:cs="Arial"/>
          <w:sz w:val="24"/>
          <w:szCs w:val="24"/>
          <w:vertAlign w:val="subscript"/>
        </w:rPr>
        <w:t>2</w:t>
      </w:r>
      <w:r w:rsidRPr="00B61FF1">
        <w:rPr>
          <w:rFonts w:ascii="Arial" w:hAnsi="Arial" w:cs="Arial"/>
          <w:sz w:val="24"/>
          <w:szCs w:val="24"/>
        </w:rPr>
        <w:t xml:space="preserve"> emissions with the same global warming potential as one metric ton of another greenhouse gas.</w:t>
      </w:r>
      <w:r w:rsidR="008A4AE6" w:rsidRPr="00B61FF1">
        <w:rPr>
          <w:rFonts w:ascii="Arial" w:hAnsi="Arial" w:cs="Arial"/>
          <w:sz w:val="24"/>
          <w:szCs w:val="24"/>
        </w:rPr>
        <w:t xml:space="preserve">  Global warming potential values shall be determined consistent with the definition of Carbon Dioxide Equivalent in MRR section 95102(a).</w:t>
      </w:r>
    </w:p>
    <w:p w14:paraId="26BE9AF1" w14:textId="77777777" w:rsidR="0054122B" w:rsidRPr="00B61FF1" w:rsidRDefault="0054122B" w:rsidP="0040497D">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D13A9" w:rsidRPr="00B61FF1">
        <w:rPr>
          <w:rFonts w:ascii="Arial" w:hAnsi="Arial" w:cs="Arial"/>
          <w:sz w:val="24"/>
          <w:szCs w:val="24"/>
        </w:rPr>
        <w:t>4</w:t>
      </w:r>
      <w:r w:rsidR="003265FD" w:rsidRPr="00B61FF1">
        <w:rPr>
          <w:rFonts w:ascii="Arial" w:hAnsi="Arial" w:cs="Arial"/>
          <w:sz w:val="24"/>
          <w:szCs w:val="24"/>
        </w:rPr>
        <w:t>4</w:t>
      </w:r>
      <w:r w:rsidRPr="00B61FF1">
        <w:rPr>
          <w:rFonts w:ascii="Arial" w:hAnsi="Arial" w:cs="Arial"/>
          <w:sz w:val="24"/>
          <w:szCs w:val="24"/>
        </w:rPr>
        <w:t>)</w:t>
      </w:r>
      <w:r w:rsidR="007F0184" w:rsidRPr="00B61FF1">
        <w:rPr>
          <w:rFonts w:ascii="Arial" w:hAnsi="Arial" w:cs="Arial"/>
          <w:sz w:val="24"/>
          <w:szCs w:val="24"/>
        </w:rPr>
        <w:tab/>
      </w:r>
      <w:r w:rsidRPr="00B61FF1">
        <w:rPr>
          <w:rFonts w:ascii="Arial" w:hAnsi="Arial" w:cs="Arial"/>
          <w:sz w:val="24"/>
          <w:szCs w:val="24"/>
        </w:rPr>
        <w:t>“</w:t>
      </w:r>
      <w:bookmarkStart w:id="43" w:name="OLE_LINK5"/>
      <w:r w:rsidRPr="00B61FF1">
        <w:rPr>
          <w:rFonts w:ascii="Arial" w:hAnsi="Arial" w:cs="Arial"/>
          <w:sz w:val="24"/>
          <w:szCs w:val="24"/>
        </w:rPr>
        <w:t xml:space="preserve">Carbon </w:t>
      </w:r>
      <w:r w:rsidR="00B43F70" w:rsidRPr="00B61FF1">
        <w:rPr>
          <w:rFonts w:ascii="Arial" w:hAnsi="Arial" w:cs="Arial"/>
          <w:sz w:val="24"/>
          <w:szCs w:val="24"/>
        </w:rPr>
        <w:t>S</w:t>
      </w:r>
      <w:r w:rsidRPr="00B61FF1">
        <w:rPr>
          <w:rFonts w:ascii="Arial" w:hAnsi="Arial" w:cs="Arial"/>
          <w:sz w:val="24"/>
          <w:szCs w:val="24"/>
        </w:rPr>
        <w:t>tock</w:t>
      </w:r>
      <w:bookmarkEnd w:id="43"/>
      <w:r w:rsidRPr="00B61FF1">
        <w:rPr>
          <w:rFonts w:ascii="Arial" w:hAnsi="Arial" w:cs="Arial"/>
          <w:sz w:val="24"/>
          <w:szCs w:val="24"/>
        </w:rPr>
        <w:t>” means the quantity of carbon contained in an identified GHG reservoir.</w:t>
      </w:r>
    </w:p>
    <w:p w14:paraId="794ADFDF" w14:textId="77777777" w:rsidR="00506C7C" w:rsidRPr="00B61FF1" w:rsidRDefault="00AE52E6" w:rsidP="00506C7C">
      <w:pPr>
        <w:tabs>
          <w:tab w:val="left" w:pos="3780"/>
        </w:tabs>
        <w:spacing w:line="360" w:lineRule="auto"/>
        <w:ind w:left="1080" w:hanging="720"/>
        <w:rPr>
          <w:rFonts w:ascii="Arial" w:hAnsi="Arial" w:cs="Arial"/>
          <w:vertAlign w:val="subscript"/>
        </w:rPr>
      </w:pPr>
      <w:r w:rsidRPr="00B61FF1">
        <w:rPr>
          <w:rFonts w:ascii="Arial" w:hAnsi="Arial" w:cs="Arial"/>
          <w:sz w:val="24"/>
          <w:szCs w:val="24"/>
        </w:rPr>
        <w:t>(</w:t>
      </w:r>
      <w:r w:rsidR="003D13A9" w:rsidRPr="00B61FF1">
        <w:rPr>
          <w:rFonts w:ascii="Arial" w:hAnsi="Arial" w:cs="Arial"/>
          <w:sz w:val="24"/>
          <w:szCs w:val="24"/>
        </w:rPr>
        <w:t>4</w:t>
      </w:r>
      <w:r w:rsidR="003265FD" w:rsidRPr="00B61FF1">
        <w:rPr>
          <w:rFonts w:ascii="Arial" w:hAnsi="Arial" w:cs="Arial"/>
          <w:sz w:val="24"/>
          <w:szCs w:val="24"/>
        </w:rPr>
        <w:t>5</w:t>
      </w:r>
      <w:r w:rsidR="0054122B" w:rsidRPr="00B61FF1">
        <w:rPr>
          <w:rFonts w:ascii="Arial" w:hAnsi="Arial" w:cs="Arial"/>
          <w:sz w:val="24"/>
          <w:szCs w:val="24"/>
        </w:rPr>
        <w:t>)</w:t>
      </w:r>
      <w:r w:rsidR="00720975" w:rsidRPr="00B61FF1">
        <w:rPr>
          <w:rFonts w:ascii="Arial" w:hAnsi="Arial" w:cs="Arial"/>
          <w:sz w:val="24"/>
          <w:szCs w:val="24"/>
        </w:rPr>
        <w:tab/>
      </w:r>
      <w:r w:rsidR="00506C7C" w:rsidRPr="00B61FF1">
        <w:rPr>
          <w:rFonts w:ascii="Arial" w:hAnsi="Arial" w:cs="Arial"/>
          <w:sz w:val="24"/>
          <w:szCs w:val="24"/>
        </w:rPr>
        <w:t>“Carbon Dioxide Supplier” or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Supplier” means (a) facilities with production process units located in the State of California that capture a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stream for purposes of supplying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for commercial applications or that capture the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stream in order to utilize it for geologic sequestration where capture refers to the initial separation and removal of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from a manufacturing process or any other process, (b) facilities with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production wells located in the State of California that extract or produce a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stream for purposes of supplying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for commercial applications or that extract a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stream in order to utilize it for geologic sequestration, (c) exporters (out of the State of California) of bulk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that export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for the purpose of geologic sequestration, (d) exporters (out of the State of California) of bulk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that export for purposes other than geologic sequestration, and (e) importers (into the State of California) of bulk CO</w:t>
      </w:r>
      <w:r w:rsidR="00506C7C" w:rsidRPr="00B61FF1">
        <w:rPr>
          <w:rFonts w:ascii="Arial" w:hAnsi="Arial" w:cs="Arial"/>
          <w:sz w:val="24"/>
          <w:szCs w:val="24"/>
          <w:vertAlign w:val="subscript"/>
        </w:rPr>
        <w:t>2</w:t>
      </w:r>
      <w:r w:rsidR="00506C7C" w:rsidRPr="00B61FF1">
        <w:rPr>
          <w:rFonts w:ascii="Arial" w:hAnsi="Arial" w:cs="Arial"/>
          <w:sz w:val="24"/>
          <w:szCs w:val="24"/>
        </w:rPr>
        <w:t>.  This source category is focused on upstream supply and is not intended to place duplicative compliance obligations on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already covered upstream.  The source category does not include transportation or distribution of CO</w:t>
      </w:r>
      <w:r w:rsidR="00506C7C" w:rsidRPr="00B61FF1">
        <w:rPr>
          <w:rFonts w:ascii="Arial" w:hAnsi="Arial" w:cs="Arial"/>
          <w:sz w:val="24"/>
          <w:szCs w:val="24"/>
          <w:vertAlign w:val="subscript"/>
        </w:rPr>
        <w:t>2</w:t>
      </w:r>
      <w:r w:rsidR="00506C7C" w:rsidRPr="00B61FF1">
        <w:rPr>
          <w:rFonts w:ascii="Arial" w:hAnsi="Arial" w:cs="Arial"/>
          <w:i/>
          <w:sz w:val="24"/>
          <w:szCs w:val="24"/>
        </w:rPr>
        <w:t xml:space="preserve">; </w:t>
      </w:r>
      <w:r w:rsidR="00506C7C" w:rsidRPr="00B61FF1">
        <w:rPr>
          <w:rFonts w:ascii="Arial" w:hAnsi="Arial" w:cs="Arial"/>
          <w:sz w:val="24"/>
          <w:szCs w:val="24"/>
        </w:rPr>
        <w:t>purification, compression, or processing of CO</w:t>
      </w:r>
      <w:r w:rsidR="00506C7C" w:rsidRPr="00B61FF1">
        <w:rPr>
          <w:rFonts w:ascii="Arial" w:hAnsi="Arial" w:cs="Arial"/>
          <w:sz w:val="24"/>
          <w:szCs w:val="24"/>
          <w:vertAlign w:val="subscript"/>
        </w:rPr>
        <w:t>2</w:t>
      </w:r>
      <w:r w:rsidR="00506C7C" w:rsidRPr="00B61FF1">
        <w:rPr>
          <w:rFonts w:ascii="Arial" w:hAnsi="Arial" w:cs="Arial"/>
          <w:sz w:val="24"/>
          <w:szCs w:val="24"/>
        </w:rPr>
        <w:t>; or on-site use of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captured on-site.</w:t>
      </w:r>
    </w:p>
    <w:p w14:paraId="487B636D" w14:textId="77777777" w:rsidR="00EE7601" w:rsidRPr="00B61FF1" w:rsidRDefault="00EE7601" w:rsidP="0040497D">
      <w:pPr>
        <w:tabs>
          <w:tab w:val="left" w:pos="3780"/>
        </w:tabs>
        <w:spacing w:line="360" w:lineRule="auto"/>
        <w:ind w:left="1080" w:hanging="720"/>
        <w:rPr>
          <w:rFonts w:ascii="Arial" w:hAnsi="Arial" w:cs="Arial"/>
          <w:strike/>
          <w:sz w:val="24"/>
          <w:szCs w:val="24"/>
        </w:rPr>
      </w:pPr>
      <w:r w:rsidRPr="00B61FF1">
        <w:rPr>
          <w:rFonts w:ascii="Arial" w:hAnsi="Arial" w:cs="Arial"/>
          <w:color w:val="000000"/>
          <w:sz w:val="24"/>
          <w:szCs w:val="24"/>
        </w:rPr>
        <w:t>(</w:t>
      </w:r>
      <w:r w:rsidR="003D13A9" w:rsidRPr="00B61FF1">
        <w:rPr>
          <w:rFonts w:ascii="Arial" w:hAnsi="Arial" w:cs="Arial"/>
          <w:color w:val="000000"/>
          <w:sz w:val="24"/>
          <w:szCs w:val="24"/>
        </w:rPr>
        <w:t>4</w:t>
      </w:r>
      <w:r w:rsidR="003265FD" w:rsidRPr="00B61FF1">
        <w:rPr>
          <w:rFonts w:ascii="Arial" w:hAnsi="Arial" w:cs="Arial"/>
          <w:color w:val="000000"/>
          <w:sz w:val="24"/>
          <w:szCs w:val="24"/>
        </w:rPr>
        <w:t>6</w:t>
      </w:r>
      <w:r w:rsidRPr="00B61FF1">
        <w:rPr>
          <w:rFonts w:ascii="Arial" w:hAnsi="Arial" w:cs="Arial"/>
          <w:color w:val="000000"/>
          <w:sz w:val="24"/>
          <w:szCs w:val="24"/>
        </w:rPr>
        <w:t>)</w:t>
      </w:r>
      <w:r w:rsidRPr="00B61FF1">
        <w:rPr>
          <w:rFonts w:ascii="Arial" w:hAnsi="Arial" w:cs="Arial"/>
          <w:color w:val="000000"/>
        </w:rPr>
        <w:tab/>
        <w:t>“</w:t>
      </w:r>
      <w:r w:rsidRPr="00B61FF1">
        <w:rPr>
          <w:rFonts w:ascii="Arial" w:hAnsi="Arial" w:cs="Arial"/>
          <w:sz w:val="24"/>
          <w:szCs w:val="24"/>
        </w:rPr>
        <w:t>Carbon Dioxide Weighted Tonne” or “CO</w:t>
      </w:r>
      <w:r w:rsidRPr="00B61FF1">
        <w:rPr>
          <w:rFonts w:ascii="Arial" w:hAnsi="Arial" w:cs="Arial"/>
          <w:sz w:val="24"/>
          <w:szCs w:val="24"/>
          <w:vertAlign w:val="subscript"/>
        </w:rPr>
        <w:t>2</w:t>
      </w:r>
      <w:r w:rsidRPr="00B61FF1">
        <w:rPr>
          <w:rFonts w:ascii="Arial" w:hAnsi="Arial" w:cs="Arial"/>
          <w:sz w:val="24"/>
          <w:szCs w:val="24"/>
        </w:rPr>
        <w:t xml:space="preserve"> Weighted Tonne” or “CWT” means a metric created to evaluate the greenhouse gas efficiency of </w:t>
      </w:r>
      <w:r w:rsidRPr="00B61FF1">
        <w:rPr>
          <w:rFonts w:ascii="Arial" w:hAnsi="Arial" w:cs="Arial"/>
          <w:sz w:val="24"/>
          <w:szCs w:val="24"/>
        </w:rPr>
        <w:lastRenderedPageBreak/>
        <w:t>petroleum refineries and related processes</w:t>
      </w:r>
      <w:r w:rsidR="008A4AE6" w:rsidRPr="00B61FF1">
        <w:rPr>
          <w:rFonts w:ascii="Arial" w:hAnsi="Arial" w:cs="Arial"/>
          <w:sz w:val="24"/>
          <w:szCs w:val="24"/>
        </w:rPr>
        <w:t xml:space="preserve"> stated in units of metric to</w:t>
      </w:r>
      <w:r w:rsidR="00294973" w:rsidRPr="00B61FF1">
        <w:rPr>
          <w:rFonts w:ascii="Arial" w:hAnsi="Arial" w:cs="Arial"/>
          <w:sz w:val="24"/>
          <w:szCs w:val="24"/>
        </w:rPr>
        <w:t>n</w:t>
      </w:r>
      <w:r w:rsidR="008A4AE6" w:rsidRPr="00B61FF1">
        <w:rPr>
          <w:rFonts w:ascii="Arial" w:hAnsi="Arial" w:cs="Arial"/>
          <w:sz w:val="24"/>
          <w:szCs w:val="24"/>
        </w:rPr>
        <w:t>s</w:t>
      </w:r>
      <w:r w:rsidRPr="00B61FF1">
        <w:rPr>
          <w:rFonts w:ascii="Arial" w:hAnsi="Arial" w:cs="Arial"/>
          <w:sz w:val="24"/>
          <w:szCs w:val="24"/>
        </w:rPr>
        <w:t>.  The CWT value for an individual refinery is calculated using actual refinery throughput to specified process units and emission factors for these process units. The emission factor is denoted as the CWT factor and is representative of the greenhouse gas emission intensity at an average level of energy efficiency, for the same standard fuel type for each process unit for production, and for average process emissions of the process units across a sample of refineries.  Each CWT factor is expressed as a value weighted relative to crude distillation.</w:t>
      </w:r>
    </w:p>
    <w:p w14:paraId="40A2185A" w14:textId="77777777" w:rsidR="0054122B" w:rsidRPr="00B61FF1" w:rsidRDefault="0054122B" w:rsidP="0040497D">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D13A9" w:rsidRPr="00B61FF1">
        <w:rPr>
          <w:rFonts w:ascii="Arial" w:hAnsi="Arial" w:cs="Arial"/>
          <w:sz w:val="24"/>
          <w:szCs w:val="24"/>
        </w:rPr>
        <w:t>4</w:t>
      </w:r>
      <w:r w:rsidR="003265FD" w:rsidRPr="00B61FF1">
        <w:rPr>
          <w:rFonts w:ascii="Arial" w:hAnsi="Arial" w:cs="Arial"/>
          <w:sz w:val="24"/>
          <w:szCs w:val="24"/>
        </w:rPr>
        <w:t>7</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“Cement” means a building material that is produced by heating mixtures of limestone and other minerals or additives at high temperatures in a rotary kiln to form clinker, followed by cooling and grinding with blended additives.  Finished cement is a powder used with water, sand, and gravel to make concrete and mortar.</w:t>
      </w:r>
    </w:p>
    <w:p w14:paraId="258D00AD" w14:textId="77777777" w:rsidR="0054122B" w:rsidRPr="00B61FF1" w:rsidRDefault="0054122B" w:rsidP="00774D22">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3265FD" w:rsidRPr="00B61FF1">
        <w:rPr>
          <w:rFonts w:ascii="Arial" w:eastAsia="MS Mincho" w:hAnsi="Arial" w:cs="Arial"/>
          <w:sz w:val="24"/>
          <w:szCs w:val="24"/>
          <w:lang w:eastAsia="ja-JP"/>
        </w:rPr>
        <w:t>48</w:t>
      </w:r>
      <w:r w:rsidRPr="00B61FF1">
        <w:rPr>
          <w:rFonts w:ascii="Arial" w:eastAsia="MS Mincho" w:hAnsi="Arial" w:cs="Arial"/>
          <w:sz w:val="24"/>
          <w:szCs w:val="24"/>
          <w:lang w:eastAsia="ja-JP"/>
        </w:rPr>
        <w:t xml:space="preserve">) </w:t>
      </w:r>
      <w:r w:rsidR="007F0184" w:rsidRPr="00B61FF1">
        <w:rPr>
          <w:rFonts w:ascii="Arial" w:eastAsia="MS Mincho" w:hAnsi="Arial" w:cs="Arial"/>
          <w:sz w:val="24"/>
          <w:szCs w:val="24"/>
          <w:lang w:eastAsia="ja-JP"/>
        </w:rPr>
        <w:tab/>
      </w:r>
      <w:r w:rsidRPr="00B61FF1">
        <w:rPr>
          <w:rFonts w:ascii="Arial" w:eastAsia="MS Mincho" w:hAnsi="Arial" w:cs="Arial"/>
          <w:sz w:val="24"/>
          <w:szCs w:val="24"/>
          <w:lang w:eastAsia="ja-JP"/>
        </w:rPr>
        <w:t>“Cogeneration” means an integrated system that produces electric energy and useful thermal energy for industrial, commercial, or heating and cooling purposes, through the sequential or simultaneous use of the original fuel energy.</w:t>
      </w:r>
      <w:r w:rsidR="009D63FC" w:rsidRPr="00B61FF1">
        <w:rPr>
          <w:rFonts w:ascii="Arial" w:eastAsia="MS Mincho" w:hAnsi="Arial" w:cs="Arial"/>
          <w:sz w:val="24"/>
          <w:szCs w:val="24"/>
          <w:lang w:eastAsia="ja-JP"/>
        </w:rPr>
        <w:t xml:space="preserve">  Cogeneration must involve onsite generation of electricity and useful thermal energy and some form of waste heat recovery.  </w:t>
      </w:r>
      <w:r w:rsidR="00774D22" w:rsidRPr="00B61FF1">
        <w:rPr>
          <w:rFonts w:ascii="Arial" w:eastAsia="MS Mincho" w:hAnsi="Arial" w:cs="Arial"/>
          <w:sz w:val="24"/>
          <w:szCs w:val="24"/>
          <w:lang w:eastAsia="ja-JP"/>
        </w:rPr>
        <w:t xml:space="preserve">Some examples of cogeneration include: (a) a gas turbine or reciprocating engine generating electricity by combusting fuel, which then uses a heat recovery unit to capture useful heat from the exhaust stream of the turbine or engine; (b) Steam turbines generating electricity as a byproduct of steam generation through a fired boiler; (c) Cogeneration systems in which the fuel input is first applied to a thermal process such as a furnace and at least some of the heat rejected from the process is then used for power production.  For the purposes of this article, a combined-cycle power generation unit, where none of the generated thermal energy is used for industrial, commercial, or heating and cooling purposes (these purposes exclude </w:t>
      </w:r>
      <w:r w:rsidR="00774D22" w:rsidRPr="00B61FF1">
        <w:rPr>
          <w:rFonts w:ascii="Arial" w:eastAsia="MS Mincho" w:hAnsi="Arial" w:cs="Arial"/>
          <w:sz w:val="24"/>
          <w:szCs w:val="24"/>
          <w:lang w:eastAsia="ja-JP"/>
        </w:rPr>
        <w:lastRenderedPageBreak/>
        <w:t>any thermal energy utilization that is either in support of or a part of the electricity generation system), is not considered a cogeneration unit.</w:t>
      </w:r>
    </w:p>
    <w:p w14:paraId="2D5FA75E" w14:textId="77777777" w:rsidR="0054122B" w:rsidRPr="00B61FF1" w:rsidRDefault="0054122B" w:rsidP="0040497D">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3265FD" w:rsidRPr="00B61FF1">
        <w:rPr>
          <w:rFonts w:ascii="Arial" w:eastAsia="MS Mincho" w:hAnsi="Arial" w:cs="Arial"/>
          <w:sz w:val="24"/>
          <w:szCs w:val="24"/>
          <w:lang w:eastAsia="ja-JP"/>
        </w:rPr>
        <w:t>49</w:t>
      </w:r>
      <w:r w:rsidRPr="00B61FF1">
        <w:rPr>
          <w:rFonts w:ascii="Arial" w:eastAsia="MS Mincho" w:hAnsi="Arial" w:cs="Arial"/>
          <w:sz w:val="24"/>
          <w:szCs w:val="24"/>
          <w:lang w:eastAsia="ja-JP"/>
        </w:rPr>
        <w:t>)</w:t>
      </w:r>
      <w:r w:rsidR="00720975" w:rsidRPr="00B61FF1">
        <w:rPr>
          <w:rFonts w:ascii="Arial" w:eastAsia="MS Mincho" w:hAnsi="Arial" w:cs="Arial"/>
          <w:sz w:val="24"/>
          <w:szCs w:val="24"/>
          <w:lang w:eastAsia="ja-JP"/>
        </w:rPr>
        <w:tab/>
      </w:r>
      <w:r w:rsidRPr="00B61FF1">
        <w:rPr>
          <w:rFonts w:ascii="Arial" w:eastAsia="MS Mincho" w:hAnsi="Arial" w:cs="Arial"/>
          <w:sz w:val="24"/>
          <w:szCs w:val="24"/>
          <w:lang w:eastAsia="ja-JP"/>
        </w:rPr>
        <w:t>“Cold Rolling of Steel" means the changes in the structure and shape of steel through rolling, hammering or stretching the steel at a low temperature.</w:t>
      </w:r>
    </w:p>
    <w:p w14:paraId="49A495AB" w14:textId="77777777" w:rsidR="0054122B" w:rsidRPr="00B61FF1" w:rsidRDefault="0054122B" w:rsidP="00481A8A">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3265FD" w:rsidRPr="00B61FF1">
        <w:rPr>
          <w:rFonts w:ascii="Arial" w:eastAsia="MS Mincho" w:hAnsi="Arial" w:cs="Arial"/>
          <w:sz w:val="24"/>
          <w:szCs w:val="24"/>
          <w:lang w:eastAsia="ja-JP"/>
        </w:rPr>
        <w:t>50</w:t>
      </w:r>
      <w:r w:rsidRPr="00B61FF1">
        <w:rPr>
          <w:rFonts w:ascii="Arial" w:eastAsia="MS Mincho" w:hAnsi="Arial" w:cs="Arial"/>
          <w:sz w:val="24"/>
          <w:szCs w:val="24"/>
          <w:lang w:eastAsia="ja-JP"/>
        </w:rPr>
        <w:t>)</w:t>
      </w:r>
      <w:r w:rsidR="00720975" w:rsidRPr="00B61FF1">
        <w:rPr>
          <w:rFonts w:ascii="Arial" w:eastAsia="MS Mincho" w:hAnsi="Arial" w:cs="Arial"/>
          <w:sz w:val="24"/>
          <w:szCs w:val="24"/>
          <w:lang w:eastAsia="ja-JP"/>
        </w:rPr>
        <w:tab/>
      </w:r>
      <w:r w:rsidRPr="00B61FF1">
        <w:rPr>
          <w:rFonts w:ascii="Arial" w:eastAsia="MS Mincho" w:hAnsi="Arial" w:cs="Arial"/>
          <w:sz w:val="24"/>
          <w:szCs w:val="24"/>
          <w:lang w:eastAsia="ja-JP"/>
        </w:rPr>
        <w:t>“Cold Rolled and Annealed Steel Sheet" means steel that is cold rolled and then annealed.  Cold rolling means the changes in the structure and shape of steel through rolling, hammering or stretching the steel at a low temperature.  Annealing is a heat or thermal treatment process by which a previously cold-rolled steel coil is made more suitable for forming and bending.  The steel sheet is heated to a designated temperature for a sufficient amount of time and then cooled.</w:t>
      </w:r>
      <w:r w:rsidRPr="00B61FF1">
        <w:rPr>
          <w:rFonts w:ascii="Arial" w:eastAsia="MS Mincho" w:hAnsi="Arial" w:cs="Arial"/>
          <w:sz w:val="24"/>
          <w:szCs w:val="24"/>
          <w:lang w:eastAsia="ja-JP"/>
        </w:rPr>
        <w:tab/>
      </w:r>
    </w:p>
    <w:p w14:paraId="4A0E96C4" w14:textId="77777777" w:rsidR="0054122B" w:rsidRPr="00B61FF1" w:rsidRDefault="00AE52E6" w:rsidP="00481A8A">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t>(</w:t>
      </w:r>
      <w:r w:rsidR="003265FD" w:rsidRPr="00B61FF1">
        <w:rPr>
          <w:rFonts w:ascii="Arial" w:hAnsi="Arial" w:cs="Arial"/>
          <w:sz w:val="24"/>
          <w:szCs w:val="24"/>
        </w:rPr>
        <w:t>51</w:t>
      </w:r>
      <w:r w:rsidR="0054122B" w:rsidRPr="00B61FF1">
        <w:rPr>
          <w:rFonts w:ascii="Arial" w:hAnsi="Arial" w:cs="Arial"/>
          <w:sz w:val="24"/>
          <w:szCs w:val="24"/>
        </w:rPr>
        <w:t xml:space="preserve">) </w:t>
      </w:r>
      <w:r w:rsidR="007F0184" w:rsidRPr="00B61FF1">
        <w:rPr>
          <w:rFonts w:ascii="Arial" w:hAnsi="Arial" w:cs="Arial"/>
          <w:sz w:val="24"/>
          <w:szCs w:val="24"/>
        </w:rPr>
        <w:tab/>
      </w:r>
      <w:r w:rsidR="0054122B" w:rsidRPr="00B61FF1">
        <w:rPr>
          <w:rFonts w:ascii="Arial" w:hAnsi="Arial" w:cs="Arial"/>
          <w:sz w:val="24"/>
          <w:szCs w:val="24"/>
        </w:rPr>
        <w:t>“Combu</w:t>
      </w:r>
      <w:r w:rsidR="00481A8A" w:rsidRPr="00B61FF1">
        <w:rPr>
          <w:rFonts w:ascii="Arial" w:hAnsi="Arial" w:cs="Arial"/>
          <w:sz w:val="24"/>
          <w:szCs w:val="24"/>
        </w:rPr>
        <w:t xml:space="preserve">stion </w:t>
      </w:r>
      <w:r w:rsidR="00B43F70" w:rsidRPr="00B61FF1">
        <w:rPr>
          <w:rFonts w:ascii="Arial" w:hAnsi="Arial" w:cs="Arial"/>
          <w:sz w:val="24"/>
          <w:szCs w:val="24"/>
        </w:rPr>
        <w:t>E</w:t>
      </w:r>
      <w:r w:rsidR="0054122B" w:rsidRPr="00B61FF1">
        <w:rPr>
          <w:rFonts w:ascii="Arial" w:hAnsi="Arial" w:cs="Arial"/>
          <w:sz w:val="24"/>
          <w:szCs w:val="24"/>
        </w:rPr>
        <w:t>missions” means greenhouse gas emissions occurring during the exothermic reaction of a fuel with oxygen.</w:t>
      </w:r>
    </w:p>
    <w:p w14:paraId="2CBAA848" w14:textId="77777777" w:rsidR="0054122B" w:rsidRPr="00B61FF1" w:rsidRDefault="00AE52E6"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52</w:t>
      </w:r>
      <w:r w:rsidR="0054122B" w:rsidRPr="00B61FF1">
        <w:rPr>
          <w:rFonts w:ascii="Arial" w:hAnsi="Arial" w:cs="Arial"/>
          <w:sz w:val="24"/>
          <w:szCs w:val="24"/>
        </w:rPr>
        <w:t xml:space="preserve">) </w:t>
      </w:r>
      <w:r w:rsidR="007F0184" w:rsidRPr="00B61FF1">
        <w:rPr>
          <w:rFonts w:ascii="Arial" w:hAnsi="Arial" w:cs="Arial"/>
          <w:sz w:val="24"/>
          <w:szCs w:val="24"/>
        </w:rPr>
        <w:tab/>
      </w:r>
      <w:r w:rsidR="00481A8A" w:rsidRPr="00B61FF1">
        <w:rPr>
          <w:rFonts w:ascii="Arial" w:hAnsi="Arial" w:cs="Arial"/>
          <w:sz w:val="24"/>
          <w:szCs w:val="24"/>
        </w:rPr>
        <w:t xml:space="preserve">“Compliance </w:t>
      </w:r>
      <w:r w:rsidR="00B43F70" w:rsidRPr="00B61FF1">
        <w:rPr>
          <w:rFonts w:ascii="Arial" w:hAnsi="Arial" w:cs="Arial"/>
          <w:sz w:val="24"/>
          <w:szCs w:val="24"/>
        </w:rPr>
        <w:t>A</w:t>
      </w:r>
      <w:r w:rsidR="0054122B" w:rsidRPr="00B61FF1">
        <w:rPr>
          <w:rFonts w:ascii="Arial" w:hAnsi="Arial" w:cs="Arial"/>
          <w:sz w:val="24"/>
          <w:szCs w:val="24"/>
        </w:rPr>
        <w:t>ccount” means an account created by the accounts administrator for a covered entity or opt-in covered entity with a compliance obligation, to which the entity transfers compliance instruments to meet its annual and triennial compliance obligations.</w:t>
      </w:r>
    </w:p>
    <w:p w14:paraId="571CE547" w14:textId="08AB241C" w:rsidR="00C350B6" w:rsidRPr="00B61FF1" w:rsidRDefault="00C350B6" w:rsidP="00C350B6">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(53) </w:t>
      </w:r>
      <w:r w:rsidRPr="00B61FF1">
        <w:rPr>
          <w:rFonts w:ascii="Arial" w:hAnsi="Arial" w:cs="Arial"/>
          <w:sz w:val="24"/>
          <w:szCs w:val="24"/>
        </w:rPr>
        <w:tab/>
        <w:t>Compliance Instrument” means an allowance or offset, issued by ARB or by an External Greenhouse Gas Emissions Trading System to which California has linked its Cap-and-Trade Program pursuant to subarticle 12, or sector-based offset credit.  Each compliance instrument can be used to fulfill a compliance obligation equivalent to up to one metric ton of CO</w:t>
      </w:r>
      <w:r w:rsidRPr="00B61FF1">
        <w:rPr>
          <w:rFonts w:ascii="Arial" w:hAnsi="Arial" w:cs="Arial"/>
          <w:sz w:val="24"/>
          <w:szCs w:val="24"/>
          <w:vertAlign w:val="subscript"/>
        </w:rPr>
        <w:t>2</w:t>
      </w:r>
      <w:r w:rsidRPr="00B61FF1">
        <w:rPr>
          <w:rFonts w:ascii="Arial" w:hAnsi="Arial" w:cs="Arial"/>
          <w:sz w:val="24"/>
          <w:szCs w:val="24"/>
        </w:rPr>
        <w:t>e.</w:t>
      </w:r>
    </w:p>
    <w:p w14:paraId="3996E70D" w14:textId="0A94C736" w:rsidR="0054122B" w:rsidRPr="00B61FF1" w:rsidRDefault="00C350B6" w:rsidP="00C350B6">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 </w:t>
      </w:r>
      <w:r w:rsidR="00AE52E6" w:rsidRPr="00B61FF1">
        <w:rPr>
          <w:rFonts w:ascii="Arial" w:hAnsi="Arial" w:cs="Arial"/>
          <w:sz w:val="24"/>
          <w:szCs w:val="24"/>
        </w:rPr>
        <w:t>(</w:t>
      </w:r>
      <w:r w:rsidR="003265FD" w:rsidRPr="00B61FF1">
        <w:rPr>
          <w:rFonts w:ascii="Arial" w:hAnsi="Arial" w:cs="Arial"/>
          <w:sz w:val="24"/>
          <w:szCs w:val="24"/>
        </w:rPr>
        <w:t>54</w:t>
      </w:r>
      <w:r w:rsidR="0054122B" w:rsidRPr="00B61FF1">
        <w:rPr>
          <w:rFonts w:ascii="Arial" w:hAnsi="Arial" w:cs="Arial"/>
          <w:sz w:val="24"/>
          <w:szCs w:val="24"/>
        </w:rPr>
        <w:t xml:space="preserve">) </w:t>
      </w:r>
      <w:r w:rsidR="007F0184" w:rsidRPr="00B61FF1">
        <w:rPr>
          <w:rFonts w:ascii="Arial" w:hAnsi="Arial" w:cs="Arial"/>
          <w:sz w:val="24"/>
          <w:szCs w:val="24"/>
        </w:rPr>
        <w:tab/>
      </w:r>
      <w:r w:rsidR="00481A8A" w:rsidRPr="00B61FF1">
        <w:rPr>
          <w:rFonts w:ascii="Arial" w:hAnsi="Arial" w:cs="Arial"/>
          <w:sz w:val="24"/>
          <w:szCs w:val="24"/>
        </w:rPr>
        <w:t xml:space="preserve">“Compliance </w:t>
      </w:r>
      <w:r w:rsidR="00B43F70" w:rsidRPr="00B61FF1">
        <w:rPr>
          <w:rFonts w:ascii="Arial" w:hAnsi="Arial" w:cs="Arial"/>
          <w:sz w:val="24"/>
          <w:szCs w:val="24"/>
        </w:rPr>
        <w:t>O</w:t>
      </w:r>
      <w:r w:rsidR="0054122B" w:rsidRPr="00B61FF1">
        <w:rPr>
          <w:rFonts w:ascii="Arial" w:hAnsi="Arial" w:cs="Arial"/>
          <w:sz w:val="24"/>
          <w:szCs w:val="24"/>
        </w:rPr>
        <w:t>bligation”</w:t>
      </w:r>
      <w:r w:rsidR="005472D5" w:rsidRPr="00B61FF1">
        <w:rPr>
          <w:rFonts w:ascii="Arial" w:hAnsi="Arial" w:cs="Arial"/>
          <w:sz w:val="24"/>
          <w:szCs w:val="24"/>
        </w:rPr>
        <w:t xml:space="preserve"> means the quantity of verified </w:t>
      </w:r>
      <w:r w:rsidR="0054122B" w:rsidRPr="00B61FF1">
        <w:rPr>
          <w:rFonts w:ascii="Arial" w:hAnsi="Arial" w:cs="Arial"/>
          <w:sz w:val="24"/>
          <w:szCs w:val="24"/>
        </w:rPr>
        <w:t xml:space="preserve">reported emissions </w:t>
      </w:r>
      <w:r w:rsidR="005472D5" w:rsidRPr="00B61FF1">
        <w:rPr>
          <w:rFonts w:ascii="Arial" w:hAnsi="Arial" w:cs="Arial"/>
          <w:sz w:val="24"/>
          <w:szCs w:val="24"/>
        </w:rPr>
        <w:t xml:space="preserve">or assigned emissions </w:t>
      </w:r>
      <w:r w:rsidR="0054122B" w:rsidRPr="00B61FF1">
        <w:rPr>
          <w:rFonts w:ascii="Arial" w:hAnsi="Arial" w:cs="Arial"/>
          <w:sz w:val="24"/>
          <w:szCs w:val="24"/>
        </w:rPr>
        <w:t>for which a</w:t>
      </w:r>
      <w:r w:rsidR="00C75481" w:rsidRPr="00B61FF1">
        <w:rPr>
          <w:rFonts w:ascii="Arial" w:hAnsi="Arial" w:cs="Arial"/>
          <w:sz w:val="24"/>
          <w:szCs w:val="24"/>
        </w:rPr>
        <w:t>n</w:t>
      </w:r>
      <w:r w:rsidR="0054122B" w:rsidRPr="00B61FF1">
        <w:rPr>
          <w:rFonts w:ascii="Arial" w:hAnsi="Arial" w:cs="Arial"/>
          <w:sz w:val="24"/>
          <w:szCs w:val="24"/>
        </w:rPr>
        <w:t xml:space="preserve"> entity must submit compliance instruments to ARB.</w:t>
      </w:r>
    </w:p>
    <w:p w14:paraId="6D2AAEDE" w14:textId="77777777" w:rsidR="0054122B" w:rsidRPr="00B61FF1" w:rsidRDefault="00AE52E6"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55</w:t>
      </w:r>
      <w:r w:rsidR="0054122B" w:rsidRPr="00B61FF1">
        <w:rPr>
          <w:rFonts w:ascii="Arial" w:hAnsi="Arial" w:cs="Arial"/>
          <w:sz w:val="24"/>
          <w:szCs w:val="24"/>
        </w:rPr>
        <w:t>)</w:t>
      </w:r>
      <w:r w:rsidR="007F0184" w:rsidRPr="00B61FF1">
        <w:rPr>
          <w:rFonts w:ascii="Arial" w:hAnsi="Arial" w:cs="Arial"/>
          <w:sz w:val="24"/>
          <w:szCs w:val="24"/>
        </w:rPr>
        <w:tab/>
      </w:r>
      <w:r w:rsidR="0054122B" w:rsidRPr="00B61FF1">
        <w:rPr>
          <w:rFonts w:ascii="Arial" w:hAnsi="Arial" w:cs="Arial"/>
          <w:sz w:val="24"/>
          <w:szCs w:val="24"/>
        </w:rPr>
        <w:t>“Compliance Offset Protocol” means an offset protocol adopted by the Board.</w:t>
      </w:r>
    </w:p>
    <w:p w14:paraId="19836FFD" w14:textId="77777777" w:rsidR="0054122B" w:rsidRPr="00B61FF1" w:rsidRDefault="00AE52E6"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56</w:t>
      </w:r>
      <w:r w:rsidR="0054122B" w:rsidRPr="00B61FF1">
        <w:rPr>
          <w:rFonts w:ascii="Arial" w:hAnsi="Arial" w:cs="Arial"/>
          <w:sz w:val="24"/>
          <w:szCs w:val="24"/>
        </w:rPr>
        <w:t xml:space="preserve">) </w:t>
      </w:r>
      <w:r w:rsidR="007F0184" w:rsidRPr="00B61FF1">
        <w:rPr>
          <w:rFonts w:ascii="Arial" w:hAnsi="Arial" w:cs="Arial"/>
          <w:sz w:val="24"/>
          <w:szCs w:val="24"/>
        </w:rPr>
        <w:tab/>
      </w:r>
      <w:r w:rsidR="0054122B" w:rsidRPr="00B61FF1">
        <w:rPr>
          <w:rFonts w:ascii="Arial" w:hAnsi="Arial" w:cs="Arial"/>
          <w:sz w:val="24"/>
          <w:szCs w:val="24"/>
        </w:rPr>
        <w:t xml:space="preserve">“Compliance </w:t>
      </w:r>
      <w:r w:rsidR="00B43F70" w:rsidRPr="00B61FF1">
        <w:rPr>
          <w:rFonts w:ascii="Arial" w:hAnsi="Arial" w:cs="Arial"/>
          <w:sz w:val="24"/>
          <w:szCs w:val="24"/>
        </w:rPr>
        <w:t>P</w:t>
      </w:r>
      <w:r w:rsidR="0054122B" w:rsidRPr="00B61FF1">
        <w:rPr>
          <w:rFonts w:ascii="Arial" w:hAnsi="Arial" w:cs="Arial"/>
          <w:sz w:val="24"/>
          <w:szCs w:val="24"/>
        </w:rPr>
        <w:t>eriod” means the three-year period for which the compliance obligation is calculated for covered entities</w:t>
      </w:r>
      <w:r w:rsidR="00633D10" w:rsidRPr="00B61FF1">
        <w:rPr>
          <w:rFonts w:ascii="Arial" w:hAnsi="Arial" w:cs="Arial"/>
          <w:sz w:val="24"/>
          <w:szCs w:val="24"/>
        </w:rPr>
        <w:t xml:space="preserve"> except for the </w:t>
      </w:r>
      <w:r w:rsidR="00633D10" w:rsidRPr="00B61FF1">
        <w:rPr>
          <w:rFonts w:ascii="Arial" w:hAnsi="Arial" w:cs="Arial"/>
          <w:sz w:val="24"/>
          <w:szCs w:val="24"/>
        </w:rPr>
        <w:lastRenderedPageBreak/>
        <w:t>first compliance period.  The compliance obligation for the first compliance period only considers emissions from data years of 2013 and 2014</w:t>
      </w:r>
      <w:r w:rsidR="0054122B" w:rsidRPr="00B61FF1">
        <w:rPr>
          <w:rFonts w:ascii="Arial" w:hAnsi="Arial" w:cs="Arial"/>
          <w:sz w:val="24"/>
          <w:szCs w:val="24"/>
        </w:rPr>
        <w:t>.</w:t>
      </w:r>
    </w:p>
    <w:p w14:paraId="4BA16BFB" w14:textId="355A5C8B" w:rsidR="000E7420" w:rsidRPr="00B61FF1" w:rsidRDefault="000E7420" w:rsidP="00481A8A">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(XX)</w:t>
      </w:r>
      <w:r w:rsidRPr="00B61FF1">
        <w:rPr>
          <w:rFonts w:ascii="Arial" w:hAnsi="Arial" w:cs="Arial"/>
          <w:sz w:val="24"/>
          <w:szCs w:val="24"/>
        </w:rPr>
        <w:tab/>
      </w:r>
      <w:r w:rsidRPr="00B61FF1">
        <w:rPr>
          <w:rFonts w:ascii="Arial" w:hAnsi="Arial" w:cs="Arial"/>
          <w:sz w:val="24"/>
          <w:szCs w:val="24"/>
          <w:u w:val="single"/>
        </w:rPr>
        <w:t>“Compressed natural gas” or “CNG” means natural gas in high-pressure containers that is highly compressed (though not to the point of liquefaction), typically to pressures ranging from 2900 to 3600 psi.</w:t>
      </w:r>
    </w:p>
    <w:p w14:paraId="626C01C4" w14:textId="77777777" w:rsidR="0054122B" w:rsidRPr="00B61FF1" w:rsidRDefault="00AE52E6"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57</w:t>
      </w:r>
      <w:r w:rsidR="0054122B" w:rsidRPr="00B61FF1">
        <w:rPr>
          <w:rFonts w:ascii="Arial" w:hAnsi="Arial" w:cs="Arial"/>
          <w:sz w:val="24"/>
          <w:szCs w:val="24"/>
        </w:rPr>
        <w:t xml:space="preserve">) </w:t>
      </w:r>
      <w:r w:rsidR="007F0184" w:rsidRPr="00B61FF1">
        <w:rPr>
          <w:rFonts w:ascii="Arial" w:hAnsi="Arial" w:cs="Arial"/>
          <w:sz w:val="24"/>
          <w:szCs w:val="24"/>
        </w:rPr>
        <w:tab/>
      </w:r>
      <w:r w:rsidR="0054122B" w:rsidRPr="00B61FF1">
        <w:rPr>
          <w:rFonts w:ascii="Arial" w:hAnsi="Arial" w:cs="Arial"/>
          <w:sz w:val="24"/>
          <w:szCs w:val="24"/>
        </w:rPr>
        <w:t xml:space="preserve">“Conflict of </w:t>
      </w:r>
      <w:r w:rsidR="00B43F70" w:rsidRPr="00B61FF1">
        <w:rPr>
          <w:rFonts w:ascii="Arial" w:hAnsi="Arial" w:cs="Arial"/>
          <w:sz w:val="24"/>
          <w:szCs w:val="24"/>
        </w:rPr>
        <w:t>I</w:t>
      </w:r>
      <w:r w:rsidR="0054122B" w:rsidRPr="00B61FF1">
        <w:rPr>
          <w:rFonts w:ascii="Arial" w:hAnsi="Arial" w:cs="Arial"/>
          <w:sz w:val="24"/>
          <w:szCs w:val="24"/>
        </w:rPr>
        <w:t>nterest” means</w:t>
      </w:r>
      <w:r w:rsidR="005472D5" w:rsidRPr="00B61FF1">
        <w:rPr>
          <w:rFonts w:ascii="Arial" w:hAnsi="Arial" w:cs="Arial"/>
          <w:sz w:val="24"/>
          <w:szCs w:val="24"/>
        </w:rPr>
        <w:t>, for purposes of this article,</w:t>
      </w:r>
      <w:r w:rsidR="0054122B" w:rsidRPr="00B61FF1">
        <w:rPr>
          <w:rFonts w:ascii="Arial" w:hAnsi="Arial" w:cs="Arial"/>
          <w:sz w:val="24"/>
          <w:szCs w:val="24"/>
        </w:rPr>
        <w:t xml:space="preserve"> a situation in which, because of </w:t>
      </w:r>
      <w:bookmarkStart w:id="44" w:name="_DV_C196"/>
      <w:r w:rsidR="0054122B" w:rsidRPr="00B61FF1">
        <w:rPr>
          <w:rFonts w:ascii="Arial" w:hAnsi="Arial" w:cs="Arial"/>
          <w:sz w:val="24"/>
          <w:szCs w:val="24"/>
        </w:rPr>
        <w:t xml:space="preserve">financial or </w:t>
      </w:r>
      <w:bookmarkStart w:id="45" w:name="_DV_M166"/>
      <w:bookmarkEnd w:id="44"/>
      <w:bookmarkEnd w:id="45"/>
      <w:r w:rsidR="0054122B" w:rsidRPr="00B61FF1">
        <w:rPr>
          <w:rFonts w:ascii="Arial" w:hAnsi="Arial" w:cs="Arial"/>
          <w:sz w:val="24"/>
          <w:szCs w:val="24"/>
        </w:rPr>
        <w:t>other activities or relationships with other persons or organizations, a person or body is unable or potentially unable to render an impartial Offset Verification Statement of a potential client’s Offset Project Data Report, or the person or body’s objectivity in performing offset verification services is or might be otherwise compromised.</w:t>
      </w:r>
    </w:p>
    <w:p w14:paraId="648CB9A2" w14:textId="77777777" w:rsidR="0054122B" w:rsidRPr="00B61FF1" w:rsidRDefault="00AE52E6"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58</w:t>
      </w:r>
      <w:r w:rsidR="0054122B" w:rsidRPr="00B61FF1">
        <w:rPr>
          <w:rFonts w:ascii="Arial" w:hAnsi="Arial" w:cs="Arial"/>
          <w:sz w:val="24"/>
          <w:szCs w:val="24"/>
        </w:rPr>
        <w:t xml:space="preserve">) </w:t>
      </w:r>
      <w:r w:rsidR="007F0184" w:rsidRPr="00B61FF1">
        <w:rPr>
          <w:rFonts w:ascii="Arial" w:hAnsi="Arial" w:cs="Arial"/>
          <w:sz w:val="24"/>
          <w:szCs w:val="24"/>
        </w:rPr>
        <w:tab/>
      </w:r>
      <w:r w:rsidR="0054122B" w:rsidRPr="00B61FF1">
        <w:rPr>
          <w:rFonts w:ascii="Arial" w:hAnsi="Arial" w:cs="Arial"/>
          <w:sz w:val="24"/>
          <w:szCs w:val="24"/>
        </w:rPr>
        <w:t>“Conservative” means, in the context of offsets, utilizing project baseline assumptions, emission factors, and methodologies that are more likely than not to understate net GHG reductions or GHG removal enhancements for an offset project to address uncertainties affecting the calculation or measurement of GHG reductions or GHG removal enhancements.</w:t>
      </w:r>
    </w:p>
    <w:p w14:paraId="05BA583E" w14:textId="77777777" w:rsidR="0054122B" w:rsidRPr="00B61FF1" w:rsidRDefault="00AE52E6" w:rsidP="00720975">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59</w:t>
      </w:r>
      <w:r w:rsidR="0054122B" w:rsidRPr="00B61FF1">
        <w:rPr>
          <w:rFonts w:ascii="Arial" w:hAnsi="Arial" w:cs="Arial"/>
          <w:sz w:val="24"/>
          <w:szCs w:val="24"/>
        </w:rPr>
        <w:t xml:space="preserve">) </w:t>
      </w:r>
      <w:r w:rsidR="007F0184" w:rsidRPr="00B61FF1">
        <w:rPr>
          <w:rFonts w:ascii="Arial" w:hAnsi="Arial" w:cs="Arial"/>
          <w:sz w:val="24"/>
          <w:szCs w:val="24"/>
        </w:rPr>
        <w:tab/>
      </w:r>
      <w:r w:rsidR="0054122B" w:rsidRPr="00B61FF1">
        <w:rPr>
          <w:rFonts w:ascii="Arial" w:hAnsi="Arial" w:cs="Arial"/>
          <w:sz w:val="24"/>
          <w:szCs w:val="24"/>
        </w:rPr>
        <w:t>“Consumer Price Index for All Urban Consumers” means a measure that examines the changes in the price of a basket of goods and services purchased by urban consumers, and is published by the U.S. Bureau of Labor Statistics.</w:t>
      </w:r>
    </w:p>
    <w:p w14:paraId="58D7F493" w14:textId="77777777" w:rsidR="0054122B" w:rsidRPr="00B61FF1" w:rsidRDefault="00AE52E6"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60</w:t>
      </w:r>
      <w:r w:rsidR="0054122B" w:rsidRPr="00B61FF1">
        <w:rPr>
          <w:rFonts w:ascii="Arial" w:hAnsi="Arial" w:cs="Arial"/>
          <w:sz w:val="24"/>
          <w:szCs w:val="24"/>
        </w:rPr>
        <w:t>)</w:t>
      </w:r>
      <w:r w:rsidR="00720975" w:rsidRPr="00B61FF1">
        <w:rPr>
          <w:rFonts w:ascii="Arial" w:hAnsi="Arial" w:cs="Arial"/>
          <w:sz w:val="24"/>
          <w:szCs w:val="24"/>
        </w:rPr>
        <w:tab/>
      </w:r>
      <w:r w:rsidR="00527823" w:rsidRPr="00B61FF1">
        <w:rPr>
          <w:rFonts w:ascii="Arial" w:hAnsi="Arial" w:cs="Arial"/>
          <w:sz w:val="24"/>
          <w:szCs w:val="24"/>
        </w:rPr>
        <w:t>"Container Glass P</w:t>
      </w:r>
      <w:r w:rsidR="0054122B" w:rsidRPr="00B61FF1">
        <w:rPr>
          <w:rFonts w:ascii="Arial" w:hAnsi="Arial" w:cs="Arial"/>
          <w:sz w:val="24"/>
          <w:szCs w:val="24"/>
        </w:rPr>
        <w:t xml:space="preserve">ulled" means the quantity of glass removed from the   melting furnace in the container glass manufacturing process where "container glass" is defined as glass products used for packaging. </w:t>
      </w:r>
    </w:p>
    <w:p w14:paraId="6FCE9220" w14:textId="77777777" w:rsidR="0054122B" w:rsidRPr="00B61FF1" w:rsidRDefault="00AE52E6" w:rsidP="00481A8A">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61</w:t>
      </w:r>
      <w:r w:rsidR="0054122B" w:rsidRPr="00B61FF1">
        <w:rPr>
          <w:rFonts w:ascii="Arial" w:hAnsi="Arial" w:cs="Arial"/>
          <w:sz w:val="24"/>
          <w:szCs w:val="24"/>
        </w:rPr>
        <w:t>)</w:t>
      </w:r>
      <w:r w:rsidR="007F0184" w:rsidRPr="00B61FF1">
        <w:rPr>
          <w:rFonts w:ascii="Arial" w:hAnsi="Arial" w:cs="Arial"/>
          <w:sz w:val="24"/>
          <w:szCs w:val="24"/>
        </w:rPr>
        <w:tab/>
      </w:r>
      <w:r w:rsidR="0054122B" w:rsidRPr="00B61FF1">
        <w:rPr>
          <w:rFonts w:ascii="Arial" w:hAnsi="Arial" w:cs="Arial"/>
          <w:sz w:val="24"/>
          <w:szCs w:val="24"/>
        </w:rPr>
        <w:t>“Counterparty” means the opposite party in a bilateral agreement, contract, or transaction.</w:t>
      </w:r>
    </w:p>
    <w:p w14:paraId="74CFF745" w14:textId="7062525E" w:rsidR="00C350B6" w:rsidRPr="00B61FF1" w:rsidRDefault="00C350B6" w:rsidP="00C350B6">
      <w:pPr>
        <w:tabs>
          <w:tab w:val="left" w:pos="3780"/>
        </w:tabs>
        <w:spacing w:line="360" w:lineRule="auto"/>
        <w:ind w:left="1080" w:hanging="720"/>
        <w:rPr>
          <w:rFonts w:ascii="Arial" w:hAnsi="Arial" w:cs="Arial"/>
          <w:sz w:val="24"/>
          <w:szCs w:val="24"/>
        </w:rPr>
      </w:pPr>
      <w:r w:rsidRPr="00B61FF1">
        <w:rPr>
          <w:rFonts w:ascii="Arial" w:hAnsi="Arial" w:cs="Arial"/>
          <w:sz w:val="24"/>
          <w:szCs w:val="24"/>
        </w:rPr>
        <w:t>(62)</w:t>
      </w:r>
      <w:r w:rsidRPr="00B61FF1">
        <w:rPr>
          <w:rFonts w:ascii="Arial" w:hAnsi="Arial" w:cs="Arial"/>
          <w:sz w:val="24"/>
          <w:szCs w:val="24"/>
        </w:rPr>
        <w:tab/>
        <w:t xml:space="preserve">“Covered Entity” means an entity within California that has one or more of the processes or operations and has a compliance obligation as </w:t>
      </w:r>
      <w:r w:rsidRPr="00B61FF1">
        <w:rPr>
          <w:rFonts w:ascii="Arial" w:hAnsi="Arial" w:cs="Arial"/>
          <w:sz w:val="24"/>
          <w:szCs w:val="24"/>
        </w:rPr>
        <w:lastRenderedPageBreak/>
        <w:t xml:space="preserve">specified in subarticle 7 of this regulation; and that has emitted, produced, imported, manufactured, or delivered in 2009 or any subsequent year more than the applicable threshold level specified in section 95812(a) of this rule. </w:t>
      </w:r>
    </w:p>
    <w:p w14:paraId="4DEB15E6" w14:textId="694DFFFC" w:rsidR="0054122B" w:rsidRPr="00B61FF1" w:rsidRDefault="00C350B6" w:rsidP="00C350B6">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 </w:t>
      </w:r>
      <w:r w:rsidR="0054122B" w:rsidRPr="00B61FF1">
        <w:rPr>
          <w:rFonts w:ascii="Arial" w:hAnsi="Arial" w:cs="Arial"/>
          <w:sz w:val="24"/>
          <w:szCs w:val="24"/>
        </w:rPr>
        <w:t>(</w:t>
      </w:r>
      <w:r w:rsidR="003265FD" w:rsidRPr="00B61FF1">
        <w:rPr>
          <w:rFonts w:ascii="Arial" w:hAnsi="Arial" w:cs="Arial"/>
          <w:sz w:val="24"/>
          <w:szCs w:val="24"/>
        </w:rPr>
        <w:t>63</w:t>
      </w:r>
      <w:r w:rsidR="0054122B" w:rsidRPr="00B61FF1">
        <w:rPr>
          <w:rFonts w:ascii="Arial" w:hAnsi="Arial" w:cs="Arial"/>
          <w:sz w:val="24"/>
          <w:szCs w:val="24"/>
        </w:rPr>
        <w:t xml:space="preserve">) </w:t>
      </w:r>
      <w:r w:rsidR="007F0184" w:rsidRPr="00B61FF1">
        <w:rPr>
          <w:rFonts w:ascii="Arial" w:hAnsi="Arial" w:cs="Arial"/>
          <w:sz w:val="24"/>
          <w:szCs w:val="24"/>
        </w:rPr>
        <w:tab/>
      </w:r>
      <w:r w:rsidR="0054122B" w:rsidRPr="00B61FF1">
        <w:rPr>
          <w:rFonts w:ascii="Arial" w:hAnsi="Arial" w:cs="Arial"/>
          <w:sz w:val="24"/>
          <w:szCs w:val="24"/>
        </w:rPr>
        <w:t xml:space="preserve">“Crediting </w:t>
      </w:r>
      <w:r w:rsidR="00B43F70" w:rsidRPr="00B61FF1">
        <w:rPr>
          <w:rFonts w:ascii="Arial" w:hAnsi="Arial" w:cs="Arial"/>
          <w:sz w:val="24"/>
          <w:szCs w:val="24"/>
        </w:rPr>
        <w:t>B</w:t>
      </w:r>
      <w:r w:rsidR="0054122B" w:rsidRPr="00B61FF1">
        <w:rPr>
          <w:rFonts w:ascii="Arial" w:hAnsi="Arial" w:cs="Arial"/>
          <w:sz w:val="24"/>
          <w:szCs w:val="24"/>
        </w:rPr>
        <w:t>aseline” refers to the reduction of absolute GHG emissions below the business-as-usual scenario or reference level across a jurisdiction’s entire sector in a sector-based crediting program after the imposition of greenhouse gas emission reduction requirements or incentives.</w:t>
      </w:r>
    </w:p>
    <w:p w14:paraId="4EB3E86D" w14:textId="77777777" w:rsidR="0054122B" w:rsidRPr="00B61FF1" w:rsidRDefault="0054122B" w:rsidP="00481A8A">
      <w:pPr>
        <w:tabs>
          <w:tab w:val="left" w:pos="450"/>
          <w:tab w:val="left" w:pos="3780"/>
        </w:tabs>
        <w:spacing w:line="360" w:lineRule="auto"/>
        <w:ind w:left="1080" w:hanging="720"/>
        <w:rPr>
          <w:rFonts w:ascii="Arial" w:eastAsia="Times New Roman" w:hAnsi="Arial" w:cs="Arial"/>
          <w:sz w:val="24"/>
          <w:szCs w:val="24"/>
          <w:lang w:bidi="en-US"/>
        </w:rPr>
      </w:pPr>
      <w:r w:rsidRPr="00B61FF1">
        <w:rPr>
          <w:rFonts w:ascii="Arial" w:hAnsi="Arial" w:cs="Arial"/>
          <w:sz w:val="24"/>
          <w:szCs w:val="24"/>
        </w:rPr>
        <w:t>(</w:t>
      </w:r>
      <w:r w:rsidR="003265FD" w:rsidRPr="00B61FF1">
        <w:rPr>
          <w:rFonts w:ascii="Arial" w:hAnsi="Arial" w:cs="Arial"/>
          <w:sz w:val="24"/>
          <w:szCs w:val="24"/>
        </w:rPr>
        <w:t>64</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 xml:space="preserve">“Crediting </w:t>
      </w:r>
      <w:r w:rsidR="00B43F70" w:rsidRPr="00B61FF1">
        <w:rPr>
          <w:rFonts w:ascii="Arial" w:hAnsi="Arial" w:cs="Arial"/>
          <w:sz w:val="24"/>
          <w:szCs w:val="24"/>
        </w:rPr>
        <w:t>P</w:t>
      </w:r>
      <w:r w:rsidRPr="00B61FF1">
        <w:rPr>
          <w:rFonts w:ascii="Arial" w:hAnsi="Arial" w:cs="Arial"/>
          <w:sz w:val="24"/>
          <w:szCs w:val="24"/>
        </w:rPr>
        <w:t xml:space="preserve">eriod” means </w:t>
      </w:r>
      <w:r w:rsidRPr="00B61FF1">
        <w:rPr>
          <w:rFonts w:ascii="Arial" w:eastAsia="Times New Roman" w:hAnsi="Arial" w:cs="Arial"/>
          <w:sz w:val="24"/>
          <w:szCs w:val="24"/>
          <w:lang w:bidi="en-US"/>
        </w:rPr>
        <w:t xml:space="preserve">the pre-determined period for which an offset project will remain eligible to be issued ARB offset credits </w:t>
      </w:r>
      <w:r w:rsidR="00481A8A" w:rsidRPr="00B61FF1">
        <w:rPr>
          <w:rFonts w:ascii="Arial" w:eastAsia="Times New Roman" w:hAnsi="Arial" w:cs="Arial"/>
          <w:sz w:val="24"/>
          <w:szCs w:val="24"/>
          <w:lang w:bidi="en-US"/>
        </w:rPr>
        <w:t xml:space="preserve">or </w:t>
      </w:r>
      <w:r w:rsidR="00C64C59" w:rsidRPr="00B61FF1">
        <w:rPr>
          <w:rFonts w:ascii="Arial" w:eastAsia="Times New Roman" w:hAnsi="Arial" w:cs="Arial"/>
          <w:sz w:val="24"/>
          <w:szCs w:val="24"/>
          <w:lang w:bidi="en-US"/>
        </w:rPr>
        <w:t>r</w:t>
      </w:r>
      <w:r w:rsidR="00481A8A" w:rsidRPr="00B61FF1">
        <w:rPr>
          <w:rFonts w:ascii="Arial" w:eastAsia="Times New Roman" w:hAnsi="Arial" w:cs="Arial"/>
          <w:sz w:val="24"/>
          <w:szCs w:val="24"/>
          <w:lang w:bidi="en-US"/>
        </w:rPr>
        <w:t>egistry offset c</w:t>
      </w:r>
      <w:r w:rsidRPr="00B61FF1">
        <w:rPr>
          <w:rFonts w:ascii="Arial" w:eastAsia="Times New Roman" w:hAnsi="Arial" w:cs="Arial"/>
          <w:sz w:val="24"/>
          <w:szCs w:val="24"/>
          <w:lang w:bidi="en-US"/>
        </w:rPr>
        <w:t>redits for verified GHG emission reductions or GHG removal enhancements.</w:t>
      </w:r>
    </w:p>
    <w:p w14:paraId="66E88F90" w14:textId="77777777" w:rsidR="0054122B" w:rsidRPr="00B61FF1" w:rsidRDefault="0054122B" w:rsidP="00481A8A">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65</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w:t>
      </w:r>
      <w:r w:rsidR="00481A8A" w:rsidRPr="00B61FF1">
        <w:rPr>
          <w:rFonts w:ascii="Arial" w:hAnsi="Arial" w:cs="Arial"/>
          <w:color w:val="000000"/>
          <w:sz w:val="24"/>
          <w:szCs w:val="24"/>
        </w:rPr>
        <w:t xml:space="preserve">Data </w:t>
      </w:r>
      <w:r w:rsidR="00B43F70" w:rsidRPr="00B61FF1">
        <w:rPr>
          <w:rFonts w:ascii="Arial" w:hAnsi="Arial" w:cs="Arial"/>
          <w:color w:val="000000"/>
          <w:sz w:val="24"/>
          <w:szCs w:val="24"/>
        </w:rPr>
        <w:t>Y</w:t>
      </w:r>
      <w:r w:rsidRPr="00B61FF1">
        <w:rPr>
          <w:rFonts w:ascii="Arial" w:hAnsi="Arial" w:cs="Arial"/>
          <w:color w:val="000000"/>
          <w:sz w:val="24"/>
          <w:szCs w:val="24"/>
        </w:rPr>
        <w:t>ear” means the calendar year in which emissions occurred.</w:t>
      </w:r>
    </w:p>
    <w:p w14:paraId="02D86BB8" w14:textId="77777777" w:rsidR="0054122B" w:rsidRPr="00B61FF1" w:rsidRDefault="0054122B" w:rsidP="00481A8A">
      <w:pPr>
        <w:tabs>
          <w:tab w:val="left" w:pos="450"/>
          <w:tab w:val="left" w:pos="3780"/>
        </w:tabs>
        <w:spacing w:line="360" w:lineRule="auto"/>
        <w:ind w:left="1080" w:hanging="720"/>
        <w:rPr>
          <w:rFonts w:ascii="Arial" w:hAnsi="Arial" w:cs="Arial"/>
          <w:sz w:val="24"/>
        </w:rPr>
      </w:pPr>
      <w:r w:rsidRPr="00B61FF1">
        <w:rPr>
          <w:rFonts w:ascii="Arial" w:hAnsi="Arial" w:cs="Arial"/>
          <w:color w:val="000000"/>
          <w:sz w:val="24"/>
          <w:szCs w:val="24"/>
        </w:rPr>
        <w:t>(</w:t>
      </w:r>
      <w:r w:rsidR="003265FD" w:rsidRPr="00B61FF1">
        <w:rPr>
          <w:rFonts w:ascii="Arial" w:hAnsi="Arial" w:cs="Arial"/>
          <w:color w:val="000000"/>
          <w:sz w:val="24"/>
          <w:szCs w:val="24"/>
        </w:rPr>
        <w:t>66</w:t>
      </w:r>
      <w:r w:rsidRPr="00B61FF1">
        <w:rPr>
          <w:rFonts w:ascii="Arial" w:hAnsi="Arial" w:cs="Arial"/>
          <w:color w:val="000000"/>
          <w:sz w:val="24"/>
          <w:szCs w:val="24"/>
        </w:rPr>
        <w:t xml:space="preserve">) </w:t>
      </w:r>
      <w:r w:rsidR="007F0184" w:rsidRPr="00B61FF1">
        <w:rPr>
          <w:rFonts w:ascii="Arial" w:hAnsi="Arial" w:cs="Arial"/>
          <w:color w:val="000000"/>
          <w:sz w:val="24"/>
          <w:szCs w:val="24"/>
        </w:rPr>
        <w:tab/>
      </w:r>
      <w:r w:rsidRPr="00B61FF1">
        <w:rPr>
          <w:rFonts w:ascii="Arial" w:hAnsi="Arial" w:cs="Arial"/>
          <w:color w:val="000000"/>
          <w:sz w:val="24"/>
          <w:szCs w:val="24"/>
        </w:rPr>
        <w:t>“Deforestation” means d</w:t>
      </w:r>
      <w:r w:rsidRPr="00B61FF1">
        <w:rPr>
          <w:rFonts w:ascii="Arial" w:hAnsi="Arial" w:cs="Arial"/>
          <w:sz w:val="24"/>
        </w:rPr>
        <w:t>irect human-induced conversion of forested land to non-forested land.</w:t>
      </w:r>
    </w:p>
    <w:p w14:paraId="43A9349B" w14:textId="77777777" w:rsidR="0054122B" w:rsidRPr="00B61FF1" w:rsidRDefault="0054122B" w:rsidP="00481A8A">
      <w:pPr>
        <w:tabs>
          <w:tab w:val="left" w:pos="450"/>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67</w:t>
      </w:r>
      <w:r w:rsidRPr="00B61FF1">
        <w:rPr>
          <w:rFonts w:ascii="Arial" w:hAnsi="Arial" w:cs="Arial"/>
          <w:sz w:val="24"/>
          <w:szCs w:val="24"/>
        </w:rPr>
        <w:t xml:space="preserve">) </w:t>
      </w:r>
      <w:r w:rsidR="007F0184" w:rsidRPr="00B61FF1">
        <w:rPr>
          <w:rFonts w:ascii="Arial" w:hAnsi="Arial" w:cs="Arial"/>
          <w:sz w:val="24"/>
          <w:szCs w:val="24"/>
        </w:rPr>
        <w:tab/>
      </w:r>
      <w:r w:rsidR="00481A8A" w:rsidRPr="00B61FF1">
        <w:rPr>
          <w:rFonts w:ascii="Arial" w:hAnsi="Arial" w:cs="Arial"/>
          <w:sz w:val="24"/>
          <w:szCs w:val="24"/>
        </w:rPr>
        <w:t xml:space="preserve">“Delivered </w:t>
      </w:r>
      <w:r w:rsidR="00B43F70" w:rsidRPr="00B61FF1">
        <w:rPr>
          <w:rFonts w:ascii="Arial" w:hAnsi="Arial" w:cs="Arial"/>
          <w:sz w:val="24"/>
          <w:szCs w:val="24"/>
        </w:rPr>
        <w:t>E</w:t>
      </w:r>
      <w:r w:rsidRPr="00B61FF1">
        <w:rPr>
          <w:rFonts w:ascii="Arial" w:hAnsi="Arial" w:cs="Arial"/>
          <w:sz w:val="24"/>
          <w:szCs w:val="24"/>
        </w:rPr>
        <w:t>lectricity” means electricity that was distributed from a PSE and received by a PSE or electricity that was generated, transmitted</w:t>
      </w:r>
      <w:r w:rsidR="00C75481" w:rsidRPr="00B61FF1">
        <w:rPr>
          <w:rFonts w:ascii="Arial" w:hAnsi="Arial" w:cs="Arial"/>
          <w:sz w:val="24"/>
          <w:szCs w:val="24"/>
        </w:rPr>
        <w:t>,</w:t>
      </w:r>
      <w:r w:rsidRPr="00B61FF1">
        <w:rPr>
          <w:rFonts w:ascii="Arial" w:hAnsi="Arial" w:cs="Arial"/>
          <w:sz w:val="24"/>
          <w:szCs w:val="24"/>
        </w:rPr>
        <w:t xml:space="preserve"> and consumed.</w:t>
      </w:r>
      <w:r w:rsidRPr="00B61FF1" w:rsidDel="00030F43">
        <w:rPr>
          <w:rFonts w:ascii="Arial" w:hAnsi="Arial" w:cs="Arial"/>
          <w:sz w:val="24"/>
          <w:szCs w:val="24"/>
        </w:rPr>
        <w:t xml:space="preserve"> </w:t>
      </w:r>
    </w:p>
    <w:p w14:paraId="4D53F215" w14:textId="77777777" w:rsidR="0054122B" w:rsidRPr="00B61FF1" w:rsidRDefault="0054122B" w:rsidP="00481A8A">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68</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 xml:space="preserve">“Diesel </w:t>
      </w:r>
      <w:r w:rsidR="00B43F70" w:rsidRPr="00B61FF1">
        <w:rPr>
          <w:rFonts w:ascii="Arial" w:hAnsi="Arial" w:cs="Arial"/>
          <w:sz w:val="24"/>
          <w:szCs w:val="24"/>
        </w:rPr>
        <w:t>F</w:t>
      </w:r>
      <w:r w:rsidRPr="00B61FF1">
        <w:rPr>
          <w:rFonts w:ascii="Arial" w:hAnsi="Arial" w:cs="Arial"/>
          <w:sz w:val="24"/>
          <w:szCs w:val="24"/>
        </w:rPr>
        <w:t>uel” means Distillate Fuel No. 1 and Distillate Fuel No. 2, including dyed and non-taxed fuels.</w:t>
      </w:r>
    </w:p>
    <w:p w14:paraId="287ADCF5" w14:textId="77777777" w:rsidR="0054122B" w:rsidRPr="00B61FF1" w:rsidRDefault="0054122B" w:rsidP="00FA3C46">
      <w:pPr>
        <w:adjustRightInd/>
        <w:spacing w:line="360" w:lineRule="auto"/>
        <w:ind w:left="1080" w:hanging="720"/>
        <w:rPr>
          <w:rFonts w:ascii="Arial" w:eastAsia="Calibri" w:hAnsi="Arial" w:cs="Arial"/>
          <w:sz w:val="24"/>
          <w:szCs w:val="24"/>
        </w:rPr>
      </w:pPr>
      <w:r w:rsidRPr="00B61FF1">
        <w:rPr>
          <w:rFonts w:ascii="Arial" w:eastAsia="Calibri" w:hAnsi="Arial" w:cs="Arial"/>
          <w:sz w:val="24"/>
          <w:szCs w:val="24"/>
        </w:rPr>
        <w:t>(</w:t>
      </w:r>
      <w:r w:rsidR="003265FD" w:rsidRPr="00B61FF1">
        <w:rPr>
          <w:rFonts w:ascii="Arial" w:eastAsia="Calibri" w:hAnsi="Arial" w:cs="Arial"/>
          <w:sz w:val="24"/>
          <w:szCs w:val="24"/>
        </w:rPr>
        <w:t>69</w:t>
      </w:r>
      <w:r w:rsidRPr="00B61FF1">
        <w:rPr>
          <w:rFonts w:ascii="Arial" w:eastAsia="Calibri" w:hAnsi="Arial" w:cs="Arial"/>
          <w:sz w:val="24"/>
          <w:szCs w:val="24"/>
        </w:rPr>
        <w:t>)</w:t>
      </w:r>
      <w:r w:rsidR="00481A8A" w:rsidRPr="00B61FF1">
        <w:rPr>
          <w:rFonts w:ascii="Arial" w:eastAsia="Calibri" w:hAnsi="Arial" w:cs="Arial"/>
          <w:sz w:val="24"/>
          <w:szCs w:val="24"/>
        </w:rPr>
        <w:tab/>
      </w:r>
      <w:r w:rsidRPr="00B61FF1">
        <w:rPr>
          <w:rFonts w:ascii="Arial" w:eastAsia="Calibri" w:hAnsi="Arial" w:cs="Arial"/>
          <w:sz w:val="24"/>
          <w:szCs w:val="24"/>
        </w:rPr>
        <w:t xml:space="preserve">“Direct Delivery of Electricity” </w:t>
      </w:r>
      <w:r w:rsidR="001850BF" w:rsidRPr="00B61FF1">
        <w:rPr>
          <w:rFonts w:ascii="Arial" w:hAnsi="Arial" w:cs="Arial"/>
          <w:sz w:val="24"/>
          <w:szCs w:val="24"/>
        </w:rPr>
        <w:t>or “directly delivered”</w:t>
      </w:r>
      <w:r w:rsidR="008A4AE6" w:rsidRPr="00B61FF1">
        <w:rPr>
          <w:rFonts w:ascii="Arial" w:hAnsi="Arial" w:cs="Arial"/>
          <w:sz w:val="24"/>
          <w:szCs w:val="24"/>
        </w:rPr>
        <w:t xml:space="preserve"> has the same meaning as ascribed to MRR section 95102(a).</w:t>
      </w:r>
      <w:r w:rsidR="001850BF" w:rsidRPr="00B61FF1">
        <w:rPr>
          <w:rFonts w:ascii="Arial" w:hAnsi="Arial" w:cs="Arial"/>
          <w:sz w:val="24"/>
          <w:szCs w:val="24"/>
        </w:rPr>
        <w:t xml:space="preserve"> </w:t>
      </w:r>
    </w:p>
    <w:p w14:paraId="0C7B67DE" w14:textId="77777777" w:rsidR="0054122B" w:rsidRPr="00B61FF1" w:rsidRDefault="0054122B"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70</w:t>
      </w:r>
      <w:r w:rsidRPr="00B61FF1">
        <w:rPr>
          <w:rFonts w:ascii="Arial" w:hAnsi="Arial" w:cs="Arial"/>
          <w:sz w:val="24"/>
          <w:szCs w:val="24"/>
        </w:rPr>
        <w:t xml:space="preserve">) </w:t>
      </w:r>
      <w:r w:rsidR="007F0184" w:rsidRPr="00B61FF1">
        <w:rPr>
          <w:rFonts w:ascii="Arial" w:hAnsi="Arial" w:cs="Arial"/>
          <w:sz w:val="24"/>
          <w:szCs w:val="24"/>
        </w:rPr>
        <w:tab/>
      </w:r>
      <w:r w:rsidR="00481A8A" w:rsidRPr="00B61FF1">
        <w:rPr>
          <w:rFonts w:ascii="Arial" w:hAnsi="Arial" w:cs="Arial"/>
          <w:sz w:val="24"/>
          <w:szCs w:val="24"/>
        </w:rPr>
        <w:t xml:space="preserve">“Direct GHG </w:t>
      </w:r>
      <w:r w:rsidR="00B43F70" w:rsidRPr="00B61FF1">
        <w:rPr>
          <w:rFonts w:ascii="Arial" w:hAnsi="Arial" w:cs="Arial"/>
          <w:sz w:val="24"/>
          <w:szCs w:val="24"/>
        </w:rPr>
        <w:t>E</w:t>
      </w:r>
      <w:r w:rsidR="00481A8A" w:rsidRPr="00B61FF1">
        <w:rPr>
          <w:rFonts w:ascii="Arial" w:hAnsi="Arial" w:cs="Arial"/>
          <w:sz w:val="24"/>
          <w:szCs w:val="24"/>
        </w:rPr>
        <w:t xml:space="preserve">mission </w:t>
      </w:r>
      <w:r w:rsidR="00B43F70" w:rsidRPr="00B61FF1">
        <w:rPr>
          <w:rFonts w:ascii="Arial" w:hAnsi="Arial" w:cs="Arial"/>
          <w:sz w:val="24"/>
          <w:szCs w:val="24"/>
        </w:rPr>
        <w:t>R</w:t>
      </w:r>
      <w:r w:rsidRPr="00B61FF1">
        <w:rPr>
          <w:rFonts w:ascii="Arial" w:hAnsi="Arial" w:cs="Arial"/>
          <w:sz w:val="24"/>
          <w:szCs w:val="24"/>
        </w:rPr>
        <w:t>eduction” mea</w:t>
      </w:r>
      <w:r w:rsidR="00481A8A" w:rsidRPr="00B61FF1">
        <w:rPr>
          <w:rFonts w:ascii="Arial" w:hAnsi="Arial" w:cs="Arial"/>
          <w:sz w:val="24"/>
          <w:szCs w:val="24"/>
        </w:rPr>
        <w:t xml:space="preserve">ns a GHG emission reduction </w:t>
      </w:r>
      <w:r w:rsidRPr="00B61FF1">
        <w:rPr>
          <w:rFonts w:ascii="Arial" w:eastAsia="MS Mincho" w:hAnsi="Arial" w:cs="Arial"/>
          <w:sz w:val="24"/>
          <w:szCs w:val="24"/>
          <w:lang w:eastAsia="ja-JP"/>
        </w:rPr>
        <w:t>from applicable GHG emission sources, GHG sinks, or GHG reservoirs that are under control of the Offset Project Operator or Authorized Project Designee.</w:t>
      </w:r>
      <w:r w:rsidRPr="00B61FF1" w:rsidDel="00837498">
        <w:rPr>
          <w:rFonts w:ascii="Arial" w:hAnsi="Arial" w:cs="Arial"/>
          <w:sz w:val="24"/>
          <w:szCs w:val="24"/>
        </w:rPr>
        <w:t xml:space="preserve"> </w:t>
      </w:r>
    </w:p>
    <w:p w14:paraId="754C6059" w14:textId="77777777" w:rsidR="0054122B" w:rsidRPr="00B61FF1" w:rsidRDefault="00AE52E6"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71</w:t>
      </w:r>
      <w:r w:rsidR="0054122B" w:rsidRPr="00B61FF1">
        <w:rPr>
          <w:rFonts w:ascii="Arial" w:hAnsi="Arial" w:cs="Arial"/>
          <w:sz w:val="24"/>
          <w:szCs w:val="24"/>
        </w:rPr>
        <w:t>)</w:t>
      </w:r>
      <w:r w:rsidR="007F0184" w:rsidRPr="00B61FF1">
        <w:rPr>
          <w:rFonts w:ascii="Arial" w:hAnsi="Arial" w:cs="Arial"/>
          <w:sz w:val="24"/>
          <w:szCs w:val="24"/>
        </w:rPr>
        <w:tab/>
      </w:r>
      <w:r w:rsidR="00481A8A" w:rsidRPr="00B61FF1">
        <w:rPr>
          <w:rFonts w:ascii="Arial" w:hAnsi="Arial" w:cs="Arial"/>
          <w:sz w:val="24"/>
          <w:szCs w:val="24"/>
        </w:rPr>
        <w:t xml:space="preserve">“Direct GHG </w:t>
      </w:r>
      <w:r w:rsidR="00B43F70" w:rsidRPr="00B61FF1">
        <w:rPr>
          <w:rFonts w:ascii="Arial" w:hAnsi="Arial" w:cs="Arial"/>
          <w:sz w:val="24"/>
          <w:szCs w:val="24"/>
        </w:rPr>
        <w:t>R</w:t>
      </w:r>
      <w:r w:rsidR="0054122B" w:rsidRPr="00B61FF1">
        <w:rPr>
          <w:rFonts w:ascii="Arial" w:hAnsi="Arial" w:cs="Arial"/>
          <w:sz w:val="24"/>
          <w:szCs w:val="24"/>
        </w:rPr>
        <w:t xml:space="preserve">emoval </w:t>
      </w:r>
      <w:r w:rsidR="00B43F70" w:rsidRPr="00B61FF1">
        <w:rPr>
          <w:rFonts w:ascii="Arial" w:hAnsi="Arial" w:cs="Arial"/>
          <w:sz w:val="24"/>
          <w:szCs w:val="24"/>
        </w:rPr>
        <w:t>E</w:t>
      </w:r>
      <w:r w:rsidR="0054122B" w:rsidRPr="00B61FF1">
        <w:rPr>
          <w:rFonts w:ascii="Arial" w:hAnsi="Arial" w:cs="Arial"/>
          <w:sz w:val="24"/>
          <w:szCs w:val="24"/>
        </w:rPr>
        <w:t xml:space="preserve">nhancement” means a GHG removal enhancement </w:t>
      </w:r>
      <w:r w:rsidR="0054122B" w:rsidRPr="00B61FF1">
        <w:rPr>
          <w:rFonts w:ascii="Arial" w:eastAsia="MS Mincho" w:hAnsi="Arial" w:cs="Arial"/>
          <w:sz w:val="24"/>
          <w:szCs w:val="24"/>
          <w:lang w:eastAsia="ja-JP"/>
        </w:rPr>
        <w:t>from applicable GHG emission sources, GHG sinks, or GHG reservoirs under control of the Offset Project Operator or Authorized Project Designee.</w:t>
      </w:r>
    </w:p>
    <w:p w14:paraId="0E193916" w14:textId="77777777" w:rsidR="0054122B" w:rsidRPr="00B61FF1" w:rsidRDefault="0054122B"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3265FD" w:rsidRPr="00B61FF1">
        <w:rPr>
          <w:rFonts w:ascii="Arial" w:hAnsi="Arial" w:cs="Arial"/>
          <w:sz w:val="24"/>
          <w:szCs w:val="24"/>
        </w:rPr>
        <w:t>72</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 xml:space="preserve">“Distillate Fuel No. 1” has a maximum </w:t>
      </w:r>
      <w:r w:rsidR="00720975" w:rsidRPr="00B61FF1">
        <w:rPr>
          <w:rFonts w:ascii="Arial" w:hAnsi="Arial" w:cs="Arial"/>
          <w:sz w:val="24"/>
          <w:szCs w:val="24"/>
        </w:rPr>
        <w:t>distillation temperature of 550 </w:t>
      </w:r>
      <w:r w:rsidRPr="00B61FF1">
        <w:rPr>
          <w:rFonts w:ascii="Arial" w:hAnsi="Arial" w:cs="Arial"/>
          <w:sz w:val="24"/>
          <w:szCs w:val="24"/>
        </w:rPr>
        <w:t>F at the 90 percent recovery point a</w:t>
      </w:r>
      <w:r w:rsidR="00720975" w:rsidRPr="00B61FF1">
        <w:rPr>
          <w:rFonts w:ascii="Arial" w:hAnsi="Arial" w:cs="Arial"/>
          <w:sz w:val="24"/>
          <w:szCs w:val="24"/>
        </w:rPr>
        <w:t>nd a minimum flash point of 100 </w:t>
      </w:r>
      <w:r w:rsidRPr="00B61FF1">
        <w:rPr>
          <w:rFonts w:ascii="Arial" w:hAnsi="Arial" w:cs="Arial"/>
          <w:sz w:val="24"/>
          <w:szCs w:val="24"/>
        </w:rPr>
        <w:t>F and includes fuels commonly known as Diesel Fuel No. 1 and Fuel Oil No. 1, but excludes kerosene.  This fuel is further subdivided into categories of sulfur content: High Sulfur (greater than 500 ppm), Low Sulfur (less than or equal to 500 ppm and greater than 15 ppm), and Ultra Low Sulfur (less than or equal to 15 ppm).</w:t>
      </w:r>
    </w:p>
    <w:p w14:paraId="78AFB31E" w14:textId="77777777" w:rsidR="0054122B" w:rsidRPr="00B61FF1" w:rsidRDefault="0054122B" w:rsidP="00481A8A">
      <w:pPr>
        <w:tabs>
          <w:tab w:val="left" w:pos="3780"/>
        </w:tabs>
        <w:spacing w:line="360" w:lineRule="auto"/>
        <w:ind w:left="1080" w:hanging="720"/>
        <w:rPr>
          <w:rFonts w:ascii="Arial" w:hAnsi="Arial" w:cs="Arial"/>
          <w:sz w:val="24"/>
          <w:szCs w:val="24"/>
        </w:rPr>
      </w:pPr>
      <w:bookmarkStart w:id="46" w:name="_Ref228350699"/>
      <w:r w:rsidRPr="00B61FF1">
        <w:rPr>
          <w:rFonts w:ascii="Arial" w:hAnsi="Arial" w:cs="Arial"/>
          <w:sz w:val="24"/>
          <w:szCs w:val="24"/>
        </w:rPr>
        <w:t>(</w:t>
      </w:r>
      <w:r w:rsidR="003265FD" w:rsidRPr="00B61FF1">
        <w:rPr>
          <w:rFonts w:ascii="Arial" w:hAnsi="Arial" w:cs="Arial"/>
          <w:sz w:val="24"/>
          <w:szCs w:val="24"/>
        </w:rPr>
        <w:t>73</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 xml:space="preserve">“Distillate Fuel No. 2” has a minimum and maximum </w:t>
      </w:r>
      <w:r w:rsidR="00720975" w:rsidRPr="00B61FF1">
        <w:rPr>
          <w:rFonts w:ascii="Arial" w:hAnsi="Arial" w:cs="Arial"/>
          <w:sz w:val="24"/>
          <w:szCs w:val="24"/>
        </w:rPr>
        <w:t>distillation temperature of 540 F and 640 </w:t>
      </w:r>
      <w:r w:rsidRPr="00B61FF1">
        <w:rPr>
          <w:rFonts w:ascii="Arial" w:hAnsi="Arial" w:cs="Arial"/>
          <w:sz w:val="24"/>
          <w:szCs w:val="24"/>
        </w:rPr>
        <w:t xml:space="preserve">F at the 90 percent recovery point, respectively, and includes fuels commonly known as Diesel Fuel No. 2 and Fuel Oil No. 2.  This fuel is further subdivided into categories of sulfur content: </w:t>
      </w:r>
      <w:bookmarkEnd w:id="46"/>
      <w:r w:rsidRPr="00B61FF1">
        <w:rPr>
          <w:rFonts w:ascii="Arial" w:hAnsi="Arial" w:cs="Arial"/>
          <w:sz w:val="24"/>
          <w:szCs w:val="24"/>
        </w:rPr>
        <w:t>High Sulfur (greater than 500 ppm), Low Sulfur (less than or equal to 500 ppm and greater than 15 ppm), and Ultra Low Sulfur (less than or equal to 15 ppm).</w:t>
      </w:r>
    </w:p>
    <w:p w14:paraId="07777399" w14:textId="77777777" w:rsidR="0054122B" w:rsidRPr="00B61FF1" w:rsidRDefault="0054122B"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74</w:t>
      </w:r>
      <w:r w:rsidRPr="00B61FF1">
        <w:rPr>
          <w:rFonts w:ascii="Arial" w:hAnsi="Arial" w:cs="Arial"/>
          <w:sz w:val="24"/>
          <w:szCs w:val="24"/>
        </w:rPr>
        <w:t xml:space="preserve">) </w:t>
      </w:r>
      <w:r w:rsidR="007F0184" w:rsidRPr="00B61FF1">
        <w:rPr>
          <w:rFonts w:ascii="Arial" w:hAnsi="Arial" w:cs="Arial"/>
          <w:sz w:val="24"/>
          <w:szCs w:val="24"/>
        </w:rPr>
        <w:tab/>
      </w:r>
      <w:r w:rsidRPr="00B61FF1">
        <w:rPr>
          <w:rFonts w:ascii="Arial" w:hAnsi="Arial" w:cs="Arial"/>
          <w:sz w:val="24"/>
          <w:szCs w:val="24"/>
        </w:rPr>
        <w:t xml:space="preserve">“Distillate </w:t>
      </w:r>
      <w:r w:rsidR="00720975" w:rsidRPr="00B61FF1">
        <w:rPr>
          <w:rFonts w:ascii="Arial" w:hAnsi="Arial" w:cs="Arial"/>
          <w:sz w:val="24"/>
          <w:szCs w:val="24"/>
        </w:rPr>
        <w:t>F</w:t>
      </w:r>
      <w:r w:rsidRPr="00B61FF1">
        <w:rPr>
          <w:rFonts w:ascii="Arial" w:hAnsi="Arial" w:cs="Arial"/>
          <w:sz w:val="24"/>
          <w:szCs w:val="24"/>
        </w:rPr>
        <w:t>uel No. 4” is a distillate fuel oil made by blending distillate fuel oil and residual fuel oil, with a minimum flash point of 131 F.</w:t>
      </w:r>
    </w:p>
    <w:p w14:paraId="0C9A6510" w14:textId="77777777" w:rsidR="0054122B" w:rsidRPr="00B61FF1" w:rsidRDefault="0054122B"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75</w:t>
      </w:r>
      <w:r w:rsidRPr="00B61FF1">
        <w:rPr>
          <w:rFonts w:ascii="Arial" w:hAnsi="Arial" w:cs="Arial"/>
          <w:sz w:val="24"/>
          <w:szCs w:val="24"/>
        </w:rPr>
        <w:t>)</w:t>
      </w:r>
      <w:r w:rsidR="007F0184" w:rsidRPr="00B61FF1">
        <w:rPr>
          <w:rFonts w:ascii="Arial" w:hAnsi="Arial" w:cs="Arial"/>
          <w:sz w:val="24"/>
          <w:szCs w:val="24"/>
        </w:rPr>
        <w:tab/>
      </w:r>
      <w:r w:rsidRPr="00B61FF1">
        <w:rPr>
          <w:rFonts w:ascii="Arial" w:hAnsi="Arial" w:cs="Arial"/>
          <w:sz w:val="24"/>
          <w:szCs w:val="24"/>
        </w:rPr>
        <w:t xml:space="preserve">“Distillate </w:t>
      </w:r>
      <w:r w:rsidR="00B43F70" w:rsidRPr="00B61FF1">
        <w:rPr>
          <w:rFonts w:ascii="Arial" w:hAnsi="Arial" w:cs="Arial"/>
          <w:sz w:val="24"/>
          <w:szCs w:val="24"/>
        </w:rPr>
        <w:t>Fuel</w:t>
      </w:r>
      <w:r w:rsidRPr="00B61FF1">
        <w:rPr>
          <w:rFonts w:ascii="Arial" w:hAnsi="Arial" w:cs="Arial"/>
          <w:sz w:val="24"/>
          <w:szCs w:val="24"/>
        </w:rPr>
        <w:t xml:space="preserve"> </w:t>
      </w:r>
      <w:r w:rsidR="00B43F70" w:rsidRPr="00B61FF1">
        <w:rPr>
          <w:rFonts w:ascii="Arial" w:hAnsi="Arial" w:cs="Arial"/>
          <w:sz w:val="24"/>
          <w:szCs w:val="24"/>
        </w:rPr>
        <w:t>O</w:t>
      </w:r>
      <w:r w:rsidRPr="00B61FF1">
        <w:rPr>
          <w:rFonts w:ascii="Arial" w:hAnsi="Arial" w:cs="Arial"/>
          <w:sz w:val="24"/>
          <w:szCs w:val="24"/>
        </w:rPr>
        <w:t>il” means a classification for one of the petroleum</w:t>
      </w:r>
      <w:r w:rsidR="00720975" w:rsidRPr="00B61FF1">
        <w:rPr>
          <w:rFonts w:ascii="Arial" w:hAnsi="Arial" w:cs="Arial"/>
          <w:sz w:val="24"/>
          <w:szCs w:val="24"/>
        </w:rPr>
        <w:t xml:space="preserve"> </w:t>
      </w:r>
      <w:r w:rsidRPr="00B61FF1">
        <w:rPr>
          <w:rFonts w:ascii="Arial" w:hAnsi="Arial" w:cs="Arial"/>
          <w:sz w:val="24"/>
          <w:szCs w:val="24"/>
        </w:rPr>
        <w:t>fractions produced in conventional distillation operations and from crackers and hydrotreating process units.  The generic term “distillate fuel oil” includes kerosene,</w:t>
      </w:r>
      <w:r w:rsidR="0025027B" w:rsidRPr="00B61FF1">
        <w:rPr>
          <w:rFonts w:ascii="Arial" w:hAnsi="Arial" w:cs="Arial"/>
          <w:sz w:val="24"/>
          <w:szCs w:val="24"/>
        </w:rPr>
        <w:t xml:space="preserve"> kerosene-type jet fuel,</w:t>
      </w:r>
      <w:r w:rsidRPr="00B61FF1">
        <w:rPr>
          <w:rFonts w:ascii="Arial" w:hAnsi="Arial" w:cs="Arial"/>
          <w:sz w:val="24"/>
          <w:szCs w:val="24"/>
        </w:rPr>
        <w:t xml:space="preserve"> diesel fuels (Diesel Fuels No. 1, No. 2, and No. 4), and fuel oils (Fuel Oils No. 1, No. 2, and No. 4).</w:t>
      </w:r>
    </w:p>
    <w:p w14:paraId="6BF7920D" w14:textId="0E98C5A8" w:rsidR="001173BD" w:rsidRPr="00B61FF1" w:rsidRDefault="001173BD" w:rsidP="00481A8A">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902E4B">
        <w:rPr>
          <w:rFonts w:ascii="Arial" w:hAnsi="Arial" w:cs="Arial"/>
          <w:sz w:val="24"/>
          <w:szCs w:val="24"/>
          <w:u w:val="single"/>
        </w:rPr>
        <w:t>XX</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“District Heating Facility” means a facility that, at a central plant, produces hot water, steam and/or chilled water that is distributed through underground pipes to buildings and facilities connected to the system that are not part of the same facility.</w:t>
      </w:r>
    </w:p>
    <w:p w14:paraId="1A23DE4C" w14:textId="77777777" w:rsidR="0054122B" w:rsidRPr="00B61FF1" w:rsidRDefault="0054122B"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76</w:t>
      </w:r>
      <w:r w:rsidRPr="00B61FF1">
        <w:rPr>
          <w:rFonts w:ascii="Arial" w:hAnsi="Arial" w:cs="Arial"/>
          <w:sz w:val="24"/>
          <w:szCs w:val="24"/>
        </w:rPr>
        <w:t>)</w:t>
      </w:r>
      <w:r w:rsidR="00720975" w:rsidRPr="00B61FF1">
        <w:rPr>
          <w:rFonts w:ascii="Arial" w:hAnsi="Arial" w:cs="Arial"/>
          <w:sz w:val="24"/>
          <w:szCs w:val="24"/>
        </w:rPr>
        <w:tab/>
      </w:r>
      <w:r w:rsidRPr="00B61FF1">
        <w:rPr>
          <w:rFonts w:ascii="Arial" w:hAnsi="Arial" w:cs="Arial"/>
          <w:sz w:val="24"/>
          <w:szCs w:val="24"/>
        </w:rPr>
        <w:t>"Dolime" is calcined dolomite.</w:t>
      </w:r>
    </w:p>
    <w:p w14:paraId="6D13C806" w14:textId="77777777" w:rsidR="0054122B" w:rsidRPr="00B61FF1" w:rsidRDefault="0054122B"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77</w:t>
      </w:r>
      <w:r w:rsidRPr="00B61FF1">
        <w:rPr>
          <w:rFonts w:ascii="Arial" w:hAnsi="Arial" w:cs="Arial"/>
          <w:sz w:val="24"/>
          <w:szCs w:val="24"/>
        </w:rPr>
        <w:t>)</w:t>
      </w:r>
      <w:r w:rsidR="00720975" w:rsidRPr="00B61FF1">
        <w:rPr>
          <w:rFonts w:ascii="Arial" w:hAnsi="Arial" w:cs="Arial"/>
          <w:sz w:val="24"/>
          <w:szCs w:val="24"/>
        </w:rPr>
        <w:tab/>
      </w:r>
      <w:r w:rsidRPr="00B61FF1">
        <w:rPr>
          <w:rFonts w:ascii="Arial" w:hAnsi="Arial" w:cs="Arial"/>
          <w:sz w:val="24"/>
          <w:szCs w:val="24"/>
        </w:rPr>
        <w:t>“Dry Gas” means a natural gas that is produced from gas we</w:t>
      </w:r>
      <w:r w:rsidR="00720975" w:rsidRPr="00B61FF1">
        <w:rPr>
          <w:rFonts w:ascii="Arial" w:hAnsi="Arial" w:cs="Arial"/>
          <w:sz w:val="24"/>
          <w:szCs w:val="24"/>
        </w:rPr>
        <w:t xml:space="preserve">lls not </w:t>
      </w:r>
      <w:r w:rsidRPr="00B61FF1">
        <w:rPr>
          <w:rFonts w:ascii="Arial" w:hAnsi="Arial" w:cs="Arial"/>
          <w:sz w:val="24"/>
          <w:szCs w:val="24"/>
        </w:rPr>
        <w:t>associated with the production of crude oil.</w:t>
      </w:r>
    </w:p>
    <w:p w14:paraId="2AED73C9" w14:textId="77777777" w:rsidR="0054122B" w:rsidRPr="00B61FF1" w:rsidRDefault="0054122B"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78</w:t>
      </w:r>
      <w:r w:rsidRPr="00B61FF1">
        <w:rPr>
          <w:rFonts w:ascii="Arial" w:hAnsi="Arial" w:cs="Arial"/>
          <w:sz w:val="24"/>
          <w:szCs w:val="24"/>
        </w:rPr>
        <w:t>)</w:t>
      </w:r>
      <w:r w:rsidR="00720975" w:rsidRPr="00B61FF1">
        <w:rPr>
          <w:rFonts w:ascii="Arial" w:hAnsi="Arial" w:cs="Arial"/>
          <w:sz w:val="24"/>
          <w:szCs w:val="24"/>
        </w:rPr>
        <w:tab/>
        <w:t xml:space="preserve">“Early </w:t>
      </w:r>
      <w:r w:rsidR="00B43F70" w:rsidRPr="00B61FF1">
        <w:rPr>
          <w:rFonts w:ascii="Arial" w:hAnsi="Arial" w:cs="Arial"/>
          <w:sz w:val="24"/>
          <w:szCs w:val="24"/>
        </w:rPr>
        <w:t>A</w:t>
      </w:r>
      <w:r w:rsidR="00720975" w:rsidRPr="00B61FF1">
        <w:rPr>
          <w:rFonts w:ascii="Arial" w:hAnsi="Arial" w:cs="Arial"/>
          <w:sz w:val="24"/>
          <w:szCs w:val="24"/>
        </w:rPr>
        <w:t xml:space="preserve">ction </w:t>
      </w:r>
      <w:r w:rsidR="00B43F70" w:rsidRPr="00B61FF1">
        <w:rPr>
          <w:rFonts w:ascii="Arial" w:hAnsi="Arial" w:cs="Arial"/>
          <w:sz w:val="24"/>
          <w:szCs w:val="24"/>
        </w:rPr>
        <w:t>O</w:t>
      </w:r>
      <w:r w:rsidRPr="00B61FF1">
        <w:rPr>
          <w:rFonts w:ascii="Arial" w:hAnsi="Arial" w:cs="Arial"/>
          <w:sz w:val="24"/>
          <w:szCs w:val="24"/>
        </w:rPr>
        <w:t>ffs</w:t>
      </w:r>
      <w:r w:rsidR="00720975" w:rsidRPr="00B61FF1">
        <w:rPr>
          <w:rFonts w:ascii="Arial" w:hAnsi="Arial" w:cs="Arial"/>
          <w:sz w:val="24"/>
          <w:szCs w:val="24"/>
        </w:rPr>
        <w:t xml:space="preserve">et </w:t>
      </w:r>
      <w:r w:rsidR="00B43F70" w:rsidRPr="00B61FF1">
        <w:rPr>
          <w:rFonts w:ascii="Arial" w:hAnsi="Arial" w:cs="Arial"/>
          <w:sz w:val="24"/>
          <w:szCs w:val="24"/>
        </w:rPr>
        <w:t>C</w:t>
      </w:r>
      <w:r w:rsidRPr="00B61FF1">
        <w:rPr>
          <w:rFonts w:ascii="Arial" w:hAnsi="Arial" w:cs="Arial"/>
          <w:sz w:val="24"/>
          <w:szCs w:val="24"/>
        </w:rPr>
        <w:t>redit” means a trad</w:t>
      </w:r>
      <w:r w:rsidR="00720975" w:rsidRPr="00B61FF1">
        <w:rPr>
          <w:rFonts w:ascii="Arial" w:hAnsi="Arial" w:cs="Arial"/>
          <w:sz w:val="24"/>
          <w:szCs w:val="24"/>
        </w:rPr>
        <w:t xml:space="preserve">able credit issued by an Early </w:t>
      </w:r>
      <w:r w:rsidRPr="00B61FF1">
        <w:rPr>
          <w:rFonts w:ascii="Arial" w:hAnsi="Arial" w:cs="Arial"/>
          <w:sz w:val="24"/>
          <w:szCs w:val="24"/>
        </w:rPr>
        <w:t xml:space="preserve">Action Offset Program that represents a GHG reduction or GHG </w:t>
      </w:r>
      <w:r w:rsidRPr="00B61FF1">
        <w:rPr>
          <w:rFonts w:ascii="Arial" w:hAnsi="Arial" w:cs="Arial"/>
          <w:sz w:val="24"/>
          <w:szCs w:val="24"/>
        </w:rPr>
        <w:lastRenderedPageBreak/>
        <w:t>removal enhancement equivalent to one metric ton of CO</w:t>
      </w:r>
      <w:r w:rsidRPr="00B61FF1">
        <w:rPr>
          <w:rFonts w:ascii="Arial" w:hAnsi="Arial" w:cs="Arial"/>
          <w:sz w:val="24"/>
          <w:szCs w:val="24"/>
          <w:vertAlign w:val="subscript"/>
        </w:rPr>
        <w:t>2</w:t>
      </w:r>
      <w:r w:rsidRPr="00B61FF1">
        <w:rPr>
          <w:rFonts w:ascii="Arial" w:hAnsi="Arial" w:cs="Arial"/>
          <w:sz w:val="24"/>
          <w:szCs w:val="24"/>
        </w:rPr>
        <w:t>e and meets the requirements of section 95990(c).</w:t>
      </w:r>
    </w:p>
    <w:p w14:paraId="727FA52E" w14:textId="77777777" w:rsidR="0054122B" w:rsidRPr="00B61FF1" w:rsidRDefault="0054122B"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79</w:t>
      </w:r>
      <w:r w:rsidRPr="00B61FF1">
        <w:rPr>
          <w:rFonts w:ascii="Arial" w:hAnsi="Arial" w:cs="Arial"/>
          <w:sz w:val="24"/>
          <w:szCs w:val="24"/>
        </w:rPr>
        <w:t>)</w:t>
      </w:r>
      <w:r w:rsidR="00720975" w:rsidRPr="00B61FF1">
        <w:rPr>
          <w:rFonts w:ascii="Arial" w:hAnsi="Arial" w:cs="Arial"/>
          <w:sz w:val="24"/>
          <w:szCs w:val="24"/>
        </w:rPr>
        <w:tab/>
      </w:r>
      <w:r w:rsidRPr="00B61FF1">
        <w:rPr>
          <w:rFonts w:ascii="Arial" w:hAnsi="Arial" w:cs="Arial"/>
          <w:sz w:val="24"/>
          <w:szCs w:val="24"/>
        </w:rPr>
        <w:t xml:space="preserve">“Early Action Offset Program” </w:t>
      </w:r>
      <w:r w:rsidR="00720975" w:rsidRPr="00B61FF1">
        <w:rPr>
          <w:rFonts w:ascii="Arial" w:hAnsi="Arial" w:cs="Arial"/>
          <w:sz w:val="24"/>
          <w:szCs w:val="24"/>
        </w:rPr>
        <w:t xml:space="preserve">means a program that meets the </w:t>
      </w:r>
      <w:r w:rsidRPr="00B61FF1">
        <w:rPr>
          <w:rFonts w:ascii="Arial" w:hAnsi="Arial" w:cs="Arial"/>
          <w:sz w:val="24"/>
          <w:szCs w:val="24"/>
        </w:rPr>
        <w:t>requirements of section 95990(a) and is approved by ARB.</w:t>
      </w:r>
    </w:p>
    <w:p w14:paraId="25F0DAA3" w14:textId="77777777" w:rsidR="0054122B" w:rsidRPr="00B61FF1" w:rsidRDefault="0054122B" w:rsidP="00481A8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80</w:t>
      </w:r>
      <w:r w:rsidRPr="00B61FF1">
        <w:rPr>
          <w:rFonts w:ascii="Arial" w:hAnsi="Arial" w:cs="Arial"/>
          <w:sz w:val="24"/>
          <w:szCs w:val="24"/>
        </w:rPr>
        <w:t>)</w:t>
      </w:r>
      <w:r w:rsidR="00720975" w:rsidRPr="00B61FF1">
        <w:rPr>
          <w:rFonts w:ascii="Arial" w:hAnsi="Arial" w:cs="Arial"/>
          <w:sz w:val="24"/>
          <w:szCs w:val="24"/>
        </w:rPr>
        <w:tab/>
        <w:t xml:space="preserve">“Early Action </w:t>
      </w:r>
      <w:r w:rsidR="00B43F70" w:rsidRPr="00B61FF1">
        <w:rPr>
          <w:rFonts w:ascii="Arial" w:hAnsi="Arial" w:cs="Arial"/>
          <w:sz w:val="24"/>
          <w:szCs w:val="24"/>
        </w:rPr>
        <w:t>O</w:t>
      </w:r>
      <w:r w:rsidRPr="00B61FF1">
        <w:rPr>
          <w:rFonts w:ascii="Arial" w:hAnsi="Arial" w:cs="Arial"/>
          <w:sz w:val="24"/>
          <w:szCs w:val="24"/>
        </w:rPr>
        <w:t xml:space="preserve">ffset </w:t>
      </w:r>
      <w:r w:rsidR="00B43F70" w:rsidRPr="00B61FF1">
        <w:rPr>
          <w:rFonts w:ascii="Arial" w:hAnsi="Arial" w:cs="Arial"/>
          <w:sz w:val="24"/>
          <w:szCs w:val="24"/>
        </w:rPr>
        <w:t>P</w:t>
      </w:r>
      <w:r w:rsidRPr="00B61FF1">
        <w:rPr>
          <w:rFonts w:ascii="Arial" w:hAnsi="Arial" w:cs="Arial"/>
          <w:sz w:val="24"/>
          <w:szCs w:val="24"/>
        </w:rPr>
        <w:t xml:space="preserve">roject” means an offset project that is registered with an Early Action Offset Program and has been issued </w:t>
      </w:r>
      <w:r w:rsidR="006343BE" w:rsidRPr="00B61FF1">
        <w:rPr>
          <w:rFonts w:ascii="Arial" w:hAnsi="Arial" w:cs="Arial"/>
          <w:sz w:val="24"/>
          <w:szCs w:val="24"/>
        </w:rPr>
        <w:t>e</w:t>
      </w:r>
      <w:r w:rsidRPr="00B61FF1">
        <w:rPr>
          <w:rFonts w:ascii="Arial" w:hAnsi="Arial" w:cs="Arial"/>
          <w:sz w:val="24"/>
          <w:szCs w:val="24"/>
        </w:rPr>
        <w:t xml:space="preserve">arly </w:t>
      </w:r>
      <w:r w:rsidR="00720975" w:rsidRPr="00B61FF1">
        <w:rPr>
          <w:rFonts w:ascii="Arial" w:hAnsi="Arial" w:cs="Arial"/>
          <w:sz w:val="24"/>
          <w:szCs w:val="24"/>
        </w:rPr>
        <w:t>a</w:t>
      </w:r>
      <w:r w:rsidRPr="00B61FF1">
        <w:rPr>
          <w:rFonts w:ascii="Arial" w:hAnsi="Arial" w:cs="Arial"/>
          <w:sz w:val="24"/>
          <w:szCs w:val="24"/>
        </w:rPr>
        <w:t xml:space="preserve">ction </w:t>
      </w:r>
      <w:r w:rsidR="00720975" w:rsidRPr="00B61FF1">
        <w:rPr>
          <w:rFonts w:ascii="Arial" w:hAnsi="Arial" w:cs="Arial"/>
          <w:sz w:val="24"/>
          <w:szCs w:val="24"/>
        </w:rPr>
        <w:t>o</w:t>
      </w:r>
      <w:r w:rsidRPr="00B61FF1">
        <w:rPr>
          <w:rFonts w:ascii="Arial" w:hAnsi="Arial" w:cs="Arial"/>
          <w:sz w:val="24"/>
          <w:szCs w:val="24"/>
        </w:rPr>
        <w:t xml:space="preserve">ffset </w:t>
      </w:r>
      <w:r w:rsidR="00720975" w:rsidRPr="00B61FF1">
        <w:rPr>
          <w:rFonts w:ascii="Arial" w:hAnsi="Arial" w:cs="Arial"/>
          <w:sz w:val="24"/>
          <w:szCs w:val="24"/>
        </w:rPr>
        <w:t>c</w:t>
      </w:r>
      <w:r w:rsidRPr="00B61FF1">
        <w:rPr>
          <w:rFonts w:ascii="Arial" w:hAnsi="Arial" w:cs="Arial"/>
          <w:sz w:val="24"/>
          <w:szCs w:val="24"/>
        </w:rPr>
        <w:t>redits.</w:t>
      </w:r>
    </w:p>
    <w:p w14:paraId="5A84A7A5" w14:textId="77777777" w:rsidR="00AE5C67" w:rsidRPr="00B61FF1" w:rsidRDefault="00AE5C67" w:rsidP="00AE5C67">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(XX)</w:t>
      </w:r>
      <w:r w:rsidRPr="00B61FF1">
        <w:rPr>
          <w:rFonts w:ascii="Arial" w:hAnsi="Arial" w:cs="Arial"/>
          <w:sz w:val="24"/>
          <w:szCs w:val="24"/>
        </w:rPr>
        <w:tab/>
      </w:r>
      <w:r w:rsidRPr="00B61FF1">
        <w:rPr>
          <w:rFonts w:ascii="Arial" w:hAnsi="Arial" w:cs="Arial"/>
          <w:sz w:val="24"/>
          <w:szCs w:val="24"/>
          <w:u w:val="single"/>
        </w:rPr>
        <w:t>“Early action reporting period” means a reporting period in which GHG reductions and/or GHG removal enhancements are reported under an Early Action Offset Program.</w:t>
      </w:r>
    </w:p>
    <w:p w14:paraId="24005BAF" w14:textId="77777777" w:rsidR="0054122B" w:rsidRPr="00B61FF1" w:rsidRDefault="0054122B" w:rsidP="00720975">
      <w:pPr>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81</w:t>
      </w:r>
      <w:r w:rsidRPr="00B61FF1">
        <w:rPr>
          <w:rFonts w:ascii="Arial" w:hAnsi="Arial" w:cs="Arial"/>
          <w:sz w:val="24"/>
          <w:szCs w:val="24"/>
        </w:rPr>
        <w:t>)</w:t>
      </w:r>
      <w:r w:rsidR="00720975" w:rsidRPr="00B61FF1">
        <w:rPr>
          <w:rFonts w:ascii="Arial" w:hAnsi="Arial" w:cs="Arial"/>
          <w:sz w:val="24"/>
          <w:szCs w:val="24"/>
        </w:rPr>
        <w:tab/>
      </w:r>
      <w:r w:rsidRPr="00B61FF1">
        <w:rPr>
          <w:rFonts w:ascii="Arial" w:hAnsi="Arial" w:cs="Arial"/>
          <w:sz w:val="24"/>
          <w:szCs w:val="24"/>
        </w:rPr>
        <w:t>“Early Action Verification Report” means a ver</w:t>
      </w:r>
      <w:r w:rsidR="00720975" w:rsidRPr="00B61FF1">
        <w:rPr>
          <w:rFonts w:ascii="Arial" w:hAnsi="Arial" w:cs="Arial"/>
          <w:sz w:val="24"/>
          <w:szCs w:val="24"/>
        </w:rPr>
        <w:t>ification report submitted to a</w:t>
      </w:r>
      <w:r w:rsidRPr="00B61FF1">
        <w:rPr>
          <w:rFonts w:ascii="Arial" w:hAnsi="Arial" w:cs="Arial"/>
          <w:sz w:val="24"/>
          <w:szCs w:val="24"/>
        </w:rPr>
        <w:t>n Early Action Offset Program that covers GHG reductions or GHG removal enhancements achieved by an early action offset project over a specific time period.</w:t>
      </w:r>
    </w:p>
    <w:p w14:paraId="345501D5" w14:textId="0CAA9F2E" w:rsidR="0071755A" w:rsidRPr="00B61FF1" w:rsidRDefault="0071755A" w:rsidP="00720975">
      <w:pPr>
        <w:spacing w:line="360" w:lineRule="auto"/>
        <w:ind w:left="1080" w:hanging="720"/>
        <w:rPr>
          <w:rFonts w:ascii="Arial" w:hAnsi="Arial" w:cs="Arial"/>
          <w:sz w:val="24"/>
          <w:szCs w:val="24"/>
          <w:u w:val="single"/>
        </w:rPr>
      </w:pPr>
      <w:r w:rsidRPr="00B61FF1">
        <w:rPr>
          <w:rFonts w:ascii="Arial" w:hAnsi="Arial" w:cs="Arial"/>
          <w:sz w:val="24"/>
          <w:szCs w:val="24"/>
          <w:u w:val="single"/>
        </w:rPr>
        <w:t>(XX)</w:t>
      </w:r>
      <w:r w:rsidRPr="00B61FF1">
        <w:rPr>
          <w:rFonts w:ascii="Arial" w:hAnsi="Arial" w:cs="Arial"/>
          <w:sz w:val="24"/>
          <w:szCs w:val="24"/>
        </w:rPr>
        <w:tab/>
      </w:r>
      <w:r w:rsidRPr="00B61FF1">
        <w:rPr>
          <w:rFonts w:ascii="Arial" w:hAnsi="Arial" w:cs="Arial"/>
          <w:sz w:val="24"/>
          <w:szCs w:val="24"/>
          <w:u w:val="single"/>
        </w:rPr>
        <w:t>“EIM Participating Resource Scheduling Coordinator”</w:t>
      </w:r>
      <w:r w:rsidR="00B80CC5" w:rsidRPr="00B61FF1">
        <w:rPr>
          <w:rFonts w:ascii="Arial" w:hAnsi="Arial" w:cs="Arial"/>
          <w:sz w:val="24"/>
          <w:szCs w:val="24"/>
          <w:u w:val="single"/>
        </w:rPr>
        <w:t xml:space="preserve"> means</w:t>
      </w:r>
      <w:r w:rsidRPr="00B61FF1">
        <w:rPr>
          <w:rFonts w:ascii="Arial" w:hAnsi="Arial" w:cs="Arial"/>
          <w:sz w:val="24"/>
          <w:szCs w:val="24"/>
          <w:u w:val="single"/>
        </w:rPr>
        <w:t xml:space="preserve"> an EIM Entity Scheduling Coordinator, EIM Entity, or a third-party designated by the EIM Entity, that is certified by the ISO and that enters into </w:t>
      </w:r>
      <w:r w:rsidR="00A2158B" w:rsidRPr="00B61FF1">
        <w:rPr>
          <w:rFonts w:ascii="Arial" w:hAnsi="Arial" w:cs="Arial"/>
          <w:sz w:val="24"/>
          <w:szCs w:val="24"/>
          <w:u w:val="single"/>
        </w:rPr>
        <w:t xml:space="preserve">a </w:t>
      </w:r>
      <w:r w:rsidRPr="00B61FF1">
        <w:rPr>
          <w:rFonts w:ascii="Arial" w:hAnsi="Arial" w:cs="Arial"/>
          <w:sz w:val="24"/>
          <w:szCs w:val="24"/>
          <w:u w:val="single"/>
        </w:rPr>
        <w:t xml:space="preserve">pro forma EIM Participating Resource Scheduling Coordinator Agreement, under which it is responsible for meeting the requirements specified in CAISO Tariff Section 291 on behalf of the EIM Entity. </w:t>
      </w:r>
    </w:p>
    <w:p w14:paraId="3CCA1274" w14:textId="77777777" w:rsidR="0054122B" w:rsidRPr="00B61FF1" w:rsidRDefault="0054122B" w:rsidP="00720975">
      <w:pPr>
        <w:tabs>
          <w:tab w:val="left" w:pos="45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82</w:t>
      </w:r>
      <w:r w:rsidRPr="00B61FF1">
        <w:rPr>
          <w:rFonts w:ascii="Arial" w:hAnsi="Arial" w:cs="Arial"/>
          <w:sz w:val="24"/>
          <w:szCs w:val="24"/>
        </w:rPr>
        <w:t>)</w:t>
      </w:r>
      <w:r w:rsidR="00720975" w:rsidRPr="00B61FF1">
        <w:rPr>
          <w:rFonts w:ascii="Arial" w:hAnsi="Arial" w:cs="Arial"/>
          <w:sz w:val="24"/>
          <w:szCs w:val="24"/>
        </w:rPr>
        <w:tab/>
      </w:r>
      <w:r w:rsidRPr="00B61FF1">
        <w:rPr>
          <w:rFonts w:ascii="Arial" w:hAnsi="Arial" w:cs="Arial"/>
          <w:sz w:val="24"/>
          <w:szCs w:val="24"/>
        </w:rPr>
        <w:t>"Electric Arc Furnace" or "EAF" means a furnace that produces molten steel and heats the charge materials with electric arcs from carbon electrodes.  Furnaces that continuously feed direct-reduced iron ore pellets as the primary source of iron are not affected facilities within the scope of this definition.</w:t>
      </w:r>
    </w:p>
    <w:p w14:paraId="2F32C9BA" w14:textId="77777777" w:rsidR="0054122B" w:rsidRPr="00B61FF1" w:rsidRDefault="0054122B" w:rsidP="00720975">
      <w:pPr>
        <w:tabs>
          <w:tab w:val="left" w:pos="180"/>
          <w:tab w:val="left" w:pos="27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83</w:t>
      </w:r>
      <w:r w:rsidRPr="00B61FF1">
        <w:rPr>
          <w:rFonts w:ascii="Arial" w:hAnsi="Arial" w:cs="Arial"/>
          <w:sz w:val="24"/>
          <w:szCs w:val="24"/>
        </w:rPr>
        <w:t xml:space="preserve">) </w:t>
      </w:r>
      <w:r w:rsidR="007F0184" w:rsidRPr="00B61FF1">
        <w:rPr>
          <w:rFonts w:ascii="Arial" w:hAnsi="Arial" w:cs="Arial"/>
          <w:sz w:val="24"/>
          <w:szCs w:val="24"/>
        </w:rPr>
        <w:tab/>
      </w:r>
      <w:r w:rsidR="00720975" w:rsidRPr="00B61FF1">
        <w:rPr>
          <w:rFonts w:ascii="Arial" w:hAnsi="Arial" w:cs="Arial"/>
          <w:sz w:val="24"/>
          <w:szCs w:val="24"/>
        </w:rPr>
        <w:t xml:space="preserve">“Electrical </w:t>
      </w:r>
      <w:r w:rsidR="00B43F70" w:rsidRPr="00B61FF1">
        <w:rPr>
          <w:rFonts w:ascii="Arial" w:hAnsi="Arial" w:cs="Arial"/>
          <w:sz w:val="24"/>
          <w:szCs w:val="24"/>
        </w:rPr>
        <w:t>D</w:t>
      </w:r>
      <w:r w:rsidR="00720975" w:rsidRPr="00B61FF1">
        <w:rPr>
          <w:rFonts w:ascii="Arial" w:hAnsi="Arial" w:cs="Arial"/>
          <w:sz w:val="24"/>
          <w:szCs w:val="24"/>
        </w:rPr>
        <w:t xml:space="preserve">istribution </w:t>
      </w:r>
      <w:r w:rsidR="00B43F70" w:rsidRPr="00B61FF1">
        <w:rPr>
          <w:rFonts w:ascii="Arial" w:hAnsi="Arial" w:cs="Arial"/>
          <w:sz w:val="24"/>
          <w:szCs w:val="24"/>
        </w:rPr>
        <w:t>U</w:t>
      </w:r>
      <w:r w:rsidRPr="00B61FF1">
        <w:rPr>
          <w:rFonts w:ascii="Arial" w:hAnsi="Arial" w:cs="Arial"/>
          <w:sz w:val="24"/>
          <w:szCs w:val="24"/>
        </w:rPr>
        <w:t xml:space="preserve">tility(ies)” means </w:t>
      </w:r>
      <w:r w:rsidR="00720975" w:rsidRPr="00B61FF1">
        <w:rPr>
          <w:rFonts w:ascii="Arial" w:hAnsi="Arial" w:cs="Arial"/>
          <w:color w:val="000000"/>
          <w:sz w:val="24"/>
          <w:szCs w:val="24"/>
        </w:rPr>
        <w:t xml:space="preserve">an </w:t>
      </w:r>
      <w:r w:rsidR="001850BF" w:rsidRPr="00B61FF1">
        <w:rPr>
          <w:rFonts w:ascii="Arial" w:hAnsi="Arial" w:cs="Arial"/>
          <w:color w:val="000000"/>
          <w:sz w:val="24"/>
          <w:szCs w:val="24"/>
        </w:rPr>
        <w:t>entity that owns</w:t>
      </w:r>
      <w:r w:rsidR="000C675A" w:rsidRPr="00B61FF1">
        <w:rPr>
          <w:rFonts w:ascii="Arial" w:hAnsi="Arial" w:cs="Arial"/>
          <w:color w:val="000000"/>
          <w:sz w:val="24"/>
          <w:szCs w:val="24"/>
        </w:rPr>
        <w:t xml:space="preserve"> and/</w:t>
      </w:r>
      <w:r w:rsidR="001850BF" w:rsidRPr="00B61FF1">
        <w:rPr>
          <w:rFonts w:ascii="Arial" w:hAnsi="Arial" w:cs="Arial"/>
          <w:color w:val="000000"/>
          <w:sz w:val="24"/>
          <w:szCs w:val="24"/>
        </w:rPr>
        <w:t>or operates an electrical distribution system, including: 1) a public utility  as defined in the Public Utilities Code section 216 (referred to as an Investor Owned Utility or IOU); or 2)  a local publicly owned electric utility (POU) as defined in Publ</w:t>
      </w:r>
      <w:r w:rsidR="00E730D6" w:rsidRPr="00B61FF1">
        <w:rPr>
          <w:rFonts w:ascii="Arial" w:hAnsi="Arial" w:cs="Arial"/>
          <w:color w:val="000000"/>
          <w:sz w:val="24"/>
          <w:szCs w:val="24"/>
        </w:rPr>
        <w:t>ic Utilities Code section 224.3</w:t>
      </w:r>
      <w:r w:rsidR="001850BF" w:rsidRPr="00B61FF1">
        <w:rPr>
          <w:rFonts w:ascii="Arial" w:hAnsi="Arial" w:cs="Arial"/>
          <w:color w:val="000000"/>
          <w:sz w:val="24"/>
          <w:szCs w:val="24"/>
        </w:rPr>
        <w:t xml:space="preserve"> or 3) an </w:t>
      </w:r>
      <w:r w:rsidR="001850BF" w:rsidRPr="00B61FF1">
        <w:rPr>
          <w:rFonts w:ascii="Arial" w:hAnsi="Arial" w:cs="Arial"/>
          <w:color w:val="000000"/>
          <w:sz w:val="24"/>
          <w:szCs w:val="24"/>
        </w:rPr>
        <w:lastRenderedPageBreak/>
        <w:t>Electrical Cooperative</w:t>
      </w:r>
      <w:r w:rsidR="000C675A" w:rsidRPr="00B61FF1">
        <w:rPr>
          <w:rFonts w:ascii="Arial" w:hAnsi="Arial" w:cs="Arial"/>
          <w:color w:val="000000"/>
          <w:sz w:val="24"/>
          <w:szCs w:val="24"/>
        </w:rPr>
        <w:t xml:space="preserve"> </w:t>
      </w:r>
      <w:r w:rsidR="00FA6844" w:rsidRPr="00B61FF1">
        <w:rPr>
          <w:rFonts w:ascii="Arial" w:hAnsi="Arial" w:cs="Arial"/>
          <w:color w:val="000000"/>
          <w:sz w:val="24"/>
          <w:szCs w:val="24"/>
        </w:rPr>
        <w:t>(</w:t>
      </w:r>
      <w:r w:rsidR="000C675A" w:rsidRPr="00B61FF1">
        <w:rPr>
          <w:rFonts w:ascii="Arial" w:hAnsi="Arial" w:cs="Arial"/>
          <w:color w:val="000000"/>
          <w:sz w:val="24"/>
          <w:szCs w:val="24"/>
        </w:rPr>
        <w:t>COOP</w:t>
      </w:r>
      <w:r w:rsidR="00FA6844" w:rsidRPr="00B61FF1">
        <w:rPr>
          <w:rFonts w:ascii="Arial" w:hAnsi="Arial" w:cs="Arial"/>
          <w:color w:val="000000"/>
          <w:sz w:val="24"/>
          <w:szCs w:val="24"/>
        </w:rPr>
        <w:t>)</w:t>
      </w:r>
      <w:r w:rsidR="001850BF" w:rsidRPr="00B61FF1">
        <w:rPr>
          <w:rFonts w:ascii="Arial" w:hAnsi="Arial" w:cs="Arial"/>
          <w:color w:val="000000"/>
          <w:sz w:val="24"/>
          <w:szCs w:val="24"/>
        </w:rPr>
        <w:t xml:space="preserve"> as defined in Public Utilities Code section 2776, that provides electricity to retail end users in California.</w:t>
      </w:r>
    </w:p>
    <w:p w14:paraId="4A71B964" w14:textId="77777777" w:rsidR="0054122B" w:rsidRPr="00B61FF1" w:rsidRDefault="0054122B"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84</w:t>
      </w:r>
      <w:r w:rsidRPr="00B61FF1">
        <w:rPr>
          <w:rFonts w:ascii="Arial" w:hAnsi="Arial" w:cs="Arial"/>
          <w:sz w:val="24"/>
          <w:szCs w:val="24"/>
        </w:rPr>
        <w:t xml:space="preserve">) </w:t>
      </w:r>
      <w:r w:rsidR="007F0184" w:rsidRPr="00B61FF1">
        <w:rPr>
          <w:rFonts w:ascii="Arial" w:hAnsi="Arial" w:cs="Arial"/>
          <w:sz w:val="24"/>
          <w:szCs w:val="24"/>
        </w:rPr>
        <w:tab/>
      </w:r>
      <w:r w:rsidR="00720975" w:rsidRPr="00B61FF1">
        <w:rPr>
          <w:rFonts w:ascii="Arial" w:hAnsi="Arial" w:cs="Arial"/>
          <w:sz w:val="24"/>
          <w:szCs w:val="24"/>
        </w:rPr>
        <w:t xml:space="preserve">“Electricity </w:t>
      </w:r>
      <w:r w:rsidR="00B43F70" w:rsidRPr="00B61FF1">
        <w:rPr>
          <w:rFonts w:ascii="Arial" w:hAnsi="Arial" w:cs="Arial"/>
          <w:sz w:val="24"/>
          <w:szCs w:val="24"/>
        </w:rPr>
        <w:t>G</w:t>
      </w:r>
      <w:r w:rsidR="00720975" w:rsidRPr="00B61FF1">
        <w:rPr>
          <w:rFonts w:ascii="Arial" w:hAnsi="Arial" w:cs="Arial"/>
          <w:sz w:val="24"/>
          <w:szCs w:val="24"/>
        </w:rPr>
        <w:t xml:space="preserve">enerating </w:t>
      </w:r>
      <w:r w:rsidR="00B43F70" w:rsidRPr="00B61FF1">
        <w:rPr>
          <w:rFonts w:ascii="Arial" w:hAnsi="Arial" w:cs="Arial"/>
          <w:sz w:val="24"/>
          <w:szCs w:val="24"/>
        </w:rPr>
        <w:t>F</w:t>
      </w:r>
      <w:r w:rsidRPr="00B61FF1">
        <w:rPr>
          <w:rFonts w:ascii="Arial" w:hAnsi="Arial" w:cs="Arial"/>
          <w:sz w:val="24"/>
          <w:szCs w:val="24"/>
        </w:rPr>
        <w:t xml:space="preserve">acility” means a facility </w:t>
      </w:r>
      <w:r w:rsidR="0025027B" w:rsidRPr="00B61FF1">
        <w:rPr>
          <w:rFonts w:ascii="Arial" w:hAnsi="Arial" w:cs="Arial"/>
          <w:sz w:val="24"/>
          <w:szCs w:val="24"/>
        </w:rPr>
        <w:t xml:space="preserve">that generates electricity </w:t>
      </w:r>
      <w:r w:rsidRPr="00B61FF1">
        <w:rPr>
          <w:rFonts w:ascii="Arial" w:hAnsi="Arial" w:cs="Arial"/>
          <w:sz w:val="24"/>
          <w:szCs w:val="24"/>
        </w:rPr>
        <w:t>and includes one or more generating units at the same location.</w:t>
      </w:r>
      <w:r w:rsidR="00C52A63" w:rsidRPr="00B61FF1">
        <w:rPr>
          <w:rFonts w:ascii="Arial" w:hAnsi="Arial" w:cs="Arial"/>
          <w:sz w:val="24"/>
          <w:szCs w:val="24"/>
        </w:rPr>
        <w:t xml:space="preserve">  </w:t>
      </w:r>
    </w:p>
    <w:p w14:paraId="40A67F5D" w14:textId="15E36898" w:rsidR="00A2158B" w:rsidRPr="00B61FF1" w:rsidRDefault="0054122B"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85</w:t>
      </w:r>
      <w:r w:rsidRPr="00B61FF1">
        <w:rPr>
          <w:rFonts w:ascii="Arial" w:hAnsi="Arial" w:cs="Arial"/>
          <w:sz w:val="24"/>
          <w:szCs w:val="24"/>
        </w:rPr>
        <w:t>)</w:t>
      </w:r>
      <w:r w:rsidR="007F0184" w:rsidRPr="00B61FF1">
        <w:rPr>
          <w:rFonts w:ascii="Arial" w:hAnsi="Arial" w:cs="Arial"/>
          <w:sz w:val="24"/>
          <w:szCs w:val="24"/>
        </w:rPr>
        <w:tab/>
      </w:r>
      <w:r w:rsidR="009329A7" w:rsidRPr="00B61FF1">
        <w:rPr>
          <w:rFonts w:ascii="Arial" w:hAnsi="Arial" w:cs="Arial"/>
          <w:sz w:val="24"/>
          <w:szCs w:val="24"/>
        </w:rPr>
        <w:t xml:space="preserve">“Electricity </w:t>
      </w:r>
      <w:r w:rsidR="00B43F70" w:rsidRPr="00B61FF1">
        <w:rPr>
          <w:rFonts w:ascii="Arial" w:hAnsi="Arial" w:cs="Arial"/>
          <w:sz w:val="24"/>
          <w:szCs w:val="24"/>
        </w:rPr>
        <w:t>I</w:t>
      </w:r>
      <w:r w:rsidRPr="00B61FF1">
        <w:rPr>
          <w:rFonts w:ascii="Arial" w:hAnsi="Arial" w:cs="Arial"/>
          <w:sz w:val="24"/>
          <w:szCs w:val="24"/>
        </w:rPr>
        <w:t xml:space="preserve">mporters” </w:t>
      </w:r>
      <w:r w:rsidR="001850BF" w:rsidRPr="00B61FF1">
        <w:rPr>
          <w:rFonts w:ascii="Arial" w:hAnsi="Arial" w:cs="Arial"/>
          <w:sz w:val="24"/>
          <w:szCs w:val="24"/>
        </w:rPr>
        <w:t xml:space="preserve">deliver imported electricity.  For electricity </w:t>
      </w:r>
      <w:r w:rsidR="00641F01" w:rsidRPr="00B61FF1">
        <w:rPr>
          <w:rFonts w:ascii="Arial" w:hAnsi="Arial" w:cs="Arial"/>
          <w:sz w:val="24"/>
          <w:szCs w:val="24"/>
        </w:rPr>
        <w:t>that is scheduled with a NERC E-Tag to a final point  of delivery inside the state of California</w:t>
      </w:r>
      <w:r w:rsidR="001850BF" w:rsidRPr="00B61FF1">
        <w:rPr>
          <w:rFonts w:ascii="Arial" w:hAnsi="Arial" w:cs="Arial"/>
          <w:sz w:val="24"/>
          <w:szCs w:val="24"/>
        </w:rPr>
        <w:t>, the electricity importer is identified on the NERC E</w:t>
      </w:r>
      <w:r w:rsidR="00641F01" w:rsidRPr="00B61FF1">
        <w:rPr>
          <w:rFonts w:ascii="Arial" w:hAnsi="Arial" w:cs="Arial"/>
          <w:sz w:val="24"/>
          <w:szCs w:val="24"/>
        </w:rPr>
        <w:noBreakHyphen/>
        <w:t>T</w:t>
      </w:r>
      <w:r w:rsidR="001850BF" w:rsidRPr="00B61FF1">
        <w:rPr>
          <w:rFonts w:ascii="Arial" w:hAnsi="Arial" w:cs="Arial"/>
          <w:sz w:val="24"/>
          <w:szCs w:val="24"/>
        </w:rPr>
        <w:t xml:space="preserve">ag as the purchasing-selling entity (PSE) on the last segment of the tag’s physical path with the point of receipt located outside the state of California and the point of delivery located inside the state of California. </w:t>
      </w:r>
      <w:r w:rsidR="00294973" w:rsidRPr="00B61FF1">
        <w:rPr>
          <w:rFonts w:ascii="Arial" w:hAnsi="Arial" w:cs="Arial"/>
          <w:sz w:val="24"/>
          <w:szCs w:val="24"/>
        </w:rPr>
        <w:t xml:space="preserve"> </w:t>
      </w:r>
      <w:r w:rsidR="001850BF" w:rsidRPr="00B61FF1">
        <w:rPr>
          <w:rFonts w:ascii="Arial" w:hAnsi="Arial" w:cs="Arial"/>
          <w:sz w:val="24"/>
          <w:szCs w:val="24"/>
        </w:rPr>
        <w:t>For facilities physically located outside the state of California with the first point of interconnection to a California balancing authorit</w:t>
      </w:r>
      <w:r w:rsidR="000C675A" w:rsidRPr="00B61FF1">
        <w:rPr>
          <w:rFonts w:ascii="Arial" w:hAnsi="Arial" w:cs="Arial"/>
          <w:sz w:val="24"/>
          <w:szCs w:val="24"/>
        </w:rPr>
        <w:t>y’s</w:t>
      </w:r>
      <w:r w:rsidR="001850BF" w:rsidRPr="00B61FF1">
        <w:rPr>
          <w:rFonts w:ascii="Arial" w:hAnsi="Arial" w:cs="Arial"/>
          <w:sz w:val="24"/>
          <w:szCs w:val="24"/>
        </w:rPr>
        <w:t xml:space="preserve"> transmission and distribution system</w:t>
      </w:r>
      <w:r w:rsidR="00E20F3D" w:rsidRPr="00B61FF1">
        <w:rPr>
          <w:rFonts w:ascii="Arial" w:hAnsi="Arial" w:cs="Arial"/>
          <w:sz w:val="24"/>
          <w:szCs w:val="24"/>
        </w:rPr>
        <w:t xml:space="preserve"> when the electricity is not scheduled on a NERC e-Tag</w:t>
      </w:r>
      <w:r w:rsidR="001850BF" w:rsidRPr="00B61FF1">
        <w:rPr>
          <w:rFonts w:ascii="Arial" w:hAnsi="Arial" w:cs="Arial"/>
          <w:sz w:val="24"/>
          <w:szCs w:val="24"/>
        </w:rPr>
        <w:t xml:space="preserve">, the importer is the facility operator or scheduling coordinator.  Federal and state agencies are subject to the regulatory authority of ARB under this article, and include Western Area Power Administration (WAPA), Bonneville Power Administration (BPA) and </w:t>
      </w:r>
      <w:r w:rsidR="00902E4B">
        <w:rPr>
          <w:rFonts w:ascii="Arial" w:hAnsi="Arial" w:cs="Arial"/>
          <w:sz w:val="24"/>
          <w:szCs w:val="24"/>
        </w:rPr>
        <w:t xml:space="preserve">California Department of Water Resources (DWR). </w:t>
      </w:r>
      <w:r w:rsidR="00A2158B" w:rsidRPr="00B61FF1">
        <w:rPr>
          <w:rFonts w:ascii="Arial" w:hAnsi="Arial" w:cs="Arial"/>
          <w:sz w:val="24"/>
          <w:szCs w:val="24"/>
          <w:u w:val="single"/>
        </w:rPr>
        <w:t xml:space="preserve">Electricity Importers include EIM Participating Resource Scheduling Coordinators serving the EIM market </w:t>
      </w:r>
      <w:r w:rsidR="00A97737" w:rsidRPr="00B61FF1">
        <w:rPr>
          <w:rFonts w:ascii="Arial" w:hAnsi="Arial" w:cs="Arial"/>
          <w:sz w:val="24"/>
          <w:szCs w:val="24"/>
          <w:u w:val="single"/>
        </w:rPr>
        <w:t>whose transactions</w:t>
      </w:r>
      <w:r w:rsidR="00A2158B" w:rsidRPr="00B61FF1">
        <w:rPr>
          <w:rFonts w:ascii="Arial" w:hAnsi="Arial" w:cs="Arial"/>
          <w:sz w:val="24"/>
          <w:szCs w:val="24"/>
          <w:u w:val="single"/>
        </w:rPr>
        <w:t xml:space="preserve"> result in electricity imports into California.</w:t>
      </w:r>
      <w:r w:rsidR="00A2158B" w:rsidRPr="00B61FF1">
        <w:rPr>
          <w:rFonts w:ascii="Arial" w:hAnsi="Arial" w:cs="Arial"/>
          <w:sz w:val="24"/>
          <w:szCs w:val="24"/>
        </w:rPr>
        <w:t xml:space="preserve">   </w:t>
      </w:r>
    </w:p>
    <w:p w14:paraId="039FDBA5" w14:textId="4E70F95D" w:rsidR="001850BF" w:rsidRPr="00B61FF1" w:rsidRDefault="001850BF" w:rsidP="0072097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86</w:t>
      </w:r>
      <w:r w:rsidRPr="00B61FF1">
        <w:rPr>
          <w:rFonts w:ascii="Arial" w:hAnsi="Arial" w:cs="Arial"/>
          <w:sz w:val="24"/>
          <w:szCs w:val="24"/>
        </w:rPr>
        <w:t>)</w:t>
      </w:r>
      <w:r w:rsidRPr="00B61FF1">
        <w:rPr>
          <w:rFonts w:ascii="Arial" w:hAnsi="Arial" w:cs="Arial"/>
          <w:sz w:val="24"/>
          <w:szCs w:val="24"/>
        </w:rPr>
        <w:tab/>
        <w:t xml:space="preserve">“Eligible </w:t>
      </w:r>
      <w:r w:rsidR="006343BE" w:rsidRPr="00B61FF1">
        <w:rPr>
          <w:rFonts w:ascii="Arial" w:hAnsi="Arial" w:cs="Arial"/>
          <w:sz w:val="24"/>
          <w:szCs w:val="24"/>
        </w:rPr>
        <w:t>R</w:t>
      </w:r>
      <w:r w:rsidRPr="00B61FF1">
        <w:rPr>
          <w:rFonts w:ascii="Arial" w:hAnsi="Arial" w:cs="Arial"/>
          <w:sz w:val="24"/>
          <w:szCs w:val="24"/>
        </w:rPr>
        <w:t xml:space="preserve">enewable </w:t>
      </w:r>
      <w:r w:rsidR="006343BE" w:rsidRPr="00B61FF1">
        <w:rPr>
          <w:rFonts w:ascii="Arial" w:hAnsi="Arial" w:cs="Arial"/>
          <w:sz w:val="24"/>
          <w:szCs w:val="24"/>
        </w:rPr>
        <w:t>E</w:t>
      </w:r>
      <w:r w:rsidRPr="00B61FF1">
        <w:rPr>
          <w:rFonts w:ascii="Arial" w:hAnsi="Arial" w:cs="Arial"/>
          <w:sz w:val="24"/>
          <w:szCs w:val="24"/>
        </w:rPr>
        <w:t xml:space="preserve">nergy </w:t>
      </w:r>
      <w:r w:rsidR="006343BE" w:rsidRPr="00B61FF1">
        <w:rPr>
          <w:rFonts w:ascii="Arial" w:hAnsi="Arial" w:cs="Arial"/>
          <w:sz w:val="24"/>
          <w:szCs w:val="24"/>
        </w:rPr>
        <w:t>R</w:t>
      </w:r>
      <w:r w:rsidRPr="00B61FF1">
        <w:rPr>
          <w:rFonts w:ascii="Arial" w:hAnsi="Arial" w:cs="Arial"/>
          <w:sz w:val="24"/>
          <w:szCs w:val="24"/>
        </w:rPr>
        <w:t>esource” has the same meaning as defined in Section 399.12 of the Public Utilities Code.</w:t>
      </w:r>
    </w:p>
    <w:p w14:paraId="26B9FE11" w14:textId="77777777" w:rsidR="0054122B" w:rsidRPr="00B61FF1" w:rsidRDefault="0054122B" w:rsidP="00DE7AB5">
      <w:pPr>
        <w:tabs>
          <w:tab w:val="left" w:pos="3780"/>
        </w:tabs>
        <w:spacing w:line="360" w:lineRule="auto"/>
        <w:ind w:left="1080" w:hanging="720"/>
        <w:rPr>
          <w:rFonts w:ascii="Arial" w:hAnsi="Arial" w:cs="Arial"/>
          <w:sz w:val="24"/>
        </w:rPr>
      </w:pPr>
      <w:r w:rsidRPr="00B61FF1">
        <w:rPr>
          <w:rFonts w:ascii="Arial" w:hAnsi="Arial" w:cs="Arial"/>
          <w:sz w:val="24"/>
          <w:szCs w:val="24"/>
        </w:rPr>
        <w:t>(</w:t>
      </w:r>
      <w:r w:rsidR="003265FD" w:rsidRPr="00B61FF1">
        <w:rPr>
          <w:rFonts w:ascii="Arial" w:hAnsi="Arial" w:cs="Arial"/>
          <w:sz w:val="24"/>
          <w:szCs w:val="24"/>
        </w:rPr>
        <w:t>87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“Emissions” means </w:t>
      </w:r>
      <w:r w:rsidRPr="00B61FF1">
        <w:rPr>
          <w:rFonts w:ascii="Arial" w:hAnsi="Arial" w:cs="Arial"/>
          <w:sz w:val="24"/>
        </w:rPr>
        <w:t>the release of greenhouse gases into the atmosphere from sources and processes in a facility, including from the combustion of transportation fuels such as natural gas, petroleum products, and natural gas liquids.  In the context of offsets, "emissions" means the release of greenhouse gases into the atmosphere from sources and processes within an offset project boundary.</w:t>
      </w:r>
    </w:p>
    <w:p w14:paraId="4854A3B3" w14:textId="77777777" w:rsidR="0054122B" w:rsidRPr="00B61FF1" w:rsidRDefault="0054122B" w:rsidP="00DE7AB5">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3265FD" w:rsidRPr="00B61FF1">
        <w:rPr>
          <w:rFonts w:ascii="Arial" w:hAnsi="Arial" w:cs="Arial"/>
          <w:sz w:val="24"/>
          <w:szCs w:val="24"/>
        </w:rPr>
        <w:t>88</w:t>
      </w:r>
      <w:r w:rsidRPr="00B61FF1">
        <w:rPr>
          <w:rFonts w:ascii="Arial" w:hAnsi="Arial" w:cs="Arial"/>
          <w:sz w:val="24"/>
          <w:szCs w:val="24"/>
        </w:rPr>
        <w:t xml:space="preserve">) </w:t>
      </w:r>
      <w:r w:rsidR="00CD4B45" w:rsidRPr="00B61FF1">
        <w:rPr>
          <w:rFonts w:ascii="Arial" w:hAnsi="Arial" w:cs="Arial"/>
          <w:sz w:val="24"/>
          <w:szCs w:val="24"/>
        </w:rPr>
        <w:tab/>
      </w:r>
      <w:r w:rsidR="00DE7AB5" w:rsidRPr="00B61FF1">
        <w:rPr>
          <w:rFonts w:ascii="Arial" w:hAnsi="Arial" w:cs="Arial"/>
          <w:sz w:val="24"/>
          <w:szCs w:val="24"/>
        </w:rPr>
        <w:t xml:space="preserve">“Emissions </w:t>
      </w:r>
      <w:r w:rsidR="00B43F70" w:rsidRPr="00B61FF1">
        <w:rPr>
          <w:rFonts w:ascii="Arial" w:hAnsi="Arial" w:cs="Arial"/>
          <w:sz w:val="24"/>
          <w:szCs w:val="24"/>
        </w:rPr>
        <w:t>D</w:t>
      </w:r>
      <w:r w:rsidRPr="00B61FF1">
        <w:rPr>
          <w:rFonts w:ascii="Arial" w:hAnsi="Arial" w:cs="Arial"/>
          <w:sz w:val="24"/>
          <w:szCs w:val="24"/>
        </w:rPr>
        <w:t xml:space="preserve">ata </w:t>
      </w:r>
      <w:r w:rsidR="00B43F70" w:rsidRPr="00B61FF1">
        <w:rPr>
          <w:rFonts w:ascii="Arial" w:hAnsi="Arial" w:cs="Arial"/>
          <w:sz w:val="24"/>
          <w:szCs w:val="24"/>
        </w:rPr>
        <w:t>R</w:t>
      </w:r>
      <w:r w:rsidRPr="00B61FF1">
        <w:rPr>
          <w:rFonts w:ascii="Arial" w:hAnsi="Arial" w:cs="Arial"/>
          <w:sz w:val="24"/>
          <w:szCs w:val="24"/>
        </w:rPr>
        <w:t xml:space="preserve">eport” or “greenhouse gas emissions data report” or “report” means the report prepared by an operator or supplier each year and submitted by electronic means to ARB that provides the information required by </w:t>
      </w:r>
      <w:r w:rsidR="0025027B" w:rsidRPr="00B61FF1">
        <w:rPr>
          <w:rFonts w:ascii="Arial" w:hAnsi="Arial" w:cs="Arial"/>
          <w:sz w:val="24"/>
          <w:szCs w:val="24"/>
        </w:rPr>
        <w:t>MRR</w:t>
      </w:r>
      <w:r w:rsidRPr="00B61FF1">
        <w:rPr>
          <w:rFonts w:ascii="Arial" w:hAnsi="Arial" w:cs="Arial"/>
          <w:sz w:val="24"/>
          <w:szCs w:val="24"/>
        </w:rPr>
        <w:t>.</w:t>
      </w:r>
    </w:p>
    <w:p w14:paraId="7218D57A" w14:textId="77777777" w:rsidR="0054122B" w:rsidRPr="00B61FF1" w:rsidRDefault="0054122B" w:rsidP="00A82CDB">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89</w:t>
      </w:r>
      <w:r w:rsidRPr="00B61FF1">
        <w:rPr>
          <w:rFonts w:ascii="Arial" w:hAnsi="Arial" w:cs="Arial"/>
          <w:sz w:val="24"/>
          <w:szCs w:val="24"/>
        </w:rPr>
        <w:t xml:space="preserve">) </w:t>
      </w:r>
      <w:r w:rsidR="00CD4B45" w:rsidRPr="00B61FF1">
        <w:rPr>
          <w:rFonts w:ascii="Arial" w:hAnsi="Arial" w:cs="Arial"/>
          <w:sz w:val="24"/>
          <w:szCs w:val="24"/>
        </w:rPr>
        <w:tab/>
      </w:r>
      <w:r w:rsidR="00DE7AB5" w:rsidRPr="00B61FF1">
        <w:rPr>
          <w:rFonts w:ascii="Arial" w:hAnsi="Arial" w:cs="Arial"/>
          <w:sz w:val="24"/>
          <w:szCs w:val="24"/>
        </w:rPr>
        <w:t xml:space="preserve">“Emissions </w:t>
      </w:r>
      <w:r w:rsidR="00B43F70" w:rsidRPr="00B61FF1">
        <w:rPr>
          <w:rFonts w:ascii="Arial" w:hAnsi="Arial" w:cs="Arial"/>
          <w:sz w:val="24"/>
          <w:szCs w:val="24"/>
        </w:rPr>
        <w:t>E</w:t>
      </w:r>
      <w:r w:rsidR="00DE7AB5" w:rsidRPr="00B61FF1">
        <w:rPr>
          <w:rFonts w:ascii="Arial" w:hAnsi="Arial" w:cs="Arial"/>
          <w:sz w:val="24"/>
          <w:szCs w:val="24"/>
        </w:rPr>
        <w:t xml:space="preserve">fficiency </w:t>
      </w:r>
      <w:r w:rsidR="00B43F70" w:rsidRPr="00B61FF1">
        <w:rPr>
          <w:rFonts w:ascii="Arial" w:hAnsi="Arial" w:cs="Arial"/>
          <w:sz w:val="24"/>
          <w:szCs w:val="24"/>
        </w:rPr>
        <w:t>B</w:t>
      </w:r>
      <w:r w:rsidR="00DE7AB5" w:rsidRPr="00B61FF1">
        <w:rPr>
          <w:rFonts w:ascii="Arial" w:hAnsi="Arial" w:cs="Arial"/>
          <w:sz w:val="24"/>
          <w:szCs w:val="24"/>
        </w:rPr>
        <w:t>enchmark” or “GHG emissions e</w:t>
      </w:r>
      <w:r w:rsidRPr="00B61FF1">
        <w:rPr>
          <w:rFonts w:ascii="Arial" w:hAnsi="Arial" w:cs="Arial"/>
          <w:sz w:val="24"/>
          <w:szCs w:val="24"/>
        </w:rPr>
        <w:t xml:space="preserve">fficiency </w:t>
      </w:r>
      <w:r w:rsidR="00DE7AB5" w:rsidRPr="00B61FF1">
        <w:rPr>
          <w:rFonts w:ascii="Arial" w:hAnsi="Arial" w:cs="Arial"/>
          <w:sz w:val="24"/>
          <w:szCs w:val="24"/>
        </w:rPr>
        <w:t>b</w:t>
      </w:r>
      <w:r w:rsidRPr="00B61FF1">
        <w:rPr>
          <w:rFonts w:ascii="Arial" w:hAnsi="Arial" w:cs="Arial"/>
          <w:sz w:val="24"/>
          <w:szCs w:val="24"/>
        </w:rPr>
        <w:t>enchmark”</w:t>
      </w:r>
      <w:r w:rsidRPr="00B61FF1">
        <w:rPr>
          <w:rStyle w:val="CommentReference"/>
          <w:rFonts w:ascii="Arial" w:hAnsi="Arial" w:cs="Arial"/>
          <w:sz w:val="24"/>
          <w:szCs w:val="24"/>
        </w:rPr>
        <w:t xml:space="preserve"> means a performance standard used to </w:t>
      </w:r>
      <w:r w:rsidRPr="00B61FF1">
        <w:rPr>
          <w:rFonts w:ascii="Arial" w:hAnsi="Arial" w:cs="Arial"/>
          <w:sz w:val="24"/>
          <w:szCs w:val="24"/>
        </w:rPr>
        <w:t>evaluate GHG emissions efficiency between and amongst similar facilities or operations in the same industrial sector.</w:t>
      </w:r>
    </w:p>
    <w:p w14:paraId="3DC2A627" w14:textId="77777777" w:rsidR="0054122B" w:rsidRPr="00B61FF1" w:rsidRDefault="0054122B" w:rsidP="00DE7AB5">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3265FD" w:rsidRPr="00B61FF1">
        <w:rPr>
          <w:rFonts w:ascii="Arial" w:hAnsi="Arial" w:cs="Arial"/>
          <w:sz w:val="24"/>
          <w:szCs w:val="24"/>
        </w:rPr>
        <w:t>90</w:t>
      </w:r>
      <w:r w:rsidRPr="00B61FF1">
        <w:rPr>
          <w:rFonts w:ascii="Arial" w:eastAsia="MS Mincho" w:hAnsi="Arial" w:cs="Arial"/>
          <w:sz w:val="24"/>
          <w:szCs w:val="24"/>
          <w:lang w:eastAsia="ja-JP"/>
        </w:rPr>
        <w:t xml:space="preserve">) </w:t>
      </w:r>
      <w:r w:rsidR="00CD4B45" w:rsidRPr="00B61FF1">
        <w:rPr>
          <w:rFonts w:ascii="Arial" w:eastAsia="MS Mincho" w:hAnsi="Arial" w:cs="Arial"/>
          <w:sz w:val="24"/>
          <w:szCs w:val="24"/>
          <w:lang w:eastAsia="ja-JP"/>
        </w:rPr>
        <w:tab/>
      </w:r>
      <w:r w:rsidR="00DE7AB5" w:rsidRPr="00B61FF1">
        <w:rPr>
          <w:rFonts w:ascii="Arial" w:eastAsia="MS Mincho" w:hAnsi="Arial" w:cs="Arial"/>
          <w:sz w:val="24"/>
          <w:szCs w:val="24"/>
          <w:lang w:eastAsia="ja-JP"/>
        </w:rPr>
        <w:t xml:space="preserve">“End </w:t>
      </w:r>
      <w:r w:rsidR="00B43F70" w:rsidRPr="00B61FF1">
        <w:rPr>
          <w:rFonts w:ascii="Arial" w:eastAsia="MS Mincho" w:hAnsi="Arial" w:cs="Arial"/>
          <w:sz w:val="24"/>
          <w:szCs w:val="24"/>
          <w:lang w:eastAsia="ja-JP"/>
        </w:rPr>
        <w:t>U</w:t>
      </w:r>
      <w:r w:rsidRPr="00B61FF1">
        <w:rPr>
          <w:rFonts w:ascii="Arial" w:eastAsia="MS Mincho" w:hAnsi="Arial" w:cs="Arial"/>
          <w:sz w:val="24"/>
          <w:szCs w:val="24"/>
          <w:lang w:eastAsia="ja-JP"/>
        </w:rPr>
        <w:t xml:space="preserve">ser” means a final purchaser of </w:t>
      </w:r>
      <w:r w:rsidR="00872E04" w:rsidRPr="00B61FF1">
        <w:rPr>
          <w:rFonts w:ascii="Arial" w:eastAsia="MS Mincho" w:hAnsi="Arial" w:cs="Arial"/>
          <w:sz w:val="24"/>
          <w:szCs w:val="24"/>
          <w:lang w:eastAsia="ja-JP"/>
        </w:rPr>
        <w:t xml:space="preserve">an energy product, such as </w:t>
      </w:r>
      <w:r w:rsidRPr="00B61FF1">
        <w:rPr>
          <w:rFonts w:ascii="Arial" w:eastAsia="MS Mincho" w:hAnsi="Arial" w:cs="Arial"/>
          <w:sz w:val="24"/>
          <w:szCs w:val="24"/>
          <w:lang w:eastAsia="ja-JP"/>
        </w:rPr>
        <w:t>electricity</w:t>
      </w:r>
      <w:r w:rsidR="00872E04" w:rsidRPr="00B61FF1">
        <w:rPr>
          <w:rFonts w:ascii="Arial" w:eastAsia="MS Mincho" w:hAnsi="Arial" w:cs="Arial"/>
          <w:sz w:val="24"/>
          <w:szCs w:val="24"/>
          <w:lang w:eastAsia="ja-JP"/>
        </w:rPr>
        <w:t>, thermal energy,</w:t>
      </w:r>
      <w:r w:rsidRPr="00B61FF1">
        <w:rPr>
          <w:rFonts w:ascii="Arial" w:eastAsia="MS Mincho" w:hAnsi="Arial" w:cs="Arial"/>
          <w:sz w:val="24"/>
          <w:szCs w:val="24"/>
          <w:lang w:eastAsia="ja-JP"/>
        </w:rPr>
        <w:t xml:space="preserve"> or natural gas not for the purposes of retransmission or resale</w:t>
      </w:r>
      <w:r w:rsidR="0011238A"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In the context of natural gas consumption, an “end user” is the point to which natural gas is delivered for consumption.</w:t>
      </w:r>
      <w:r w:rsidRPr="00B61FF1">
        <w:rPr>
          <w:rFonts w:ascii="Arial" w:hAnsi="Arial" w:cs="Arial"/>
          <w:sz w:val="24"/>
          <w:szCs w:val="24"/>
        </w:rPr>
        <w:t xml:space="preserve"> </w:t>
      </w:r>
    </w:p>
    <w:p w14:paraId="6F6CF152" w14:textId="77777777" w:rsidR="0054122B" w:rsidRPr="00B61FF1" w:rsidRDefault="0054122B" w:rsidP="00DE7AB5">
      <w:pPr>
        <w:pStyle w:val="ListParagraph"/>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91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“Enforceable” means the authority for ARB</w:t>
      </w:r>
      <w:r w:rsidRPr="00B61FF1">
        <w:rPr>
          <w:rFonts w:ascii="Arial" w:eastAsia="Times New Roman" w:hAnsi="Arial" w:cs="Arial"/>
          <w:sz w:val="24"/>
          <w:szCs w:val="24"/>
          <w:lang w:bidi="en-US"/>
        </w:rPr>
        <w:t xml:space="preserve"> to hold a particular party liable and to take appropriate action if any of the provisions of this article are violated.</w:t>
      </w:r>
      <w:r w:rsidRPr="00B61FF1">
        <w:rPr>
          <w:rFonts w:ascii="Arial" w:hAnsi="Arial" w:cs="Arial"/>
          <w:sz w:val="24"/>
          <w:szCs w:val="24"/>
        </w:rPr>
        <w:t xml:space="preserve"> </w:t>
      </w:r>
    </w:p>
    <w:p w14:paraId="4172B7BF" w14:textId="77777777" w:rsidR="00EE7601" w:rsidRPr="00B61FF1" w:rsidRDefault="00EE7601" w:rsidP="00DE7AB5">
      <w:pPr>
        <w:pStyle w:val="ListParagraph"/>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92</w:t>
      </w:r>
      <w:r w:rsidRPr="00B61FF1">
        <w:rPr>
          <w:rFonts w:ascii="Arial" w:hAnsi="Arial" w:cs="Arial"/>
          <w:sz w:val="24"/>
          <w:szCs w:val="24"/>
        </w:rPr>
        <w:t>)</w:t>
      </w:r>
      <w:r w:rsidRPr="00B61FF1">
        <w:rPr>
          <w:rFonts w:ascii="Arial" w:hAnsi="Arial" w:cs="Arial"/>
          <w:sz w:val="24"/>
          <w:szCs w:val="24"/>
        </w:rPr>
        <w:tab/>
        <w:t xml:space="preserve">“Enhanced </w:t>
      </w:r>
      <w:r w:rsidR="006343BE" w:rsidRPr="00B61FF1">
        <w:rPr>
          <w:rFonts w:ascii="Arial" w:hAnsi="Arial" w:cs="Arial"/>
          <w:sz w:val="24"/>
          <w:szCs w:val="24"/>
        </w:rPr>
        <w:t>O</w:t>
      </w:r>
      <w:r w:rsidRPr="00B61FF1">
        <w:rPr>
          <w:rFonts w:ascii="Arial" w:hAnsi="Arial" w:cs="Arial"/>
          <w:sz w:val="24"/>
          <w:szCs w:val="24"/>
        </w:rPr>
        <w:t xml:space="preserve">il </w:t>
      </w:r>
      <w:r w:rsidR="006343BE" w:rsidRPr="00B61FF1">
        <w:rPr>
          <w:rFonts w:ascii="Arial" w:hAnsi="Arial" w:cs="Arial"/>
          <w:sz w:val="24"/>
          <w:szCs w:val="24"/>
        </w:rPr>
        <w:t>R</w:t>
      </w:r>
      <w:r w:rsidRPr="00B61FF1">
        <w:rPr>
          <w:rFonts w:ascii="Arial" w:hAnsi="Arial" w:cs="Arial"/>
          <w:sz w:val="24"/>
          <w:szCs w:val="24"/>
        </w:rPr>
        <w:t>ecovery” or “EOR” means the use of certain methods such as steam (thermal EOR), water flooding or gas injection into existing wells to increase the recovery of crude oil from a reservoir. In the context of this rule, EOR also applies to injection of critical phase carbon dioxide into a crude oil reservoir to enhance the recovery of oil.</w:t>
      </w:r>
    </w:p>
    <w:p w14:paraId="68FFF606" w14:textId="77777777" w:rsidR="0054122B" w:rsidRPr="00B61FF1" w:rsidRDefault="00AE52E6" w:rsidP="00E20F3D">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93</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“Enterer” means an entity that imports</w:t>
      </w:r>
      <w:r w:rsidR="00C634DD" w:rsidRPr="00B61FF1">
        <w:rPr>
          <w:rFonts w:ascii="Arial" w:hAnsi="Arial" w:cs="Arial"/>
          <w:sz w:val="24"/>
          <w:szCs w:val="24"/>
        </w:rPr>
        <w:t>, into California,</w:t>
      </w:r>
      <w:r w:rsidR="0054122B" w:rsidRPr="00B61FF1">
        <w:rPr>
          <w:rFonts w:ascii="Arial" w:hAnsi="Arial" w:cs="Arial"/>
          <w:sz w:val="24"/>
          <w:szCs w:val="24"/>
        </w:rPr>
        <w:t xml:space="preserve"> motor vehicle fuel, diesel fuel, </w:t>
      </w:r>
      <w:r w:rsidR="007C7ED7" w:rsidRPr="00B61FF1">
        <w:rPr>
          <w:rFonts w:ascii="Arial" w:hAnsi="Arial" w:cs="Arial"/>
          <w:sz w:val="24"/>
          <w:szCs w:val="24"/>
        </w:rPr>
        <w:t xml:space="preserve">fuel </w:t>
      </w:r>
      <w:r w:rsidR="0054122B" w:rsidRPr="00B61FF1">
        <w:rPr>
          <w:rFonts w:ascii="Arial" w:hAnsi="Arial" w:cs="Arial"/>
          <w:sz w:val="24"/>
          <w:szCs w:val="24"/>
        </w:rPr>
        <w:t xml:space="preserve">ethanol, biodiesel, or </w:t>
      </w:r>
      <w:r w:rsidR="00EE6B9A" w:rsidRPr="00B61FF1">
        <w:rPr>
          <w:rFonts w:ascii="Arial" w:hAnsi="Arial" w:cs="Arial"/>
          <w:sz w:val="24"/>
          <w:szCs w:val="24"/>
        </w:rPr>
        <w:t>non exe</w:t>
      </w:r>
      <w:r w:rsidR="00C634DD" w:rsidRPr="00B61FF1">
        <w:rPr>
          <w:rFonts w:ascii="Arial" w:hAnsi="Arial" w:cs="Arial"/>
          <w:sz w:val="24"/>
          <w:szCs w:val="24"/>
        </w:rPr>
        <w:t>m</w:t>
      </w:r>
      <w:r w:rsidR="00EE6B9A" w:rsidRPr="00B61FF1">
        <w:rPr>
          <w:rFonts w:ascii="Arial" w:hAnsi="Arial" w:cs="Arial"/>
          <w:sz w:val="24"/>
          <w:szCs w:val="24"/>
        </w:rPr>
        <w:t xml:space="preserve">pt </w:t>
      </w:r>
      <w:r w:rsidR="0054122B" w:rsidRPr="00B61FF1">
        <w:rPr>
          <w:rFonts w:ascii="Arial" w:hAnsi="Arial" w:cs="Arial"/>
          <w:sz w:val="24"/>
          <w:szCs w:val="24"/>
        </w:rPr>
        <w:t>biomass-derived fuel or renewable fuel and who is the importer of record under federal customs law or the owner of fuel upon import</w:t>
      </w:r>
      <w:r w:rsidR="00C634DD" w:rsidRPr="00B61FF1">
        <w:rPr>
          <w:rFonts w:ascii="Arial" w:hAnsi="Arial" w:cs="Arial"/>
          <w:sz w:val="24"/>
          <w:szCs w:val="24"/>
        </w:rPr>
        <w:t xml:space="preserve"> into California,</w:t>
      </w:r>
      <w:r w:rsidR="0054122B" w:rsidRPr="00B61FF1">
        <w:rPr>
          <w:rFonts w:ascii="Arial" w:hAnsi="Arial" w:cs="Arial"/>
          <w:sz w:val="24"/>
          <w:szCs w:val="24"/>
        </w:rPr>
        <w:t xml:space="preserve"> if the fuel is not subject to federal customs law.</w:t>
      </w:r>
      <w:r w:rsidR="00E20F3D" w:rsidRPr="00B61FF1">
        <w:rPr>
          <w:rFonts w:ascii="Arial" w:hAnsi="Arial" w:cs="Arial"/>
          <w:sz w:val="24"/>
          <w:szCs w:val="24"/>
        </w:rPr>
        <w:t xml:space="preserve">  Only enterers that import the fuels specified in this definition outside the bulk transfer/terminal system are subject to reporting under the regulation.</w:t>
      </w:r>
    </w:p>
    <w:p w14:paraId="3E8E23A4" w14:textId="77777777" w:rsidR="0054122B" w:rsidRPr="00B61FF1" w:rsidRDefault="0054122B" w:rsidP="00DE7AB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94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“Entity” means a person, firm, association, organization, partnership, business trust, corporation, limited liability company, company, or government agency.</w:t>
      </w:r>
    </w:p>
    <w:p w14:paraId="6DFA0DC9" w14:textId="77777777" w:rsidR="0054122B" w:rsidRPr="00B61FF1" w:rsidRDefault="0054122B" w:rsidP="00DE7AB5">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3265FD" w:rsidRPr="00B61FF1">
        <w:rPr>
          <w:rFonts w:ascii="Arial" w:hAnsi="Arial" w:cs="Arial"/>
          <w:sz w:val="24"/>
          <w:szCs w:val="24"/>
        </w:rPr>
        <w:t>95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“Environmental </w:t>
      </w:r>
      <w:r w:rsidR="00B43F70" w:rsidRPr="00B61FF1">
        <w:rPr>
          <w:rFonts w:ascii="Arial" w:hAnsi="Arial" w:cs="Arial"/>
          <w:sz w:val="24"/>
          <w:szCs w:val="24"/>
        </w:rPr>
        <w:t>I</w:t>
      </w:r>
      <w:r w:rsidR="00DE7AB5" w:rsidRPr="00B61FF1">
        <w:rPr>
          <w:rFonts w:ascii="Arial" w:hAnsi="Arial" w:cs="Arial"/>
          <w:sz w:val="24"/>
          <w:szCs w:val="24"/>
        </w:rPr>
        <w:t xml:space="preserve">mpact </w:t>
      </w:r>
      <w:r w:rsidR="00B43F70" w:rsidRPr="00B61FF1">
        <w:rPr>
          <w:rFonts w:ascii="Arial" w:hAnsi="Arial" w:cs="Arial"/>
          <w:sz w:val="24"/>
          <w:szCs w:val="24"/>
        </w:rPr>
        <w:t>A</w:t>
      </w:r>
      <w:r w:rsidRPr="00B61FF1">
        <w:rPr>
          <w:rFonts w:ascii="Arial" w:hAnsi="Arial" w:cs="Arial"/>
          <w:sz w:val="24"/>
          <w:szCs w:val="24"/>
        </w:rPr>
        <w:t>ssessment” means a detailed public disclosure statement of potential environmental and socioeconomic impacts associated with a proposed project.  Such disclosure is a matter of public record and provides detailed information to public agencies and the general public about the effect that a proposed project is likely to have on the environment and ways in which the significant effects of such a project might be minimized, and to indicate alternatives to such a project.</w:t>
      </w:r>
    </w:p>
    <w:p w14:paraId="3F47D0B4" w14:textId="4502A96B" w:rsidR="00F64BB5" w:rsidRPr="00B61FF1" w:rsidRDefault="00F64BB5" w:rsidP="00F64BB5">
      <w:pPr>
        <w:spacing w:line="360" w:lineRule="auto"/>
        <w:ind w:left="1080" w:hanging="720"/>
        <w:rPr>
          <w:rFonts w:ascii="Arial" w:hAnsi="Arial" w:cs="Arial"/>
          <w:sz w:val="24"/>
          <w:szCs w:val="24"/>
          <w:u w:val="single"/>
        </w:rPr>
      </w:pPr>
      <w:r w:rsidRPr="00B61FF1">
        <w:rPr>
          <w:rFonts w:ascii="Arial" w:hAnsi="Arial" w:cs="Arial"/>
          <w:sz w:val="24"/>
          <w:szCs w:val="24"/>
          <w:u w:val="single"/>
        </w:rPr>
        <w:t>(XX)</w:t>
      </w:r>
      <w:r w:rsidRPr="00B61FF1">
        <w:rPr>
          <w:rFonts w:ascii="Arial" w:hAnsi="Arial" w:cs="Arial"/>
          <w:sz w:val="24"/>
          <w:szCs w:val="24"/>
        </w:rPr>
        <w:tab/>
      </w:r>
      <w:r w:rsidRPr="00B61FF1">
        <w:rPr>
          <w:rFonts w:ascii="Arial" w:hAnsi="Arial" w:cs="Arial"/>
          <w:sz w:val="24"/>
          <w:szCs w:val="24"/>
          <w:u w:val="single"/>
        </w:rPr>
        <w:t>“Exchange” means a central marketplace with established rules and regulations where buyers and sellers meet to conduct trades.</w:t>
      </w:r>
    </w:p>
    <w:p w14:paraId="2CEFD59A" w14:textId="29FE0386" w:rsidR="0054122B" w:rsidRPr="00B61FF1" w:rsidRDefault="00A97737" w:rsidP="00DE7AB5">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 </w:t>
      </w:r>
      <w:r w:rsidR="0054122B" w:rsidRPr="00B61FF1">
        <w:rPr>
          <w:rFonts w:ascii="Arial" w:hAnsi="Arial" w:cs="Arial"/>
          <w:sz w:val="24"/>
          <w:szCs w:val="24"/>
        </w:rPr>
        <w:t>(</w:t>
      </w:r>
      <w:r w:rsidR="003265FD" w:rsidRPr="00B61FF1">
        <w:rPr>
          <w:rFonts w:ascii="Arial" w:hAnsi="Arial" w:cs="Arial"/>
          <w:sz w:val="24"/>
          <w:szCs w:val="24"/>
        </w:rPr>
        <w:t>96</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“Executive Officer” means the Executive Officer of the California Air Resources Board, or his or her delegate.</w:t>
      </w:r>
    </w:p>
    <w:p w14:paraId="07E238E9" w14:textId="77777777" w:rsidR="00B733FE" w:rsidRPr="00B61FF1" w:rsidRDefault="00E03421" w:rsidP="00E03421">
      <w:pPr>
        <w:spacing w:line="360" w:lineRule="auto"/>
        <w:ind w:left="1080" w:hanging="72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97</w:t>
      </w:r>
      <w:r w:rsidRPr="00B61FF1">
        <w:rPr>
          <w:rFonts w:ascii="Arial" w:hAnsi="Arial" w:cs="Arial"/>
          <w:sz w:val="24"/>
          <w:szCs w:val="24"/>
        </w:rPr>
        <w:t>)</w:t>
      </w:r>
      <w:r w:rsidRPr="00B61FF1">
        <w:rPr>
          <w:rFonts w:ascii="Arial" w:hAnsi="Arial" w:cs="Arial"/>
          <w:sz w:val="24"/>
          <w:szCs w:val="24"/>
        </w:rPr>
        <w:tab/>
      </w:r>
      <w:r w:rsidR="00B733FE" w:rsidRPr="00B61FF1">
        <w:rPr>
          <w:rFonts w:ascii="Arial" w:hAnsi="Arial" w:cs="Arial"/>
          <w:sz w:val="24"/>
          <w:szCs w:val="24"/>
        </w:rPr>
        <w:t xml:space="preserve">“Exported </w:t>
      </w:r>
      <w:r w:rsidR="006343BE" w:rsidRPr="00B61FF1">
        <w:rPr>
          <w:rFonts w:ascii="Arial" w:hAnsi="Arial" w:cs="Arial"/>
          <w:sz w:val="24"/>
          <w:szCs w:val="24"/>
        </w:rPr>
        <w:t>E</w:t>
      </w:r>
      <w:r w:rsidR="00B733FE" w:rsidRPr="00B61FF1">
        <w:rPr>
          <w:rFonts w:ascii="Arial" w:hAnsi="Arial" w:cs="Arial"/>
          <w:sz w:val="24"/>
          <w:szCs w:val="24"/>
        </w:rPr>
        <w:t xml:space="preserve">lectricity” shall have the same meaning ascribed in section 95102(a) of MRR. </w:t>
      </w:r>
    </w:p>
    <w:p w14:paraId="0CADEC75" w14:textId="77777777" w:rsidR="001850BF" w:rsidRPr="00B61FF1" w:rsidRDefault="0054122B" w:rsidP="001850BF">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3265FD" w:rsidRPr="00B61FF1">
        <w:rPr>
          <w:rFonts w:ascii="Arial" w:hAnsi="Arial" w:cs="Arial"/>
          <w:sz w:val="24"/>
          <w:szCs w:val="24"/>
        </w:rPr>
        <w:t>98</w:t>
      </w:r>
      <w:r w:rsidRPr="00B61FF1">
        <w:rPr>
          <w:rFonts w:ascii="Arial" w:eastAsia="MS Mincho" w:hAnsi="Arial" w:cs="Arial"/>
          <w:sz w:val="24"/>
          <w:szCs w:val="24"/>
          <w:lang w:eastAsia="ja-JP"/>
        </w:rPr>
        <w:t xml:space="preserve">) </w:t>
      </w:r>
      <w:r w:rsidR="00CD4B45" w:rsidRPr="00B61FF1">
        <w:rPr>
          <w:rFonts w:ascii="Arial" w:eastAsia="MS Mincho" w:hAnsi="Arial" w:cs="Arial"/>
          <w:sz w:val="24"/>
          <w:szCs w:val="24"/>
          <w:lang w:eastAsia="ja-JP"/>
        </w:rPr>
        <w:tab/>
      </w:r>
      <w:r w:rsidRPr="00B61FF1">
        <w:rPr>
          <w:rFonts w:ascii="Arial" w:eastAsia="MS Mincho" w:hAnsi="Arial" w:cs="Arial"/>
          <w:sz w:val="24"/>
          <w:szCs w:val="24"/>
          <w:lang w:eastAsia="ja-JP"/>
        </w:rPr>
        <w:t xml:space="preserve">“External </w:t>
      </w:r>
      <w:r w:rsidR="00B43F70" w:rsidRPr="00B61FF1">
        <w:rPr>
          <w:rFonts w:ascii="Arial" w:eastAsia="MS Mincho" w:hAnsi="Arial" w:cs="Arial"/>
          <w:sz w:val="24"/>
          <w:szCs w:val="24"/>
          <w:lang w:eastAsia="ja-JP"/>
        </w:rPr>
        <w:t>G</w:t>
      </w:r>
      <w:r w:rsidRPr="00B61FF1">
        <w:rPr>
          <w:rFonts w:ascii="Arial" w:eastAsia="MS Mincho" w:hAnsi="Arial" w:cs="Arial"/>
          <w:sz w:val="24"/>
          <w:szCs w:val="24"/>
          <w:lang w:eastAsia="ja-JP"/>
        </w:rPr>
        <w:t xml:space="preserve">reenhouse </w:t>
      </w:r>
      <w:r w:rsidR="00B43F70" w:rsidRPr="00B61FF1">
        <w:rPr>
          <w:rFonts w:ascii="Arial" w:eastAsia="MS Mincho" w:hAnsi="Arial" w:cs="Arial"/>
          <w:sz w:val="24"/>
          <w:szCs w:val="24"/>
          <w:lang w:eastAsia="ja-JP"/>
        </w:rPr>
        <w:t>G</w:t>
      </w:r>
      <w:r w:rsidR="00E919BF" w:rsidRPr="00B61FF1">
        <w:rPr>
          <w:rFonts w:ascii="Arial" w:eastAsia="MS Mincho" w:hAnsi="Arial" w:cs="Arial"/>
          <w:sz w:val="24"/>
          <w:szCs w:val="24"/>
          <w:lang w:eastAsia="ja-JP"/>
        </w:rPr>
        <w:t xml:space="preserve">as </w:t>
      </w:r>
      <w:r w:rsidR="00B43F70" w:rsidRPr="00B61FF1">
        <w:rPr>
          <w:rFonts w:ascii="Arial" w:eastAsia="MS Mincho" w:hAnsi="Arial" w:cs="Arial"/>
          <w:sz w:val="24"/>
          <w:szCs w:val="24"/>
          <w:lang w:eastAsia="ja-JP"/>
        </w:rPr>
        <w:t>E</w:t>
      </w:r>
      <w:r w:rsidRPr="00B61FF1">
        <w:rPr>
          <w:rFonts w:ascii="Arial" w:eastAsia="MS Mincho" w:hAnsi="Arial" w:cs="Arial"/>
          <w:sz w:val="24"/>
          <w:szCs w:val="24"/>
          <w:lang w:eastAsia="ja-JP"/>
        </w:rPr>
        <w:t xml:space="preserve">missions </w:t>
      </w:r>
      <w:r w:rsidR="00B43F70" w:rsidRPr="00B61FF1">
        <w:rPr>
          <w:rFonts w:ascii="Arial" w:eastAsia="MS Mincho" w:hAnsi="Arial" w:cs="Arial"/>
          <w:sz w:val="24"/>
          <w:szCs w:val="24"/>
          <w:lang w:eastAsia="ja-JP"/>
        </w:rPr>
        <w:t>T</w:t>
      </w:r>
      <w:r w:rsidR="00E919BF" w:rsidRPr="00B61FF1">
        <w:rPr>
          <w:rFonts w:ascii="Arial" w:eastAsia="MS Mincho" w:hAnsi="Arial" w:cs="Arial"/>
          <w:sz w:val="24"/>
          <w:szCs w:val="24"/>
          <w:lang w:eastAsia="ja-JP"/>
        </w:rPr>
        <w:t xml:space="preserve">rading </w:t>
      </w:r>
      <w:r w:rsidR="00B43F70" w:rsidRPr="00B61FF1">
        <w:rPr>
          <w:rFonts w:ascii="Arial" w:eastAsia="MS Mincho" w:hAnsi="Arial" w:cs="Arial"/>
          <w:sz w:val="24"/>
          <w:szCs w:val="24"/>
          <w:lang w:eastAsia="ja-JP"/>
        </w:rPr>
        <w:t>S</w:t>
      </w:r>
      <w:r w:rsidRPr="00B61FF1">
        <w:rPr>
          <w:rFonts w:ascii="Arial" w:eastAsia="MS Mincho" w:hAnsi="Arial" w:cs="Arial"/>
          <w:sz w:val="24"/>
          <w:szCs w:val="24"/>
          <w:lang w:eastAsia="ja-JP"/>
        </w:rPr>
        <w:t>ystem” or “External GHG ETS” means an administrative system, other than the California Cap-and-Trade Program, that controls greenhouse gas emissions from sources in its program.</w:t>
      </w:r>
    </w:p>
    <w:p w14:paraId="0755059F" w14:textId="77777777" w:rsidR="0054122B" w:rsidRPr="00B61FF1" w:rsidRDefault="0054122B" w:rsidP="00E331FF">
      <w:pPr>
        <w:tabs>
          <w:tab w:val="left" w:pos="720"/>
          <w:tab w:val="left" w:pos="1080"/>
          <w:tab w:val="left" w:pos="1800"/>
        </w:tabs>
        <w:spacing w:line="360" w:lineRule="auto"/>
        <w:ind w:left="1800" w:hanging="1440"/>
        <w:rPr>
          <w:rFonts w:ascii="Arial" w:hAnsi="Arial" w:cs="Arial"/>
          <w:sz w:val="24"/>
          <w:szCs w:val="24"/>
        </w:rPr>
      </w:pPr>
      <w:r w:rsidRPr="00B61FF1">
        <w:rPr>
          <w:rFonts w:ascii="Arial" w:hAnsi="Arial" w:cs="Arial"/>
          <w:sz w:val="24"/>
          <w:szCs w:val="24"/>
        </w:rPr>
        <w:t>(</w:t>
      </w:r>
      <w:r w:rsidR="003265FD" w:rsidRPr="00B61FF1">
        <w:rPr>
          <w:rFonts w:ascii="Arial" w:hAnsi="Arial" w:cs="Arial"/>
          <w:sz w:val="24"/>
          <w:szCs w:val="24"/>
        </w:rPr>
        <w:t>99</w:t>
      </w:r>
      <w:r w:rsidRPr="00B61FF1">
        <w:rPr>
          <w:rFonts w:ascii="Arial" w:hAnsi="Arial" w:cs="Arial"/>
          <w:sz w:val="24"/>
          <w:szCs w:val="24"/>
        </w:rPr>
        <w:t>)</w:t>
      </w:r>
      <w:r w:rsidR="00E331FF" w:rsidRPr="00B61FF1">
        <w:rPr>
          <w:rFonts w:ascii="Arial" w:hAnsi="Arial" w:cs="Arial"/>
          <w:sz w:val="24"/>
          <w:szCs w:val="24"/>
        </w:rPr>
        <w:tab/>
        <w:t xml:space="preserve">(A) </w:t>
      </w:r>
      <w:r w:rsidR="00E331FF" w:rsidRPr="00B61FF1">
        <w:rPr>
          <w:rFonts w:ascii="Arial" w:hAnsi="Arial" w:cs="Arial"/>
          <w:sz w:val="24"/>
          <w:szCs w:val="24"/>
        </w:rPr>
        <w:tab/>
        <w:t>“Facility,” unless</w:t>
      </w:r>
      <w:r w:rsidR="00E20F3D" w:rsidRPr="00B61FF1">
        <w:rPr>
          <w:rFonts w:ascii="Arial" w:hAnsi="Arial" w:cs="Arial"/>
          <w:sz w:val="24"/>
          <w:szCs w:val="24"/>
        </w:rPr>
        <w:t xml:space="preserve"> otherwise specified in relation to natural gas distribution facilities and onshore petroleum and natural gas production facilities as defined in section 95802(a),</w:t>
      </w:r>
      <w:r w:rsidRPr="00B61FF1">
        <w:rPr>
          <w:rFonts w:ascii="Arial" w:hAnsi="Arial" w:cs="Arial"/>
          <w:sz w:val="24"/>
          <w:szCs w:val="24"/>
        </w:rPr>
        <w:t xml:space="preserve">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  Operators of military installations may classify such installations as more than a single facility based on distinct and independent functional groupings within contiguous military properties.</w:t>
      </w:r>
    </w:p>
    <w:p w14:paraId="63C55251" w14:textId="77777777" w:rsidR="00E20F3D" w:rsidRPr="00B61FF1" w:rsidRDefault="00E331FF" w:rsidP="00E331FF">
      <w:pPr>
        <w:tabs>
          <w:tab w:val="left" w:pos="1080"/>
          <w:tab w:val="left" w:pos="1800"/>
        </w:tabs>
        <w:spacing w:line="360" w:lineRule="auto"/>
        <w:ind w:left="1800" w:hanging="1440"/>
        <w:rPr>
          <w:rFonts w:ascii="Arial" w:hAnsi="Arial" w:cs="Arial"/>
          <w:sz w:val="24"/>
          <w:szCs w:val="24"/>
        </w:rPr>
      </w:pPr>
      <w:r w:rsidRPr="00B61FF1">
        <w:rPr>
          <w:rFonts w:ascii="Arial" w:hAnsi="Arial" w:cs="Arial"/>
          <w:sz w:val="24"/>
          <w:szCs w:val="24"/>
        </w:rPr>
        <w:lastRenderedPageBreak/>
        <w:tab/>
      </w:r>
      <w:r w:rsidR="00E20F3D" w:rsidRPr="00B61FF1">
        <w:rPr>
          <w:rFonts w:ascii="Arial" w:hAnsi="Arial" w:cs="Arial"/>
          <w:sz w:val="24"/>
          <w:szCs w:val="24"/>
        </w:rPr>
        <w:t xml:space="preserve">(B) </w:t>
      </w:r>
      <w:r w:rsidRPr="00B61FF1">
        <w:rPr>
          <w:rFonts w:ascii="Arial" w:hAnsi="Arial" w:cs="Arial"/>
          <w:sz w:val="24"/>
          <w:szCs w:val="24"/>
        </w:rPr>
        <w:tab/>
      </w:r>
      <w:r w:rsidR="00E20F3D" w:rsidRPr="00B61FF1">
        <w:rPr>
          <w:rFonts w:ascii="Arial" w:hAnsi="Arial" w:cs="Arial"/>
          <w:sz w:val="24"/>
          <w:szCs w:val="24"/>
        </w:rPr>
        <w:t>“Facility,” with respect to natural gas distribution for the purposes of sections 95150 through 95158 of MRR, means the collection of all distribution pipelines and metering-regulating stations that are operated by a Local Distribution Company (LDC) within the State of California that is regulated as a separate operating company by a public utility commission or that are operated as an independent municipally-owned distribution system.</w:t>
      </w:r>
    </w:p>
    <w:p w14:paraId="23F3D80D" w14:textId="77777777" w:rsidR="00E331FF" w:rsidRPr="00B61FF1" w:rsidRDefault="00E331FF" w:rsidP="00E331FF">
      <w:pPr>
        <w:tabs>
          <w:tab w:val="left" w:pos="1080"/>
          <w:tab w:val="left" w:pos="3780"/>
        </w:tabs>
        <w:spacing w:line="360" w:lineRule="auto"/>
        <w:ind w:left="1800" w:hanging="1440"/>
        <w:rPr>
          <w:rFonts w:ascii="Arial" w:hAnsi="Arial" w:cs="Arial"/>
          <w:sz w:val="24"/>
          <w:szCs w:val="24"/>
        </w:rPr>
      </w:pPr>
      <w:r w:rsidRPr="00B61FF1">
        <w:rPr>
          <w:rFonts w:ascii="Arial" w:hAnsi="Arial" w:cs="Arial"/>
          <w:sz w:val="24"/>
          <w:szCs w:val="24"/>
        </w:rPr>
        <w:tab/>
      </w:r>
      <w:r w:rsidR="00E20F3D" w:rsidRPr="00B61FF1">
        <w:rPr>
          <w:rFonts w:ascii="Arial" w:hAnsi="Arial" w:cs="Arial"/>
          <w:sz w:val="24"/>
          <w:szCs w:val="24"/>
        </w:rPr>
        <w:t xml:space="preserve">(C) </w:t>
      </w:r>
      <w:r w:rsidRPr="00B61FF1">
        <w:rPr>
          <w:rFonts w:ascii="Arial" w:hAnsi="Arial" w:cs="Arial"/>
          <w:sz w:val="24"/>
          <w:szCs w:val="24"/>
        </w:rPr>
        <w:tab/>
      </w:r>
      <w:r w:rsidR="00E20F3D" w:rsidRPr="00B61FF1">
        <w:rPr>
          <w:rFonts w:ascii="Arial" w:hAnsi="Arial" w:cs="Arial"/>
          <w:sz w:val="24"/>
          <w:szCs w:val="24"/>
        </w:rPr>
        <w:t xml:space="preserve">“Facility,” with respect to onshore petroleum and natural gas production for the purposes of sections 95150 through 95158 of MRR, means all petroleum and natural gas equipment on a well-pad or associated with a well </w:t>
      </w:r>
      <w:r w:rsidR="004C0EF2" w:rsidRPr="00B61FF1">
        <w:rPr>
          <w:rFonts w:ascii="Arial" w:hAnsi="Arial" w:cs="Arial"/>
          <w:sz w:val="24"/>
          <w:szCs w:val="24"/>
        </w:rPr>
        <w:t>pad and CO</w:t>
      </w:r>
      <w:r w:rsidR="00E20F3D" w:rsidRPr="00B61FF1">
        <w:rPr>
          <w:rFonts w:ascii="Arial" w:hAnsi="Arial" w:cs="Arial"/>
          <w:sz w:val="24"/>
          <w:szCs w:val="24"/>
          <w:vertAlign w:val="subscript"/>
        </w:rPr>
        <w:t>2</w:t>
      </w:r>
      <w:r w:rsidR="00E20F3D" w:rsidRPr="00B61FF1">
        <w:rPr>
          <w:rFonts w:ascii="Arial" w:hAnsi="Arial" w:cs="Arial"/>
          <w:sz w:val="24"/>
          <w:szCs w:val="24"/>
        </w:rPr>
        <w:t xml:space="preserve"> EOR operations that are under common ownership or common control including leased, rented, or contracted activities by an onshore petroleum and natural gas production owner or operator and that are located in a single hydrocarbon basin as defined in section 95102(a) of MRR. Where a person or entity owns or operates more than one well in a basin, then all onshore petroleum and natural gas production equipment associated with all wells that the person or entity owns or operates in the basin would be considered one facility.</w:t>
      </w:r>
    </w:p>
    <w:p w14:paraId="5CB43068"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00</w:t>
      </w:r>
      <w:r w:rsidRPr="00B61FF1">
        <w:rPr>
          <w:rFonts w:ascii="Arial" w:hAnsi="Arial" w:cs="Arial"/>
          <w:sz w:val="24"/>
          <w:szCs w:val="24"/>
        </w:rPr>
        <w:t>)</w:t>
      </w:r>
      <w:r w:rsidR="00A2571C"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"Fiberglass Glass Pulled" means the quan</w:t>
      </w:r>
      <w:r w:rsidR="00E919BF" w:rsidRPr="00B61FF1">
        <w:rPr>
          <w:rFonts w:ascii="Arial" w:hAnsi="Arial" w:cs="Arial"/>
          <w:sz w:val="24"/>
          <w:szCs w:val="24"/>
        </w:rPr>
        <w:t xml:space="preserve">tity of glass removed from the </w:t>
      </w:r>
      <w:r w:rsidRPr="00B61FF1">
        <w:rPr>
          <w:rFonts w:ascii="Arial" w:hAnsi="Arial" w:cs="Arial"/>
          <w:sz w:val="24"/>
          <w:szCs w:val="24"/>
        </w:rPr>
        <w:t xml:space="preserve">melting furnace in the fiberglass manufacturing process where </w:t>
      </w:r>
      <w:r w:rsidR="00B43F70" w:rsidRPr="00B61FF1">
        <w:rPr>
          <w:rFonts w:ascii="Arial" w:hAnsi="Arial" w:cs="Arial"/>
          <w:sz w:val="24"/>
          <w:szCs w:val="24"/>
        </w:rPr>
        <w:t>"F</w:t>
      </w:r>
      <w:r w:rsidRPr="00B61FF1">
        <w:rPr>
          <w:rFonts w:ascii="Arial" w:hAnsi="Arial" w:cs="Arial"/>
          <w:sz w:val="24"/>
          <w:szCs w:val="24"/>
        </w:rPr>
        <w:t>iberglass" is defined as insulation products for thermal, acoustic and fire applications manufactured using glass.</w:t>
      </w:r>
    </w:p>
    <w:p w14:paraId="07B1DCC7" w14:textId="77777777" w:rsidR="00E20F3D" w:rsidRPr="00B61FF1" w:rsidRDefault="00E20F3D" w:rsidP="00E20F3D">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(101) </w:t>
      </w:r>
      <w:r w:rsidRPr="00B61FF1">
        <w:rPr>
          <w:rFonts w:ascii="Arial" w:hAnsi="Arial" w:cs="Arial"/>
          <w:sz w:val="24"/>
          <w:szCs w:val="24"/>
        </w:rPr>
        <w:tab/>
        <w:t>“Final Point of Delivery” means the sink specified on the NERC e-Tag, where defined points have been established through the NERC Registry.  When NERC e-Tags are not used to document electricity deliveries, as may be the case within a balancing authority, the final point of delivery is the location of the load.  Exported electricity is disaggregated by the final point of delivery on the NERC e-Tag.</w:t>
      </w:r>
    </w:p>
    <w:p w14:paraId="4D6F6D59" w14:textId="77777777" w:rsidR="0054122B" w:rsidRPr="00B61FF1" w:rsidRDefault="0054122B" w:rsidP="00DE7AB5">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E03421"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00E919BF" w:rsidRPr="00B61FF1">
        <w:rPr>
          <w:rFonts w:ascii="Arial" w:hAnsi="Arial" w:cs="Arial"/>
          <w:sz w:val="24"/>
          <w:szCs w:val="24"/>
        </w:rPr>
        <w:t xml:space="preserve">“First </w:t>
      </w:r>
      <w:r w:rsidR="00B43F70" w:rsidRPr="00B61FF1">
        <w:rPr>
          <w:rFonts w:ascii="Arial" w:hAnsi="Arial" w:cs="Arial"/>
          <w:sz w:val="24"/>
          <w:szCs w:val="24"/>
        </w:rPr>
        <w:t>D</w:t>
      </w:r>
      <w:r w:rsidR="00E919BF" w:rsidRPr="00B61FF1">
        <w:rPr>
          <w:rFonts w:ascii="Arial" w:hAnsi="Arial" w:cs="Arial"/>
          <w:sz w:val="24"/>
          <w:szCs w:val="24"/>
        </w:rPr>
        <w:t xml:space="preserve">eliverer of </w:t>
      </w:r>
      <w:r w:rsidR="00B43F70" w:rsidRPr="00B61FF1">
        <w:rPr>
          <w:rFonts w:ascii="Arial" w:hAnsi="Arial" w:cs="Arial"/>
          <w:sz w:val="24"/>
          <w:szCs w:val="24"/>
        </w:rPr>
        <w:t>E</w:t>
      </w:r>
      <w:r w:rsidRPr="00B61FF1">
        <w:rPr>
          <w:rFonts w:ascii="Arial" w:hAnsi="Arial" w:cs="Arial"/>
          <w:sz w:val="24"/>
          <w:szCs w:val="24"/>
        </w:rPr>
        <w:t xml:space="preserve">lectricity” </w:t>
      </w:r>
      <w:r w:rsidR="001850BF" w:rsidRPr="00B61FF1">
        <w:rPr>
          <w:rFonts w:ascii="Arial" w:hAnsi="Arial" w:cs="Arial"/>
          <w:sz w:val="24"/>
          <w:szCs w:val="24"/>
        </w:rPr>
        <w:t xml:space="preserve">or “First Deliverer” </w:t>
      </w:r>
      <w:r w:rsidRPr="00B61FF1">
        <w:rPr>
          <w:rFonts w:ascii="Arial" w:hAnsi="Arial" w:cs="Arial"/>
          <w:sz w:val="24"/>
          <w:szCs w:val="24"/>
        </w:rPr>
        <w:t xml:space="preserve">means the </w:t>
      </w:r>
      <w:r w:rsidR="004C0EF2" w:rsidRPr="00B61FF1">
        <w:rPr>
          <w:rFonts w:ascii="Arial" w:hAnsi="Arial" w:cs="Arial"/>
          <w:sz w:val="24"/>
          <w:szCs w:val="24"/>
        </w:rPr>
        <w:t xml:space="preserve">owner or </w:t>
      </w:r>
      <w:r w:rsidRPr="00B61FF1">
        <w:rPr>
          <w:rFonts w:ascii="Arial" w:hAnsi="Arial" w:cs="Arial"/>
          <w:sz w:val="24"/>
          <w:szCs w:val="24"/>
        </w:rPr>
        <w:t xml:space="preserve">operator of an electricity generating facility in California or an electricity importer. </w:t>
      </w:r>
    </w:p>
    <w:p w14:paraId="46C2CBDE" w14:textId="77777777" w:rsidR="00E20F3D" w:rsidRPr="00B61FF1" w:rsidRDefault="00E20F3D" w:rsidP="00E20F3D">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(103) </w:t>
      </w:r>
      <w:r w:rsidRPr="00B61FF1">
        <w:rPr>
          <w:rFonts w:ascii="Arial" w:hAnsi="Arial" w:cs="Arial"/>
          <w:sz w:val="24"/>
          <w:szCs w:val="24"/>
        </w:rPr>
        <w:tab/>
        <w:t>“First Point of Receipt” means the generation source specified on the NERC e-Tag, where defined points have been established through the NERC Registry.  When NERC e-Tags are not used to document electricity deliveries, as may be the case within a balancing authority, the first point of receipt is the location of the individual generating facility or unit, or group of generating facilities or units.  Imported electricity and wheeled electricity are disaggregated by the first point of receipt on the NERC e-Tag.</w:t>
      </w:r>
    </w:p>
    <w:p w14:paraId="3A13EA00" w14:textId="77777777" w:rsidR="0054122B" w:rsidRPr="00B61FF1" w:rsidRDefault="0054122B" w:rsidP="00DE7AB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A2571C"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“Fla</w:t>
      </w:r>
      <w:r w:rsidR="00E919BF" w:rsidRPr="00B61FF1">
        <w:rPr>
          <w:rFonts w:ascii="Arial" w:hAnsi="Arial" w:cs="Arial"/>
          <w:sz w:val="24"/>
          <w:szCs w:val="24"/>
        </w:rPr>
        <w:t xml:space="preserve">sh </w:t>
      </w:r>
      <w:r w:rsidR="00B90CD6" w:rsidRPr="00B61FF1">
        <w:rPr>
          <w:rFonts w:ascii="Arial" w:hAnsi="Arial" w:cs="Arial"/>
          <w:sz w:val="24"/>
          <w:szCs w:val="24"/>
        </w:rPr>
        <w:t>P</w:t>
      </w:r>
      <w:r w:rsidRPr="00B61FF1">
        <w:rPr>
          <w:rFonts w:ascii="Arial" w:hAnsi="Arial" w:cs="Arial"/>
          <w:sz w:val="24"/>
          <w:szCs w:val="24"/>
        </w:rPr>
        <w:t xml:space="preserve">oint” of a </w:t>
      </w:r>
      <w:hyperlink r:id="rId9" w:tooltip="Volatility (chemistry)" w:history="1">
        <w:r w:rsidRPr="00B61FF1">
          <w:rPr>
            <w:rFonts w:ascii="Arial" w:hAnsi="Arial" w:cs="Arial"/>
            <w:sz w:val="24"/>
            <w:szCs w:val="24"/>
          </w:rPr>
          <w:t>volatile</w:t>
        </w:r>
      </w:hyperlink>
      <w:r w:rsidRPr="00B61FF1">
        <w:rPr>
          <w:rFonts w:ascii="Arial" w:hAnsi="Arial" w:cs="Arial"/>
          <w:sz w:val="24"/>
          <w:szCs w:val="24"/>
        </w:rPr>
        <w:t xml:space="preserve"> liquid is the lowest </w:t>
      </w:r>
      <w:hyperlink r:id="rId10" w:tooltip="Temperature" w:history="1">
        <w:r w:rsidRPr="00B61FF1">
          <w:rPr>
            <w:rFonts w:ascii="Arial" w:hAnsi="Arial" w:cs="Arial"/>
            <w:sz w:val="24"/>
            <w:szCs w:val="24"/>
          </w:rPr>
          <w:t>temperature</w:t>
        </w:r>
      </w:hyperlink>
      <w:r w:rsidRPr="00B61FF1">
        <w:rPr>
          <w:rFonts w:ascii="Arial" w:hAnsi="Arial" w:cs="Arial"/>
          <w:sz w:val="24"/>
          <w:szCs w:val="24"/>
        </w:rPr>
        <w:t xml:space="preserve"> at which it can vaporize to form an ignitable mixture in </w:t>
      </w:r>
      <w:hyperlink r:id="rId11" w:tooltip="Air" w:history="1">
        <w:r w:rsidRPr="00B61FF1">
          <w:rPr>
            <w:rFonts w:ascii="Arial" w:hAnsi="Arial" w:cs="Arial"/>
            <w:sz w:val="24"/>
            <w:szCs w:val="24"/>
          </w:rPr>
          <w:t>air</w:t>
        </w:r>
      </w:hyperlink>
      <w:r w:rsidRPr="00B61FF1">
        <w:rPr>
          <w:rFonts w:ascii="Arial" w:hAnsi="Arial" w:cs="Arial"/>
          <w:sz w:val="24"/>
          <w:szCs w:val="24"/>
        </w:rPr>
        <w:t>.</w:t>
      </w:r>
    </w:p>
    <w:p w14:paraId="2904E07C"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5</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"Flat Glass Pulled" means the quantity of </w:t>
      </w:r>
      <w:r w:rsidR="00E919BF" w:rsidRPr="00B61FF1">
        <w:rPr>
          <w:rFonts w:ascii="Arial" w:hAnsi="Arial" w:cs="Arial"/>
          <w:sz w:val="24"/>
          <w:szCs w:val="24"/>
        </w:rPr>
        <w:t>glass removed from the melting</w:t>
      </w:r>
      <w:r w:rsidRPr="00B61FF1">
        <w:rPr>
          <w:rFonts w:ascii="Arial" w:hAnsi="Arial" w:cs="Arial"/>
          <w:sz w:val="24"/>
          <w:szCs w:val="24"/>
        </w:rPr>
        <w:t xml:space="preserve"> furnace in the flat glass manufacturing process where "flat glass" is defined as glass initially manufactured in a sheet form. </w:t>
      </w:r>
    </w:p>
    <w:p w14:paraId="3B24D0C2" w14:textId="77777777" w:rsidR="0054122B" w:rsidRPr="00B61FF1" w:rsidRDefault="00AE52E6"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6</w:t>
      </w:r>
      <w:r w:rsidR="0054122B" w:rsidRPr="00B61FF1">
        <w:rPr>
          <w:rFonts w:ascii="Arial" w:hAnsi="Arial" w:cs="Arial"/>
          <w:sz w:val="24"/>
          <w:szCs w:val="24"/>
        </w:rPr>
        <w:t xml:space="preserve">) </w:t>
      </w:r>
      <w:r w:rsidR="00CD4B45" w:rsidRPr="00B61FF1">
        <w:rPr>
          <w:rFonts w:ascii="Arial" w:hAnsi="Arial" w:cs="Arial"/>
          <w:sz w:val="24"/>
          <w:szCs w:val="24"/>
        </w:rPr>
        <w:tab/>
      </w:r>
      <w:r w:rsidR="00E919BF" w:rsidRPr="00B61FF1">
        <w:rPr>
          <w:rFonts w:ascii="Arial" w:hAnsi="Arial" w:cs="Arial"/>
          <w:sz w:val="24"/>
          <w:szCs w:val="24"/>
        </w:rPr>
        <w:t xml:space="preserve">“Fluorinated </w:t>
      </w:r>
      <w:r w:rsidR="00B90CD6" w:rsidRPr="00B61FF1">
        <w:rPr>
          <w:rFonts w:ascii="Arial" w:hAnsi="Arial" w:cs="Arial"/>
          <w:sz w:val="24"/>
          <w:szCs w:val="24"/>
        </w:rPr>
        <w:t>G</w:t>
      </w:r>
      <w:r w:rsidR="00E919BF" w:rsidRPr="00B61FF1">
        <w:rPr>
          <w:rFonts w:ascii="Arial" w:hAnsi="Arial" w:cs="Arial"/>
          <w:sz w:val="24"/>
          <w:szCs w:val="24"/>
        </w:rPr>
        <w:t xml:space="preserve">reenhouse </w:t>
      </w:r>
      <w:r w:rsidR="00B90CD6" w:rsidRPr="00B61FF1">
        <w:rPr>
          <w:rFonts w:ascii="Arial" w:hAnsi="Arial" w:cs="Arial"/>
          <w:sz w:val="24"/>
          <w:szCs w:val="24"/>
        </w:rPr>
        <w:t>G</w:t>
      </w:r>
      <w:r w:rsidR="0054122B" w:rsidRPr="00B61FF1">
        <w:rPr>
          <w:rFonts w:ascii="Arial" w:hAnsi="Arial" w:cs="Arial"/>
          <w:sz w:val="24"/>
          <w:szCs w:val="24"/>
        </w:rPr>
        <w:t>as” means sulfur hexafluoride (SF6), nitrogen trifluoride (NF3), and any fluorocarbon except for controlled substances as defined at 40 CFR Part 82, subpart A and substances with vapor pressures of less than 1 mm of Hg absolute at 25 C.  With these exceptions, “fluorinated GHG” includes any hydrofluorocarbon; any perfluorocarbon; any fully fluorinated linear, branched, or cyclic alkane, ether, tertiary amine, or aminoether; any perfluoropolyether; and any hydrofluoropolyether.</w:t>
      </w:r>
      <w:r w:rsidR="0054122B" w:rsidRPr="00B61FF1">
        <w:rPr>
          <w:rFonts w:ascii="Arial" w:hAnsi="Arial" w:cs="Arial"/>
          <w:sz w:val="24"/>
          <w:szCs w:val="24"/>
        </w:rPr>
        <w:tab/>
      </w:r>
    </w:p>
    <w:p w14:paraId="0E6988E8"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007C7ED7" w:rsidRPr="00B61FF1">
        <w:rPr>
          <w:rFonts w:ascii="Arial" w:hAnsi="Arial" w:cs="Arial"/>
          <w:sz w:val="24"/>
          <w:szCs w:val="24"/>
        </w:rPr>
        <w:t>“Fluting” means the cent</w:t>
      </w:r>
      <w:r w:rsidRPr="00B61FF1">
        <w:rPr>
          <w:rFonts w:ascii="Arial" w:hAnsi="Arial" w:cs="Arial"/>
          <w:sz w:val="24"/>
          <w:szCs w:val="24"/>
        </w:rPr>
        <w:t>e</w:t>
      </w:r>
      <w:r w:rsidR="007C7ED7" w:rsidRPr="00B61FF1">
        <w:rPr>
          <w:rFonts w:ascii="Arial" w:hAnsi="Arial" w:cs="Arial"/>
          <w:sz w:val="24"/>
          <w:szCs w:val="24"/>
        </w:rPr>
        <w:t>r</w:t>
      </w:r>
      <w:r w:rsidRPr="00B61FF1">
        <w:rPr>
          <w:rFonts w:ascii="Arial" w:hAnsi="Arial" w:cs="Arial"/>
          <w:sz w:val="24"/>
          <w:szCs w:val="24"/>
        </w:rPr>
        <w:t xml:space="preserve"> segment of corrugated shipping containers, being faced with linerboard (testliner/kraftliner) on both sides.  Fluting covers mainly papers made from recycled fiber but this group also holds paperboard that is made from chemical and semichemical pulp.</w:t>
      </w:r>
    </w:p>
    <w:p w14:paraId="01B5EB60"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“Forest Buffer Account” means a holding account for ARB offset credits issued to forest offset projects.  It is used as a general insurance </w:t>
      </w:r>
      <w:r w:rsidRPr="00B61FF1">
        <w:rPr>
          <w:rFonts w:ascii="Arial" w:hAnsi="Arial" w:cs="Arial"/>
          <w:sz w:val="24"/>
          <w:szCs w:val="24"/>
        </w:rPr>
        <w:lastRenderedPageBreak/>
        <w:t>mechanism against unintentional reversals, for all forest offset projects listed under a Compliance Offset Protocol.</w:t>
      </w:r>
    </w:p>
    <w:p w14:paraId="3B13731B" w14:textId="77777777" w:rsidR="0054122B" w:rsidRPr="00B61FF1" w:rsidRDefault="0054122B" w:rsidP="00E919BF">
      <w:pPr>
        <w:tabs>
          <w:tab w:val="left" w:pos="3780"/>
        </w:tabs>
        <w:spacing w:line="360" w:lineRule="auto"/>
        <w:ind w:left="1080" w:hanging="720"/>
        <w:rPr>
          <w:rFonts w:ascii="Arial" w:hAnsi="Arial" w:cs="Arial"/>
          <w:dstrike/>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0</w:t>
      </w:r>
      <w:r w:rsidR="00E20F3D"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“Forest Owner” means the owner of any interest in the </w:t>
      </w:r>
      <w:r w:rsidR="002A598C" w:rsidRPr="00B61FF1">
        <w:rPr>
          <w:rFonts w:ascii="Arial" w:hAnsi="Arial" w:cs="Arial"/>
          <w:sz w:val="24"/>
          <w:szCs w:val="24"/>
        </w:rPr>
        <w:t xml:space="preserve">real (as opposed to personal) </w:t>
      </w:r>
      <w:r w:rsidRPr="00B61FF1">
        <w:rPr>
          <w:rFonts w:ascii="Arial" w:hAnsi="Arial" w:cs="Arial"/>
          <w:sz w:val="24"/>
          <w:szCs w:val="24"/>
        </w:rPr>
        <w:t>property involved in a forest offset project</w:t>
      </w:r>
      <w:r w:rsidR="002A598C" w:rsidRPr="00B61FF1">
        <w:rPr>
          <w:rFonts w:ascii="Arial" w:hAnsi="Arial" w:cs="Arial"/>
          <w:sz w:val="24"/>
          <w:szCs w:val="24"/>
        </w:rPr>
        <w:t>, excluding government agency third party beneficiaries of conservation easements</w:t>
      </w:r>
      <w:r w:rsidRPr="00B61FF1">
        <w:rPr>
          <w:rFonts w:ascii="Arial" w:hAnsi="Arial" w:cs="Arial"/>
          <w:sz w:val="24"/>
          <w:szCs w:val="24"/>
        </w:rPr>
        <w:t xml:space="preserve">.  Generally, a Forest Owner is the owner in fee of the </w:t>
      </w:r>
      <w:r w:rsidR="002107BF" w:rsidRPr="00B61FF1">
        <w:rPr>
          <w:rFonts w:ascii="Arial" w:hAnsi="Arial" w:cs="Arial"/>
          <w:sz w:val="24"/>
          <w:szCs w:val="24"/>
        </w:rPr>
        <w:t xml:space="preserve">real </w:t>
      </w:r>
      <w:r w:rsidRPr="00B61FF1">
        <w:rPr>
          <w:rFonts w:ascii="Arial" w:hAnsi="Arial" w:cs="Arial"/>
          <w:sz w:val="24"/>
          <w:szCs w:val="24"/>
        </w:rPr>
        <w:t xml:space="preserve">property involved in a forest offset project.  In some cases, one entity may be the owner in fee while another entity may have an interest in the trees or the timber on the property, in which case all entities or individuals with interest in the </w:t>
      </w:r>
      <w:r w:rsidR="002107BF" w:rsidRPr="00B61FF1">
        <w:rPr>
          <w:rFonts w:ascii="Arial" w:hAnsi="Arial" w:cs="Arial"/>
          <w:sz w:val="24"/>
          <w:szCs w:val="24"/>
        </w:rPr>
        <w:t xml:space="preserve">real </w:t>
      </w:r>
      <w:r w:rsidRPr="00B61FF1">
        <w:rPr>
          <w:rFonts w:ascii="Arial" w:hAnsi="Arial" w:cs="Arial"/>
          <w:sz w:val="24"/>
          <w:szCs w:val="24"/>
        </w:rPr>
        <w:t xml:space="preserve">property are collectively considered the Forest Owners, however, a single Forest Owner must be identified as the Offset Project Operator.  </w:t>
      </w:r>
    </w:p>
    <w:p w14:paraId="7433933F" w14:textId="77777777" w:rsidR="0054122B" w:rsidRPr="00B61FF1" w:rsidRDefault="0054122B" w:rsidP="00E919BF">
      <w:pPr>
        <w:tabs>
          <w:tab w:val="left" w:pos="3780"/>
        </w:tabs>
        <w:spacing w:line="360" w:lineRule="auto"/>
        <w:ind w:left="1080" w:hanging="720"/>
        <w:rPr>
          <w:rFonts w:ascii="Arial" w:hAnsi="Arial" w:cs="Arial"/>
          <w:color w:val="000000"/>
          <w:sz w:val="24"/>
          <w:szCs w:val="24"/>
        </w:rPr>
      </w:pPr>
      <w:r w:rsidRPr="00B61FF1">
        <w:rPr>
          <w:rFonts w:ascii="Arial" w:hAnsi="Arial" w:cs="Arial"/>
          <w:color w:val="000000"/>
          <w:sz w:val="24"/>
          <w:szCs w:val="24"/>
        </w:rPr>
        <w:t>(</w:t>
      </w:r>
      <w:r w:rsidR="00E03421" w:rsidRPr="00B61FF1">
        <w:rPr>
          <w:rFonts w:ascii="Arial" w:hAnsi="Arial" w:cs="Arial"/>
          <w:sz w:val="24"/>
          <w:szCs w:val="24"/>
        </w:rPr>
        <w:t>1</w:t>
      </w:r>
      <w:r w:rsidR="00E20F3D" w:rsidRPr="00B61FF1">
        <w:rPr>
          <w:rFonts w:ascii="Arial" w:hAnsi="Arial" w:cs="Arial"/>
          <w:sz w:val="24"/>
          <w:szCs w:val="24"/>
        </w:rPr>
        <w:t>10</w:t>
      </w:r>
      <w:r w:rsidRPr="00B61FF1">
        <w:rPr>
          <w:rFonts w:ascii="Arial" w:hAnsi="Arial" w:cs="Arial"/>
          <w:color w:val="000000"/>
          <w:sz w:val="24"/>
          <w:szCs w:val="24"/>
        </w:rPr>
        <w:t xml:space="preserve">) </w:t>
      </w:r>
      <w:r w:rsidR="00CD4B45" w:rsidRPr="00B61FF1">
        <w:rPr>
          <w:rFonts w:ascii="Arial" w:hAnsi="Arial" w:cs="Arial"/>
          <w:color w:val="000000"/>
          <w:sz w:val="24"/>
          <w:szCs w:val="24"/>
        </w:rPr>
        <w:tab/>
      </w:r>
      <w:r w:rsidRPr="00B61FF1">
        <w:rPr>
          <w:rFonts w:ascii="Arial" w:hAnsi="Arial" w:cs="Arial"/>
          <w:color w:val="000000"/>
          <w:sz w:val="24"/>
          <w:szCs w:val="24"/>
        </w:rPr>
        <w:t xml:space="preserve">“Fossil </w:t>
      </w:r>
      <w:r w:rsidR="00B90CD6" w:rsidRPr="00B61FF1">
        <w:rPr>
          <w:rFonts w:ascii="Arial" w:hAnsi="Arial" w:cs="Arial"/>
          <w:color w:val="000000"/>
          <w:sz w:val="24"/>
          <w:szCs w:val="24"/>
        </w:rPr>
        <w:t>F</w:t>
      </w:r>
      <w:r w:rsidRPr="00B61FF1">
        <w:rPr>
          <w:rFonts w:ascii="Arial" w:hAnsi="Arial" w:cs="Arial"/>
          <w:color w:val="000000"/>
          <w:sz w:val="24"/>
          <w:szCs w:val="24"/>
        </w:rPr>
        <w:t>uel” means natural gas, petroleum, coal, or any form of solid, liquid, or gaseous</w:t>
      </w:r>
      <w:r w:rsidR="00FA3C46" w:rsidRPr="00B61FF1">
        <w:rPr>
          <w:rFonts w:ascii="Arial" w:hAnsi="Arial" w:cs="Arial"/>
          <w:color w:val="000000"/>
          <w:sz w:val="24"/>
          <w:szCs w:val="24"/>
        </w:rPr>
        <w:t xml:space="preserve"> fuel derived from such material</w:t>
      </w:r>
      <w:r w:rsidR="007C7ED7" w:rsidRPr="00B61FF1">
        <w:rPr>
          <w:rFonts w:ascii="Arial" w:hAnsi="Arial" w:cs="Arial"/>
          <w:color w:val="000000"/>
          <w:sz w:val="24"/>
          <w:szCs w:val="24"/>
        </w:rPr>
        <w:t xml:space="preserve"> for the purpose of creating useful heat</w:t>
      </w:r>
      <w:r w:rsidRPr="00B61FF1">
        <w:rPr>
          <w:rFonts w:ascii="Arial" w:hAnsi="Arial" w:cs="Arial"/>
          <w:color w:val="000000"/>
          <w:sz w:val="24"/>
          <w:szCs w:val="24"/>
        </w:rPr>
        <w:t>.</w:t>
      </w:r>
    </w:p>
    <w:p w14:paraId="79A4D0D1"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1D2089" w:rsidRPr="00B61FF1">
        <w:rPr>
          <w:rFonts w:ascii="Arial" w:hAnsi="Arial" w:cs="Arial"/>
          <w:sz w:val="24"/>
          <w:szCs w:val="24"/>
        </w:rPr>
        <w:t>11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“Fractionates” means the process of separating natural gas liquids into their constituent liquid products.</w:t>
      </w:r>
    </w:p>
    <w:p w14:paraId="42EBE8B9"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1D2089" w:rsidRPr="00B61FF1">
        <w:rPr>
          <w:rFonts w:ascii="Arial" w:hAnsi="Arial" w:cs="Arial"/>
          <w:sz w:val="24"/>
          <w:szCs w:val="24"/>
        </w:rPr>
        <w:t>12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“Fuel” means solid, liquid, or gaseous combustible material.  Volatile organic compounds burned in destruction devices are not fuels unless they can sustain combustion without use of a pilot fuel</w:t>
      </w:r>
      <w:r w:rsidR="00CA5F3F" w:rsidRPr="00B61FF1">
        <w:rPr>
          <w:rFonts w:ascii="Arial" w:hAnsi="Arial" w:cs="Arial"/>
          <w:sz w:val="24"/>
          <w:szCs w:val="24"/>
        </w:rPr>
        <w:t>,</w:t>
      </w:r>
      <w:r w:rsidRPr="00B61FF1">
        <w:rPr>
          <w:rFonts w:ascii="Arial" w:hAnsi="Arial" w:cs="Arial"/>
          <w:sz w:val="24"/>
          <w:szCs w:val="24"/>
        </w:rPr>
        <w:t xml:space="preserve"> and such destruction does not result in a commercially useful end product.</w:t>
      </w:r>
    </w:p>
    <w:p w14:paraId="6F4BD25A"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00E919BF" w:rsidRPr="00B61FF1">
        <w:rPr>
          <w:rFonts w:ascii="Arial" w:hAnsi="Arial" w:cs="Arial"/>
          <w:sz w:val="24"/>
          <w:szCs w:val="24"/>
        </w:rPr>
        <w:t xml:space="preserve">“Fuel </w:t>
      </w:r>
      <w:r w:rsidR="00B90CD6" w:rsidRPr="00B61FF1">
        <w:rPr>
          <w:rFonts w:ascii="Arial" w:hAnsi="Arial" w:cs="Arial"/>
          <w:sz w:val="24"/>
          <w:szCs w:val="24"/>
        </w:rPr>
        <w:t>A</w:t>
      </w:r>
      <w:r w:rsidR="00E919BF" w:rsidRPr="00B61FF1">
        <w:rPr>
          <w:rFonts w:ascii="Arial" w:hAnsi="Arial" w:cs="Arial"/>
          <w:sz w:val="24"/>
          <w:szCs w:val="24"/>
        </w:rPr>
        <w:t xml:space="preserve">nalytical </w:t>
      </w:r>
      <w:r w:rsidR="00B90CD6" w:rsidRPr="00B61FF1">
        <w:rPr>
          <w:rFonts w:ascii="Arial" w:hAnsi="Arial" w:cs="Arial"/>
          <w:sz w:val="24"/>
          <w:szCs w:val="24"/>
        </w:rPr>
        <w:t>D</w:t>
      </w:r>
      <w:r w:rsidRPr="00B61FF1">
        <w:rPr>
          <w:rFonts w:ascii="Arial" w:hAnsi="Arial" w:cs="Arial"/>
          <w:sz w:val="24"/>
          <w:szCs w:val="24"/>
        </w:rPr>
        <w:t>ata” means data collected about fuel usage (including mass, volume, and flow rate) and fuel characteristics (including heating value, carbon content, and molecular weight) to support emissions calculation.</w:t>
      </w:r>
    </w:p>
    <w:p w14:paraId="4AD1BC08"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A2571C"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00E919BF" w:rsidRPr="00B61FF1">
        <w:rPr>
          <w:rFonts w:ascii="Arial" w:hAnsi="Arial" w:cs="Arial"/>
          <w:sz w:val="24"/>
          <w:szCs w:val="24"/>
        </w:rPr>
        <w:t>“Fuel s</w:t>
      </w:r>
      <w:r w:rsidRPr="00B61FF1">
        <w:rPr>
          <w:rFonts w:ascii="Arial" w:hAnsi="Arial" w:cs="Arial"/>
          <w:sz w:val="24"/>
          <w:szCs w:val="24"/>
        </w:rPr>
        <w:t>upplier” means</w:t>
      </w:r>
      <w:r w:rsidRPr="00B61FF1">
        <w:rPr>
          <w:rFonts w:ascii="Arial" w:hAnsi="Arial" w:cs="Arial"/>
        </w:rPr>
        <w:t xml:space="preserve"> </w:t>
      </w:r>
      <w:r w:rsidRPr="00B61FF1">
        <w:rPr>
          <w:rFonts w:ascii="Arial" w:hAnsi="Arial" w:cs="Arial"/>
          <w:sz w:val="24"/>
          <w:szCs w:val="24"/>
        </w:rPr>
        <w:t>a supplier of petroleum products, a supplier of biomass-derived transportation fuels, a supplier of natural gas, or a supplier of liquid petroleum gas as specified in MRR.</w:t>
      </w:r>
    </w:p>
    <w:p w14:paraId="6B276A20"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“Fugitive </w:t>
      </w:r>
      <w:r w:rsidR="00B90CD6" w:rsidRPr="00B61FF1">
        <w:rPr>
          <w:rFonts w:ascii="Arial" w:hAnsi="Arial" w:cs="Arial"/>
          <w:sz w:val="24"/>
          <w:szCs w:val="24"/>
        </w:rPr>
        <w:t>E</w:t>
      </w:r>
      <w:r w:rsidRPr="00B61FF1">
        <w:rPr>
          <w:rFonts w:ascii="Arial" w:hAnsi="Arial" w:cs="Arial"/>
          <w:sz w:val="24"/>
          <w:szCs w:val="24"/>
        </w:rPr>
        <w:t>missions” means those emissions which are unintentional and could not reasonably pass through a stack, chimney, vent, or other functionally-equivalent opening.</w:t>
      </w:r>
    </w:p>
    <w:p w14:paraId="21D2BD31" w14:textId="458AF124" w:rsidR="00F64BB5" w:rsidRPr="00B61FF1" w:rsidRDefault="00F64BB5" w:rsidP="00F64BB5">
      <w:pPr>
        <w:spacing w:line="360" w:lineRule="auto"/>
        <w:ind w:left="1080" w:hanging="720"/>
        <w:rPr>
          <w:rFonts w:ascii="Arial" w:hAnsi="Arial" w:cs="Arial"/>
          <w:sz w:val="24"/>
          <w:szCs w:val="24"/>
          <w:u w:val="single"/>
        </w:rPr>
      </w:pPr>
      <w:r w:rsidRPr="00B61FF1">
        <w:rPr>
          <w:rFonts w:ascii="Arial" w:hAnsi="Arial" w:cs="Arial"/>
          <w:sz w:val="24"/>
          <w:szCs w:val="24"/>
          <w:u w:val="single"/>
        </w:rPr>
        <w:lastRenderedPageBreak/>
        <w:t>(XX)</w:t>
      </w:r>
      <w:r w:rsidRPr="00B61FF1">
        <w:rPr>
          <w:rFonts w:ascii="Arial" w:hAnsi="Arial" w:cs="Arial"/>
          <w:sz w:val="24"/>
          <w:szCs w:val="24"/>
        </w:rPr>
        <w:tab/>
      </w:r>
      <w:r w:rsidRPr="00B61FF1">
        <w:rPr>
          <w:rFonts w:ascii="Arial" w:hAnsi="Arial" w:cs="Arial"/>
          <w:sz w:val="24"/>
          <w:szCs w:val="24"/>
          <w:u w:val="single"/>
        </w:rPr>
        <w:t>“Futures” means an agreement to purchase or sell a commodity for delivery in the future at a price that is determined at the initiation of the contract</w:t>
      </w:r>
      <w:r w:rsidR="00A2158B" w:rsidRPr="00B61FF1">
        <w:rPr>
          <w:rFonts w:ascii="Arial" w:hAnsi="Arial" w:cs="Arial"/>
          <w:sz w:val="24"/>
          <w:szCs w:val="24"/>
          <w:u w:val="single"/>
        </w:rPr>
        <w:t xml:space="preserve"> and</w:t>
      </w:r>
      <w:r w:rsidRPr="00B61FF1">
        <w:rPr>
          <w:rFonts w:ascii="Arial" w:hAnsi="Arial" w:cs="Arial"/>
          <w:sz w:val="24"/>
          <w:szCs w:val="24"/>
          <w:u w:val="single"/>
        </w:rPr>
        <w:t xml:space="preserve"> that obligates each party to fulfill the contracts at </w:t>
      </w:r>
      <w:r w:rsidR="00A2158B" w:rsidRPr="00B61FF1">
        <w:rPr>
          <w:rFonts w:ascii="Arial" w:hAnsi="Arial" w:cs="Arial"/>
          <w:sz w:val="24"/>
          <w:szCs w:val="24"/>
          <w:u w:val="single"/>
        </w:rPr>
        <w:t>a</w:t>
      </w:r>
      <w:r w:rsidRPr="00B61FF1">
        <w:rPr>
          <w:rFonts w:ascii="Arial" w:hAnsi="Arial" w:cs="Arial"/>
          <w:sz w:val="24"/>
          <w:szCs w:val="24"/>
          <w:u w:val="single"/>
        </w:rPr>
        <w:t xml:space="preserve"> specified price.</w:t>
      </w:r>
    </w:p>
    <w:p w14:paraId="621F4B0E" w14:textId="77777777" w:rsidR="0054122B" w:rsidRPr="00B61FF1" w:rsidRDefault="00AE52E6"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6</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"Galvanized Steel Sheet" means steel coate</w:t>
      </w:r>
      <w:r w:rsidR="00E919BF" w:rsidRPr="00B61FF1">
        <w:rPr>
          <w:rFonts w:ascii="Arial" w:hAnsi="Arial" w:cs="Arial"/>
          <w:sz w:val="24"/>
          <w:szCs w:val="24"/>
        </w:rPr>
        <w:t xml:space="preserve">d with a thin layer of zinc to </w:t>
      </w:r>
      <w:r w:rsidR="0054122B" w:rsidRPr="00B61FF1">
        <w:rPr>
          <w:rFonts w:ascii="Arial" w:hAnsi="Arial" w:cs="Arial"/>
          <w:sz w:val="24"/>
          <w:szCs w:val="24"/>
        </w:rPr>
        <w:t>provide corrosion resistance for such products as garbage cans, storage tanks, or framing for buildings.  Sheet steel normally must be cold-rolled prior to the galvanizing stage.</w:t>
      </w:r>
      <w:r w:rsidR="0054122B" w:rsidRPr="00B61FF1">
        <w:rPr>
          <w:rFonts w:ascii="Arial" w:hAnsi="Arial" w:cs="Arial"/>
          <w:sz w:val="24"/>
          <w:szCs w:val="24"/>
        </w:rPr>
        <w:tab/>
      </w:r>
    </w:p>
    <w:p w14:paraId="658F349F"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“Gas” means the state of matter distinguished from the solid and liquid states by: relatively low density and viscosity; relatively great expansion and contraction with changes in pressure and temperature; the ability to diffuse readily; and the spontaneous tendency to become distributed uniformly throughout any container.</w:t>
      </w:r>
    </w:p>
    <w:p w14:paraId="41E29E1D"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8</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"Gaseous Hydrogen" means hydrogen in a gaseous state.</w:t>
      </w:r>
    </w:p>
    <w:p w14:paraId="2DD89D05" w14:textId="7D6CA12C"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3265FD" w:rsidRPr="00B61FF1">
        <w:rPr>
          <w:rFonts w:ascii="Arial" w:hAnsi="Arial" w:cs="Arial"/>
          <w:sz w:val="24"/>
          <w:szCs w:val="24"/>
        </w:rPr>
        <w:t>1</w:t>
      </w:r>
      <w:r w:rsidR="001D2089" w:rsidRPr="00B61FF1">
        <w:rPr>
          <w:rFonts w:ascii="Arial" w:hAnsi="Arial" w:cs="Arial"/>
          <w:sz w:val="24"/>
          <w:szCs w:val="24"/>
        </w:rPr>
        <w:t>9</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“Geologic Sequestration” means the process of injecting CO</w:t>
      </w:r>
      <w:r w:rsidRPr="00B61FF1">
        <w:rPr>
          <w:rFonts w:ascii="Arial" w:hAnsi="Arial" w:cs="Arial"/>
          <w:sz w:val="24"/>
          <w:szCs w:val="24"/>
          <w:vertAlign w:val="subscript"/>
        </w:rPr>
        <w:t>2</w:t>
      </w:r>
      <w:r w:rsidRPr="00B61FF1">
        <w:rPr>
          <w:rFonts w:ascii="Arial" w:hAnsi="Arial" w:cs="Arial"/>
          <w:sz w:val="24"/>
          <w:szCs w:val="24"/>
        </w:rPr>
        <w:t xml:space="preserve"> captured from an emissions source into deep subsurface rock formations for long-term storage.</w:t>
      </w:r>
    </w:p>
    <w:p w14:paraId="6A0CA487"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w:t>
      </w:r>
      <w:r w:rsidR="001D2089" w:rsidRPr="00B61FF1">
        <w:rPr>
          <w:rFonts w:ascii="Arial" w:hAnsi="Arial" w:cs="Arial"/>
          <w:sz w:val="24"/>
          <w:szCs w:val="24"/>
        </w:rPr>
        <w:t>20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“Global </w:t>
      </w:r>
      <w:r w:rsidR="00B90CD6" w:rsidRPr="00B61FF1">
        <w:rPr>
          <w:rFonts w:ascii="Arial" w:hAnsi="Arial" w:cs="Arial"/>
          <w:sz w:val="24"/>
          <w:szCs w:val="24"/>
        </w:rPr>
        <w:t>W</w:t>
      </w:r>
      <w:r w:rsidRPr="00B61FF1">
        <w:rPr>
          <w:rFonts w:ascii="Arial" w:hAnsi="Arial" w:cs="Arial"/>
          <w:sz w:val="24"/>
          <w:szCs w:val="24"/>
        </w:rPr>
        <w:t xml:space="preserve">arming </w:t>
      </w:r>
      <w:r w:rsidR="00B90CD6" w:rsidRPr="00B61FF1">
        <w:rPr>
          <w:rFonts w:ascii="Arial" w:hAnsi="Arial" w:cs="Arial"/>
          <w:sz w:val="24"/>
          <w:szCs w:val="24"/>
        </w:rPr>
        <w:t>P</w:t>
      </w:r>
      <w:r w:rsidRPr="00B61FF1">
        <w:rPr>
          <w:rFonts w:ascii="Arial" w:hAnsi="Arial" w:cs="Arial"/>
          <w:sz w:val="24"/>
          <w:szCs w:val="24"/>
        </w:rPr>
        <w:t>otential” or “GWP” means the ratio of the time-integrated radiative forcing from the instantaneous release of one kilogram of a trace substance relative to that of one kilogram of a reference gas, i.e., CO</w:t>
      </w:r>
      <w:r w:rsidRPr="00B61FF1">
        <w:rPr>
          <w:rFonts w:ascii="Arial" w:hAnsi="Arial" w:cs="Arial"/>
          <w:sz w:val="24"/>
          <w:szCs w:val="24"/>
          <w:vertAlign w:val="subscript"/>
        </w:rPr>
        <w:t>2.</w:t>
      </w:r>
    </w:p>
    <w:p w14:paraId="0210B579"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A2571C" w:rsidRPr="00B61FF1">
        <w:rPr>
          <w:rFonts w:ascii="Arial" w:hAnsi="Arial" w:cs="Arial"/>
          <w:sz w:val="24"/>
          <w:szCs w:val="24"/>
        </w:rPr>
        <w:t>1</w:t>
      </w:r>
      <w:r w:rsidR="001D2089" w:rsidRPr="00B61FF1">
        <w:rPr>
          <w:rFonts w:ascii="Arial" w:hAnsi="Arial" w:cs="Arial"/>
          <w:sz w:val="24"/>
          <w:szCs w:val="24"/>
        </w:rPr>
        <w:t>21</w:t>
      </w:r>
      <w:r w:rsidRPr="00B61FF1">
        <w:rPr>
          <w:rFonts w:ascii="Arial" w:hAnsi="Arial" w:cs="Arial"/>
          <w:sz w:val="24"/>
          <w:szCs w:val="24"/>
        </w:rPr>
        <w:t xml:space="preserve">) </w:t>
      </w:r>
      <w:r w:rsidR="00CD4B45" w:rsidRPr="00B61FF1">
        <w:rPr>
          <w:rFonts w:ascii="Arial" w:hAnsi="Arial" w:cs="Arial"/>
          <w:sz w:val="24"/>
          <w:szCs w:val="24"/>
        </w:rPr>
        <w:tab/>
      </w:r>
      <w:r w:rsidR="00E919BF" w:rsidRPr="00B61FF1">
        <w:rPr>
          <w:rFonts w:ascii="Arial" w:hAnsi="Arial" w:cs="Arial"/>
          <w:sz w:val="24"/>
          <w:szCs w:val="24"/>
        </w:rPr>
        <w:t xml:space="preserve">“Greenhouse </w:t>
      </w:r>
      <w:r w:rsidR="00B90CD6" w:rsidRPr="00B61FF1">
        <w:rPr>
          <w:rFonts w:ascii="Arial" w:hAnsi="Arial" w:cs="Arial"/>
          <w:sz w:val="24"/>
          <w:szCs w:val="24"/>
        </w:rPr>
        <w:t>G</w:t>
      </w:r>
      <w:r w:rsidRPr="00B61FF1">
        <w:rPr>
          <w:rFonts w:ascii="Arial" w:hAnsi="Arial" w:cs="Arial"/>
          <w:sz w:val="24"/>
          <w:szCs w:val="24"/>
        </w:rPr>
        <w:t>as” or “GHG” means carbon dioxide (CO</w:t>
      </w:r>
      <w:r w:rsidRPr="00B61FF1">
        <w:rPr>
          <w:rFonts w:ascii="Arial" w:hAnsi="Arial" w:cs="Arial"/>
          <w:sz w:val="24"/>
          <w:szCs w:val="24"/>
          <w:vertAlign w:val="subscript"/>
        </w:rPr>
        <w:t>2</w:t>
      </w:r>
      <w:r w:rsidRPr="00B61FF1">
        <w:rPr>
          <w:rFonts w:ascii="Arial" w:hAnsi="Arial" w:cs="Arial"/>
          <w:sz w:val="24"/>
          <w:szCs w:val="24"/>
        </w:rPr>
        <w:t>), methane (CH</w:t>
      </w:r>
      <w:r w:rsidRPr="00B61FF1">
        <w:rPr>
          <w:rFonts w:ascii="Arial" w:hAnsi="Arial" w:cs="Arial"/>
          <w:sz w:val="24"/>
          <w:szCs w:val="24"/>
          <w:vertAlign w:val="subscript"/>
        </w:rPr>
        <w:t>4</w:t>
      </w:r>
      <w:r w:rsidRPr="00B61FF1">
        <w:rPr>
          <w:rFonts w:ascii="Arial" w:hAnsi="Arial" w:cs="Arial"/>
          <w:sz w:val="24"/>
          <w:szCs w:val="24"/>
        </w:rPr>
        <w:t xml:space="preserve">), </w:t>
      </w:r>
      <w:r w:rsidR="000503F5" w:rsidRPr="00B61FF1">
        <w:rPr>
          <w:rFonts w:ascii="Arial" w:hAnsi="Arial" w:cs="Arial"/>
          <w:sz w:val="24"/>
          <w:szCs w:val="24"/>
        </w:rPr>
        <w:t>nitrogen trifluoride (NF</w:t>
      </w:r>
      <w:r w:rsidR="000503F5" w:rsidRPr="00B61FF1">
        <w:rPr>
          <w:rFonts w:ascii="Arial" w:hAnsi="Arial" w:cs="Arial"/>
          <w:sz w:val="24"/>
          <w:szCs w:val="24"/>
          <w:vertAlign w:val="subscript"/>
        </w:rPr>
        <w:t xml:space="preserve">3), </w:t>
      </w:r>
      <w:r w:rsidRPr="00B61FF1">
        <w:rPr>
          <w:rFonts w:ascii="Arial" w:hAnsi="Arial" w:cs="Arial"/>
          <w:sz w:val="24"/>
          <w:szCs w:val="24"/>
        </w:rPr>
        <w:t>nitrous oxide (N</w:t>
      </w:r>
      <w:r w:rsidRPr="00B61FF1">
        <w:rPr>
          <w:rFonts w:ascii="Arial" w:hAnsi="Arial" w:cs="Arial"/>
          <w:sz w:val="24"/>
          <w:szCs w:val="24"/>
          <w:vertAlign w:val="subscript"/>
        </w:rPr>
        <w:t>2</w:t>
      </w:r>
      <w:r w:rsidRPr="00B61FF1">
        <w:rPr>
          <w:rFonts w:ascii="Arial" w:hAnsi="Arial" w:cs="Arial"/>
          <w:sz w:val="24"/>
          <w:szCs w:val="24"/>
        </w:rPr>
        <w:t>O), sulfur hexafluoride (SF</w:t>
      </w:r>
      <w:r w:rsidRPr="00B61FF1">
        <w:rPr>
          <w:rFonts w:ascii="Arial" w:hAnsi="Arial" w:cs="Arial"/>
          <w:sz w:val="24"/>
          <w:szCs w:val="24"/>
          <w:vertAlign w:val="subscript"/>
        </w:rPr>
        <w:t>6</w:t>
      </w:r>
      <w:r w:rsidRPr="00B61FF1">
        <w:rPr>
          <w:rFonts w:ascii="Arial" w:hAnsi="Arial" w:cs="Arial"/>
          <w:sz w:val="24"/>
          <w:szCs w:val="24"/>
        </w:rPr>
        <w:t>), hydrofluorocarbons (HFCs), perfluorocarbons (PFCs), and other fluorinated greenhouse gases as defined in this section.</w:t>
      </w:r>
    </w:p>
    <w:p w14:paraId="560EA20C" w14:textId="77777777" w:rsidR="0054122B"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A2571C" w:rsidRPr="00B61FF1">
        <w:rPr>
          <w:rFonts w:ascii="Arial" w:hAnsi="Arial" w:cs="Arial"/>
          <w:sz w:val="24"/>
          <w:szCs w:val="24"/>
        </w:rPr>
        <w:t>12</w:t>
      </w:r>
      <w:r w:rsidR="001D2089"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“Greenhouse Gas </w:t>
      </w:r>
      <w:r w:rsidR="001506BA" w:rsidRPr="00B61FF1">
        <w:rPr>
          <w:rFonts w:ascii="Arial" w:hAnsi="Arial" w:cs="Arial"/>
          <w:sz w:val="24"/>
          <w:szCs w:val="24"/>
        </w:rPr>
        <w:t>E</w:t>
      </w:r>
      <w:r w:rsidRPr="00B61FF1">
        <w:rPr>
          <w:rFonts w:ascii="Arial" w:hAnsi="Arial" w:cs="Arial"/>
          <w:sz w:val="24"/>
          <w:szCs w:val="24"/>
        </w:rPr>
        <w:t xml:space="preserve">mission </w:t>
      </w:r>
      <w:r w:rsidR="001506BA" w:rsidRPr="00B61FF1">
        <w:rPr>
          <w:rFonts w:ascii="Arial" w:hAnsi="Arial" w:cs="Arial"/>
          <w:sz w:val="24"/>
          <w:szCs w:val="24"/>
        </w:rPr>
        <w:t>R</w:t>
      </w:r>
      <w:r w:rsidRPr="00B61FF1">
        <w:rPr>
          <w:rFonts w:ascii="Arial" w:hAnsi="Arial" w:cs="Arial"/>
          <w:sz w:val="24"/>
          <w:szCs w:val="24"/>
        </w:rPr>
        <w:t xml:space="preserve">eduction” or “GHG </w:t>
      </w:r>
      <w:r w:rsidR="001506BA" w:rsidRPr="00B61FF1">
        <w:rPr>
          <w:rFonts w:ascii="Arial" w:hAnsi="Arial" w:cs="Arial"/>
          <w:sz w:val="24"/>
          <w:szCs w:val="24"/>
        </w:rPr>
        <w:t>E</w:t>
      </w:r>
      <w:r w:rsidRPr="00B61FF1">
        <w:rPr>
          <w:rFonts w:ascii="Arial" w:hAnsi="Arial" w:cs="Arial"/>
          <w:sz w:val="24"/>
          <w:szCs w:val="24"/>
        </w:rPr>
        <w:t xml:space="preserve">mission </w:t>
      </w:r>
      <w:r w:rsidR="001506BA" w:rsidRPr="00B61FF1">
        <w:rPr>
          <w:rFonts w:ascii="Arial" w:hAnsi="Arial" w:cs="Arial"/>
          <w:sz w:val="24"/>
          <w:szCs w:val="24"/>
        </w:rPr>
        <w:t>R</w:t>
      </w:r>
      <w:r w:rsidRPr="00B61FF1">
        <w:rPr>
          <w:rFonts w:ascii="Arial" w:hAnsi="Arial" w:cs="Arial"/>
          <w:sz w:val="24"/>
          <w:szCs w:val="24"/>
        </w:rPr>
        <w:t>eduction” or “</w:t>
      </w:r>
      <w:r w:rsidR="001506BA" w:rsidRPr="00B61FF1">
        <w:rPr>
          <w:rFonts w:ascii="Arial" w:hAnsi="Arial" w:cs="Arial"/>
          <w:sz w:val="24"/>
          <w:szCs w:val="24"/>
        </w:rPr>
        <w:t>G</w:t>
      </w:r>
      <w:r w:rsidRPr="00B61FF1">
        <w:rPr>
          <w:rFonts w:ascii="Arial" w:hAnsi="Arial" w:cs="Arial"/>
          <w:sz w:val="24"/>
          <w:szCs w:val="24"/>
        </w:rPr>
        <w:t xml:space="preserve">reenhouse </w:t>
      </w:r>
      <w:r w:rsidR="001506BA" w:rsidRPr="00B61FF1">
        <w:rPr>
          <w:rFonts w:ascii="Arial" w:hAnsi="Arial" w:cs="Arial"/>
          <w:sz w:val="24"/>
          <w:szCs w:val="24"/>
        </w:rPr>
        <w:t>G</w:t>
      </w:r>
      <w:r w:rsidRPr="00B61FF1">
        <w:rPr>
          <w:rFonts w:ascii="Arial" w:hAnsi="Arial" w:cs="Arial"/>
          <w:sz w:val="24"/>
          <w:szCs w:val="24"/>
        </w:rPr>
        <w:t xml:space="preserve">as </w:t>
      </w:r>
      <w:r w:rsidR="001506BA" w:rsidRPr="00B61FF1">
        <w:rPr>
          <w:rFonts w:ascii="Arial" w:hAnsi="Arial" w:cs="Arial"/>
          <w:sz w:val="24"/>
          <w:szCs w:val="24"/>
        </w:rPr>
        <w:t>R</w:t>
      </w:r>
      <w:r w:rsidRPr="00B61FF1">
        <w:rPr>
          <w:rFonts w:ascii="Arial" w:hAnsi="Arial" w:cs="Arial"/>
          <w:sz w:val="24"/>
          <w:szCs w:val="24"/>
        </w:rPr>
        <w:t xml:space="preserve">eduction” or “GHG </w:t>
      </w:r>
      <w:r w:rsidR="001506BA" w:rsidRPr="00B61FF1">
        <w:rPr>
          <w:rFonts w:ascii="Arial" w:hAnsi="Arial" w:cs="Arial"/>
          <w:sz w:val="24"/>
          <w:szCs w:val="24"/>
        </w:rPr>
        <w:t>R</w:t>
      </w:r>
      <w:r w:rsidRPr="00B61FF1">
        <w:rPr>
          <w:rFonts w:ascii="Arial" w:hAnsi="Arial" w:cs="Arial"/>
          <w:sz w:val="24"/>
          <w:szCs w:val="24"/>
        </w:rPr>
        <w:t>eduction” means a calculated decrease in GHG emissions relative to a project baseline over a specified period of time.</w:t>
      </w:r>
    </w:p>
    <w:p w14:paraId="0A6B7DF5" w14:textId="77777777" w:rsidR="0054122B" w:rsidRPr="00B61FF1" w:rsidRDefault="0054122B" w:rsidP="00E919B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E03421" w:rsidRPr="00B61FF1">
        <w:rPr>
          <w:rFonts w:ascii="Arial" w:hAnsi="Arial" w:cs="Arial"/>
          <w:sz w:val="24"/>
          <w:szCs w:val="24"/>
        </w:rPr>
        <w:t>12</w:t>
      </w:r>
      <w:r w:rsidR="001D2089"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“Greenhouse Gas </w:t>
      </w:r>
      <w:r w:rsidR="001506BA" w:rsidRPr="00B61FF1">
        <w:rPr>
          <w:rFonts w:ascii="Arial" w:hAnsi="Arial" w:cs="Arial"/>
          <w:sz w:val="24"/>
          <w:szCs w:val="24"/>
        </w:rPr>
        <w:t>E</w:t>
      </w:r>
      <w:r w:rsidRPr="00B61FF1">
        <w:rPr>
          <w:rFonts w:ascii="Arial" w:hAnsi="Arial" w:cs="Arial"/>
          <w:sz w:val="24"/>
          <w:szCs w:val="24"/>
        </w:rPr>
        <w:t xml:space="preserve">missions </w:t>
      </w:r>
      <w:r w:rsidR="001506BA" w:rsidRPr="00B61FF1">
        <w:rPr>
          <w:rFonts w:ascii="Arial" w:hAnsi="Arial" w:cs="Arial"/>
          <w:sz w:val="24"/>
          <w:szCs w:val="24"/>
        </w:rPr>
        <w:t>S</w:t>
      </w:r>
      <w:r w:rsidRPr="00B61FF1">
        <w:rPr>
          <w:rFonts w:ascii="Arial" w:hAnsi="Arial" w:cs="Arial"/>
          <w:sz w:val="24"/>
          <w:szCs w:val="24"/>
        </w:rPr>
        <w:t xml:space="preserve">ource” or “GHG </w:t>
      </w:r>
      <w:r w:rsidR="001506BA" w:rsidRPr="00B61FF1">
        <w:rPr>
          <w:rFonts w:ascii="Arial" w:hAnsi="Arial" w:cs="Arial"/>
          <w:sz w:val="24"/>
          <w:szCs w:val="24"/>
        </w:rPr>
        <w:t>E</w:t>
      </w:r>
      <w:r w:rsidRPr="00B61FF1">
        <w:rPr>
          <w:rFonts w:ascii="Arial" w:hAnsi="Arial" w:cs="Arial"/>
          <w:sz w:val="24"/>
          <w:szCs w:val="24"/>
        </w:rPr>
        <w:t xml:space="preserve">missions </w:t>
      </w:r>
      <w:r w:rsidR="001506BA" w:rsidRPr="00B61FF1">
        <w:rPr>
          <w:rFonts w:ascii="Arial" w:hAnsi="Arial" w:cs="Arial"/>
          <w:sz w:val="24"/>
          <w:szCs w:val="24"/>
        </w:rPr>
        <w:t>S</w:t>
      </w:r>
      <w:r w:rsidRPr="00B61FF1">
        <w:rPr>
          <w:rFonts w:ascii="Arial" w:hAnsi="Arial" w:cs="Arial"/>
          <w:sz w:val="24"/>
          <w:szCs w:val="24"/>
        </w:rPr>
        <w:t>ource” means, in the context of offset credits, any type of emitting activity that releases greenhouse gases into the atmosphere</w:t>
      </w:r>
      <w:r w:rsidRPr="00B61FF1">
        <w:rPr>
          <w:rFonts w:ascii="Arial" w:hAnsi="Arial" w:cs="Arial"/>
        </w:rPr>
        <w:t>.</w:t>
      </w:r>
    </w:p>
    <w:p w14:paraId="58CBD115"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12</w:t>
      </w:r>
      <w:r w:rsidR="001D2089"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“Greenhouse Gas </w:t>
      </w:r>
      <w:r w:rsidR="001506BA" w:rsidRPr="00B61FF1">
        <w:rPr>
          <w:rFonts w:ascii="Arial" w:hAnsi="Arial" w:cs="Arial"/>
          <w:sz w:val="24"/>
          <w:szCs w:val="24"/>
        </w:rPr>
        <w:t>R</w:t>
      </w:r>
      <w:r w:rsidRPr="00B61FF1">
        <w:rPr>
          <w:rFonts w:ascii="Arial" w:hAnsi="Arial" w:cs="Arial"/>
          <w:sz w:val="24"/>
          <w:szCs w:val="24"/>
        </w:rPr>
        <w:t xml:space="preserve">emoval” or “GHG </w:t>
      </w:r>
      <w:r w:rsidR="001506BA" w:rsidRPr="00B61FF1">
        <w:rPr>
          <w:rFonts w:ascii="Arial" w:hAnsi="Arial" w:cs="Arial"/>
          <w:sz w:val="24"/>
          <w:szCs w:val="24"/>
        </w:rPr>
        <w:t>R</w:t>
      </w:r>
      <w:r w:rsidRPr="00B61FF1">
        <w:rPr>
          <w:rFonts w:ascii="Arial" w:hAnsi="Arial" w:cs="Arial"/>
          <w:sz w:val="24"/>
          <w:szCs w:val="24"/>
        </w:rPr>
        <w:t>emoval” means the calculated total mass of a GHG removed from the atmosphere over a specified period of time.</w:t>
      </w:r>
    </w:p>
    <w:p w14:paraId="1E20EB7F"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12</w:t>
      </w:r>
      <w:r w:rsidR="001D2089"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“Greenhouse Gas </w:t>
      </w:r>
      <w:r w:rsidR="001506BA" w:rsidRPr="00B61FF1">
        <w:rPr>
          <w:rFonts w:ascii="Arial" w:hAnsi="Arial" w:cs="Arial"/>
          <w:sz w:val="24"/>
          <w:szCs w:val="24"/>
        </w:rPr>
        <w:t>R</w:t>
      </w:r>
      <w:r w:rsidRPr="00B61FF1">
        <w:rPr>
          <w:rFonts w:ascii="Arial" w:hAnsi="Arial" w:cs="Arial"/>
          <w:sz w:val="24"/>
          <w:szCs w:val="24"/>
        </w:rPr>
        <w:t xml:space="preserve">emoval </w:t>
      </w:r>
      <w:r w:rsidR="001506BA" w:rsidRPr="00B61FF1">
        <w:rPr>
          <w:rFonts w:ascii="Arial" w:hAnsi="Arial" w:cs="Arial"/>
          <w:sz w:val="24"/>
          <w:szCs w:val="24"/>
        </w:rPr>
        <w:t>E</w:t>
      </w:r>
      <w:r w:rsidRPr="00B61FF1">
        <w:rPr>
          <w:rFonts w:ascii="Arial" w:hAnsi="Arial" w:cs="Arial"/>
          <w:sz w:val="24"/>
          <w:szCs w:val="24"/>
        </w:rPr>
        <w:t xml:space="preserve">nhancement” or “GHG </w:t>
      </w:r>
      <w:r w:rsidR="001506BA" w:rsidRPr="00B61FF1">
        <w:rPr>
          <w:rFonts w:ascii="Arial" w:hAnsi="Arial" w:cs="Arial"/>
          <w:sz w:val="24"/>
          <w:szCs w:val="24"/>
        </w:rPr>
        <w:t>R</w:t>
      </w:r>
      <w:r w:rsidR="00E919BF" w:rsidRPr="00B61FF1">
        <w:rPr>
          <w:rFonts w:ascii="Arial" w:hAnsi="Arial" w:cs="Arial"/>
          <w:sz w:val="24"/>
          <w:szCs w:val="24"/>
        </w:rPr>
        <w:t xml:space="preserve">emoval </w:t>
      </w:r>
      <w:r w:rsidR="001506BA" w:rsidRPr="00B61FF1">
        <w:rPr>
          <w:rFonts w:ascii="Arial" w:hAnsi="Arial" w:cs="Arial"/>
          <w:sz w:val="24"/>
          <w:szCs w:val="24"/>
        </w:rPr>
        <w:t>E</w:t>
      </w:r>
      <w:r w:rsidRPr="00B61FF1">
        <w:rPr>
          <w:rFonts w:ascii="Arial" w:hAnsi="Arial" w:cs="Arial"/>
          <w:sz w:val="24"/>
          <w:szCs w:val="24"/>
        </w:rPr>
        <w:t>nhancement” means a calculated increase in GHG removals relative to a project baseline.</w:t>
      </w:r>
      <w:r w:rsidRPr="00B61FF1" w:rsidDel="00283058">
        <w:rPr>
          <w:rFonts w:ascii="Arial" w:hAnsi="Arial" w:cs="Arial"/>
          <w:sz w:val="24"/>
          <w:szCs w:val="24"/>
        </w:rPr>
        <w:t xml:space="preserve"> </w:t>
      </w:r>
    </w:p>
    <w:p w14:paraId="6FF72AF2"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12</w:t>
      </w:r>
      <w:r w:rsidR="001D2089" w:rsidRPr="00B61FF1">
        <w:rPr>
          <w:rFonts w:ascii="Arial" w:hAnsi="Arial" w:cs="Arial"/>
          <w:sz w:val="24"/>
          <w:szCs w:val="24"/>
        </w:rPr>
        <w:t>6</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“Greenhouse Gas </w:t>
      </w:r>
      <w:r w:rsidR="001506BA" w:rsidRPr="00B61FF1">
        <w:rPr>
          <w:rFonts w:ascii="Arial" w:hAnsi="Arial" w:cs="Arial"/>
          <w:sz w:val="24"/>
          <w:szCs w:val="24"/>
        </w:rPr>
        <w:t>R</w:t>
      </w:r>
      <w:r w:rsidRPr="00B61FF1">
        <w:rPr>
          <w:rFonts w:ascii="Arial" w:hAnsi="Arial" w:cs="Arial"/>
          <w:sz w:val="24"/>
          <w:szCs w:val="24"/>
        </w:rPr>
        <w:t xml:space="preserve">eservoir” or “GHG </w:t>
      </w:r>
      <w:r w:rsidR="001506BA" w:rsidRPr="00B61FF1">
        <w:rPr>
          <w:rFonts w:ascii="Arial" w:hAnsi="Arial" w:cs="Arial"/>
          <w:sz w:val="24"/>
          <w:szCs w:val="24"/>
        </w:rPr>
        <w:t>R</w:t>
      </w:r>
      <w:r w:rsidRPr="00B61FF1">
        <w:rPr>
          <w:rFonts w:ascii="Arial" w:hAnsi="Arial" w:cs="Arial"/>
          <w:sz w:val="24"/>
          <w:szCs w:val="24"/>
        </w:rPr>
        <w:t>eservoir” means a physical unit or component of the biosphere, geosphere, or hydrosphere with the capability to store, accumulate, or release a GHG removed from the atmosphere by a GHG sink or a GHG captured from a GHG emission source.</w:t>
      </w:r>
    </w:p>
    <w:p w14:paraId="78376E83"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E03421" w:rsidRPr="00B61FF1">
        <w:rPr>
          <w:rFonts w:ascii="Arial" w:hAnsi="Arial" w:cs="Arial"/>
          <w:sz w:val="24"/>
          <w:szCs w:val="24"/>
        </w:rPr>
        <w:t>12</w:t>
      </w:r>
      <w:r w:rsidR="001D2089"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“Greenhouse </w:t>
      </w:r>
      <w:r w:rsidR="001506BA" w:rsidRPr="00B61FF1">
        <w:rPr>
          <w:rFonts w:ascii="Arial" w:hAnsi="Arial" w:cs="Arial"/>
          <w:sz w:val="24"/>
          <w:szCs w:val="24"/>
        </w:rPr>
        <w:t>G</w:t>
      </w:r>
      <w:r w:rsidRPr="00B61FF1">
        <w:rPr>
          <w:rFonts w:ascii="Arial" w:hAnsi="Arial" w:cs="Arial"/>
          <w:sz w:val="24"/>
          <w:szCs w:val="24"/>
        </w:rPr>
        <w:t xml:space="preserve">as </w:t>
      </w:r>
      <w:r w:rsidR="001506BA" w:rsidRPr="00B61FF1">
        <w:rPr>
          <w:rFonts w:ascii="Arial" w:hAnsi="Arial" w:cs="Arial"/>
          <w:sz w:val="24"/>
          <w:szCs w:val="24"/>
        </w:rPr>
        <w:t>S</w:t>
      </w:r>
      <w:r w:rsidRPr="00B61FF1">
        <w:rPr>
          <w:rFonts w:ascii="Arial" w:hAnsi="Arial" w:cs="Arial"/>
          <w:sz w:val="24"/>
          <w:szCs w:val="24"/>
        </w:rPr>
        <w:t xml:space="preserve">ink” or “GHG </w:t>
      </w:r>
      <w:r w:rsidR="001506BA" w:rsidRPr="00B61FF1">
        <w:rPr>
          <w:rFonts w:ascii="Arial" w:hAnsi="Arial" w:cs="Arial"/>
          <w:sz w:val="24"/>
          <w:szCs w:val="24"/>
        </w:rPr>
        <w:t>S</w:t>
      </w:r>
      <w:r w:rsidRPr="00B61FF1">
        <w:rPr>
          <w:rFonts w:ascii="Arial" w:hAnsi="Arial" w:cs="Arial"/>
          <w:sz w:val="24"/>
          <w:szCs w:val="24"/>
        </w:rPr>
        <w:t>ink” means a physical unit or process that removes a GHG from the atmosphere.</w:t>
      </w:r>
    </w:p>
    <w:p w14:paraId="01978750"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A2571C" w:rsidRPr="00B61FF1">
        <w:rPr>
          <w:rFonts w:ascii="Arial" w:hAnsi="Arial" w:cs="Arial"/>
          <w:sz w:val="24"/>
          <w:szCs w:val="24"/>
        </w:rPr>
        <w:t>12</w:t>
      </w:r>
      <w:r w:rsidR="001D2089"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“HD-5”</w:t>
      </w:r>
      <w:r w:rsidR="00DA7366" w:rsidRPr="00B61FF1">
        <w:rPr>
          <w:rFonts w:ascii="Arial" w:hAnsi="Arial" w:cs="Arial"/>
          <w:sz w:val="24"/>
          <w:szCs w:val="24"/>
        </w:rPr>
        <w:t xml:space="preserve"> or</w:t>
      </w:r>
      <w:r w:rsidR="007C7ED7" w:rsidRPr="00B61FF1">
        <w:rPr>
          <w:rFonts w:ascii="Arial" w:hAnsi="Arial" w:cs="Arial"/>
          <w:sz w:val="24"/>
          <w:szCs w:val="24"/>
        </w:rPr>
        <w:t xml:space="preserve"> “</w:t>
      </w:r>
      <w:r w:rsidR="001506BA" w:rsidRPr="00B61FF1">
        <w:rPr>
          <w:rFonts w:ascii="Arial" w:hAnsi="Arial" w:cs="Arial"/>
          <w:sz w:val="24"/>
          <w:szCs w:val="24"/>
        </w:rPr>
        <w:t>S</w:t>
      </w:r>
      <w:r w:rsidR="007C7ED7" w:rsidRPr="00B61FF1">
        <w:rPr>
          <w:rFonts w:ascii="Arial" w:hAnsi="Arial" w:cs="Arial"/>
          <w:sz w:val="24"/>
          <w:szCs w:val="24"/>
        </w:rPr>
        <w:t xml:space="preserve">pecial </w:t>
      </w:r>
      <w:r w:rsidR="001506BA" w:rsidRPr="00B61FF1">
        <w:rPr>
          <w:rFonts w:ascii="Arial" w:hAnsi="Arial" w:cs="Arial"/>
          <w:sz w:val="24"/>
          <w:szCs w:val="24"/>
        </w:rPr>
        <w:t>D</w:t>
      </w:r>
      <w:r w:rsidR="007C7ED7" w:rsidRPr="00B61FF1">
        <w:rPr>
          <w:rFonts w:ascii="Arial" w:hAnsi="Arial" w:cs="Arial"/>
          <w:sz w:val="24"/>
          <w:szCs w:val="24"/>
        </w:rPr>
        <w:t xml:space="preserve">uty </w:t>
      </w:r>
      <w:r w:rsidR="001506BA" w:rsidRPr="00B61FF1">
        <w:rPr>
          <w:rFonts w:ascii="Arial" w:hAnsi="Arial" w:cs="Arial"/>
          <w:sz w:val="24"/>
          <w:szCs w:val="24"/>
        </w:rPr>
        <w:t>P</w:t>
      </w:r>
      <w:r w:rsidR="007C7ED7" w:rsidRPr="00B61FF1">
        <w:rPr>
          <w:rFonts w:ascii="Arial" w:hAnsi="Arial" w:cs="Arial"/>
          <w:sz w:val="24"/>
          <w:szCs w:val="24"/>
        </w:rPr>
        <w:t>ropane”</w:t>
      </w:r>
      <w:r w:rsidRPr="00B61FF1">
        <w:rPr>
          <w:rFonts w:ascii="Arial" w:hAnsi="Arial" w:cs="Arial"/>
          <w:sz w:val="24"/>
          <w:szCs w:val="24"/>
        </w:rPr>
        <w:t xml:space="preserve"> </w:t>
      </w:r>
      <w:r w:rsidR="00DA7366" w:rsidRPr="00B61FF1">
        <w:rPr>
          <w:rFonts w:ascii="Arial" w:hAnsi="Arial" w:cs="Arial"/>
          <w:sz w:val="24"/>
          <w:szCs w:val="24"/>
        </w:rPr>
        <w:t>has the same meaning as contained in MRR.</w:t>
      </w:r>
    </w:p>
    <w:p w14:paraId="2D2EB4F2" w14:textId="77777777" w:rsidR="0054122B" w:rsidRPr="00B61FF1" w:rsidRDefault="0054122B" w:rsidP="00E919BF">
      <w:pPr>
        <w:tabs>
          <w:tab w:val="left" w:pos="3780"/>
        </w:tabs>
        <w:spacing w:line="360" w:lineRule="auto"/>
        <w:ind w:left="1080" w:hanging="720"/>
        <w:rPr>
          <w:rFonts w:ascii="Arial" w:hAnsi="Arial" w:cs="Arial"/>
          <w:iCs/>
          <w:sz w:val="24"/>
          <w:szCs w:val="24"/>
        </w:rPr>
      </w:pPr>
      <w:r w:rsidRPr="00B61FF1">
        <w:rPr>
          <w:rFonts w:ascii="Arial" w:eastAsia="MS Mincho" w:hAnsi="Arial" w:cs="Arial"/>
          <w:sz w:val="24"/>
          <w:szCs w:val="24"/>
          <w:lang w:eastAsia="ja-JP"/>
        </w:rPr>
        <w:t>(</w:t>
      </w:r>
      <w:r w:rsidR="00E03421" w:rsidRPr="00B61FF1">
        <w:rPr>
          <w:rFonts w:ascii="Arial" w:eastAsia="MS Mincho" w:hAnsi="Arial" w:cs="Arial"/>
          <w:sz w:val="24"/>
          <w:szCs w:val="24"/>
          <w:lang w:eastAsia="ja-JP"/>
        </w:rPr>
        <w:t>12</w:t>
      </w:r>
      <w:r w:rsidR="001D2089" w:rsidRPr="00B61FF1">
        <w:rPr>
          <w:rFonts w:ascii="Arial" w:eastAsia="MS Mincho" w:hAnsi="Arial" w:cs="Arial"/>
          <w:sz w:val="24"/>
          <w:szCs w:val="24"/>
          <w:lang w:eastAsia="ja-JP"/>
        </w:rPr>
        <w:t>9</w:t>
      </w:r>
      <w:r w:rsidRPr="00B61FF1">
        <w:rPr>
          <w:rFonts w:ascii="Arial" w:eastAsia="MS Mincho" w:hAnsi="Arial" w:cs="Arial"/>
          <w:sz w:val="24"/>
          <w:szCs w:val="24"/>
          <w:lang w:eastAsia="ja-JP"/>
        </w:rPr>
        <w:t xml:space="preserve">) </w:t>
      </w:r>
      <w:r w:rsidR="00CD4B45" w:rsidRPr="00B61FF1">
        <w:rPr>
          <w:rFonts w:ascii="Arial" w:eastAsia="MS Mincho" w:hAnsi="Arial" w:cs="Arial"/>
          <w:sz w:val="24"/>
          <w:szCs w:val="24"/>
          <w:lang w:eastAsia="ja-JP"/>
        </w:rPr>
        <w:tab/>
      </w:r>
      <w:r w:rsidRPr="00B61FF1">
        <w:rPr>
          <w:rFonts w:ascii="Arial" w:eastAsia="MS Mincho" w:hAnsi="Arial" w:cs="Arial"/>
          <w:sz w:val="24"/>
          <w:szCs w:val="24"/>
          <w:lang w:eastAsia="ja-JP"/>
        </w:rPr>
        <w:t>“HD-10”</w:t>
      </w:r>
      <w:r w:rsidR="00DA7366"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 xml:space="preserve"> </w:t>
      </w:r>
      <w:r w:rsidR="00DA7366" w:rsidRPr="00B61FF1">
        <w:rPr>
          <w:rFonts w:ascii="Arial" w:hAnsi="Arial" w:cs="Arial"/>
          <w:iCs/>
          <w:sz w:val="24"/>
          <w:szCs w:val="24"/>
        </w:rPr>
        <w:t>has the same meaning as contained in MRR.</w:t>
      </w:r>
    </w:p>
    <w:p w14:paraId="73E07A2F" w14:textId="77777777" w:rsidR="0054122B" w:rsidRPr="00B61FF1" w:rsidRDefault="0054122B" w:rsidP="00E919BF">
      <w:pPr>
        <w:tabs>
          <w:tab w:val="left" w:pos="3780"/>
        </w:tabs>
        <w:spacing w:line="360" w:lineRule="auto"/>
        <w:ind w:left="1080" w:hanging="720"/>
        <w:rPr>
          <w:rFonts w:ascii="Arial" w:hAnsi="Arial" w:cs="Arial"/>
          <w:iCs/>
          <w:sz w:val="24"/>
          <w:szCs w:val="24"/>
        </w:rPr>
      </w:pPr>
      <w:r w:rsidRPr="00B61FF1">
        <w:rPr>
          <w:rFonts w:ascii="Arial" w:hAnsi="Arial" w:cs="Arial"/>
          <w:iCs/>
          <w:sz w:val="24"/>
          <w:szCs w:val="24"/>
        </w:rPr>
        <w:t>(</w:t>
      </w:r>
      <w:r w:rsidR="001D0B34" w:rsidRPr="00B61FF1">
        <w:rPr>
          <w:rFonts w:ascii="Arial" w:hAnsi="Arial" w:cs="Arial"/>
          <w:sz w:val="24"/>
          <w:szCs w:val="24"/>
        </w:rPr>
        <w:t>1</w:t>
      </w:r>
      <w:r w:rsidR="001D2089" w:rsidRPr="00B61FF1">
        <w:rPr>
          <w:rFonts w:ascii="Arial" w:hAnsi="Arial" w:cs="Arial"/>
          <w:sz w:val="24"/>
          <w:szCs w:val="24"/>
        </w:rPr>
        <w:t>30</w:t>
      </w:r>
      <w:r w:rsidRPr="00B61FF1">
        <w:rPr>
          <w:rFonts w:ascii="Arial" w:hAnsi="Arial" w:cs="Arial"/>
          <w:iCs/>
          <w:sz w:val="24"/>
          <w:szCs w:val="24"/>
        </w:rPr>
        <w:t>)</w:t>
      </w:r>
      <w:r w:rsidR="00CD4B45" w:rsidRPr="00B61FF1">
        <w:rPr>
          <w:rFonts w:ascii="Arial" w:hAnsi="Arial" w:cs="Arial"/>
          <w:iCs/>
          <w:sz w:val="24"/>
          <w:szCs w:val="24"/>
        </w:rPr>
        <w:tab/>
      </w:r>
      <w:r w:rsidRPr="00B61FF1">
        <w:rPr>
          <w:rFonts w:ascii="Arial" w:hAnsi="Arial" w:cs="Arial"/>
          <w:iCs/>
          <w:sz w:val="24"/>
          <w:szCs w:val="24"/>
        </w:rPr>
        <w:t>"Heavy Crude Oil" means a category of crude oil characterized by relatively high viscosity, a higher carbon-to-hydrogen ratio, and a relatively higher density having an API gravity of less than 20.</w:t>
      </w:r>
    </w:p>
    <w:p w14:paraId="7762775C" w14:textId="77777777" w:rsidR="00C350B6" w:rsidRPr="00B61FF1" w:rsidRDefault="00C350B6" w:rsidP="00C350B6">
      <w:pPr>
        <w:tabs>
          <w:tab w:val="left" w:pos="3780"/>
        </w:tabs>
        <w:spacing w:line="360" w:lineRule="auto"/>
        <w:ind w:left="1080" w:hanging="720"/>
        <w:rPr>
          <w:rFonts w:ascii="Arial" w:hAnsi="Arial" w:cs="Arial"/>
          <w:sz w:val="24"/>
          <w:szCs w:val="24"/>
        </w:rPr>
      </w:pPr>
      <w:r w:rsidRPr="00B61FF1">
        <w:rPr>
          <w:rFonts w:ascii="Arial" w:hAnsi="Arial" w:cs="Arial"/>
          <w:sz w:val="24"/>
          <w:szCs w:val="24"/>
        </w:rPr>
        <w:t>(131)</w:t>
      </w:r>
      <w:r w:rsidRPr="00B61FF1">
        <w:rPr>
          <w:rFonts w:ascii="Arial" w:hAnsi="Arial" w:cs="Arial"/>
          <w:sz w:val="24"/>
          <w:szCs w:val="24"/>
        </w:rPr>
        <w:tab/>
        <w:t>“Hold” in the context of a compliance instrument, is to have the serial number assigned to that instrument registered into an account assigned to an entity that is registered into the California Cap-and-Trade Program or an External Greenhouse Gas Emissions Trading System to which California has linked its Cap-and-Trade Program pursuant to subarticle 12, or an account under the control of the Executive Officer.</w:t>
      </w:r>
    </w:p>
    <w:p w14:paraId="24D65FB7" w14:textId="11F8BB03" w:rsidR="002210AF" w:rsidRPr="00B61FF1" w:rsidRDefault="002210AF" w:rsidP="00C350B6">
      <w:pPr>
        <w:tabs>
          <w:tab w:val="left" w:pos="1080"/>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lastRenderedPageBreak/>
        <w:t>(</w:t>
      </w:r>
      <w:r w:rsidR="00902E4B">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“Holding Account” or “General Holding Account” means an account created for each covered entity, opt-in covered entity, or voluntar</w:t>
      </w:r>
      <w:r w:rsidR="00A2158B" w:rsidRPr="00B61FF1">
        <w:rPr>
          <w:rFonts w:ascii="Arial" w:hAnsi="Arial" w:cs="Arial"/>
          <w:sz w:val="24"/>
          <w:szCs w:val="24"/>
          <w:u w:val="single"/>
        </w:rPr>
        <w:t>il</w:t>
      </w:r>
      <w:r w:rsidRPr="00B61FF1">
        <w:rPr>
          <w:rFonts w:ascii="Arial" w:hAnsi="Arial" w:cs="Arial"/>
          <w:sz w:val="24"/>
          <w:szCs w:val="24"/>
          <w:u w:val="single"/>
        </w:rPr>
        <w:t>y associated entity to hold compliance instruments.</w:t>
      </w:r>
    </w:p>
    <w:p w14:paraId="4F22B5EA" w14:textId="77777777" w:rsidR="0054122B" w:rsidRPr="00B61FF1" w:rsidRDefault="0054122B" w:rsidP="00E919B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A2571C" w:rsidRPr="00B61FF1">
        <w:rPr>
          <w:rFonts w:ascii="Arial" w:hAnsi="Arial" w:cs="Arial"/>
          <w:sz w:val="24"/>
          <w:szCs w:val="24"/>
        </w:rPr>
        <w:t>13</w:t>
      </w:r>
      <w:r w:rsidR="001D2089" w:rsidRPr="00B61FF1">
        <w:rPr>
          <w:rFonts w:ascii="Arial" w:hAnsi="Arial" w:cs="Arial"/>
          <w:sz w:val="24"/>
          <w:szCs w:val="24"/>
        </w:rPr>
        <w:t>2</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"Horsepower Tested" means the total horsepower of all turbine and generator set units tested prior to sale.  </w:t>
      </w:r>
    </w:p>
    <w:p w14:paraId="01A9A1F6" w14:textId="77777777" w:rsidR="0054122B" w:rsidRPr="00B61FF1" w:rsidRDefault="0054122B" w:rsidP="00E919B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13</w:t>
      </w:r>
      <w:r w:rsidR="001D2089" w:rsidRPr="00B61FF1">
        <w:rPr>
          <w:rFonts w:ascii="Arial" w:hAnsi="Arial" w:cs="Arial"/>
          <w:sz w:val="24"/>
          <w:szCs w:val="24"/>
        </w:rPr>
        <w:t>3</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"Hot Rolled Steel Sheet" means steel produced from the rolling mill that reduces a hot slab into a coil of specified thickness at a relatively high temperature.</w:t>
      </w:r>
    </w:p>
    <w:p w14:paraId="63B70693"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13</w:t>
      </w:r>
      <w:r w:rsidR="001D2089"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“Hydrocarbon” means a chemical compound containing predominantly carbon and hydrogen.</w:t>
      </w:r>
    </w:p>
    <w:p w14:paraId="7F8415AF"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13</w:t>
      </w:r>
      <w:r w:rsidR="001D2089"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“Hydrofluorocarbon” or “HFC” means a class of GHGs consisting of hydrogen, fluorine, and carbon.</w:t>
      </w:r>
    </w:p>
    <w:p w14:paraId="0940CF8A"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13</w:t>
      </w:r>
      <w:r w:rsidR="001D2089" w:rsidRPr="00B61FF1">
        <w:rPr>
          <w:rFonts w:ascii="Arial" w:hAnsi="Arial" w:cs="Arial"/>
          <w:sz w:val="24"/>
          <w:szCs w:val="24"/>
        </w:rPr>
        <w:t>6</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“Hydrogen” means the lightest of all gases, occurring chiefly in combination with oxygen in water; it exists also in acids, bases, alcohols, petroleum, and other hydrocarbons</w:t>
      </w:r>
      <w:r w:rsidRPr="00B61FF1">
        <w:rPr>
          <w:rFonts w:ascii="Arial" w:hAnsi="Arial" w:cs="Arial"/>
        </w:rPr>
        <w:t>.</w:t>
      </w:r>
    </w:p>
    <w:p w14:paraId="1666A971" w14:textId="798E74C0"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13</w:t>
      </w:r>
      <w:r w:rsidR="001D2089"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“Imported </w:t>
      </w:r>
      <w:r w:rsidR="006343BE" w:rsidRPr="00B61FF1">
        <w:rPr>
          <w:rFonts w:ascii="Arial" w:hAnsi="Arial" w:cs="Arial"/>
          <w:sz w:val="24"/>
          <w:szCs w:val="24"/>
        </w:rPr>
        <w:t>E</w:t>
      </w:r>
      <w:r w:rsidRPr="00B61FF1">
        <w:rPr>
          <w:rFonts w:ascii="Arial" w:hAnsi="Arial" w:cs="Arial"/>
          <w:sz w:val="24"/>
          <w:szCs w:val="24"/>
        </w:rPr>
        <w:t xml:space="preserve">lectricity” means </w:t>
      </w:r>
      <w:r w:rsidR="001850BF" w:rsidRPr="00B61FF1">
        <w:rPr>
          <w:rFonts w:ascii="Arial" w:hAnsi="Arial" w:cs="Arial"/>
          <w:color w:val="000000"/>
          <w:sz w:val="24"/>
          <w:szCs w:val="24"/>
        </w:rPr>
        <w:t xml:space="preserve">electricity generated outside the state of California and delivered to serve load located inside the state of California. Imported electricity includes electricity delivered across balancing authority areas from a first point of receipt located outside the state of California, to the first point of delivery located inside the state of California, having a final point of delivery in California. Imported electricity includes electricity imported into California over a multi-jurisdictional retail provider’s transmission and distribution system, or electricity imported into the state of California </w:t>
      </w:r>
      <w:r w:rsidR="003308D0" w:rsidRPr="00B61FF1">
        <w:rPr>
          <w:rFonts w:ascii="Arial" w:hAnsi="Arial" w:cs="Arial"/>
          <w:color w:val="000000"/>
          <w:sz w:val="24"/>
          <w:szCs w:val="24"/>
        </w:rPr>
        <w:t>from a facility or</w:t>
      </w:r>
      <w:r w:rsidR="001850BF" w:rsidRPr="00B61FF1">
        <w:rPr>
          <w:rFonts w:ascii="Arial" w:hAnsi="Arial" w:cs="Arial"/>
          <w:color w:val="000000"/>
          <w:sz w:val="24"/>
          <w:szCs w:val="24"/>
        </w:rPr>
        <w:t xml:space="preserve"> unit physically located outside the state</w:t>
      </w:r>
      <w:r w:rsidR="008A4AE6" w:rsidRPr="00B61FF1">
        <w:rPr>
          <w:rFonts w:ascii="Arial" w:hAnsi="Arial" w:cs="Arial"/>
          <w:color w:val="000000"/>
          <w:sz w:val="24"/>
          <w:szCs w:val="24"/>
        </w:rPr>
        <w:t xml:space="preserve"> of California</w:t>
      </w:r>
      <w:r w:rsidR="001850BF" w:rsidRPr="00B61FF1">
        <w:rPr>
          <w:rFonts w:ascii="Arial" w:hAnsi="Arial" w:cs="Arial"/>
          <w:color w:val="000000"/>
          <w:sz w:val="24"/>
          <w:szCs w:val="24"/>
        </w:rPr>
        <w:t xml:space="preserve"> with the first point of interconnection into a California balancing authority’s transmission and distribution system. Imported electricity includes electricity that is a result of cogeneration located outside the state of California. Imported electricity does not include electricity wheeled through California, defined pursuant to MRR</w:t>
      </w:r>
      <w:r w:rsidR="00901B4D" w:rsidRPr="00B61FF1">
        <w:rPr>
          <w:rFonts w:ascii="Arial" w:hAnsi="Arial" w:cs="Arial"/>
          <w:color w:val="000000"/>
          <w:sz w:val="24"/>
          <w:szCs w:val="24"/>
        </w:rPr>
        <w:t xml:space="preserve"> section 95102(a)</w:t>
      </w:r>
      <w:r w:rsidR="001850BF" w:rsidRPr="00B61FF1">
        <w:rPr>
          <w:rFonts w:ascii="Arial" w:hAnsi="Arial" w:cs="Arial"/>
          <w:color w:val="000000"/>
          <w:sz w:val="24"/>
          <w:szCs w:val="24"/>
        </w:rPr>
        <w:t xml:space="preserve">. Imported electricity does not include electricity imported into the </w:t>
      </w:r>
      <w:r w:rsidR="001850BF" w:rsidRPr="00B61FF1">
        <w:rPr>
          <w:rFonts w:ascii="Arial" w:hAnsi="Arial" w:cs="Arial"/>
          <w:color w:val="000000"/>
          <w:sz w:val="24"/>
          <w:szCs w:val="24"/>
        </w:rPr>
        <w:lastRenderedPageBreak/>
        <w:t xml:space="preserve">CAISO balancing authority area to serve retail customers that are located within the CAISO balancing authority area, but outside the </w:t>
      </w:r>
      <w:r w:rsidR="001850BF" w:rsidRPr="00B61FF1">
        <w:rPr>
          <w:rFonts w:ascii="Arial" w:hAnsi="Arial" w:cs="Arial"/>
          <w:sz w:val="24"/>
          <w:szCs w:val="24"/>
        </w:rPr>
        <w:t>state of California.</w:t>
      </w:r>
      <w:r w:rsidR="0018728C" w:rsidRPr="00B61FF1">
        <w:rPr>
          <w:rFonts w:ascii="Arial" w:hAnsi="Arial" w:cs="Arial"/>
          <w:sz w:val="24"/>
          <w:szCs w:val="24"/>
        </w:rPr>
        <w:t xml:space="preserve"> </w:t>
      </w:r>
      <w:r w:rsidR="0018728C" w:rsidRPr="00B61FF1">
        <w:rPr>
          <w:rFonts w:ascii="Arial" w:hAnsi="Arial" w:cs="Arial"/>
          <w:sz w:val="24"/>
          <w:szCs w:val="24"/>
          <w:u w:val="single"/>
        </w:rPr>
        <w:t>Imported Electricity does not include electricity imported into California by an Independent System Operator to meet N</w:t>
      </w:r>
      <w:r w:rsidR="00A2158B" w:rsidRPr="00B61FF1">
        <w:rPr>
          <w:rFonts w:ascii="Arial" w:hAnsi="Arial" w:cs="Arial"/>
          <w:sz w:val="24"/>
          <w:szCs w:val="24"/>
          <w:u w:val="single"/>
        </w:rPr>
        <w:t>ERC</w:t>
      </w:r>
      <w:r w:rsidR="0018728C" w:rsidRPr="00B61FF1">
        <w:rPr>
          <w:rFonts w:ascii="Arial" w:hAnsi="Arial" w:cs="Arial"/>
          <w:sz w:val="24"/>
          <w:szCs w:val="24"/>
          <w:u w:val="single"/>
        </w:rPr>
        <w:t xml:space="preserve"> Reliability Standard EOP-002</w:t>
      </w:r>
      <w:r w:rsidR="0018728C" w:rsidRPr="00B61FF1">
        <w:rPr>
          <w:rFonts w:ascii="Arial" w:hAnsi="Arial" w:cs="Arial"/>
          <w:sz w:val="24"/>
          <w:szCs w:val="24"/>
        </w:rPr>
        <w:t>.</w:t>
      </w:r>
    </w:p>
    <w:p w14:paraId="5699874C" w14:textId="75276B8F" w:rsidR="0018728C" w:rsidRPr="00B61FF1" w:rsidRDefault="0018728C" w:rsidP="00E919BF">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902E4B">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“Industrial Sector Legacy Contract Counterparty” means an entity that has been identified under industrial allocation pursuant to Table 8-1 to receive allowance allocation, and has a contract to purchase Qualified Thermal Output and/or electricity from a Legacy Contract.</w:t>
      </w:r>
    </w:p>
    <w:p w14:paraId="7B7F1263" w14:textId="77777777" w:rsidR="0054122B" w:rsidRPr="00B61FF1" w:rsidRDefault="0054122B" w:rsidP="00E919BF">
      <w:pPr>
        <w:tabs>
          <w:tab w:val="left" w:pos="720"/>
        </w:tabs>
        <w:spacing w:line="360" w:lineRule="auto"/>
        <w:ind w:left="1080" w:hanging="720"/>
        <w:rPr>
          <w:rFonts w:ascii="Arial" w:hAnsi="Arial" w:cs="Arial"/>
          <w:sz w:val="24"/>
          <w:szCs w:val="24"/>
        </w:rPr>
      </w:pPr>
      <w:r w:rsidRPr="00B61FF1">
        <w:rPr>
          <w:rFonts w:ascii="Arial" w:hAnsi="Arial" w:cs="Arial"/>
          <w:sz w:val="24"/>
          <w:szCs w:val="24"/>
        </w:rPr>
        <w:t>(</w:t>
      </w:r>
      <w:r w:rsidR="00460E4E" w:rsidRPr="00B61FF1">
        <w:rPr>
          <w:rFonts w:ascii="Arial" w:hAnsi="Arial" w:cs="Arial"/>
          <w:sz w:val="24"/>
          <w:szCs w:val="24"/>
        </w:rPr>
        <w:t>1</w:t>
      </w:r>
      <w:r w:rsidR="00A2571C" w:rsidRPr="00B61FF1">
        <w:rPr>
          <w:rFonts w:ascii="Arial" w:hAnsi="Arial" w:cs="Arial"/>
          <w:sz w:val="24"/>
          <w:szCs w:val="24"/>
        </w:rPr>
        <w:t>3</w:t>
      </w:r>
      <w:r w:rsidR="001D2089"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“Initial </w:t>
      </w:r>
      <w:r w:rsidR="001506BA" w:rsidRPr="00B61FF1">
        <w:rPr>
          <w:rFonts w:ascii="Arial" w:hAnsi="Arial" w:cs="Arial"/>
          <w:sz w:val="24"/>
          <w:szCs w:val="24"/>
        </w:rPr>
        <w:t>C</w:t>
      </w:r>
      <w:r w:rsidRPr="00B61FF1">
        <w:rPr>
          <w:rFonts w:ascii="Arial" w:hAnsi="Arial" w:cs="Arial"/>
          <w:sz w:val="24"/>
          <w:szCs w:val="24"/>
        </w:rPr>
        <w:t xml:space="preserve">rediting </w:t>
      </w:r>
      <w:r w:rsidR="001506BA" w:rsidRPr="00B61FF1">
        <w:rPr>
          <w:rFonts w:ascii="Arial" w:hAnsi="Arial" w:cs="Arial"/>
          <w:sz w:val="24"/>
          <w:szCs w:val="24"/>
        </w:rPr>
        <w:t>P</w:t>
      </w:r>
      <w:r w:rsidRPr="00B61FF1">
        <w:rPr>
          <w:rFonts w:ascii="Arial" w:hAnsi="Arial" w:cs="Arial"/>
          <w:sz w:val="24"/>
          <w:szCs w:val="24"/>
        </w:rPr>
        <w:t>eriod” means the crediting period that begins with the date that the first GHG emission reductions or GHG removal enhancements took place according to the first Positive Offset or Qualified Positive Offset Verification Statement that is received by ARB.</w:t>
      </w:r>
    </w:p>
    <w:p w14:paraId="54F164F6" w14:textId="77777777" w:rsidR="0054122B" w:rsidRPr="00B61FF1" w:rsidRDefault="0054122B" w:rsidP="00E919BF">
      <w:pPr>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13</w:t>
      </w:r>
      <w:r w:rsidR="001D2089"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“Intentional </w:t>
      </w:r>
      <w:r w:rsidR="001506BA" w:rsidRPr="00B61FF1">
        <w:rPr>
          <w:rFonts w:ascii="Arial" w:hAnsi="Arial" w:cs="Arial"/>
          <w:sz w:val="24"/>
          <w:szCs w:val="24"/>
        </w:rPr>
        <w:t>R</w:t>
      </w:r>
      <w:r w:rsidRPr="00B61FF1">
        <w:rPr>
          <w:rFonts w:ascii="Arial" w:hAnsi="Arial" w:cs="Arial"/>
          <w:sz w:val="24"/>
          <w:szCs w:val="24"/>
        </w:rPr>
        <w:t>eversal” means any reversal caused by a forest owner's negligence, gross negligence, or willful intent, including harvesting, development, and harm to the area within the offset project boundary.</w:t>
      </w:r>
    </w:p>
    <w:p w14:paraId="4BBB1B17"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w:t>
      </w:r>
      <w:r w:rsidR="001D2089" w:rsidRPr="00B61FF1">
        <w:rPr>
          <w:rFonts w:ascii="Arial" w:hAnsi="Arial" w:cs="Arial"/>
          <w:sz w:val="24"/>
          <w:szCs w:val="24"/>
        </w:rPr>
        <w:t>40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"Intrastate </w:t>
      </w:r>
      <w:r w:rsidR="001506BA" w:rsidRPr="00B61FF1">
        <w:rPr>
          <w:rFonts w:ascii="Arial" w:hAnsi="Arial" w:cs="Arial"/>
          <w:sz w:val="24"/>
          <w:szCs w:val="24"/>
        </w:rPr>
        <w:t>P</w:t>
      </w:r>
      <w:r w:rsidRPr="00B61FF1">
        <w:rPr>
          <w:rFonts w:ascii="Arial" w:hAnsi="Arial" w:cs="Arial"/>
          <w:sz w:val="24"/>
          <w:szCs w:val="24"/>
        </w:rPr>
        <w:t>ipeline" means any pipeline wholly within the state of California that is not regulated as a public utility gas corporation by the California Public Utility Commission (CPUC), not a publicly owned natural gas utility and is not regulated as an interstate pipeline by the Federal Energy Regulatory Commission.</w:t>
      </w:r>
    </w:p>
    <w:p w14:paraId="640B2682"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w:t>
      </w:r>
      <w:r w:rsidR="001D2089" w:rsidRPr="00B61FF1">
        <w:rPr>
          <w:rFonts w:ascii="Arial" w:hAnsi="Arial" w:cs="Arial"/>
          <w:sz w:val="24"/>
          <w:szCs w:val="24"/>
        </w:rPr>
        <w:t>41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“Interstate </w:t>
      </w:r>
      <w:r w:rsidR="001506BA" w:rsidRPr="00B61FF1">
        <w:rPr>
          <w:rFonts w:ascii="Arial" w:hAnsi="Arial" w:cs="Arial"/>
          <w:sz w:val="24"/>
          <w:szCs w:val="24"/>
        </w:rPr>
        <w:t>P</w:t>
      </w:r>
      <w:r w:rsidRPr="00B61FF1">
        <w:rPr>
          <w:rFonts w:ascii="Arial" w:hAnsi="Arial" w:cs="Arial"/>
          <w:sz w:val="24"/>
          <w:szCs w:val="24"/>
        </w:rPr>
        <w:t>ipeline” means any entity that owns or operates a natural gas pipeline delivering natural gas to consumers in the state and is subject to rate regulation by the Federal Energy Regulatory Commission.</w:t>
      </w:r>
    </w:p>
    <w:p w14:paraId="1AD12B4F"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“Inventory </w:t>
      </w:r>
      <w:r w:rsidR="001506BA" w:rsidRPr="00B61FF1">
        <w:rPr>
          <w:rFonts w:ascii="Arial" w:hAnsi="Arial" w:cs="Arial"/>
          <w:sz w:val="24"/>
          <w:szCs w:val="24"/>
        </w:rPr>
        <w:t>P</w:t>
      </w:r>
      <w:r w:rsidRPr="00B61FF1">
        <w:rPr>
          <w:rFonts w:ascii="Arial" w:hAnsi="Arial" w:cs="Arial"/>
          <w:sz w:val="24"/>
          <w:szCs w:val="24"/>
        </w:rPr>
        <w:t>osition” means a contractual agreement with the terminal operator for the use of the storage facilities and terminaling services for the fuel.</w:t>
      </w:r>
    </w:p>
    <w:p w14:paraId="6577469F" w14:textId="77777777" w:rsidR="00EE6E88" w:rsidRPr="00B61FF1" w:rsidRDefault="0054122B" w:rsidP="00EE6E88">
      <w:pPr>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00EE6E88" w:rsidRPr="00B61FF1">
        <w:rPr>
          <w:rFonts w:ascii="Arial" w:hAnsi="Arial" w:cs="Arial"/>
          <w:sz w:val="24"/>
          <w:szCs w:val="24"/>
        </w:rPr>
        <w:t xml:space="preserve">“Issue” or “Issuance” means, in the context of offset credits, the creation of ARB offset credits or registry offset credits equivalent to the </w:t>
      </w:r>
      <w:r w:rsidR="00EE6E88" w:rsidRPr="00B61FF1">
        <w:rPr>
          <w:rFonts w:ascii="Arial" w:hAnsi="Arial" w:cs="Arial"/>
          <w:sz w:val="24"/>
          <w:szCs w:val="24"/>
        </w:rPr>
        <w:lastRenderedPageBreak/>
        <w:t>number of verified GHG reductions or GHG removal enhancements for an offset project over a specified period of time.  In the context of allowances, issue means the placement of an allowance into an account under the control of the Executive Officer.</w:t>
      </w:r>
    </w:p>
    <w:p w14:paraId="2BDD2232" w14:textId="77777777" w:rsidR="00B755C1" w:rsidRPr="00B61FF1" w:rsidRDefault="00EE6E88" w:rsidP="00EE6E88">
      <w:pPr>
        <w:spacing w:line="360" w:lineRule="auto"/>
        <w:ind w:left="1080" w:hanging="720"/>
        <w:rPr>
          <w:rFonts w:ascii="Arial" w:hAnsi="Arial" w:cs="Arial"/>
          <w:sz w:val="24"/>
          <w:szCs w:val="24"/>
        </w:rPr>
      </w:pPr>
      <w:r w:rsidRPr="00B61FF1">
        <w:rPr>
          <w:rFonts w:ascii="Arial" w:hAnsi="Arial" w:cs="Arial"/>
          <w:sz w:val="24"/>
          <w:szCs w:val="24"/>
        </w:rPr>
        <w:t xml:space="preserve"> </w:t>
      </w:r>
      <w:r w:rsidR="00B755C1"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4</w:t>
      </w:r>
      <w:r w:rsidR="00B755C1" w:rsidRPr="00B61FF1">
        <w:rPr>
          <w:rFonts w:ascii="Arial" w:hAnsi="Arial" w:cs="Arial"/>
          <w:sz w:val="24"/>
          <w:szCs w:val="24"/>
        </w:rPr>
        <w:t xml:space="preserve">) </w:t>
      </w:r>
      <w:r w:rsidR="00CD4B45" w:rsidRPr="00B61FF1">
        <w:rPr>
          <w:rFonts w:ascii="Arial" w:hAnsi="Arial" w:cs="Arial"/>
          <w:sz w:val="24"/>
          <w:szCs w:val="24"/>
        </w:rPr>
        <w:tab/>
      </w:r>
      <w:r w:rsidR="001506BA" w:rsidRPr="00B61FF1">
        <w:rPr>
          <w:rFonts w:ascii="Arial" w:hAnsi="Arial" w:cs="Arial"/>
          <w:sz w:val="24"/>
          <w:szCs w:val="24"/>
        </w:rPr>
        <w:t>“Joint P</w:t>
      </w:r>
      <w:r w:rsidR="00B755C1" w:rsidRPr="00B61FF1">
        <w:rPr>
          <w:rFonts w:ascii="Arial" w:hAnsi="Arial" w:cs="Arial"/>
          <w:sz w:val="24"/>
          <w:szCs w:val="24"/>
        </w:rPr>
        <w:t>o</w:t>
      </w:r>
      <w:r w:rsidR="001506BA" w:rsidRPr="00B61FF1">
        <w:rPr>
          <w:rFonts w:ascii="Arial" w:hAnsi="Arial" w:cs="Arial"/>
          <w:sz w:val="24"/>
          <w:szCs w:val="24"/>
        </w:rPr>
        <w:t>wers A</w:t>
      </w:r>
      <w:r w:rsidR="00B755C1" w:rsidRPr="00B61FF1">
        <w:rPr>
          <w:rFonts w:ascii="Arial" w:hAnsi="Arial" w:cs="Arial"/>
          <w:sz w:val="24"/>
          <w:szCs w:val="24"/>
        </w:rPr>
        <w:t xml:space="preserve">gency(ies)” or “JPA” means an public agency that is formed and created pursuant to the provisions of Government Code sections 6500. et seq. </w:t>
      </w:r>
    </w:p>
    <w:p w14:paraId="5D75A93C" w14:textId="77777777" w:rsidR="0054122B" w:rsidRPr="00B61FF1" w:rsidRDefault="0054122B" w:rsidP="00E919B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“Kerosene” is a light petroleum distillate with a maximum distillation temperature of 400 F at the 10-percent recovery point, a final maximum boiling point of 572 F, a minimum flash point of 100 F, and a maximum freezing point of -22 F. Included are No. 1-K and No. 2-K, distinguished by maximum sulfur content (0.04 and 0.30 percent of total mass, respectively), as well as all other grades of kerosene called range or stove oil.  Kerosene does not include kerosene-type jet fuel.</w:t>
      </w:r>
    </w:p>
    <w:p w14:paraId="05EA512C" w14:textId="77777777" w:rsidR="0054122B" w:rsidRPr="00B61FF1" w:rsidRDefault="0054122B" w:rsidP="000963AF">
      <w:pPr>
        <w:tabs>
          <w:tab w:val="left" w:pos="720"/>
          <w:tab w:val="left" w:pos="144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6</w:t>
      </w:r>
      <w:r w:rsidRPr="00B61FF1">
        <w:rPr>
          <w:rFonts w:ascii="Arial" w:hAnsi="Arial" w:cs="Arial"/>
          <w:sz w:val="24"/>
          <w:szCs w:val="24"/>
        </w:rPr>
        <w:t>)</w:t>
      </w:r>
      <w:r w:rsidR="000963AF" w:rsidRPr="00B61FF1">
        <w:rPr>
          <w:rFonts w:ascii="Arial" w:hAnsi="Arial" w:cs="Arial"/>
          <w:sz w:val="24"/>
          <w:szCs w:val="24"/>
        </w:rPr>
        <w:tab/>
      </w:r>
      <w:r w:rsidRPr="00B61FF1">
        <w:rPr>
          <w:rFonts w:ascii="Arial" w:hAnsi="Arial" w:cs="Arial"/>
          <w:sz w:val="24"/>
          <w:szCs w:val="24"/>
        </w:rPr>
        <w:t>"Kerosene-Type Jet Fuel" means a kerosene-based product used in commercial and military turbojet and turboprop aircraft.  The product has a maximum distillation temperature of 400 °F at the 10 percent recovery point and a final maximum boiling point of 572 °F.  Included are Jet A, Jet A–1, JP–5, and JP–8.</w:t>
      </w:r>
    </w:p>
    <w:p w14:paraId="0938A774"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“Lead </w:t>
      </w:r>
      <w:r w:rsidR="001506BA" w:rsidRPr="00B61FF1">
        <w:rPr>
          <w:rFonts w:ascii="Arial" w:hAnsi="Arial" w:cs="Arial"/>
          <w:sz w:val="24"/>
          <w:szCs w:val="24"/>
        </w:rPr>
        <w:t>V</w:t>
      </w:r>
      <w:r w:rsidRPr="00B61FF1">
        <w:rPr>
          <w:rFonts w:ascii="Arial" w:hAnsi="Arial" w:cs="Arial"/>
          <w:sz w:val="24"/>
          <w:szCs w:val="24"/>
        </w:rPr>
        <w:t>erifier” means</w:t>
      </w:r>
      <w:r w:rsidR="00A667ED" w:rsidRPr="00B61FF1">
        <w:rPr>
          <w:rFonts w:ascii="Arial" w:hAnsi="Arial" w:cs="Arial"/>
          <w:sz w:val="24"/>
          <w:szCs w:val="24"/>
        </w:rPr>
        <w:t>, for purposes of this article,</w:t>
      </w:r>
      <w:r w:rsidRPr="00B61FF1">
        <w:rPr>
          <w:rFonts w:ascii="Arial" w:hAnsi="Arial" w:cs="Arial"/>
          <w:sz w:val="24"/>
          <w:szCs w:val="24"/>
        </w:rPr>
        <w:t xml:space="preserve"> a person that has met all of the requirements in section 95132(b)(2) of MRR and who may act as the lead verifier of an offset verification team providing offset verification services or as a lead verifier providing an independent review of offset verification services rendered.</w:t>
      </w:r>
    </w:p>
    <w:p w14:paraId="5D7CD5E5" w14:textId="77777777" w:rsidR="0054122B" w:rsidRPr="00B61FF1" w:rsidRDefault="0054122B" w:rsidP="001D2089">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“Lead </w:t>
      </w:r>
      <w:r w:rsidR="001506BA" w:rsidRPr="00B61FF1">
        <w:rPr>
          <w:rFonts w:ascii="Arial" w:hAnsi="Arial" w:cs="Arial"/>
          <w:sz w:val="24"/>
          <w:szCs w:val="24"/>
        </w:rPr>
        <w:t>V</w:t>
      </w:r>
      <w:r w:rsidR="000963AF" w:rsidRPr="00B61FF1">
        <w:rPr>
          <w:rFonts w:ascii="Arial" w:hAnsi="Arial" w:cs="Arial"/>
          <w:sz w:val="24"/>
          <w:szCs w:val="24"/>
        </w:rPr>
        <w:t xml:space="preserve">erifier </w:t>
      </w:r>
      <w:r w:rsidR="001506BA" w:rsidRPr="00B61FF1">
        <w:rPr>
          <w:rFonts w:ascii="Arial" w:hAnsi="Arial" w:cs="Arial"/>
          <w:sz w:val="24"/>
          <w:szCs w:val="24"/>
        </w:rPr>
        <w:t>I</w:t>
      </w:r>
      <w:r w:rsidRPr="00B61FF1">
        <w:rPr>
          <w:rFonts w:ascii="Arial" w:hAnsi="Arial" w:cs="Arial"/>
          <w:sz w:val="24"/>
          <w:szCs w:val="24"/>
        </w:rPr>
        <w:t xml:space="preserve">ndependent </w:t>
      </w:r>
      <w:r w:rsidR="001506BA" w:rsidRPr="00B61FF1">
        <w:rPr>
          <w:rFonts w:ascii="Arial" w:hAnsi="Arial" w:cs="Arial"/>
          <w:sz w:val="24"/>
          <w:szCs w:val="24"/>
        </w:rPr>
        <w:t>R</w:t>
      </w:r>
      <w:r w:rsidRPr="00B61FF1">
        <w:rPr>
          <w:rFonts w:ascii="Arial" w:hAnsi="Arial" w:cs="Arial"/>
          <w:sz w:val="24"/>
          <w:szCs w:val="24"/>
        </w:rPr>
        <w:t xml:space="preserve">eviewer” or “Independent </w:t>
      </w:r>
      <w:r w:rsidR="001506BA" w:rsidRPr="00B61FF1">
        <w:rPr>
          <w:rFonts w:ascii="Arial" w:hAnsi="Arial" w:cs="Arial"/>
          <w:sz w:val="24"/>
          <w:szCs w:val="24"/>
        </w:rPr>
        <w:t>R</w:t>
      </w:r>
      <w:r w:rsidRPr="00B61FF1">
        <w:rPr>
          <w:rFonts w:ascii="Arial" w:hAnsi="Arial" w:cs="Arial"/>
          <w:sz w:val="24"/>
          <w:szCs w:val="24"/>
        </w:rPr>
        <w:t>eviewer” means</w:t>
      </w:r>
      <w:r w:rsidR="00A667ED" w:rsidRPr="00B61FF1">
        <w:rPr>
          <w:rFonts w:ascii="Arial" w:hAnsi="Arial" w:cs="Arial"/>
          <w:sz w:val="24"/>
          <w:szCs w:val="24"/>
        </w:rPr>
        <w:t>, for purposes of this article,</w:t>
      </w:r>
      <w:r w:rsidRPr="00B61FF1">
        <w:rPr>
          <w:rFonts w:ascii="Arial" w:hAnsi="Arial" w:cs="Arial"/>
          <w:sz w:val="24"/>
          <w:szCs w:val="24"/>
        </w:rPr>
        <w:t xml:space="preserve"> a lead verifier within a verification body who has not participated in conducting offset verification services for an Offset Project Developer or Authorized Project Designee for the current Offset Project Data Report </w:t>
      </w:r>
      <w:r w:rsidR="0011238A" w:rsidRPr="00B61FF1">
        <w:rPr>
          <w:rFonts w:ascii="Arial" w:hAnsi="Arial" w:cs="Arial"/>
          <w:sz w:val="24"/>
          <w:szCs w:val="24"/>
        </w:rPr>
        <w:t xml:space="preserve">and </w:t>
      </w:r>
      <w:r w:rsidRPr="00B61FF1">
        <w:rPr>
          <w:rFonts w:ascii="Arial" w:hAnsi="Arial" w:cs="Arial"/>
          <w:sz w:val="24"/>
          <w:szCs w:val="24"/>
        </w:rPr>
        <w:t xml:space="preserve">who provides an independent review of offset verification services rendered for an Offset Project Developer or Authorized Project Designee as required in section </w:t>
      </w:r>
      <w:r w:rsidRPr="00B61FF1">
        <w:rPr>
          <w:rFonts w:ascii="Arial" w:hAnsi="Arial" w:cs="Arial"/>
          <w:sz w:val="24"/>
          <w:szCs w:val="24"/>
        </w:rPr>
        <w:lastRenderedPageBreak/>
        <w:t>95977.1(b)(3)(R).</w:t>
      </w:r>
      <w:r w:rsidR="001D2089" w:rsidRPr="00B61FF1">
        <w:rPr>
          <w:rFonts w:ascii="Arial" w:hAnsi="Arial" w:cs="Arial"/>
          <w:sz w:val="24"/>
          <w:szCs w:val="24"/>
        </w:rPr>
        <w:t xml:space="preserve"> The independent reviewer is not required to also meet the requirements for a sector specific or offset project specific verifier.</w:t>
      </w:r>
    </w:p>
    <w:p w14:paraId="0C893FFC" w14:textId="327EC473" w:rsidR="00A2158B" w:rsidRPr="00B61FF1" w:rsidRDefault="00A2158B" w:rsidP="00A2158B">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902E4B">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“Legacy Contract” means a written contract or tolling agreement governing the sale of electricity and/or qualified thermal energy from an electric generating facility or cogeneration facility at a price, determined by either a fixed price or price formula, that does not allow for recovery of the costs associated with compliance with this regulation.  For purposes of this regulation, legacy contracts exclude contracts with a privately owned utility as defined in the Public Utilities Code section 216 (referred to as an Investor Owned Utility or IOU) for contracts already addressed under the Combined Heat and Power Program Settlement pursuant to CPUC Decision number D-10-12-035, and only include contracts originally executed prior to September 1, 2006, that have remained in effect and have not been amended since September 1, 2006 to change the terms governing the California greenhouse gas emissions responsibility, price or amount of electricity or Qualified Thermal Output sold, or the expiration date. A legacy contract does not apply to opt-in covered entities.</w:t>
      </w:r>
    </w:p>
    <w:p w14:paraId="0B336B9E" w14:textId="5915CD77" w:rsidR="0018728C" w:rsidRPr="00B61FF1" w:rsidRDefault="0018728C" w:rsidP="00A2158B">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 xml:space="preserve">“Legacy Contract Emissions” means the emissions calculated, based on a positive or qualified positive emissions data verification statement issued pursuant to MRR, by the Legacy Contract Generator, that are a result of either electricity and/or Qualified Thermal Output sold to a Legacy Contract Counterparty, and calculated pursuant to section 95894(c) of this regulation. Legacy contract emissions do not include emissions that are included in the calculation of cost under the CPUC’s Qualifying Facilities and Combined Heat and Power Program Settlement pursuant to CPUC Decision number D-10-12-035. </w:t>
      </w:r>
    </w:p>
    <w:p w14:paraId="4EB4463E" w14:textId="0E6C6EB1" w:rsidR="0018728C" w:rsidRPr="00B61FF1" w:rsidRDefault="0018728C" w:rsidP="0018728C">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 xml:space="preserve">“Legacy Contract Generator” means a covered entity which operates a stand-alone electricity generating unit  or a cogeneration facility system </w:t>
      </w:r>
      <w:r w:rsidRPr="00B61FF1">
        <w:rPr>
          <w:rFonts w:ascii="Arial" w:hAnsi="Arial" w:cs="Arial"/>
          <w:sz w:val="24"/>
          <w:szCs w:val="24"/>
          <w:u w:val="single"/>
        </w:rPr>
        <w:lastRenderedPageBreak/>
        <w:t xml:space="preserve">and sells electricity or thermal energy pursuant to one or more legacy contracts. </w:t>
      </w:r>
    </w:p>
    <w:p w14:paraId="55F69995" w14:textId="3BB7F670" w:rsidR="0018728C" w:rsidRPr="00B61FF1" w:rsidRDefault="0018728C" w:rsidP="0018728C">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 xml:space="preserve">“Legacy Contract Qualified Thermal Output” means the thermal energy generated by a cogeneration unit that is sold to </w:t>
      </w:r>
      <w:r w:rsidR="00054959" w:rsidRPr="00B61FF1">
        <w:rPr>
          <w:rFonts w:ascii="Arial" w:hAnsi="Arial" w:cs="Arial"/>
          <w:sz w:val="24"/>
          <w:szCs w:val="24"/>
          <w:u w:val="single"/>
        </w:rPr>
        <w:t>specific</w:t>
      </w:r>
      <w:r w:rsidRPr="00B61FF1">
        <w:rPr>
          <w:rFonts w:ascii="Arial" w:hAnsi="Arial" w:cs="Arial"/>
          <w:sz w:val="24"/>
          <w:szCs w:val="24"/>
          <w:u w:val="single"/>
        </w:rPr>
        <w:t xml:space="preserve"> end-users, and reported pursuant to MRR section 95112(a)(5)(A), and the thermal energy used on-site by industrial processes or operations, and heating and cooling operations, that is not in support of or a part of the electricity generation or cogeneration system and is reported pursuant to MRR section 95112(a)(5)(C). </w:t>
      </w:r>
      <w:r w:rsidR="00054959" w:rsidRPr="00B61FF1">
        <w:rPr>
          <w:rFonts w:ascii="Arial" w:hAnsi="Arial" w:cs="Arial"/>
          <w:sz w:val="24"/>
          <w:szCs w:val="24"/>
          <w:u w:val="single"/>
        </w:rPr>
        <w:t xml:space="preserve">Legacy Contract Qualified Thermal Output also includes any thermal energy generated by equipment that is not an integral part of the cogeneration unit that is provided to a Legacy Contract Counterparty and meets the eligibility requirements in section 95894. Legacy Contract Qualified Thermal Output does not include thermal energy that is vented, radiated, wasted, or discharged before it is utilized at industrial processes or operations.  </w:t>
      </w:r>
    </w:p>
    <w:p w14:paraId="19269A58"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14</w:t>
      </w:r>
      <w:r w:rsidR="001D2089" w:rsidRPr="00B61FF1">
        <w:rPr>
          <w:rFonts w:ascii="Arial" w:hAnsi="Arial" w:cs="Arial"/>
          <w:sz w:val="24"/>
          <w:szCs w:val="24"/>
        </w:rPr>
        <w:t>9</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“Less </w:t>
      </w:r>
      <w:r w:rsidR="001506BA" w:rsidRPr="00B61FF1">
        <w:rPr>
          <w:rFonts w:ascii="Arial" w:hAnsi="Arial" w:cs="Arial"/>
          <w:sz w:val="24"/>
          <w:szCs w:val="24"/>
        </w:rPr>
        <w:t>I</w:t>
      </w:r>
      <w:r w:rsidRPr="00B61FF1">
        <w:rPr>
          <w:rFonts w:ascii="Arial" w:hAnsi="Arial" w:cs="Arial"/>
          <w:sz w:val="24"/>
          <w:szCs w:val="24"/>
        </w:rPr>
        <w:t xml:space="preserve">ntensive </w:t>
      </w:r>
      <w:r w:rsidR="001506BA" w:rsidRPr="00B61FF1">
        <w:rPr>
          <w:rFonts w:ascii="Arial" w:hAnsi="Arial" w:cs="Arial"/>
          <w:sz w:val="24"/>
          <w:szCs w:val="24"/>
        </w:rPr>
        <w:t>V</w:t>
      </w:r>
      <w:r w:rsidRPr="00B61FF1">
        <w:rPr>
          <w:rFonts w:ascii="Arial" w:hAnsi="Arial" w:cs="Arial"/>
          <w:sz w:val="24"/>
          <w:szCs w:val="24"/>
        </w:rPr>
        <w:t>erification</w:t>
      </w:r>
      <w:r w:rsidR="00E662B8" w:rsidRPr="00B61FF1">
        <w:rPr>
          <w:rFonts w:ascii="Arial" w:hAnsi="Arial" w:cs="Arial"/>
          <w:sz w:val="24"/>
          <w:szCs w:val="24"/>
        </w:rPr>
        <w:t>” means</w:t>
      </w:r>
      <w:r w:rsidR="00F60BB1" w:rsidRPr="00B61FF1">
        <w:rPr>
          <w:rFonts w:ascii="Arial" w:hAnsi="Arial" w:cs="Arial"/>
          <w:sz w:val="24"/>
          <w:szCs w:val="24"/>
        </w:rPr>
        <w:t xml:space="preserve">, for the purposes of this article, the </w:t>
      </w:r>
      <w:r w:rsidR="00D1347B" w:rsidRPr="00B61FF1">
        <w:rPr>
          <w:rFonts w:ascii="Arial" w:hAnsi="Arial" w:cs="Arial"/>
          <w:sz w:val="24"/>
          <w:szCs w:val="24"/>
        </w:rPr>
        <w:t xml:space="preserve">offset </w:t>
      </w:r>
      <w:r w:rsidR="00F60BB1" w:rsidRPr="00B61FF1">
        <w:rPr>
          <w:rFonts w:ascii="Arial" w:hAnsi="Arial" w:cs="Arial"/>
          <w:sz w:val="24"/>
          <w:szCs w:val="24"/>
        </w:rPr>
        <w:t>verification services provided in interim ye</w:t>
      </w:r>
      <w:r w:rsidR="00E662B8" w:rsidRPr="00B61FF1">
        <w:rPr>
          <w:rFonts w:ascii="Arial" w:hAnsi="Arial" w:cs="Arial"/>
          <w:sz w:val="24"/>
          <w:szCs w:val="24"/>
        </w:rPr>
        <w:t xml:space="preserve">ars between full verifications </w:t>
      </w:r>
      <w:r w:rsidRPr="00B61FF1">
        <w:rPr>
          <w:rFonts w:ascii="Arial" w:hAnsi="Arial" w:cs="Arial"/>
          <w:sz w:val="24"/>
          <w:szCs w:val="24"/>
        </w:rPr>
        <w:t xml:space="preserve">of an Offset </w:t>
      </w:r>
      <w:r w:rsidR="00E662B8" w:rsidRPr="00B61FF1">
        <w:rPr>
          <w:rFonts w:ascii="Arial" w:hAnsi="Arial" w:cs="Arial"/>
          <w:sz w:val="24"/>
          <w:szCs w:val="24"/>
        </w:rPr>
        <w:t xml:space="preserve">Project Data Report; less intensive verification of an Offset Project Data Report </w:t>
      </w:r>
      <w:r w:rsidRPr="00B61FF1">
        <w:rPr>
          <w:rFonts w:ascii="Arial" w:hAnsi="Arial" w:cs="Arial"/>
          <w:sz w:val="24"/>
          <w:szCs w:val="24"/>
        </w:rPr>
        <w:t>only requires data checks and document reviews of an Offset Project Data Report based on the analysis and risk assessment in the most current sampling plan developed as part of the most recent full offset verification services.</w:t>
      </w:r>
      <w:r w:rsidR="00E662B8" w:rsidRPr="00B61FF1">
        <w:rPr>
          <w:rFonts w:ascii="Arial" w:hAnsi="Arial" w:cs="Arial"/>
          <w:sz w:val="24"/>
          <w:szCs w:val="24"/>
        </w:rPr>
        <w:t xml:space="preserve"> This level of verification may only be used if the </w:t>
      </w:r>
      <w:r w:rsidR="00D1347B" w:rsidRPr="00B61FF1">
        <w:rPr>
          <w:rFonts w:ascii="Arial" w:hAnsi="Arial" w:cs="Arial"/>
          <w:sz w:val="24"/>
          <w:szCs w:val="24"/>
        </w:rPr>
        <w:t xml:space="preserve">offset </w:t>
      </w:r>
      <w:r w:rsidR="00E662B8" w:rsidRPr="00B61FF1">
        <w:rPr>
          <w:rFonts w:ascii="Arial" w:hAnsi="Arial" w:cs="Arial"/>
          <w:sz w:val="24"/>
          <w:szCs w:val="24"/>
        </w:rPr>
        <w:t>verifier can provide findings with a reasonable level of assurance.</w:t>
      </w:r>
    </w:p>
    <w:p w14:paraId="78FBE7E0"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w:t>
      </w:r>
      <w:r w:rsidR="001D2089" w:rsidRPr="00B61FF1">
        <w:rPr>
          <w:rFonts w:ascii="Arial" w:hAnsi="Arial" w:cs="Arial"/>
          <w:sz w:val="24"/>
          <w:szCs w:val="24"/>
        </w:rPr>
        <w:t>50</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"Light Crude Oil" means a category of crude oil characterized by relatively low viscosity, a lower carbon-to-hydrogen ratio, and a relatively lower density having an API gravity of greater than or equal to 20. </w:t>
      </w:r>
    </w:p>
    <w:p w14:paraId="72FB6845"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DC3D4E" w:rsidRPr="00B61FF1">
        <w:rPr>
          <w:rFonts w:ascii="Arial" w:hAnsi="Arial" w:cs="Arial"/>
          <w:sz w:val="24"/>
          <w:szCs w:val="24"/>
        </w:rPr>
        <w:t>1</w:t>
      </w:r>
      <w:r w:rsidR="001D2089" w:rsidRPr="00B61FF1">
        <w:rPr>
          <w:rFonts w:ascii="Arial" w:hAnsi="Arial" w:cs="Arial"/>
          <w:sz w:val="24"/>
          <w:szCs w:val="24"/>
        </w:rPr>
        <w:t>51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“Limited Use Holding Account” means an account in which allowances are placed </w:t>
      </w:r>
      <w:r w:rsidR="003E309B" w:rsidRPr="00B61FF1">
        <w:rPr>
          <w:rFonts w:ascii="Arial" w:hAnsi="Arial" w:cs="Arial"/>
          <w:sz w:val="24"/>
          <w:szCs w:val="24"/>
        </w:rPr>
        <w:t>after</w:t>
      </w:r>
      <w:r w:rsidR="000963AF" w:rsidRPr="00B61FF1">
        <w:rPr>
          <w:rFonts w:ascii="Arial" w:hAnsi="Arial" w:cs="Arial"/>
          <w:sz w:val="24"/>
          <w:szCs w:val="24"/>
        </w:rPr>
        <w:t xml:space="preserve"> </w:t>
      </w:r>
      <w:r w:rsidRPr="00B61FF1">
        <w:rPr>
          <w:rFonts w:ascii="Arial" w:hAnsi="Arial" w:cs="Arial"/>
          <w:sz w:val="24"/>
          <w:szCs w:val="24"/>
        </w:rPr>
        <w:t xml:space="preserve">an entity qualifies for a direct allocation under section </w:t>
      </w:r>
      <w:r w:rsidRPr="00B61FF1">
        <w:rPr>
          <w:rFonts w:ascii="Arial" w:hAnsi="Arial" w:cs="Arial"/>
          <w:sz w:val="24"/>
          <w:szCs w:val="24"/>
        </w:rPr>
        <w:lastRenderedPageBreak/>
        <w:t>95890</w:t>
      </w:r>
      <w:r w:rsidR="003E309B" w:rsidRPr="00B61FF1">
        <w:rPr>
          <w:rFonts w:ascii="Arial" w:hAnsi="Arial" w:cs="Arial"/>
          <w:sz w:val="24"/>
          <w:szCs w:val="24"/>
        </w:rPr>
        <w:t>(b)</w:t>
      </w:r>
      <w:r w:rsidRPr="00B61FF1">
        <w:rPr>
          <w:rFonts w:ascii="Arial" w:hAnsi="Arial" w:cs="Arial"/>
          <w:sz w:val="24"/>
          <w:szCs w:val="24"/>
        </w:rPr>
        <w:t>.  Allowances placed in this account can only be removed for consignment to the auction</w:t>
      </w:r>
      <w:r w:rsidR="003E309B" w:rsidRPr="00B61FF1">
        <w:rPr>
          <w:rFonts w:ascii="Arial" w:hAnsi="Arial" w:cs="Arial"/>
          <w:sz w:val="24"/>
          <w:szCs w:val="24"/>
        </w:rPr>
        <w:t xml:space="preserve"> pursuant to section 95831(a)(3)</w:t>
      </w:r>
      <w:r w:rsidRPr="00B61FF1">
        <w:rPr>
          <w:rFonts w:ascii="Arial" w:hAnsi="Arial" w:cs="Arial"/>
          <w:sz w:val="24"/>
          <w:szCs w:val="24"/>
        </w:rPr>
        <w:t>.</w:t>
      </w:r>
    </w:p>
    <w:p w14:paraId="31DC0E7C" w14:textId="77777777" w:rsidR="0054122B" w:rsidRPr="00B61FF1" w:rsidRDefault="0054122B" w:rsidP="000963AF">
      <w:pPr>
        <w:tabs>
          <w:tab w:val="left" w:pos="3780"/>
        </w:tabs>
        <w:spacing w:line="360" w:lineRule="auto"/>
        <w:ind w:left="1080" w:hanging="720"/>
        <w:rPr>
          <w:rFonts w:ascii="Arial" w:eastAsia="Times New Roman" w:hAnsi="Arial" w:cs="Arial"/>
          <w:sz w:val="24"/>
          <w:szCs w:val="24"/>
          <w:lang w:bidi="en-US"/>
        </w:rPr>
      </w:pPr>
      <w:r w:rsidRPr="00B61FF1">
        <w:rPr>
          <w:rFonts w:ascii="Arial" w:hAnsi="Arial" w:cs="Arial"/>
          <w:sz w:val="24"/>
          <w:szCs w:val="24"/>
        </w:rPr>
        <w:t>(</w:t>
      </w:r>
      <w:r w:rsidR="001D0B34" w:rsidRPr="00B61FF1">
        <w:rPr>
          <w:rFonts w:ascii="Arial" w:hAnsi="Arial" w:cs="Arial"/>
          <w:sz w:val="24"/>
          <w:szCs w:val="24"/>
        </w:rPr>
        <w:t>15</w:t>
      </w:r>
      <w:r w:rsidR="001D2089"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“Linkage” means</w:t>
      </w:r>
      <w:r w:rsidRPr="00B61FF1">
        <w:rPr>
          <w:rFonts w:ascii="Arial" w:eastAsia="MS Mincho" w:hAnsi="Arial" w:cs="Arial"/>
          <w:sz w:val="24"/>
          <w:szCs w:val="24"/>
          <w:lang w:eastAsia="ja-JP"/>
        </w:rPr>
        <w:t xml:space="preserve"> the approval of </w:t>
      </w:r>
      <w:r w:rsidRPr="00B61FF1">
        <w:rPr>
          <w:rFonts w:ascii="Arial" w:eastAsia="Times New Roman" w:hAnsi="Arial" w:cs="Arial"/>
          <w:sz w:val="24"/>
          <w:szCs w:val="24"/>
          <w:lang w:bidi="en-US"/>
        </w:rPr>
        <w:t>compliance instruments from an external greenhouse gas emission trading system (GHG ETS) to meet compliance obligations under this article, and the reciprocal approval of compliance instruments issued by California to meet compliance obligation in an external GHG ETS.</w:t>
      </w:r>
    </w:p>
    <w:p w14:paraId="622488C8"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15</w:t>
      </w:r>
      <w:r w:rsidR="001D2089" w:rsidRPr="00B61FF1">
        <w:rPr>
          <w:rFonts w:ascii="Arial" w:hAnsi="Arial" w:cs="Arial"/>
          <w:sz w:val="24"/>
          <w:szCs w:val="24"/>
        </w:rPr>
        <w:t>3</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"Liquefied Hydrogen" means hydrogen in a liquid state.</w:t>
      </w:r>
    </w:p>
    <w:p w14:paraId="78FB64A4" w14:textId="11A9A563" w:rsidR="000E7420" w:rsidRPr="00B61FF1" w:rsidRDefault="000E7420" w:rsidP="000963AF">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“Liquefied natural gas” or “LNG” means natural gas (primarily methane) that has been liquefied by reducing its temperature to -260 degrees Fahrenheit at atmospheric pressure.</w:t>
      </w:r>
    </w:p>
    <w:p w14:paraId="2EA0436A" w14:textId="77777777" w:rsidR="0054122B" w:rsidRPr="00B61FF1" w:rsidRDefault="0054122B" w:rsidP="000963A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15</w:t>
      </w:r>
      <w:r w:rsidR="001D2089" w:rsidRPr="00B61FF1">
        <w:rPr>
          <w:rFonts w:ascii="Arial" w:hAnsi="Arial" w:cs="Arial"/>
          <w:sz w:val="24"/>
          <w:szCs w:val="24"/>
        </w:rPr>
        <w:t>4</w:t>
      </w:r>
      <w:r w:rsidRPr="00B61FF1">
        <w:rPr>
          <w:rFonts w:ascii="Arial" w:hAnsi="Arial" w:cs="Arial"/>
          <w:sz w:val="24"/>
          <w:szCs w:val="24"/>
        </w:rPr>
        <w:t>)</w:t>
      </w:r>
      <w:r w:rsidR="000963AF"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“Liquefied Petroleum Gas” or “LPG” means a flammable mixture of hydrocarbon gases used as a fuel.  LPG </w:t>
      </w:r>
      <w:r w:rsidR="00D543FF" w:rsidRPr="00B61FF1">
        <w:rPr>
          <w:rFonts w:ascii="Arial" w:hAnsi="Arial" w:cs="Arial"/>
          <w:sz w:val="24"/>
          <w:szCs w:val="24"/>
        </w:rPr>
        <w:t>is primarily</w:t>
      </w:r>
      <w:r w:rsidRPr="00B61FF1">
        <w:rPr>
          <w:rFonts w:ascii="Arial" w:hAnsi="Arial" w:cs="Arial"/>
          <w:sz w:val="24"/>
          <w:szCs w:val="24"/>
        </w:rPr>
        <w:t xml:space="preserve"> mixtures of propane, butane, </w:t>
      </w:r>
      <w:r w:rsidR="00D543FF" w:rsidRPr="00B61FF1">
        <w:rPr>
          <w:rFonts w:ascii="Arial" w:hAnsi="Arial" w:cs="Arial"/>
          <w:sz w:val="24"/>
          <w:szCs w:val="24"/>
        </w:rPr>
        <w:t>propene (propylene) and ethane.  The most common specification categories are</w:t>
      </w:r>
      <w:r w:rsidRPr="00B61FF1">
        <w:rPr>
          <w:rFonts w:ascii="Arial" w:hAnsi="Arial" w:cs="Arial"/>
          <w:sz w:val="24"/>
          <w:szCs w:val="24"/>
        </w:rPr>
        <w:t xml:space="preserve"> propane grades, HD-5, HD-10, and commercial grade propane.  LPG also includes both odorized and non-odorized liquid petroleum gas, and is also referred to as propane.</w:t>
      </w:r>
    </w:p>
    <w:p w14:paraId="5546FC6B"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15</w:t>
      </w:r>
      <w:r w:rsidR="001D2089"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“Listed Industrial Sector” means covered industrial sectors that are eligible for industry assistance specified in Table 8-1 of subarticle 8.</w:t>
      </w:r>
    </w:p>
    <w:p w14:paraId="1F4E7694" w14:textId="77777777" w:rsidR="00364CD9" w:rsidRPr="00B61FF1" w:rsidRDefault="00364CD9" w:rsidP="00364CD9">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15</w:t>
      </w:r>
      <w:r w:rsidR="007723A1" w:rsidRPr="00B61FF1">
        <w:rPr>
          <w:rFonts w:ascii="Arial" w:hAnsi="Arial" w:cs="Arial"/>
          <w:sz w:val="24"/>
          <w:szCs w:val="24"/>
        </w:rPr>
        <w:t>6</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w:t>
      </w:r>
      <w:r w:rsidR="007B5A4B" w:rsidRPr="00B61FF1">
        <w:rPr>
          <w:rFonts w:ascii="Arial" w:hAnsi="Arial" w:cs="Arial"/>
          <w:sz w:val="24"/>
          <w:szCs w:val="24"/>
        </w:rPr>
        <w:t>Long-Term Contract</w:t>
      </w:r>
      <w:r w:rsidRPr="00B61FF1">
        <w:rPr>
          <w:rFonts w:ascii="Arial" w:hAnsi="Arial" w:cs="Arial"/>
          <w:sz w:val="24"/>
          <w:szCs w:val="24"/>
        </w:rPr>
        <w:t xml:space="preserve">" means </w:t>
      </w:r>
      <w:r w:rsidR="007B5A4B" w:rsidRPr="00B61FF1">
        <w:rPr>
          <w:rFonts w:ascii="Arial" w:hAnsi="Arial" w:cs="Arial"/>
          <w:sz w:val="24"/>
          <w:szCs w:val="24"/>
        </w:rPr>
        <w:t>a contract for the delivery of electricity entered into before January 1, 2006</w:t>
      </w:r>
      <w:r w:rsidR="0011238A" w:rsidRPr="00B61FF1">
        <w:rPr>
          <w:rFonts w:ascii="Arial" w:hAnsi="Arial" w:cs="Arial"/>
          <w:sz w:val="24"/>
          <w:szCs w:val="24"/>
        </w:rPr>
        <w:t>,</w:t>
      </w:r>
      <w:r w:rsidR="007B5A4B" w:rsidRPr="00B61FF1">
        <w:rPr>
          <w:rFonts w:ascii="Arial" w:hAnsi="Arial" w:cs="Arial"/>
          <w:sz w:val="24"/>
          <w:szCs w:val="24"/>
        </w:rPr>
        <w:t xml:space="preserve"> for the term of five years or more</w:t>
      </w:r>
      <w:r w:rsidRPr="00B61FF1">
        <w:rPr>
          <w:rFonts w:ascii="Arial" w:hAnsi="Arial" w:cs="Arial"/>
          <w:sz w:val="24"/>
          <w:szCs w:val="24"/>
        </w:rPr>
        <w:t>.</w:t>
      </w:r>
    </w:p>
    <w:p w14:paraId="2027E036"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15</w:t>
      </w:r>
      <w:r w:rsidR="007723A1"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“Mandatory Reporting Regulation” or “MRR” means ARB’s Regulation for the Mandatory Reporting of Greenhouse Gas Emissions as set forth in title 17, California Code of Regulations, chapter 1, subchapter 10, article 2 (commencing with section 95100).</w:t>
      </w:r>
    </w:p>
    <w:p w14:paraId="34D1464B"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15</w:t>
      </w:r>
      <w:r w:rsidR="007723A1" w:rsidRPr="00B61FF1">
        <w:rPr>
          <w:rFonts w:ascii="Arial" w:hAnsi="Arial" w:cs="Arial"/>
          <w:sz w:val="24"/>
          <w:szCs w:val="24"/>
        </w:rPr>
        <w:t>8</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“Market </w:t>
      </w:r>
      <w:r w:rsidR="001506BA" w:rsidRPr="00B61FF1">
        <w:rPr>
          <w:rFonts w:ascii="Arial" w:hAnsi="Arial" w:cs="Arial"/>
          <w:sz w:val="24"/>
          <w:szCs w:val="24"/>
        </w:rPr>
        <w:t>I</w:t>
      </w:r>
      <w:r w:rsidRPr="00B61FF1">
        <w:rPr>
          <w:rFonts w:ascii="Arial" w:hAnsi="Arial" w:cs="Arial"/>
          <w:sz w:val="24"/>
          <w:szCs w:val="24"/>
        </w:rPr>
        <w:t>ndex” means any published index of quantities or prices based on results of market transactions.</w:t>
      </w:r>
    </w:p>
    <w:p w14:paraId="5B827A72" w14:textId="77777777" w:rsidR="00734726" w:rsidRPr="00B61FF1" w:rsidRDefault="0054122B" w:rsidP="0036229A">
      <w:pPr>
        <w:tabs>
          <w:tab w:val="left" w:pos="3780"/>
        </w:tabs>
        <w:spacing w:line="360" w:lineRule="auto"/>
        <w:ind w:left="1080" w:hanging="720"/>
        <w:rPr>
          <w:rFonts w:ascii="Arial" w:hAnsi="Arial" w:cs="Arial"/>
          <w:strike/>
          <w:sz w:val="24"/>
          <w:szCs w:val="24"/>
        </w:rPr>
      </w:pPr>
      <w:r w:rsidRPr="00B61FF1">
        <w:rPr>
          <w:rFonts w:ascii="Arial" w:hAnsi="Arial" w:cs="Arial"/>
          <w:sz w:val="24"/>
          <w:szCs w:val="24"/>
        </w:rPr>
        <w:t>(</w:t>
      </w:r>
      <w:r w:rsidR="001D0B34" w:rsidRPr="00B61FF1">
        <w:rPr>
          <w:rFonts w:ascii="Arial" w:hAnsi="Arial" w:cs="Arial"/>
          <w:sz w:val="24"/>
          <w:szCs w:val="24"/>
        </w:rPr>
        <w:t>15</w:t>
      </w:r>
      <w:r w:rsidR="007723A1"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“Marketer” </w:t>
      </w:r>
      <w:r w:rsidR="00734726" w:rsidRPr="00B61FF1">
        <w:rPr>
          <w:rFonts w:ascii="Arial" w:hAnsi="Arial" w:cs="Arial"/>
          <w:sz w:val="24"/>
          <w:szCs w:val="24"/>
        </w:rPr>
        <w:t>means a purchasing-selling entity that delivers electricity and is not a retail provider.</w:t>
      </w:r>
      <w:r w:rsidR="00734726" w:rsidRPr="00B61FF1">
        <w:rPr>
          <w:rFonts w:ascii="Arial" w:hAnsi="Arial" w:cs="Arial"/>
          <w:strike/>
          <w:sz w:val="24"/>
          <w:szCs w:val="24"/>
        </w:rPr>
        <w:t xml:space="preserve"> </w:t>
      </w:r>
    </w:p>
    <w:p w14:paraId="37A04107" w14:textId="77777777" w:rsidR="005E29A9" w:rsidRPr="00B61FF1" w:rsidRDefault="0054122B" w:rsidP="0036229A">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w:t>
      </w:r>
      <w:r w:rsidR="007723A1" w:rsidRPr="00B61FF1">
        <w:rPr>
          <w:rFonts w:ascii="Arial" w:hAnsi="Arial" w:cs="Arial"/>
          <w:sz w:val="24"/>
          <w:szCs w:val="24"/>
        </w:rPr>
        <w:t>60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“Market-</w:t>
      </w:r>
      <w:r w:rsidR="001506BA" w:rsidRPr="00B61FF1">
        <w:rPr>
          <w:rFonts w:ascii="Arial" w:hAnsi="Arial" w:cs="Arial"/>
          <w:sz w:val="24"/>
          <w:szCs w:val="24"/>
        </w:rPr>
        <w:t>S</w:t>
      </w:r>
      <w:r w:rsidRPr="00B61FF1">
        <w:rPr>
          <w:rFonts w:ascii="Arial" w:hAnsi="Arial" w:cs="Arial"/>
          <w:sz w:val="24"/>
          <w:szCs w:val="24"/>
        </w:rPr>
        <w:t xml:space="preserve">hifting </w:t>
      </w:r>
      <w:r w:rsidR="001506BA" w:rsidRPr="00B61FF1">
        <w:rPr>
          <w:rFonts w:ascii="Arial" w:hAnsi="Arial" w:cs="Arial"/>
          <w:sz w:val="24"/>
          <w:szCs w:val="24"/>
        </w:rPr>
        <w:t>L</w:t>
      </w:r>
      <w:r w:rsidRPr="00B61FF1">
        <w:rPr>
          <w:rFonts w:ascii="Arial" w:hAnsi="Arial" w:cs="Arial"/>
          <w:sz w:val="24"/>
          <w:szCs w:val="24"/>
        </w:rPr>
        <w:t xml:space="preserve">eakage,” in the context of an offset project, means increased GHG emissions or decreased GHG removals outside an </w:t>
      </w:r>
      <w:r w:rsidRPr="00B61FF1">
        <w:rPr>
          <w:rFonts w:ascii="Arial" w:hAnsi="Arial" w:cs="Arial"/>
          <w:sz w:val="24"/>
          <w:szCs w:val="24"/>
        </w:rPr>
        <w:lastRenderedPageBreak/>
        <w:t>offset project’s boundary due to the effects of an offset project on an established market for goods or services.</w:t>
      </w:r>
    </w:p>
    <w:p w14:paraId="19EB8CAD"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w:t>
      </w:r>
      <w:r w:rsidR="007723A1" w:rsidRPr="00B61FF1">
        <w:rPr>
          <w:rFonts w:ascii="Arial" w:hAnsi="Arial" w:cs="Arial"/>
          <w:sz w:val="24"/>
          <w:szCs w:val="24"/>
        </w:rPr>
        <w:t>61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“Methane” or “CH</w:t>
      </w:r>
      <w:r w:rsidRPr="00B61FF1">
        <w:rPr>
          <w:rFonts w:ascii="Arial" w:hAnsi="Arial" w:cs="Arial"/>
          <w:sz w:val="24"/>
          <w:szCs w:val="24"/>
          <w:vertAlign w:val="subscript"/>
        </w:rPr>
        <w:t>4</w:t>
      </w:r>
      <w:r w:rsidRPr="00B61FF1">
        <w:rPr>
          <w:rFonts w:ascii="Arial" w:hAnsi="Arial" w:cs="Arial"/>
          <w:sz w:val="24"/>
          <w:szCs w:val="24"/>
        </w:rPr>
        <w:t>” means a GHG consisting on the molecular level of a single carbon atom and four hydrogen atoms.</w:t>
      </w:r>
    </w:p>
    <w:p w14:paraId="7C80883C"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7723A1"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“Metric </w:t>
      </w:r>
      <w:r w:rsidR="001506BA" w:rsidRPr="00B61FF1">
        <w:rPr>
          <w:rFonts w:ascii="Arial" w:hAnsi="Arial" w:cs="Arial"/>
          <w:sz w:val="24"/>
          <w:szCs w:val="24"/>
        </w:rPr>
        <w:t>T</w:t>
      </w:r>
      <w:r w:rsidRPr="00B61FF1">
        <w:rPr>
          <w:rFonts w:ascii="Arial" w:hAnsi="Arial" w:cs="Arial"/>
          <w:sz w:val="24"/>
          <w:szCs w:val="24"/>
        </w:rPr>
        <w:t>on” or “MT” means a common international measurement for mass, equivalent to 2,204.6 pounds or 1.1 short tons.</w:t>
      </w:r>
    </w:p>
    <w:p w14:paraId="69F75942" w14:textId="77777777" w:rsidR="0054122B" w:rsidRPr="00B61FF1" w:rsidRDefault="0054122B" w:rsidP="000963A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7723A1" w:rsidRPr="00B61FF1">
        <w:rPr>
          <w:rFonts w:ascii="Arial" w:hAnsi="Arial" w:cs="Arial"/>
          <w:sz w:val="24"/>
          <w:szCs w:val="24"/>
        </w:rPr>
        <w:t>3</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"Mixed Crude Oil" means a mix of both heavy and light crude oil.</w:t>
      </w:r>
    </w:p>
    <w:p w14:paraId="512835BB"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7723A1"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“Monitoring” means, in the context of offset projects, the ongoing collection and archiving of all relevant and required data for determining the project baseline, project emissions, and quantifying GHG reductions or GHG removal enhancements that are attributable to the offset project.</w:t>
      </w:r>
    </w:p>
    <w:p w14:paraId="0EA23156" w14:textId="77777777" w:rsidR="0054122B" w:rsidRPr="00B61FF1" w:rsidRDefault="0054122B" w:rsidP="000963A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7723A1" w:rsidRPr="00B61FF1">
        <w:rPr>
          <w:rFonts w:ascii="Arial" w:hAnsi="Arial" w:cs="Arial"/>
          <w:sz w:val="24"/>
          <w:szCs w:val="24"/>
        </w:rPr>
        <w:t>5</w:t>
      </w:r>
      <w:r w:rsidRPr="00B61FF1">
        <w:rPr>
          <w:rFonts w:ascii="Arial" w:hAnsi="Arial" w:cs="Arial"/>
          <w:sz w:val="24"/>
          <w:szCs w:val="24"/>
        </w:rPr>
        <w:t>)</w:t>
      </w:r>
      <w:r w:rsidR="00CD4B45" w:rsidRPr="00B61FF1">
        <w:rPr>
          <w:rFonts w:ascii="Arial" w:hAnsi="Arial" w:cs="Arial"/>
          <w:sz w:val="24"/>
          <w:szCs w:val="24"/>
        </w:rPr>
        <w:tab/>
      </w:r>
      <w:r w:rsidR="00D543FF" w:rsidRPr="00B61FF1">
        <w:rPr>
          <w:rFonts w:ascii="Arial" w:hAnsi="Arial" w:cs="Arial"/>
          <w:sz w:val="24"/>
          <w:szCs w:val="24"/>
        </w:rPr>
        <w:t>"Motor Gasoline</w:t>
      </w:r>
      <w:r w:rsidR="0046451A" w:rsidRPr="00B61FF1">
        <w:rPr>
          <w:rFonts w:ascii="Arial" w:hAnsi="Arial" w:cs="Arial"/>
          <w:sz w:val="24"/>
          <w:szCs w:val="24"/>
        </w:rPr>
        <w:t xml:space="preserve"> (finished)</w:t>
      </w:r>
      <w:r w:rsidRPr="00B61FF1">
        <w:rPr>
          <w:rFonts w:ascii="Arial" w:hAnsi="Arial" w:cs="Arial"/>
          <w:sz w:val="24"/>
          <w:szCs w:val="24"/>
        </w:rPr>
        <w:t xml:space="preserve">" </w:t>
      </w:r>
      <w:r w:rsidR="00D543FF" w:rsidRPr="00B61FF1">
        <w:rPr>
          <w:rFonts w:ascii="Arial" w:hAnsi="Arial" w:cs="Arial"/>
          <w:sz w:val="24"/>
          <w:szCs w:val="24"/>
        </w:rPr>
        <w:t>has the same definition as MRR.</w:t>
      </w:r>
    </w:p>
    <w:p w14:paraId="7F4B6104" w14:textId="77777777" w:rsidR="0054122B" w:rsidRPr="00B61FF1" w:rsidRDefault="0054122B" w:rsidP="000963AF">
      <w:pPr>
        <w:tabs>
          <w:tab w:val="left" w:pos="3780"/>
        </w:tabs>
        <w:spacing w:line="360" w:lineRule="auto"/>
        <w:ind w:left="1080" w:hanging="720"/>
        <w:rPr>
          <w:rFonts w:ascii="Arial" w:eastAsia="Times New Roman" w:hAnsi="Arial" w:cs="Arial"/>
          <w:sz w:val="24"/>
          <w:szCs w:val="24"/>
        </w:rPr>
      </w:pPr>
      <w:r w:rsidRPr="00B61FF1">
        <w:rPr>
          <w:rFonts w:ascii="Arial" w:hAnsi="Arial" w:cs="Arial"/>
          <w:sz w:val="24"/>
          <w:szCs w:val="24"/>
        </w:rPr>
        <w:t>(</w:t>
      </w:r>
      <w:r w:rsidR="00DC3D4E" w:rsidRPr="00B61FF1">
        <w:rPr>
          <w:rFonts w:ascii="Arial" w:hAnsi="Arial" w:cs="Arial"/>
          <w:sz w:val="24"/>
          <w:szCs w:val="24"/>
        </w:rPr>
        <w:t>16</w:t>
      </w:r>
      <w:r w:rsidR="007723A1" w:rsidRPr="00B61FF1">
        <w:rPr>
          <w:rFonts w:ascii="Arial" w:hAnsi="Arial" w:cs="Arial"/>
          <w:sz w:val="24"/>
          <w:szCs w:val="24"/>
        </w:rPr>
        <w:t>6</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“Multi-Jurisdictional Retail Provider” </w:t>
      </w:r>
      <w:r w:rsidRPr="00B61FF1">
        <w:rPr>
          <w:rFonts w:ascii="Arial" w:eastAsia="Times New Roman" w:hAnsi="Arial" w:cs="Arial"/>
          <w:sz w:val="24"/>
          <w:szCs w:val="24"/>
        </w:rPr>
        <w:t>means a retail provider that provides electricity to consumers in California and in one or more other states in a contiguous service territory or from a common power system.</w:t>
      </w:r>
    </w:p>
    <w:p w14:paraId="09D5E02D" w14:textId="77777777" w:rsidR="00BF4537" w:rsidRPr="00B61FF1" w:rsidRDefault="0054122B" w:rsidP="00BF4537">
      <w:pPr>
        <w:spacing w:line="360" w:lineRule="auto"/>
        <w:ind w:left="1080" w:hanging="720"/>
        <w:rPr>
          <w:rFonts w:ascii="Arial" w:eastAsia="Times New Roman"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7723A1" w:rsidRPr="00B61FF1">
        <w:rPr>
          <w:rFonts w:ascii="Arial" w:hAnsi="Arial" w:cs="Arial"/>
          <w:sz w:val="24"/>
          <w:szCs w:val="24"/>
        </w:rPr>
        <w:t>7</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“Municipal </w:t>
      </w:r>
      <w:r w:rsidR="001506BA" w:rsidRPr="00B61FF1">
        <w:rPr>
          <w:rFonts w:ascii="Arial" w:hAnsi="Arial" w:cs="Arial"/>
          <w:sz w:val="24"/>
          <w:szCs w:val="24"/>
        </w:rPr>
        <w:t>S</w:t>
      </w:r>
      <w:r w:rsidRPr="00B61FF1">
        <w:rPr>
          <w:rFonts w:ascii="Arial" w:hAnsi="Arial" w:cs="Arial"/>
          <w:sz w:val="24"/>
          <w:szCs w:val="24"/>
        </w:rPr>
        <w:t xml:space="preserve">olid </w:t>
      </w:r>
      <w:r w:rsidR="001506BA" w:rsidRPr="00B61FF1">
        <w:rPr>
          <w:rFonts w:ascii="Arial" w:hAnsi="Arial" w:cs="Arial"/>
          <w:sz w:val="24"/>
          <w:szCs w:val="24"/>
        </w:rPr>
        <w:t>W</w:t>
      </w:r>
      <w:r w:rsidR="0011238A" w:rsidRPr="00B61FF1">
        <w:rPr>
          <w:rFonts w:ascii="Arial" w:hAnsi="Arial" w:cs="Arial"/>
          <w:sz w:val="24"/>
          <w:szCs w:val="24"/>
        </w:rPr>
        <w:t>aste” or “MSW” means solid-</w:t>
      </w:r>
      <w:r w:rsidRPr="00B61FF1">
        <w:rPr>
          <w:rFonts w:ascii="Arial" w:hAnsi="Arial" w:cs="Arial"/>
          <w:sz w:val="24"/>
          <w:szCs w:val="24"/>
        </w:rPr>
        <w:t>phase household, commercial/retail, and/or institutional waste</w:t>
      </w:r>
      <w:r w:rsidR="00700E10" w:rsidRPr="00B61FF1">
        <w:rPr>
          <w:rFonts w:ascii="Arial" w:hAnsi="Arial" w:cs="Arial"/>
          <w:sz w:val="24"/>
          <w:szCs w:val="24"/>
        </w:rPr>
        <w:t>.</w:t>
      </w:r>
      <w:r w:rsidR="00E73DF6" w:rsidRPr="00B61FF1">
        <w:rPr>
          <w:rFonts w:ascii="Arial" w:hAnsi="Arial" w:cs="Arial"/>
          <w:sz w:val="24"/>
          <w:szCs w:val="24"/>
        </w:rPr>
        <w:t xml:space="preserve">  </w:t>
      </w:r>
      <w:r w:rsidR="00700E10" w:rsidRPr="00B61FF1">
        <w:rPr>
          <w:rFonts w:ascii="Arial" w:eastAsia="Times New Roman" w:hAnsi="Arial" w:cs="Arial"/>
          <w:sz w:val="24"/>
          <w:szCs w:val="24"/>
        </w:rPr>
        <w:t xml:space="preserve">Household waste includes material discarded by single and multiple residential dwellings, hotels, motels, and other similar permanent or temporary housing establishments or facilities. Commercial/retail waste includes material discarded by stores, offices, restaurants, warehouses, non-manufacturing activities at industrial facilities, and other similar establishments or facilities. Institutional waste includes material discarded by schools, nonmedical waste discarded by hospitals, material discarded by non-manufacturing activities at prisons and government facilities, and material discarded by other similar establishments or facilities. Household, commercial/retail, and institutional wastes include yard waste, refuse-derived fuel, and motor vehicle maintenance materials. Insofar as there is separate collection, </w:t>
      </w:r>
      <w:r w:rsidR="00700E10" w:rsidRPr="00B61FF1">
        <w:rPr>
          <w:rFonts w:ascii="Arial" w:eastAsia="Times New Roman" w:hAnsi="Arial" w:cs="Arial"/>
          <w:sz w:val="24"/>
          <w:szCs w:val="24"/>
        </w:rPr>
        <w:lastRenderedPageBreak/>
        <w:t>processing</w:t>
      </w:r>
      <w:r w:rsidR="0011238A" w:rsidRPr="00B61FF1">
        <w:rPr>
          <w:rFonts w:ascii="Arial" w:eastAsia="Times New Roman" w:hAnsi="Arial" w:cs="Arial"/>
          <w:sz w:val="24"/>
          <w:szCs w:val="24"/>
        </w:rPr>
        <w:t>,</w:t>
      </w:r>
      <w:r w:rsidR="00700E10" w:rsidRPr="00B61FF1">
        <w:rPr>
          <w:rFonts w:ascii="Arial" w:eastAsia="Times New Roman" w:hAnsi="Arial" w:cs="Arial"/>
          <w:sz w:val="24"/>
          <w:szCs w:val="24"/>
        </w:rPr>
        <w:t xml:space="preserve"> and disposal of industrial source waste streams consisting of used oil, wood pallets, construction, renovation, and demolition wastes (which includes, but is not limited to, railroad ties and telephone poles), paper, clean wood, plastics, industrial process or manufacturing wastes, medical waste, motor vehicle parts or vehicle fluff, or used tires that do not contain hazardous waste identified or listed under 42 U.S.C. §6921, such wastes are not municipal solid waste. However, such wastes qualify as municipal solid waste where they are collected with other municipal solid waste or are otherwise combined with other municipal solid waste</w:t>
      </w:r>
      <w:r w:rsidR="00BF4537" w:rsidRPr="00B61FF1">
        <w:rPr>
          <w:rFonts w:ascii="Arial" w:eastAsia="Times New Roman" w:hAnsi="Arial" w:cs="Arial"/>
          <w:sz w:val="24"/>
          <w:szCs w:val="24"/>
        </w:rPr>
        <w:t xml:space="preserve"> for processing and/or disposal.</w:t>
      </w:r>
    </w:p>
    <w:p w14:paraId="6D05CC6D" w14:textId="77777777" w:rsidR="0054122B" w:rsidRPr="00B61FF1" w:rsidRDefault="0054122B" w:rsidP="00BF4537">
      <w:pPr>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7723A1"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“Natural </w:t>
      </w:r>
      <w:r w:rsidR="001506BA" w:rsidRPr="00B61FF1">
        <w:rPr>
          <w:rFonts w:ascii="Arial" w:hAnsi="Arial" w:cs="Arial"/>
          <w:sz w:val="24"/>
          <w:szCs w:val="24"/>
        </w:rPr>
        <w:t>G</w:t>
      </w:r>
      <w:r w:rsidRPr="00B61FF1">
        <w:rPr>
          <w:rFonts w:ascii="Arial" w:hAnsi="Arial" w:cs="Arial"/>
          <w:sz w:val="24"/>
          <w:szCs w:val="24"/>
        </w:rPr>
        <w:t>as” means a naturally occurring mixture</w:t>
      </w:r>
      <w:r w:rsidR="007723A1" w:rsidRPr="00B61FF1">
        <w:rPr>
          <w:rFonts w:ascii="Arial" w:hAnsi="Arial" w:cs="Arial"/>
          <w:sz w:val="24"/>
          <w:szCs w:val="24"/>
        </w:rPr>
        <w:t xml:space="preserve"> or process derivative </w:t>
      </w:r>
      <w:r w:rsidRPr="00B61FF1">
        <w:rPr>
          <w:rFonts w:ascii="Arial" w:hAnsi="Arial" w:cs="Arial"/>
          <w:sz w:val="24"/>
          <w:szCs w:val="24"/>
        </w:rPr>
        <w:t>of hydrocarbon and non-hydrocarbon gases found in geologic formations beneath the earth’s surface, of which its constituents include methane, heavier hydrocarbons, and carbon dioxide.  Natural gas may be field quality (which varies widely) or pipeline quality.  For the purposes of this rule, the definition of natural gas includes similarly constituted fuels such as field production gas, process gas, and fuel gas.</w:t>
      </w:r>
    </w:p>
    <w:p w14:paraId="128066A4" w14:textId="77777777" w:rsidR="0054122B" w:rsidRPr="00B61FF1" w:rsidRDefault="0054122B" w:rsidP="00530310">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0B34" w:rsidRPr="00B61FF1">
        <w:rPr>
          <w:rFonts w:ascii="Arial" w:hAnsi="Arial" w:cs="Arial"/>
          <w:sz w:val="24"/>
          <w:szCs w:val="24"/>
        </w:rPr>
        <w:t>16</w:t>
      </w:r>
      <w:r w:rsidR="00417FE1"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“Natural </w:t>
      </w:r>
      <w:r w:rsidR="001506BA" w:rsidRPr="00B61FF1">
        <w:rPr>
          <w:rFonts w:ascii="Arial" w:hAnsi="Arial" w:cs="Arial"/>
          <w:sz w:val="24"/>
          <w:szCs w:val="24"/>
        </w:rPr>
        <w:t>G</w:t>
      </w:r>
      <w:r w:rsidRPr="00B61FF1">
        <w:rPr>
          <w:rFonts w:ascii="Arial" w:hAnsi="Arial" w:cs="Arial"/>
          <w:sz w:val="24"/>
          <w:szCs w:val="24"/>
        </w:rPr>
        <w:t xml:space="preserve">as </w:t>
      </w:r>
      <w:r w:rsidR="001506BA" w:rsidRPr="00B61FF1">
        <w:rPr>
          <w:rFonts w:ascii="Arial" w:hAnsi="Arial" w:cs="Arial"/>
          <w:sz w:val="24"/>
          <w:szCs w:val="24"/>
        </w:rPr>
        <w:t>L</w:t>
      </w:r>
      <w:r w:rsidRPr="00B61FF1">
        <w:rPr>
          <w:rFonts w:ascii="Arial" w:hAnsi="Arial" w:cs="Arial"/>
          <w:sz w:val="24"/>
          <w:szCs w:val="24"/>
        </w:rPr>
        <w:t xml:space="preserve">iquids” or </w:t>
      </w:r>
      <w:r w:rsidR="00E73DF6" w:rsidRPr="00B61FF1">
        <w:rPr>
          <w:rFonts w:ascii="Arial" w:hAnsi="Arial" w:cs="Arial"/>
          <w:sz w:val="24"/>
          <w:szCs w:val="24"/>
        </w:rPr>
        <w:t>“</w:t>
      </w:r>
      <w:r w:rsidRPr="00B61FF1">
        <w:rPr>
          <w:rFonts w:ascii="Arial" w:hAnsi="Arial" w:cs="Arial"/>
          <w:sz w:val="24"/>
          <w:szCs w:val="24"/>
        </w:rPr>
        <w:t>NGLs</w:t>
      </w:r>
      <w:r w:rsidR="00E73DF6" w:rsidRPr="00B61FF1">
        <w:rPr>
          <w:rFonts w:ascii="Arial" w:hAnsi="Arial" w:cs="Arial"/>
          <w:sz w:val="24"/>
          <w:szCs w:val="24"/>
        </w:rPr>
        <w:t>”</w:t>
      </w:r>
      <w:r w:rsidRPr="00B61FF1">
        <w:rPr>
          <w:rFonts w:ascii="Arial" w:hAnsi="Arial" w:cs="Arial"/>
          <w:sz w:val="24"/>
          <w:szCs w:val="24"/>
        </w:rPr>
        <w:t xml:space="preserve">, means those hydrocarbons in natural gas that are separated from the gas as liquids through the process of absorption, condensation, adsorption, or other methods.  </w:t>
      </w:r>
      <w:r w:rsidR="00530310" w:rsidRPr="00B61FF1">
        <w:rPr>
          <w:rFonts w:ascii="Arial" w:hAnsi="Arial" w:cs="Arial"/>
          <w:sz w:val="24"/>
          <w:szCs w:val="24"/>
        </w:rPr>
        <w:t>Natural gas liquids can be classified according to their vapor pressures as low (condensate), intermediate (natural gasoline), and high (liquefied petroleum gas) vapor pressure.</w:t>
      </w:r>
      <w:r w:rsidR="004C0EF2" w:rsidRPr="00B61FF1">
        <w:rPr>
          <w:rFonts w:ascii="Arial" w:hAnsi="Arial" w:cs="Arial"/>
          <w:sz w:val="24"/>
          <w:szCs w:val="24"/>
        </w:rPr>
        <w:t xml:space="preserve">  </w:t>
      </w:r>
      <w:r w:rsidRPr="00B61FF1">
        <w:rPr>
          <w:rFonts w:ascii="Arial" w:hAnsi="Arial" w:cs="Arial"/>
          <w:sz w:val="24"/>
          <w:szCs w:val="24"/>
        </w:rPr>
        <w:t>Generally, such liquids consi</w:t>
      </w:r>
      <w:r w:rsidR="004C0EF2" w:rsidRPr="00B61FF1">
        <w:rPr>
          <w:rFonts w:ascii="Arial" w:hAnsi="Arial" w:cs="Arial"/>
          <w:sz w:val="24"/>
          <w:szCs w:val="24"/>
        </w:rPr>
        <w:t xml:space="preserve">st of ethane, propane, butanes, </w:t>
      </w:r>
      <w:r w:rsidRPr="00B61FF1">
        <w:rPr>
          <w:rFonts w:ascii="Arial" w:hAnsi="Arial" w:cs="Arial"/>
          <w:sz w:val="24"/>
          <w:szCs w:val="24"/>
        </w:rPr>
        <w:t>pentanes</w:t>
      </w:r>
      <w:r w:rsidR="00530310" w:rsidRPr="00B61FF1">
        <w:rPr>
          <w:rFonts w:ascii="Arial" w:hAnsi="Arial" w:cs="Arial"/>
          <w:sz w:val="24"/>
          <w:szCs w:val="24"/>
        </w:rPr>
        <w:t>, and higher molecular weight hydrocarbons</w:t>
      </w:r>
      <w:r w:rsidRPr="00B61FF1">
        <w:rPr>
          <w:rFonts w:ascii="Arial" w:hAnsi="Arial" w:cs="Arial"/>
          <w:sz w:val="24"/>
          <w:szCs w:val="24"/>
        </w:rPr>
        <w:t>.  Bulk NGLs refers to mixtures of NGLs that are sold or delivered as undifferentiated product from natural gas processing plants.</w:t>
      </w:r>
    </w:p>
    <w:p w14:paraId="62EE4A90"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70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“NERC E-tag” means North American Electric Reliability Corporation (NERC) energy tag representing transactions on the North American </w:t>
      </w:r>
      <w:r w:rsidRPr="00B61FF1">
        <w:rPr>
          <w:rFonts w:ascii="Arial" w:hAnsi="Arial" w:cs="Arial"/>
          <w:sz w:val="24"/>
          <w:szCs w:val="24"/>
        </w:rPr>
        <w:lastRenderedPageBreak/>
        <w:t xml:space="preserve">bulk electricity market scheduled to flow </w:t>
      </w:r>
      <w:bookmarkStart w:id="47" w:name="_DV_M314"/>
      <w:bookmarkEnd w:id="47"/>
      <w:r w:rsidRPr="00B61FF1">
        <w:rPr>
          <w:rFonts w:ascii="Arial" w:hAnsi="Arial" w:cs="Arial"/>
          <w:sz w:val="24"/>
          <w:szCs w:val="24"/>
        </w:rPr>
        <w:t>between</w:t>
      </w:r>
      <w:bookmarkStart w:id="48" w:name="_DV_M315"/>
      <w:bookmarkEnd w:id="48"/>
      <w:r w:rsidRPr="00B61FF1">
        <w:rPr>
          <w:rFonts w:ascii="Arial" w:hAnsi="Arial" w:cs="Arial"/>
          <w:sz w:val="24"/>
          <w:szCs w:val="24"/>
        </w:rPr>
        <w:t xml:space="preserve"> or across </w:t>
      </w:r>
      <w:bookmarkStart w:id="49" w:name="_DV_M316"/>
      <w:bookmarkEnd w:id="49"/>
      <w:r w:rsidRPr="00B61FF1">
        <w:rPr>
          <w:rFonts w:ascii="Arial" w:hAnsi="Arial" w:cs="Arial"/>
          <w:sz w:val="24"/>
          <w:szCs w:val="24"/>
        </w:rPr>
        <w:t>balancing authority areas.</w:t>
      </w:r>
    </w:p>
    <w:p w14:paraId="6AAF5DDC" w14:textId="77777777" w:rsidR="0054122B" w:rsidRPr="00B61FF1" w:rsidRDefault="0054122B" w:rsidP="000963A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71</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"Nitric Acid" means HNO</w:t>
      </w:r>
      <w:r w:rsidRPr="00B61FF1">
        <w:rPr>
          <w:rFonts w:ascii="Arial" w:hAnsi="Arial" w:cs="Arial"/>
          <w:sz w:val="24"/>
          <w:szCs w:val="24"/>
          <w:vertAlign w:val="subscript"/>
        </w:rPr>
        <w:t>3</w:t>
      </w:r>
      <w:r w:rsidRPr="00B61FF1">
        <w:rPr>
          <w:rFonts w:ascii="Arial" w:hAnsi="Arial" w:cs="Arial"/>
          <w:sz w:val="24"/>
          <w:szCs w:val="24"/>
        </w:rPr>
        <w:t xml:space="preserve"> of 100% purity.</w:t>
      </w:r>
    </w:p>
    <w:p w14:paraId="64B0C22C" w14:textId="77777777" w:rsidR="006434AB" w:rsidRPr="00B61FF1" w:rsidRDefault="001D745B" w:rsidP="000963AF">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(1</w:t>
      </w:r>
      <w:r w:rsidR="00417FE1" w:rsidRPr="00B61FF1">
        <w:rPr>
          <w:rFonts w:ascii="Arial" w:hAnsi="Arial" w:cs="Arial"/>
          <w:sz w:val="24"/>
          <w:szCs w:val="24"/>
        </w:rPr>
        <w:t>72</w:t>
      </w:r>
      <w:r w:rsidR="006434AB" w:rsidRPr="00B61FF1">
        <w:rPr>
          <w:rFonts w:ascii="Arial" w:hAnsi="Arial" w:cs="Arial"/>
          <w:sz w:val="24"/>
          <w:szCs w:val="24"/>
        </w:rPr>
        <w:t>)</w:t>
      </w:r>
      <w:r w:rsidR="006434AB" w:rsidRPr="00B61FF1">
        <w:rPr>
          <w:rFonts w:ascii="Arial" w:hAnsi="Arial" w:cs="Arial"/>
          <w:sz w:val="24"/>
          <w:szCs w:val="24"/>
        </w:rPr>
        <w:tab/>
        <w:t>“Non-</w:t>
      </w:r>
      <w:r w:rsidR="006343BE" w:rsidRPr="00B61FF1">
        <w:rPr>
          <w:rFonts w:ascii="Arial" w:hAnsi="Arial" w:cs="Arial"/>
          <w:sz w:val="24"/>
          <w:szCs w:val="24"/>
        </w:rPr>
        <w:t>e</w:t>
      </w:r>
      <w:r w:rsidR="006434AB" w:rsidRPr="00B61FF1">
        <w:rPr>
          <w:rFonts w:ascii="Arial" w:hAnsi="Arial" w:cs="Arial"/>
          <w:sz w:val="24"/>
          <w:szCs w:val="24"/>
        </w:rPr>
        <w:t xml:space="preserve">xempt </w:t>
      </w:r>
      <w:r w:rsidR="006343BE" w:rsidRPr="00B61FF1">
        <w:rPr>
          <w:rFonts w:ascii="Arial" w:hAnsi="Arial" w:cs="Arial"/>
          <w:sz w:val="24"/>
          <w:szCs w:val="24"/>
        </w:rPr>
        <w:t>B</w:t>
      </w:r>
      <w:r w:rsidR="006434AB" w:rsidRPr="00B61FF1">
        <w:rPr>
          <w:rFonts w:ascii="Arial" w:hAnsi="Arial" w:cs="Arial"/>
          <w:sz w:val="24"/>
          <w:szCs w:val="24"/>
        </w:rPr>
        <w:t xml:space="preserve">iomass </w:t>
      </w:r>
      <w:r w:rsidR="006343BE" w:rsidRPr="00B61FF1">
        <w:rPr>
          <w:rFonts w:ascii="Arial" w:hAnsi="Arial" w:cs="Arial"/>
          <w:sz w:val="24"/>
          <w:szCs w:val="24"/>
        </w:rPr>
        <w:t>d</w:t>
      </w:r>
      <w:r w:rsidR="006434AB" w:rsidRPr="00B61FF1">
        <w:rPr>
          <w:rFonts w:ascii="Arial" w:hAnsi="Arial" w:cs="Arial"/>
          <w:sz w:val="24"/>
          <w:szCs w:val="24"/>
        </w:rPr>
        <w:t>erived CO</w:t>
      </w:r>
      <w:r w:rsidR="006434AB" w:rsidRPr="00B61FF1">
        <w:rPr>
          <w:rFonts w:ascii="Arial" w:hAnsi="Arial" w:cs="Arial"/>
          <w:sz w:val="24"/>
          <w:szCs w:val="24"/>
          <w:vertAlign w:val="subscript"/>
        </w:rPr>
        <w:t>2</w:t>
      </w:r>
      <w:r w:rsidR="006434AB" w:rsidRPr="00B61FF1">
        <w:rPr>
          <w:rFonts w:ascii="Arial" w:hAnsi="Arial" w:cs="Arial"/>
          <w:sz w:val="24"/>
          <w:szCs w:val="24"/>
        </w:rPr>
        <w:t>” means CO</w:t>
      </w:r>
      <w:r w:rsidR="006434AB" w:rsidRPr="00B61FF1">
        <w:rPr>
          <w:rFonts w:ascii="Arial" w:hAnsi="Arial" w:cs="Arial"/>
          <w:sz w:val="24"/>
          <w:szCs w:val="24"/>
          <w:vertAlign w:val="subscript"/>
        </w:rPr>
        <w:t>2</w:t>
      </w:r>
      <w:r w:rsidR="006434AB" w:rsidRPr="00B61FF1">
        <w:rPr>
          <w:rFonts w:ascii="Arial" w:hAnsi="Arial" w:cs="Arial"/>
          <w:sz w:val="24"/>
          <w:szCs w:val="24"/>
        </w:rPr>
        <w:t xml:space="preserve"> emission</w:t>
      </w:r>
      <w:r w:rsidR="003A343C" w:rsidRPr="00B61FF1">
        <w:rPr>
          <w:rFonts w:ascii="Arial" w:hAnsi="Arial" w:cs="Arial"/>
          <w:sz w:val="24"/>
          <w:szCs w:val="24"/>
        </w:rPr>
        <w:t>s</w:t>
      </w:r>
      <w:r w:rsidR="006434AB" w:rsidRPr="00B61FF1">
        <w:rPr>
          <w:rFonts w:ascii="Arial" w:hAnsi="Arial" w:cs="Arial"/>
          <w:sz w:val="24"/>
          <w:szCs w:val="24"/>
        </w:rPr>
        <w:t xml:space="preserve"> resulting from the combustion of fuel not listed under section 95852.2(a), or that is not verifiable under section 95131(i) of MRR.</w:t>
      </w:r>
    </w:p>
    <w:p w14:paraId="6C15F87C"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73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“Notice of </w:t>
      </w:r>
      <w:r w:rsidR="001506BA" w:rsidRPr="00B61FF1">
        <w:rPr>
          <w:rFonts w:ascii="Arial" w:hAnsi="Arial" w:cs="Arial"/>
          <w:sz w:val="24"/>
          <w:szCs w:val="24"/>
        </w:rPr>
        <w:t>D</w:t>
      </w:r>
      <w:r w:rsidRPr="00B61FF1">
        <w:rPr>
          <w:rFonts w:ascii="Arial" w:hAnsi="Arial" w:cs="Arial"/>
          <w:sz w:val="24"/>
          <w:szCs w:val="24"/>
        </w:rPr>
        <w:t xml:space="preserve">elegation” means a formal notice used to delegate authority to make an electronic submission to the accounts administrator.  </w:t>
      </w:r>
    </w:p>
    <w:p w14:paraId="21EA9978" w14:textId="3AAABEBB"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17</w:t>
      </w:r>
      <w:r w:rsidR="00417FE1"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M</w:t>
      </w:r>
      <w:r w:rsidRPr="00B61FF1">
        <w:rPr>
          <w:rFonts w:ascii="Arial" w:hAnsi="Arial" w:cs="Arial"/>
          <w:sz w:val="24"/>
          <w:szCs w:val="24"/>
        </w:rPr>
        <w:t xml:space="preserve">aterial </w:t>
      </w:r>
      <w:r w:rsidR="001506BA" w:rsidRPr="00B61FF1">
        <w:rPr>
          <w:rFonts w:ascii="Arial" w:hAnsi="Arial" w:cs="Arial"/>
          <w:sz w:val="24"/>
          <w:szCs w:val="24"/>
        </w:rPr>
        <w:t>M</w:t>
      </w:r>
      <w:r w:rsidRPr="00B61FF1">
        <w:rPr>
          <w:rFonts w:ascii="Arial" w:hAnsi="Arial" w:cs="Arial"/>
          <w:sz w:val="24"/>
          <w:szCs w:val="24"/>
        </w:rPr>
        <w:t>isstatement” means a</w:t>
      </w:r>
      <w:r w:rsidR="00FF34D5" w:rsidRPr="00B61FF1">
        <w:rPr>
          <w:rFonts w:ascii="Arial" w:hAnsi="Arial" w:cs="Arial"/>
          <w:sz w:val="24"/>
          <w:szCs w:val="24"/>
        </w:rPr>
        <w:t xml:space="preserve"> </w:t>
      </w:r>
      <w:r w:rsidRPr="00B61FF1">
        <w:rPr>
          <w:rFonts w:ascii="Arial" w:hAnsi="Arial" w:cs="Arial"/>
          <w:sz w:val="24"/>
          <w:szCs w:val="24"/>
        </w:rPr>
        <w:t>discrepan</w:t>
      </w:r>
      <w:r w:rsidR="0011238A" w:rsidRPr="00B61FF1">
        <w:rPr>
          <w:rFonts w:ascii="Arial" w:hAnsi="Arial" w:cs="Arial"/>
          <w:sz w:val="24"/>
          <w:szCs w:val="24"/>
        </w:rPr>
        <w:t>cy, omission,</w:t>
      </w:r>
      <w:r w:rsidRPr="00B61FF1">
        <w:rPr>
          <w:rFonts w:ascii="Arial" w:hAnsi="Arial" w:cs="Arial"/>
          <w:sz w:val="24"/>
          <w:szCs w:val="24"/>
        </w:rPr>
        <w:t xml:space="preserve"> misreporting, or aggregation of the three, identified in the course of offset verification services that leads an offset verification team to believe that an Offset Project Data Report contains errors resulting in an overstatement of the reported total GHG emission reductions or GHG removal enhancements greater than </w:t>
      </w:r>
      <w:r w:rsidR="00AE5C67" w:rsidRPr="00B61FF1">
        <w:rPr>
          <w:rFonts w:ascii="Arial" w:hAnsi="Arial" w:cs="Arial"/>
          <w:sz w:val="24"/>
          <w:szCs w:val="24"/>
        </w:rPr>
        <w:t>5</w:t>
      </w:r>
      <w:r w:rsidR="00AE5C67" w:rsidRPr="00B61FF1">
        <w:rPr>
          <w:rFonts w:ascii="Arial" w:hAnsi="Arial" w:cs="Arial"/>
          <w:sz w:val="24"/>
          <w:szCs w:val="24"/>
          <w:u w:val="single"/>
        </w:rPr>
        <w:t>.00</w:t>
      </w:r>
      <w:r w:rsidR="00AE5C67" w:rsidRPr="00B61FF1">
        <w:rPr>
          <w:rFonts w:ascii="Arial" w:hAnsi="Arial" w:cs="Arial"/>
          <w:sz w:val="24"/>
          <w:szCs w:val="24"/>
        </w:rPr>
        <w:t xml:space="preserve"> </w:t>
      </w:r>
      <w:r w:rsidR="00FF34D5" w:rsidRPr="00B61FF1">
        <w:rPr>
          <w:rFonts w:ascii="Arial" w:hAnsi="Arial" w:cs="Arial"/>
          <w:sz w:val="24"/>
          <w:szCs w:val="24"/>
        </w:rPr>
        <w:t>percent</w:t>
      </w:r>
      <w:r w:rsidRPr="00B61FF1">
        <w:rPr>
          <w:rFonts w:ascii="Arial" w:hAnsi="Arial" w:cs="Arial"/>
          <w:sz w:val="24"/>
          <w:szCs w:val="24"/>
        </w:rPr>
        <w:t>.  Discrepancies, omissions, or misreporting, or an aggregation of the three, that result in an understatement of total reported GHG emission reductions or GHG removal enhancements in the Offset Project Data Report is not an offset material misstatement.</w:t>
      </w:r>
    </w:p>
    <w:p w14:paraId="400E6424"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DC3D4E" w:rsidRPr="00B61FF1">
        <w:rPr>
          <w:rFonts w:ascii="Arial" w:hAnsi="Arial" w:cs="Arial"/>
          <w:sz w:val="24"/>
          <w:szCs w:val="24"/>
        </w:rPr>
        <w:t>17</w:t>
      </w:r>
      <w:r w:rsidR="00417FE1"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P</w:t>
      </w:r>
      <w:r w:rsidRPr="00B61FF1">
        <w:rPr>
          <w:rFonts w:ascii="Arial" w:hAnsi="Arial" w:cs="Arial"/>
          <w:sz w:val="24"/>
          <w:szCs w:val="24"/>
        </w:rPr>
        <w:t>roject” means all equipment, materials, items, or actions that are directly related to or have an impact upon GHG reductions, project emissions, or GHG removal enhancements within the offset project boundary.</w:t>
      </w:r>
    </w:p>
    <w:p w14:paraId="032480DD" w14:textId="77777777" w:rsidR="0054122B" w:rsidRPr="00B61FF1" w:rsidRDefault="0054122B" w:rsidP="000963A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17</w:t>
      </w:r>
      <w:r w:rsidR="00417FE1" w:rsidRPr="00B61FF1">
        <w:rPr>
          <w:rFonts w:ascii="Arial" w:hAnsi="Arial" w:cs="Arial"/>
          <w:sz w:val="24"/>
          <w:szCs w:val="24"/>
        </w:rPr>
        <w:t>6</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P</w:t>
      </w:r>
      <w:r w:rsidRPr="00B61FF1">
        <w:rPr>
          <w:rFonts w:ascii="Arial" w:hAnsi="Arial" w:cs="Arial"/>
          <w:sz w:val="24"/>
          <w:szCs w:val="24"/>
        </w:rPr>
        <w:t xml:space="preserve">roject </w:t>
      </w:r>
      <w:r w:rsidR="001506BA" w:rsidRPr="00B61FF1">
        <w:rPr>
          <w:rFonts w:ascii="Arial" w:hAnsi="Arial" w:cs="Arial"/>
          <w:sz w:val="24"/>
          <w:szCs w:val="24"/>
        </w:rPr>
        <w:t>B</w:t>
      </w:r>
      <w:r w:rsidRPr="00B61FF1">
        <w:rPr>
          <w:rFonts w:ascii="Arial" w:hAnsi="Arial" w:cs="Arial"/>
          <w:sz w:val="24"/>
          <w:szCs w:val="24"/>
        </w:rPr>
        <w:t>oundary” is defined by and includes all GHG emission sources, GHG sinks or GHG reservoirs that are affected by an offset project and under control of the Offset Project Operator or Authorized Project Designee.  GHG emissions sources, GHG sinks or GHG reservoirs not under control of the Offset Project Operator or Authorized Project Designee are not included in the offset project boundary.</w:t>
      </w:r>
    </w:p>
    <w:p w14:paraId="2A705236" w14:textId="77777777" w:rsidR="0054122B" w:rsidRPr="00B61FF1" w:rsidRDefault="0054122B" w:rsidP="00FF34D5">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lastRenderedPageBreak/>
        <w:t>(</w:t>
      </w:r>
      <w:r w:rsidR="001D745B" w:rsidRPr="00B61FF1">
        <w:rPr>
          <w:rFonts w:ascii="Arial" w:hAnsi="Arial" w:cs="Arial"/>
          <w:sz w:val="24"/>
          <w:szCs w:val="24"/>
        </w:rPr>
        <w:t>17</w:t>
      </w:r>
      <w:r w:rsidR="00417FE1"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P</w:t>
      </w:r>
      <w:r w:rsidRPr="00B61FF1">
        <w:rPr>
          <w:rFonts w:ascii="Arial" w:hAnsi="Arial" w:cs="Arial"/>
          <w:sz w:val="24"/>
          <w:szCs w:val="24"/>
        </w:rPr>
        <w:t xml:space="preserve">roject </w:t>
      </w:r>
      <w:r w:rsidR="001506BA" w:rsidRPr="00B61FF1">
        <w:rPr>
          <w:rFonts w:ascii="Arial" w:hAnsi="Arial" w:cs="Arial"/>
          <w:sz w:val="24"/>
          <w:szCs w:val="24"/>
        </w:rPr>
        <w:t>C</w:t>
      </w:r>
      <w:r w:rsidRPr="00B61FF1">
        <w:rPr>
          <w:rFonts w:ascii="Arial" w:hAnsi="Arial" w:cs="Arial"/>
          <w:sz w:val="24"/>
          <w:szCs w:val="24"/>
        </w:rPr>
        <w:t>ommencement” means</w:t>
      </w:r>
      <w:r w:rsidRPr="00B61FF1">
        <w:rPr>
          <w:rFonts w:ascii="Arial" w:eastAsia="MS Mincho" w:hAnsi="Arial" w:cs="Arial"/>
          <w:sz w:val="24"/>
          <w:szCs w:val="24"/>
          <w:lang w:eastAsia="ja-JP"/>
        </w:rPr>
        <w:t xml:space="preserve">, </w:t>
      </w:r>
      <w:r w:rsidR="00A660F9" w:rsidRPr="00B61FF1">
        <w:rPr>
          <w:rFonts w:ascii="Arial" w:hAnsi="Arial" w:cs="Arial"/>
          <w:sz w:val="24"/>
          <w:szCs w:val="24"/>
          <w:lang w:eastAsia="ja-JP"/>
        </w:rPr>
        <w:t>unless otherwise specified in a Compliance Offset Protocol, the date of the beginning of construction, work, or installation for an offset project involving physical construction, other work at an offset project site, or installation of equipment or materials.  For an offset project that involves the implementation of a management activity, “offset project commencement” means, unless otherwise specified in a Compliance Offset Protocol, the date on which such activity is first implemented. </w:t>
      </w:r>
    </w:p>
    <w:p w14:paraId="320EB6BD" w14:textId="77777777" w:rsidR="0054122B" w:rsidRPr="00B61FF1" w:rsidRDefault="0054122B" w:rsidP="00FF34D5">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17</w:t>
      </w:r>
      <w:r w:rsidR="00417FE1"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“Offset Project Data Report” means the report prepared by an Offset Project Operator or Authorized Project Designee each year that provides the information and documentation required by this article or a Compliance Offset Protocol.</w:t>
      </w:r>
    </w:p>
    <w:p w14:paraId="79854853" w14:textId="77777777" w:rsidR="0054122B" w:rsidRPr="00B61FF1" w:rsidRDefault="0054122B" w:rsidP="00FF34D5">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17</w:t>
      </w:r>
      <w:r w:rsidR="00417FE1"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“Offset Project Operator” means the entity(ies) with legal authority to implement the offset project.</w:t>
      </w:r>
    </w:p>
    <w:p w14:paraId="093485ED"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80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“Offset Project Registry” means an entity that meets the requirements of section 95986 and is approved by ARB that lists offset projects, collects Offset Project Data Reports, facilitates verification of Offset Project Data Reports</w:t>
      </w:r>
      <w:r w:rsidR="00DF17CA" w:rsidRPr="00B61FF1">
        <w:rPr>
          <w:rFonts w:ascii="Arial" w:hAnsi="Arial" w:cs="Arial"/>
          <w:sz w:val="24"/>
          <w:szCs w:val="24"/>
        </w:rPr>
        <w:t>, and issue</w:t>
      </w:r>
      <w:r w:rsidR="00565747" w:rsidRPr="00B61FF1">
        <w:rPr>
          <w:rFonts w:ascii="Arial" w:hAnsi="Arial" w:cs="Arial"/>
          <w:sz w:val="24"/>
          <w:szCs w:val="24"/>
        </w:rPr>
        <w:t>s</w:t>
      </w:r>
      <w:r w:rsidR="00DF17CA" w:rsidRPr="00B61FF1">
        <w:rPr>
          <w:rFonts w:ascii="Arial" w:hAnsi="Arial" w:cs="Arial"/>
          <w:sz w:val="24"/>
          <w:szCs w:val="24"/>
        </w:rPr>
        <w:t xml:space="preserve"> registry offset credits</w:t>
      </w:r>
      <w:r w:rsidRPr="00B61FF1">
        <w:rPr>
          <w:rFonts w:ascii="Arial" w:hAnsi="Arial" w:cs="Arial"/>
          <w:sz w:val="24"/>
          <w:szCs w:val="24"/>
        </w:rPr>
        <w:t xml:space="preserve"> for offset projects being implemented using a Compliance Offset Protocol.</w:t>
      </w:r>
    </w:p>
    <w:p w14:paraId="3F028C9F"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81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P</w:t>
      </w:r>
      <w:r w:rsidRPr="00B61FF1">
        <w:rPr>
          <w:rFonts w:ascii="Arial" w:hAnsi="Arial" w:cs="Arial"/>
          <w:sz w:val="24"/>
          <w:szCs w:val="24"/>
        </w:rPr>
        <w:t>rotocol” means a documented set of procedures and requirements to quantify ongoing GHG reductions or GHG removal enhancements achieved by an offset project and calculate the project baseline.  Offset protocols specify relevant data collection and monitoring procedures, emission factors, and conservatively account for uncertainty and activity-shifting and market-shifting leakage risks associated with an offset project.</w:t>
      </w:r>
    </w:p>
    <w:p w14:paraId="5FD97A17"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V</w:t>
      </w:r>
      <w:r w:rsidRPr="00B61FF1">
        <w:rPr>
          <w:rFonts w:ascii="Arial" w:hAnsi="Arial" w:cs="Arial"/>
          <w:sz w:val="24"/>
          <w:szCs w:val="24"/>
        </w:rPr>
        <w:t xml:space="preserve">erification” means a systematic, independent, and documented process for evaluation of an Offset Project Operator’s or Authorized Project Designee’s Offset Project Data Report against ARB’s Compliance Offset Protocols </w:t>
      </w:r>
      <w:r w:rsidR="0011238A" w:rsidRPr="00B61FF1">
        <w:rPr>
          <w:rFonts w:ascii="Arial" w:hAnsi="Arial" w:cs="Arial"/>
          <w:sz w:val="24"/>
          <w:szCs w:val="24"/>
        </w:rPr>
        <w:t>and this article for calculating</w:t>
      </w:r>
      <w:r w:rsidRPr="00B61FF1">
        <w:rPr>
          <w:rFonts w:ascii="Arial" w:hAnsi="Arial" w:cs="Arial"/>
          <w:sz w:val="24"/>
          <w:szCs w:val="24"/>
        </w:rPr>
        <w:t xml:space="preserve"> and </w:t>
      </w:r>
      <w:r w:rsidRPr="00B61FF1">
        <w:rPr>
          <w:rFonts w:ascii="Arial" w:hAnsi="Arial" w:cs="Arial"/>
          <w:sz w:val="24"/>
          <w:szCs w:val="24"/>
        </w:rPr>
        <w:lastRenderedPageBreak/>
        <w:t xml:space="preserve">reporting </w:t>
      </w:r>
      <w:r w:rsidR="00FF34D5" w:rsidRPr="00B61FF1">
        <w:rPr>
          <w:rFonts w:ascii="Arial" w:hAnsi="Arial" w:cs="Arial"/>
          <w:sz w:val="24"/>
          <w:szCs w:val="24"/>
        </w:rPr>
        <w:t xml:space="preserve">project </w:t>
      </w:r>
      <w:r w:rsidRPr="00B61FF1">
        <w:rPr>
          <w:rFonts w:ascii="Arial" w:hAnsi="Arial" w:cs="Arial"/>
          <w:sz w:val="24"/>
          <w:szCs w:val="24"/>
        </w:rPr>
        <w:t xml:space="preserve">baseline emissions, project emissions, GHG reductions, </w:t>
      </w:r>
      <w:r w:rsidR="00FF34D5" w:rsidRPr="00B61FF1">
        <w:rPr>
          <w:rFonts w:ascii="Arial" w:hAnsi="Arial" w:cs="Arial"/>
          <w:sz w:val="24"/>
          <w:szCs w:val="24"/>
        </w:rPr>
        <w:t xml:space="preserve">and </w:t>
      </w:r>
      <w:r w:rsidRPr="00B61FF1">
        <w:rPr>
          <w:rFonts w:ascii="Arial" w:hAnsi="Arial" w:cs="Arial"/>
          <w:sz w:val="24"/>
          <w:szCs w:val="24"/>
        </w:rPr>
        <w:t>GHG removal enhancements.</w:t>
      </w:r>
    </w:p>
    <w:p w14:paraId="352DA563" w14:textId="77777777" w:rsidR="0054122B" w:rsidRPr="00B61FF1" w:rsidRDefault="0054122B" w:rsidP="00FF34D5">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V</w:t>
      </w:r>
      <w:r w:rsidRPr="00B61FF1">
        <w:rPr>
          <w:rFonts w:ascii="Arial" w:hAnsi="Arial" w:cs="Arial"/>
          <w:sz w:val="24"/>
          <w:szCs w:val="24"/>
        </w:rPr>
        <w:t xml:space="preserve">erification </w:t>
      </w:r>
      <w:r w:rsidR="001506BA" w:rsidRPr="00B61FF1">
        <w:rPr>
          <w:rFonts w:ascii="Arial" w:hAnsi="Arial" w:cs="Arial"/>
          <w:sz w:val="24"/>
          <w:szCs w:val="24"/>
        </w:rPr>
        <w:t>S</w:t>
      </w:r>
      <w:r w:rsidRPr="00B61FF1">
        <w:rPr>
          <w:rFonts w:ascii="Arial" w:hAnsi="Arial" w:cs="Arial"/>
          <w:sz w:val="24"/>
          <w:szCs w:val="24"/>
        </w:rPr>
        <w:t>ervices” means services provided during offset verification as specified in sections 95977.1 and 95977.2, including reviewing an Offset Project Operator’s or Authorized Project Designee’s Offset Project Data Report, verifying its accuracy according to the standards specified in this article and applicable Compliance Offset Protocol, assessing the Offset Project Operator’s or Authorized Project Designee’s compliance with this article and applicable Compliance Offset Protocol, and submitting an Offset Verification Statement to ARB or an Offset Project Registry.</w:t>
      </w:r>
    </w:p>
    <w:p w14:paraId="332EA96C"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“Offset Verification Statement” means the final statement rendered by a verification body attesting whether an Offset Project Operator’s or Authorized Project Designee’s Offset Project Data Report is free of an offset material misstatement, and whether the Offset Project Data Report conforms to the requirements of this article and applicable Compliance Offset Protocol.</w:t>
      </w:r>
    </w:p>
    <w:p w14:paraId="202661A3" w14:textId="77777777" w:rsidR="0054122B" w:rsidRPr="00B61FF1" w:rsidRDefault="0054122B" w:rsidP="00FF34D5">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“Offset </w:t>
      </w:r>
      <w:r w:rsidR="001506BA" w:rsidRPr="00B61FF1">
        <w:rPr>
          <w:rFonts w:ascii="Arial" w:hAnsi="Arial" w:cs="Arial"/>
          <w:sz w:val="24"/>
          <w:szCs w:val="24"/>
        </w:rPr>
        <w:t>V</w:t>
      </w:r>
      <w:r w:rsidRPr="00B61FF1">
        <w:rPr>
          <w:rFonts w:ascii="Arial" w:hAnsi="Arial" w:cs="Arial"/>
          <w:sz w:val="24"/>
          <w:szCs w:val="24"/>
        </w:rPr>
        <w:t xml:space="preserve">erification </w:t>
      </w:r>
      <w:r w:rsidR="001506BA" w:rsidRPr="00B61FF1">
        <w:rPr>
          <w:rFonts w:ascii="Arial" w:hAnsi="Arial" w:cs="Arial"/>
          <w:sz w:val="24"/>
          <w:szCs w:val="24"/>
        </w:rPr>
        <w:t>T</w:t>
      </w:r>
      <w:r w:rsidRPr="00B61FF1">
        <w:rPr>
          <w:rFonts w:ascii="Arial" w:hAnsi="Arial" w:cs="Arial"/>
          <w:sz w:val="24"/>
          <w:szCs w:val="24"/>
        </w:rPr>
        <w:t>eam” means all of those working for a verification body, including all subcontractors, to provide offset verification services for an Offset Project Operator or Authorized Project Designee.</w:t>
      </w:r>
    </w:p>
    <w:p w14:paraId="7B7C760A"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6</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“Operational </w:t>
      </w:r>
      <w:r w:rsidR="006343BE" w:rsidRPr="00B61FF1">
        <w:rPr>
          <w:rFonts w:ascii="Arial" w:hAnsi="Arial" w:cs="Arial"/>
          <w:sz w:val="24"/>
          <w:szCs w:val="24"/>
        </w:rPr>
        <w:t>C</w:t>
      </w:r>
      <w:r w:rsidRPr="00B61FF1">
        <w:rPr>
          <w:rFonts w:ascii="Arial" w:hAnsi="Arial" w:cs="Arial"/>
          <w:sz w:val="24"/>
          <w:szCs w:val="24"/>
        </w:rPr>
        <w:t>ontrol” for a facility subject to this article means the authority to introduce and implement operating, environmental, health, and safety policies.  In any circumstance where this authority is shared among multiple entities, the entity holding the permit to operate from the local air pollution control district or air quality management district is considered to have operational control for purposes of this article.</w:t>
      </w:r>
    </w:p>
    <w:p w14:paraId="70C956F0"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7</w:t>
      </w:r>
      <w:r w:rsidRPr="00B61FF1">
        <w:rPr>
          <w:rFonts w:ascii="Arial" w:hAnsi="Arial" w:cs="Arial"/>
          <w:sz w:val="24"/>
          <w:szCs w:val="24"/>
        </w:rPr>
        <w:t>)</w:t>
      </w:r>
      <w:r w:rsidR="00FF34D5"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“Operator” means the entity, including an owner, having operational control of a facility, or other entity from which an emissions data report is required under article 2, section 95104, title 17, Greenhouse Gas Emissions Data Report.  For onshore petroleum and natural gas production, the operator is the operating entity listed on the state well </w:t>
      </w:r>
      <w:r w:rsidRPr="00B61FF1">
        <w:rPr>
          <w:rFonts w:ascii="Arial" w:hAnsi="Arial" w:cs="Arial"/>
          <w:sz w:val="24"/>
          <w:szCs w:val="24"/>
        </w:rPr>
        <w:lastRenderedPageBreak/>
        <w:t>drilling permit, or a state operating permit for wells where no drilling permit is issued by the state.</w:t>
      </w:r>
    </w:p>
    <w:p w14:paraId="77193862"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“Opt-in Covered Entity” means an entity that meets the requirements of 95811 that does not exceed the inclusion thresholds set forth in section 95812 and may elec</w:t>
      </w:r>
      <w:r w:rsidR="00B15764" w:rsidRPr="00B61FF1">
        <w:rPr>
          <w:rFonts w:ascii="Arial" w:hAnsi="Arial" w:cs="Arial"/>
          <w:sz w:val="24"/>
          <w:szCs w:val="24"/>
        </w:rPr>
        <w:t>t to voluntarily opt-in to the C</w:t>
      </w:r>
      <w:r w:rsidRPr="00B61FF1">
        <w:rPr>
          <w:rFonts w:ascii="Arial" w:hAnsi="Arial" w:cs="Arial"/>
          <w:sz w:val="24"/>
          <w:szCs w:val="24"/>
        </w:rPr>
        <w:t>ap-and-</w:t>
      </w:r>
      <w:r w:rsidR="00B15764" w:rsidRPr="00B61FF1">
        <w:rPr>
          <w:rFonts w:ascii="Arial" w:hAnsi="Arial" w:cs="Arial"/>
          <w:sz w:val="24"/>
          <w:szCs w:val="24"/>
        </w:rPr>
        <w:t>Trade P</w:t>
      </w:r>
      <w:r w:rsidRPr="00B61FF1">
        <w:rPr>
          <w:rFonts w:ascii="Arial" w:hAnsi="Arial" w:cs="Arial"/>
          <w:sz w:val="24"/>
          <w:szCs w:val="24"/>
        </w:rPr>
        <w:t>rogram and be willing to be subject to the requirements set forth in this article.</w:t>
      </w:r>
    </w:p>
    <w:p w14:paraId="2EDA748B" w14:textId="65CB585D" w:rsidR="00F64BB5" w:rsidRPr="00B61FF1" w:rsidRDefault="00F64BB5" w:rsidP="00F64BB5">
      <w:pPr>
        <w:spacing w:line="360" w:lineRule="auto"/>
        <w:ind w:left="1080" w:hanging="720"/>
        <w:rPr>
          <w:rFonts w:ascii="Arial" w:hAnsi="Arial" w:cs="Arial"/>
          <w:sz w:val="24"/>
          <w:szCs w:val="24"/>
        </w:rPr>
      </w:pPr>
      <w:r w:rsidRPr="00B61FF1">
        <w:rPr>
          <w:rFonts w:ascii="Arial" w:hAnsi="Arial" w:cs="Arial"/>
          <w:sz w:val="24"/>
          <w:szCs w:val="24"/>
          <w:u w:val="single"/>
        </w:rPr>
        <w:t>(</w:t>
      </w:r>
      <w:r w:rsidR="00902E4B">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“Over-the-Counter” means the trading of carbon compliance instruments, contracts, or other instruments not listed on any exchange.</w:t>
      </w:r>
    </w:p>
    <w:p w14:paraId="1D9509E7" w14:textId="77777777" w:rsidR="0054122B" w:rsidRPr="00B61FF1" w:rsidRDefault="0054122B" w:rsidP="00FF34D5">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18</w:t>
      </w:r>
      <w:r w:rsidR="00417FE1"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“Oxidation” means a reaction in which the atoms in an element lose electrons and the valence of the element is correspondingly increased. </w:t>
      </w:r>
    </w:p>
    <w:p w14:paraId="79A9B7F5"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90</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“Ozone Depleting Substances” or “ODS” means a compound that</w:t>
      </w:r>
      <w:r w:rsidR="00FF34D5" w:rsidRPr="00B61FF1">
        <w:rPr>
          <w:rFonts w:ascii="Arial" w:hAnsi="Arial" w:cs="Arial"/>
          <w:sz w:val="24"/>
          <w:szCs w:val="24"/>
        </w:rPr>
        <w:t xml:space="preserve"> </w:t>
      </w:r>
      <w:r w:rsidRPr="00B61FF1">
        <w:rPr>
          <w:rFonts w:ascii="Arial" w:hAnsi="Arial" w:cs="Arial"/>
          <w:sz w:val="24"/>
          <w:szCs w:val="24"/>
        </w:rPr>
        <w:t>contributes to stratospheric ozone depletion.</w:t>
      </w:r>
    </w:p>
    <w:p w14:paraId="7F03386C"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w:t>
      </w:r>
      <w:r w:rsidR="00417FE1" w:rsidRPr="00B61FF1">
        <w:rPr>
          <w:rFonts w:ascii="Arial" w:hAnsi="Arial" w:cs="Arial"/>
          <w:sz w:val="24"/>
          <w:szCs w:val="24"/>
        </w:rPr>
        <w:t>91</w:t>
      </w:r>
      <w:r w:rsidRPr="00B61FF1">
        <w:rPr>
          <w:rFonts w:ascii="Arial" w:hAnsi="Arial" w:cs="Arial"/>
          <w:sz w:val="24"/>
          <w:szCs w:val="24"/>
        </w:rPr>
        <w:t>)</w:t>
      </w:r>
      <w:r w:rsidR="00FF34D5"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“Perfluorocarbons” or “PFCs” means a class of greenhouse gases consisting on the molecular level of carbon and fluorine.</w:t>
      </w:r>
    </w:p>
    <w:p w14:paraId="39988258" w14:textId="77777777" w:rsidR="0054122B" w:rsidRPr="00B61FF1" w:rsidRDefault="0054122B" w:rsidP="00FF34D5">
      <w:pPr>
        <w:tabs>
          <w:tab w:val="left" w:pos="3780"/>
        </w:tabs>
        <w:spacing w:line="360" w:lineRule="auto"/>
        <w:ind w:left="1080" w:hanging="720"/>
        <w:rPr>
          <w:rFonts w:ascii="Arial" w:hAnsi="Arial" w:cs="Arial"/>
          <w:dstrike/>
          <w:sz w:val="24"/>
          <w:szCs w:val="24"/>
        </w:rPr>
      </w:pPr>
      <w:r w:rsidRPr="00B61FF1">
        <w:rPr>
          <w:rFonts w:ascii="Arial" w:hAnsi="Arial" w:cs="Arial"/>
          <w:sz w:val="24"/>
          <w:szCs w:val="24"/>
        </w:rPr>
        <w:t>(</w:t>
      </w:r>
      <w:r w:rsidR="001D745B" w:rsidRPr="00B61FF1">
        <w:rPr>
          <w:rFonts w:ascii="Arial" w:hAnsi="Arial" w:cs="Arial"/>
          <w:sz w:val="24"/>
          <w:szCs w:val="24"/>
        </w:rPr>
        <w:t>1</w:t>
      </w:r>
      <w:r w:rsidR="000503F5" w:rsidRPr="00B61FF1">
        <w:rPr>
          <w:rFonts w:ascii="Arial" w:hAnsi="Arial" w:cs="Arial"/>
          <w:sz w:val="24"/>
          <w:szCs w:val="24"/>
        </w:rPr>
        <w:t>9</w:t>
      </w:r>
      <w:r w:rsidR="00417FE1"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“Permanent” means, in the context of offset credits, either that GHG reductions </w:t>
      </w:r>
      <w:r w:rsidR="00357A85" w:rsidRPr="00B61FF1">
        <w:rPr>
          <w:rFonts w:ascii="Arial" w:hAnsi="Arial" w:cs="Arial"/>
          <w:sz w:val="24"/>
          <w:szCs w:val="24"/>
        </w:rPr>
        <w:t xml:space="preserve">and </w:t>
      </w:r>
      <w:r w:rsidRPr="00B61FF1">
        <w:rPr>
          <w:rFonts w:ascii="Arial" w:hAnsi="Arial" w:cs="Arial"/>
          <w:sz w:val="24"/>
          <w:szCs w:val="24"/>
        </w:rPr>
        <w:t xml:space="preserve">GHG removal enhancements are not reversible, or when GHG reductions </w:t>
      </w:r>
      <w:r w:rsidR="00357A85" w:rsidRPr="00B61FF1">
        <w:rPr>
          <w:rFonts w:ascii="Arial" w:hAnsi="Arial" w:cs="Arial"/>
          <w:sz w:val="24"/>
          <w:szCs w:val="24"/>
        </w:rPr>
        <w:t>and</w:t>
      </w:r>
      <w:r w:rsidRPr="00B61FF1">
        <w:rPr>
          <w:rFonts w:ascii="Arial" w:hAnsi="Arial" w:cs="Arial"/>
          <w:sz w:val="24"/>
          <w:szCs w:val="24"/>
        </w:rPr>
        <w:t xml:space="preserve"> GHG removal enhancements may be reversible, that mechanisms are in place to replace any reversed GHG emission reductions </w:t>
      </w:r>
      <w:r w:rsidR="00357A85" w:rsidRPr="00B61FF1">
        <w:rPr>
          <w:rFonts w:ascii="Arial" w:hAnsi="Arial" w:cs="Arial"/>
          <w:sz w:val="24"/>
          <w:szCs w:val="24"/>
        </w:rPr>
        <w:t>and</w:t>
      </w:r>
      <w:r w:rsidRPr="00B61FF1">
        <w:rPr>
          <w:rFonts w:ascii="Arial" w:hAnsi="Arial" w:cs="Arial"/>
          <w:sz w:val="24"/>
          <w:szCs w:val="24"/>
        </w:rPr>
        <w:t xml:space="preserve"> GHG removal enhancements to ensure that all credited reductions endure for </w:t>
      </w:r>
      <w:r w:rsidR="008B5F55" w:rsidRPr="00B61FF1">
        <w:rPr>
          <w:rFonts w:ascii="Arial" w:hAnsi="Arial" w:cs="Arial"/>
          <w:sz w:val="24"/>
          <w:szCs w:val="24"/>
        </w:rPr>
        <w:t>at least 100 years</w:t>
      </w:r>
      <w:r w:rsidRPr="00B61FF1">
        <w:rPr>
          <w:rFonts w:ascii="Arial" w:hAnsi="Arial" w:cs="Arial"/>
          <w:sz w:val="24"/>
          <w:szCs w:val="24"/>
        </w:rPr>
        <w:t>.</w:t>
      </w:r>
    </w:p>
    <w:p w14:paraId="2ACD2E3B"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“Permanent Retirement Registry” means the publicly available registry in which the Executive Officer will record the </w:t>
      </w:r>
      <w:r w:rsidRPr="00B61FF1">
        <w:rPr>
          <w:rFonts w:ascii="Arial" w:hAnsi="Arial" w:cs="Arial"/>
          <w:strike/>
          <w:sz w:val="24"/>
          <w:szCs w:val="24"/>
        </w:rPr>
        <w:t>serial numbers of the</w:t>
      </w:r>
      <w:r w:rsidRPr="00B61FF1">
        <w:rPr>
          <w:rFonts w:ascii="Arial" w:hAnsi="Arial" w:cs="Arial"/>
          <w:sz w:val="24"/>
          <w:szCs w:val="24"/>
        </w:rPr>
        <w:t xml:space="preserve"> retired compliance instruments.</w:t>
      </w:r>
    </w:p>
    <w:p w14:paraId="1C73531F"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“Petroleum” means oil removed from the earth and the oil derived from tar sands, and/or shale. </w:t>
      </w:r>
    </w:p>
    <w:p w14:paraId="0F487CE5"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“Petroleum </w:t>
      </w:r>
      <w:r w:rsidR="00294F64" w:rsidRPr="00B61FF1">
        <w:rPr>
          <w:rFonts w:ascii="Arial" w:hAnsi="Arial" w:cs="Arial"/>
          <w:sz w:val="24"/>
          <w:szCs w:val="24"/>
        </w:rPr>
        <w:t>R</w:t>
      </w:r>
      <w:r w:rsidRPr="00B61FF1">
        <w:rPr>
          <w:rFonts w:ascii="Arial" w:hAnsi="Arial" w:cs="Arial"/>
          <w:sz w:val="24"/>
          <w:szCs w:val="24"/>
        </w:rPr>
        <w:t>efinery” or “</w:t>
      </w:r>
      <w:r w:rsidR="00294F64" w:rsidRPr="00B61FF1">
        <w:rPr>
          <w:rFonts w:ascii="Arial" w:hAnsi="Arial" w:cs="Arial"/>
          <w:sz w:val="24"/>
          <w:szCs w:val="24"/>
        </w:rPr>
        <w:t>R</w:t>
      </w:r>
      <w:r w:rsidRPr="00B61FF1">
        <w:rPr>
          <w:rFonts w:ascii="Arial" w:hAnsi="Arial" w:cs="Arial"/>
          <w:sz w:val="24"/>
          <w:szCs w:val="24"/>
        </w:rPr>
        <w:t xml:space="preserve">efinery” means any facility engaged in producing gasoline, gasoline blending stocks, naphtha, kerosene, distillate fuel oils, residual fuel oils, lubricants, or asphalt (bitumen) through distillation of petroleum or through re-distillation, cracking, or </w:t>
      </w:r>
      <w:r w:rsidRPr="00B61FF1">
        <w:rPr>
          <w:rFonts w:ascii="Arial" w:hAnsi="Arial" w:cs="Arial"/>
          <w:sz w:val="24"/>
          <w:szCs w:val="24"/>
        </w:rPr>
        <w:lastRenderedPageBreak/>
        <w:t>reforming of unfinished petroleum derivatives.  Facilities that distill only pipeline transmix (off-spec material created when different specification products mix during pipeline transportation) are not petroleum refineries, regardless of the products produced.</w:t>
      </w:r>
    </w:p>
    <w:p w14:paraId="6AEC0C3E" w14:textId="77777777" w:rsidR="0054122B" w:rsidRPr="00B61FF1" w:rsidRDefault="0054122B" w:rsidP="00FF34D5">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6</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"Pickled </w:t>
      </w:r>
      <w:r w:rsidR="00294F64" w:rsidRPr="00B61FF1">
        <w:rPr>
          <w:rFonts w:ascii="Arial" w:hAnsi="Arial" w:cs="Arial"/>
          <w:sz w:val="24"/>
          <w:szCs w:val="24"/>
        </w:rPr>
        <w:t>S</w:t>
      </w:r>
      <w:r w:rsidRPr="00B61FF1">
        <w:rPr>
          <w:rFonts w:ascii="Arial" w:hAnsi="Arial" w:cs="Arial"/>
          <w:sz w:val="24"/>
          <w:szCs w:val="24"/>
        </w:rPr>
        <w:t xml:space="preserve">teel </w:t>
      </w:r>
      <w:r w:rsidR="00294F64" w:rsidRPr="00B61FF1">
        <w:rPr>
          <w:rFonts w:ascii="Arial" w:hAnsi="Arial" w:cs="Arial"/>
          <w:sz w:val="24"/>
          <w:szCs w:val="24"/>
        </w:rPr>
        <w:t>S</w:t>
      </w:r>
      <w:r w:rsidRPr="00B61FF1">
        <w:rPr>
          <w:rFonts w:ascii="Arial" w:hAnsi="Arial" w:cs="Arial"/>
          <w:sz w:val="24"/>
          <w:szCs w:val="24"/>
        </w:rPr>
        <w:t xml:space="preserve">heet" means hot rolled steel sheet that is sent through a series of hydrochloric acid baths that remove the oxides. </w:t>
      </w:r>
    </w:p>
    <w:p w14:paraId="7C9EA96B" w14:textId="77777777" w:rsidR="0054122B" w:rsidRPr="00B61FF1" w:rsidRDefault="0054122B" w:rsidP="00FF34D5">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7</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“Pipeline Quality Natural Gas” </w:t>
      </w:r>
      <w:r w:rsidR="003B6669" w:rsidRPr="00B61FF1">
        <w:rPr>
          <w:rFonts w:ascii="Arial" w:hAnsi="Arial" w:cs="Arial"/>
          <w:sz w:val="24"/>
          <w:szCs w:val="24"/>
        </w:rPr>
        <w:t>means</w:t>
      </w:r>
      <w:r w:rsidR="00B811C9" w:rsidRPr="00B61FF1">
        <w:rPr>
          <w:rFonts w:ascii="Arial" w:hAnsi="Arial" w:cs="Arial"/>
          <w:sz w:val="24"/>
          <w:szCs w:val="24"/>
        </w:rPr>
        <w:t>, for the purpose of calculating emissions under MRR,</w:t>
      </w:r>
      <w:r w:rsidR="003B6669" w:rsidRPr="00B61FF1">
        <w:rPr>
          <w:rFonts w:ascii="Arial" w:hAnsi="Arial" w:cs="Arial"/>
          <w:sz w:val="24"/>
          <w:szCs w:val="24"/>
        </w:rPr>
        <w:t xml:space="preserve"> natural gas having a high heat value greater than 970 Btu/scf and equal to or less than 1,100 Btu/scf, and which is at least ninety percent</w:t>
      </w:r>
      <w:r w:rsidR="000B407B" w:rsidRPr="00B61FF1">
        <w:rPr>
          <w:rFonts w:ascii="Arial" w:hAnsi="Arial" w:cs="Arial"/>
          <w:sz w:val="24"/>
          <w:szCs w:val="24"/>
        </w:rPr>
        <w:t xml:space="preserve"> (90%)</w:t>
      </w:r>
      <w:r w:rsidR="003B6669" w:rsidRPr="00B61FF1">
        <w:rPr>
          <w:rFonts w:ascii="Arial" w:hAnsi="Arial" w:cs="Arial"/>
          <w:sz w:val="24"/>
          <w:szCs w:val="24"/>
        </w:rPr>
        <w:t xml:space="preserve"> methane by volume, and which is less than five percent </w:t>
      </w:r>
      <w:r w:rsidR="000B407B" w:rsidRPr="00B61FF1">
        <w:rPr>
          <w:rFonts w:ascii="Arial" w:hAnsi="Arial" w:cs="Arial"/>
          <w:sz w:val="24"/>
          <w:szCs w:val="24"/>
        </w:rPr>
        <w:t xml:space="preserve">(5%) </w:t>
      </w:r>
      <w:r w:rsidR="003B6669" w:rsidRPr="00B61FF1">
        <w:rPr>
          <w:rFonts w:ascii="Arial" w:hAnsi="Arial" w:cs="Arial"/>
          <w:sz w:val="24"/>
          <w:szCs w:val="24"/>
        </w:rPr>
        <w:t>carbon dioxide by volume.</w:t>
      </w:r>
    </w:p>
    <w:p w14:paraId="6DD67AA9" w14:textId="77777777" w:rsidR="0054122B" w:rsidRPr="00B61FF1" w:rsidRDefault="0054122B" w:rsidP="00FF34D5">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8</w:t>
      </w:r>
      <w:r w:rsidRPr="00B61FF1">
        <w:rPr>
          <w:rFonts w:ascii="Arial" w:hAnsi="Arial" w:cs="Arial"/>
          <w:sz w:val="24"/>
          <w:szCs w:val="24"/>
        </w:rPr>
        <w:t>)</w:t>
      </w:r>
      <w:r w:rsidR="00FF34D5" w:rsidRPr="00B61FF1">
        <w:rPr>
          <w:rFonts w:ascii="Arial" w:hAnsi="Arial" w:cs="Arial"/>
          <w:sz w:val="24"/>
          <w:szCs w:val="24"/>
        </w:rPr>
        <w:tab/>
      </w:r>
      <w:r w:rsidRPr="00B61FF1">
        <w:rPr>
          <w:rFonts w:ascii="Arial" w:hAnsi="Arial" w:cs="Arial"/>
          <w:sz w:val="24"/>
          <w:szCs w:val="24"/>
        </w:rPr>
        <w:t>"Plaster" is calcined gypsum that is produced and sold as a finished product and is not used in the production of plasterboard at the same facility.</w:t>
      </w:r>
    </w:p>
    <w:p w14:paraId="582C8AEC" w14:textId="77777777" w:rsidR="0054122B" w:rsidRPr="00B61FF1" w:rsidRDefault="0054122B" w:rsidP="00FF34D5">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19</w:t>
      </w:r>
      <w:r w:rsidR="00417FE1" w:rsidRPr="00B61FF1">
        <w:rPr>
          <w:rFonts w:ascii="Arial" w:hAnsi="Arial" w:cs="Arial"/>
          <w:sz w:val="24"/>
          <w:szCs w:val="24"/>
        </w:rPr>
        <w:t>9</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"Plasterboard" is a panel made of gypsum plaster pressed between two thick sheets of paper.</w:t>
      </w:r>
    </w:p>
    <w:p w14:paraId="3FDA5E5F"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417FE1" w:rsidRPr="00B61FF1">
        <w:rPr>
          <w:rFonts w:ascii="Arial" w:hAnsi="Arial" w:cs="Arial"/>
          <w:sz w:val="24"/>
          <w:szCs w:val="24"/>
        </w:rPr>
        <w:t>200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“Point of </w:t>
      </w:r>
      <w:r w:rsidR="00294F64" w:rsidRPr="00B61FF1">
        <w:rPr>
          <w:rFonts w:ascii="Arial" w:hAnsi="Arial" w:cs="Arial"/>
          <w:sz w:val="24"/>
          <w:szCs w:val="24"/>
        </w:rPr>
        <w:t>D</w:t>
      </w:r>
      <w:r w:rsidRPr="00B61FF1">
        <w:rPr>
          <w:rFonts w:ascii="Arial" w:hAnsi="Arial" w:cs="Arial"/>
          <w:sz w:val="24"/>
          <w:szCs w:val="24"/>
        </w:rPr>
        <w:t>elivery”</w:t>
      </w:r>
      <w:r w:rsidR="00417FE1" w:rsidRPr="00B61FF1">
        <w:rPr>
          <w:rFonts w:ascii="Arial" w:hAnsi="Arial" w:cs="Arial"/>
          <w:sz w:val="24"/>
          <w:szCs w:val="24"/>
        </w:rPr>
        <w:t xml:space="preserve"> or “POD”</w:t>
      </w:r>
      <w:r w:rsidRPr="00B61FF1">
        <w:rPr>
          <w:rFonts w:ascii="Arial" w:hAnsi="Arial" w:cs="Arial"/>
          <w:sz w:val="24"/>
          <w:szCs w:val="24"/>
        </w:rPr>
        <w:t xml:space="preserve"> means the point on an electricity transmission or distribution system where a deliverer makes electricity available to a receiver or available to serve load.  This point can be an interconnection with another system or a substation where the transmission provider’s transmission and distribution systems are connected to another system, or a distribution substation where electricity is imported into California over a multi-jurisdictional retail provider’s distribution system. </w:t>
      </w:r>
    </w:p>
    <w:p w14:paraId="376325CC"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417FE1" w:rsidRPr="00B61FF1">
        <w:rPr>
          <w:rFonts w:ascii="Arial" w:hAnsi="Arial" w:cs="Arial"/>
          <w:sz w:val="24"/>
          <w:szCs w:val="24"/>
        </w:rPr>
        <w:t>201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“Point of </w:t>
      </w:r>
      <w:r w:rsidR="00294F64" w:rsidRPr="00B61FF1">
        <w:rPr>
          <w:rFonts w:ascii="Arial" w:hAnsi="Arial" w:cs="Arial"/>
          <w:sz w:val="24"/>
          <w:szCs w:val="24"/>
        </w:rPr>
        <w:t>R</w:t>
      </w:r>
      <w:r w:rsidRPr="00B61FF1">
        <w:rPr>
          <w:rFonts w:ascii="Arial" w:hAnsi="Arial" w:cs="Arial"/>
          <w:sz w:val="24"/>
          <w:szCs w:val="24"/>
        </w:rPr>
        <w:t>eceipt”</w:t>
      </w:r>
      <w:r w:rsidR="00417FE1" w:rsidRPr="00B61FF1">
        <w:rPr>
          <w:rFonts w:ascii="Arial" w:hAnsi="Arial" w:cs="Arial"/>
          <w:sz w:val="24"/>
          <w:szCs w:val="24"/>
        </w:rPr>
        <w:t xml:space="preserve"> or “POR”</w:t>
      </w:r>
      <w:r w:rsidRPr="00B61FF1">
        <w:rPr>
          <w:rFonts w:ascii="Arial" w:hAnsi="Arial" w:cs="Arial"/>
          <w:sz w:val="24"/>
          <w:szCs w:val="24"/>
        </w:rPr>
        <w:t xml:space="preserve"> means the point on an electricity transmission or distribution system where an electricity receiver receives electricity from a deliverer.  This point can be an interconnection with another system or a substation where the transmission provider’s transmission and distribution systems are connected to another system.</w:t>
      </w:r>
    </w:p>
    <w:p w14:paraId="71ADE14B"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20</w:t>
      </w:r>
      <w:r w:rsidR="00417FE1"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“Portable” means designed and capable of being carried or moved from one location to another.  Indications of portability include wheels, skids, carrying handles, dolly, trailer, or platform.  Equipment is not portable if any one of the following conditions exists:</w:t>
      </w:r>
    </w:p>
    <w:p w14:paraId="36A8E073" w14:textId="77777777" w:rsidR="0054122B" w:rsidRPr="00B61FF1" w:rsidRDefault="00EE0D16" w:rsidP="00EE0D16">
      <w:pPr>
        <w:tabs>
          <w:tab w:val="left" w:pos="378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54122B" w:rsidRPr="00B61FF1">
        <w:rPr>
          <w:rFonts w:ascii="Arial" w:hAnsi="Arial" w:cs="Arial"/>
          <w:sz w:val="24"/>
          <w:szCs w:val="24"/>
        </w:rPr>
        <w:t>The equipment is attached to a foundation;</w:t>
      </w:r>
    </w:p>
    <w:p w14:paraId="07B76C54" w14:textId="77777777" w:rsidR="0054122B" w:rsidRPr="00B61FF1" w:rsidRDefault="00FF34D5" w:rsidP="00FF34D5">
      <w:pPr>
        <w:tabs>
          <w:tab w:val="left" w:pos="3780"/>
        </w:tabs>
        <w:spacing w:line="360" w:lineRule="auto"/>
        <w:ind w:left="1800" w:hanging="720"/>
        <w:rPr>
          <w:rFonts w:ascii="Arial" w:hAnsi="Arial" w:cs="Arial"/>
          <w:sz w:val="24"/>
          <w:szCs w:val="24"/>
        </w:rPr>
      </w:pPr>
      <w:r w:rsidRPr="00B61FF1">
        <w:rPr>
          <w:rFonts w:ascii="Arial" w:hAnsi="Arial" w:cs="Arial"/>
          <w:sz w:val="24"/>
          <w:szCs w:val="24"/>
        </w:rPr>
        <w:t>(</w:t>
      </w:r>
      <w:r w:rsidR="00EE0D16"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54122B" w:rsidRPr="00B61FF1">
        <w:rPr>
          <w:rFonts w:ascii="Arial" w:hAnsi="Arial" w:cs="Arial"/>
          <w:sz w:val="24"/>
          <w:szCs w:val="24"/>
        </w:rPr>
        <w:t>The equipment or a replacement resides at the same location for more than 12 consecutive months;</w:t>
      </w:r>
    </w:p>
    <w:p w14:paraId="22C3901C" w14:textId="77777777" w:rsidR="0054122B" w:rsidRPr="00B61FF1" w:rsidRDefault="00FF34D5" w:rsidP="00FF34D5">
      <w:pPr>
        <w:spacing w:line="360" w:lineRule="auto"/>
        <w:ind w:left="1800" w:hanging="720"/>
        <w:rPr>
          <w:rFonts w:ascii="Arial" w:hAnsi="Arial" w:cs="Arial"/>
          <w:sz w:val="24"/>
          <w:szCs w:val="24"/>
        </w:rPr>
      </w:pPr>
      <w:r w:rsidRPr="00B61FF1">
        <w:rPr>
          <w:rFonts w:ascii="Arial" w:hAnsi="Arial" w:cs="Arial"/>
          <w:sz w:val="24"/>
          <w:szCs w:val="24"/>
        </w:rPr>
        <w:t>(</w:t>
      </w:r>
      <w:r w:rsidR="00EE0D16" w:rsidRPr="00B61FF1">
        <w:rPr>
          <w:rFonts w:ascii="Arial" w:hAnsi="Arial" w:cs="Arial"/>
          <w:sz w:val="24"/>
          <w:szCs w:val="24"/>
        </w:rPr>
        <w:t>C</w:t>
      </w:r>
      <w:r w:rsidRPr="00B61FF1">
        <w:rPr>
          <w:rFonts w:ascii="Arial" w:hAnsi="Arial" w:cs="Arial"/>
          <w:sz w:val="24"/>
          <w:szCs w:val="24"/>
        </w:rPr>
        <w:t>)</w:t>
      </w:r>
      <w:r w:rsidRPr="00B61FF1">
        <w:rPr>
          <w:rFonts w:ascii="Arial" w:hAnsi="Arial" w:cs="Arial"/>
          <w:sz w:val="24"/>
          <w:szCs w:val="24"/>
        </w:rPr>
        <w:tab/>
      </w:r>
      <w:r w:rsidR="0054122B" w:rsidRPr="00B61FF1">
        <w:rPr>
          <w:rFonts w:ascii="Arial" w:hAnsi="Arial" w:cs="Arial"/>
          <w:sz w:val="24"/>
          <w:szCs w:val="24"/>
        </w:rPr>
        <w:t>The equipment is located at a seasonal facility and operates during the full annual operating period of the seasonal facility, remains at the facility for at least two years, and operates at that facility for at least three months each year; or</w:t>
      </w:r>
    </w:p>
    <w:p w14:paraId="437C417D" w14:textId="77777777" w:rsidR="0054122B" w:rsidRPr="00B61FF1" w:rsidRDefault="00FF34D5" w:rsidP="00FF34D5">
      <w:pPr>
        <w:spacing w:line="360" w:lineRule="auto"/>
        <w:ind w:left="1800" w:hanging="720"/>
        <w:rPr>
          <w:rFonts w:ascii="Arial" w:hAnsi="Arial" w:cs="Arial"/>
          <w:sz w:val="24"/>
          <w:szCs w:val="24"/>
        </w:rPr>
      </w:pPr>
      <w:r w:rsidRPr="00B61FF1">
        <w:rPr>
          <w:rFonts w:ascii="Arial" w:hAnsi="Arial" w:cs="Arial"/>
          <w:sz w:val="24"/>
          <w:szCs w:val="24"/>
        </w:rPr>
        <w:t>(</w:t>
      </w:r>
      <w:r w:rsidR="00EE0D16" w:rsidRPr="00B61FF1">
        <w:rPr>
          <w:rFonts w:ascii="Arial" w:hAnsi="Arial" w:cs="Arial"/>
          <w:sz w:val="24"/>
          <w:szCs w:val="24"/>
        </w:rPr>
        <w:t>D</w:t>
      </w:r>
      <w:r w:rsidRPr="00B61FF1">
        <w:rPr>
          <w:rFonts w:ascii="Arial" w:hAnsi="Arial" w:cs="Arial"/>
          <w:sz w:val="24"/>
          <w:szCs w:val="24"/>
        </w:rPr>
        <w:t>)</w:t>
      </w:r>
      <w:r w:rsidRPr="00B61FF1">
        <w:rPr>
          <w:rFonts w:ascii="Arial" w:hAnsi="Arial" w:cs="Arial"/>
          <w:sz w:val="24"/>
          <w:szCs w:val="24"/>
        </w:rPr>
        <w:tab/>
      </w:r>
      <w:r w:rsidR="0054122B" w:rsidRPr="00B61FF1">
        <w:rPr>
          <w:rFonts w:ascii="Arial" w:hAnsi="Arial" w:cs="Arial"/>
          <w:sz w:val="24"/>
          <w:szCs w:val="24"/>
        </w:rPr>
        <w:t>The equipment is moved from one location to another in an attempt to circumvent the portable residence time requirements of this definition.</w:t>
      </w:r>
    </w:p>
    <w:p w14:paraId="10E91E8C" w14:textId="77777777" w:rsidR="0054122B" w:rsidRPr="00B61FF1" w:rsidRDefault="0054122B" w:rsidP="00417FE1">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20</w:t>
      </w:r>
      <w:r w:rsidR="00417FE1"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“Position </w:t>
      </w:r>
      <w:r w:rsidR="00294F64" w:rsidRPr="00B61FF1">
        <w:rPr>
          <w:rFonts w:ascii="Arial" w:hAnsi="Arial" w:cs="Arial"/>
          <w:sz w:val="24"/>
          <w:szCs w:val="24"/>
        </w:rPr>
        <w:t>H</w:t>
      </w:r>
      <w:r w:rsidRPr="00B61FF1">
        <w:rPr>
          <w:rFonts w:ascii="Arial" w:hAnsi="Arial" w:cs="Arial"/>
          <w:sz w:val="24"/>
          <w:szCs w:val="24"/>
        </w:rPr>
        <w:t>older” means an entity that holds an inventory position in motor vehicle fuel, ethanol, distillate fuel, biodiesel, or renewable diesel as reflected in the records of the terminal operator or a terminal operator that owns motor vehicle fuel or diesel fuel in its terminal.</w:t>
      </w:r>
      <w:r w:rsidR="00417FE1" w:rsidRPr="00B61FF1">
        <w:rPr>
          <w:rFonts w:ascii="Arial" w:hAnsi="Arial" w:cs="Arial"/>
          <w:sz w:val="24"/>
          <w:szCs w:val="24"/>
        </w:rPr>
        <w:t xml:space="preserve"> “Position holder” does not include inventory held outside of a terminal, fuel jobbers (unless directly holding inventory at the terminal), retail establishments, or other fuel suppliers not holding inventory at a fuel terminal.</w:t>
      </w:r>
    </w:p>
    <w:p w14:paraId="5A4594EF" w14:textId="77777777" w:rsidR="00820443" w:rsidRPr="00B61FF1" w:rsidRDefault="00505D34" w:rsidP="00C64C59">
      <w:pPr>
        <w:pStyle w:val="autonumbered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t>(</w:t>
      </w:r>
      <w:r w:rsidR="001D745B" w:rsidRPr="00B61FF1">
        <w:rPr>
          <w:rFonts w:ascii="Arial" w:hAnsi="Arial" w:cs="Arial"/>
        </w:rPr>
        <w:t>20</w:t>
      </w:r>
      <w:r w:rsidR="00417FE1" w:rsidRPr="00B61FF1">
        <w:rPr>
          <w:rFonts w:ascii="Arial" w:hAnsi="Arial" w:cs="Arial"/>
        </w:rPr>
        <w:t>4</w:t>
      </w:r>
      <w:r w:rsidRPr="00B61FF1">
        <w:rPr>
          <w:rFonts w:ascii="Arial" w:eastAsia="PMingLiU" w:hAnsi="Arial" w:cs="Arial"/>
        </w:rPr>
        <w:t>)</w:t>
      </w:r>
      <w:r w:rsidR="00CC5F26" w:rsidRPr="00B61FF1">
        <w:rPr>
          <w:rFonts w:ascii="Arial" w:eastAsia="PMingLiU" w:hAnsi="Arial" w:cs="Arial"/>
        </w:rPr>
        <w:tab/>
      </w:r>
      <w:r w:rsidR="005E29A9" w:rsidRPr="00B61FF1">
        <w:rPr>
          <w:rFonts w:ascii="Arial" w:eastAsia="PMingLiU" w:hAnsi="Arial" w:cs="Arial"/>
        </w:rPr>
        <w:t xml:space="preserve">“Positive </w:t>
      </w:r>
      <w:r w:rsidR="00294F64" w:rsidRPr="00B61FF1">
        <w:rPr>
          <w:rFonts w:ascii="Arial" w:eastAsia="PMingLiU" w:hAnsi="Arial" w:cs="Arial"/>
        </w:rPr>
        <w:t>E</w:t>
      </w:r>
      <w:r w:rsidR="005E29A9" w:rsidRPr="00B61FF1">
        <w:rPr>
          <w:rFonts w:ascii="Arial" w:eastAsia="PMingLiU" w:hAnsi="Arial" w:cs="Arial"/>
        </w:rPr>
        <w:t xml:space="preserve">missions </w:t>
      </w:r>
      <w:r w:rsidR="00294F64" w:rsidRPr="00B61FF1">
        <w:rPr>
          <w:rFonts w:ascii="Arial" w:eastAsia="PMingLiU" w:hAnsi="Arial" w:cs="Arial"/>
        </w:rPr>
        <w:t>D</w:t>
      </w:r>
      <w:r w:rsidR="005E29A9" w:rsidRPr="00B61FF1">
        <w:rPr>
          <w:rFonts w:ascii="Arial" w:eastAsia="PMingLiU" w:hAnsi="Arial" w:cs="Arial"/>
        </w:rPr>
        <w:t xml:space="preserve">ata </w:t>
      </w:r>
      <w:r w:rsidR="00294F64" w:rsidRPr="00B61FF1">
        <w:rPr>
          <w:rFonts w:ascii="Arial" w:eastAsia="PMingLiU" w:hAnsi="Arial" w:cs="Arial"/>
        </w:rPr>
        <w:t>V</w:t>
      </w:r>
      <w:r w:rsidR="005E29A9" w:rsidRPr="00B61FF1">
        <w:rPr>
          <w:rFonts w:ascii="Arial" w:eastAsia="PMingLiU" w:hAnsi="Arial" w:cs="Arial"/>
        </w:rPr>
        <w:t xml:space="preserve">erification </w:t>
      </w:r>
      <w:r w:rsidR="00294F64" w:rsidRPr="00B61FF1">
        <w:rPr>
          <w:rFonts w:ascii="Arial" w:eastAsia="PMingLiU" w:hAnsi="Arial" w:cs="Arial"/>
        </w:rPr>
        <w:t>S</w:t>
      </w:r>
      <w:r w:rsidR="005E29A9" w:rsidRPr="00B61FF1">
        <w:rPr>
          <w:rFonts w:ascii="Arial" w:eastAsia="PMingLiU" w:hAnsi="Arial" w:cs="Arial"/>
        </w:rPr>
        <w:t>tatement” means a verification statement rendered by a verification body attesting that the verification body can say with reasonable assurance that the</w:t>
      </w:r>
      <w:r w:rsidR="00417FE1" w:rsidRPr="00B61FF1">
        <w:rPr>
          <w:rFonts w:ascii="Arial" w:eastAsia="PMingLiU" w:hAnsi="Arial" w:cs="Arial"/>
        </w:rPr>
        <w:t xml:space="preserve"> covered</w:t>
      </w:r>
      <w:r w:rsidR="005E29A9" w:rsidRPr="00B61FF1">
        <w:rPr>
          <w:rFonts w:ascii="Arial" w:eastAsia="PMingLiU" w:hAnsi="Arial" w:cs="Arial"/>
        </w:rPr>
        <w:t xml:space="preserve"> emissions data in the submitted emissions data report is free of material misstatement and that the emissions data conforms to the requirements of </w:t>
      </w:r>
      <w:r w:rsidR="00722194" w:rsidRPr="00B61FF1">
        <w:rPr>
          <w:rFonts w:ascii="Arial" w:eastAsia="PMingLiU" w:hAnsi="Arial" w:cs="Arial"/>
        </w:rPr>
        <w:t>MRR</w:t>
      </w:r>
      <w:r w:rsidR="005E29A9" w:rsidRPr="00B61FF1">
        <w:rPr>
          <w:rFonts w:ascii="Arial" w:eastAsia="PMingLiU" w:hAnsi="Arial" w:cs="Arial"/>
        </w:rPr>
        <w:t>.</w:t>
      </w:r>
      <w:r w:rsidR="00EB7E04" w:rsidRPr="00B61FF1">
        <w:rPr>
          <w:rFonts w:ascii="Arial" w:eastAsia="PMingLiU" w:hAnsi="Arial" w:cs="Arial"/>
        </w:rPr>
        <w:t xml:space="preserve"> For purposes of this definition, ‘material misstatement’ shall have the same meaning as ascribed to it in section 95102(a) of MRR.</w:t>
      </w:r>
    </w:p>
    <w:p w14:paraId="3A6F77E1" w14:textId="77777777" w:rsidR="00EB7E04" w:rsidRPr="00B61FF1" w:rsidRDefault="00505D34" w:rsidP="00EB7E04">
      <w:pPr>
        <w:pStyle w:val="autonumbered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lastRenderedPageBreak/>
        <w:t>(</w:t>
      </w:r>
      <w:r w:rsidR="001D745B" w:rsidRPr="00B61FF1">
        <w:rPr>
          <w:rFonts w:ascii="Arial" w:hAnsi="Arial" w:cs="Arial"/>
        </w:rPr>
        <w:t>20</w:t>
      </w:r>
      <w:r w:rsidR="00417FE1" w:rsidRPr="00B61FF1">
        <w:rPr>
          <w:rFonts w:ascii="Arial" w:hAnsi="Arial" w:cs="Arial"/>
        </w:rPr>
        <w:t>5</w:t>
      </w:r>
      <w:r w:rsidRPr="00B61FF1">
        <w:rPr>
          <w:rFonts w:ascii="Arial" w:eastAsia="PMingLiU" w:hAnsi="Arial" w:cs="Arial"/>
        </w:rPr>
        <w:t>)</w:t>
      </w:r>
      <w:r w:rsidR="00CC5F26" w:rsidRPr="00B61FF1">
        <w:rPr>
          <w:rFonts w:ascii="Arial" w:eastAsia="PMingLiU" w:hAnsi="Arial" w:cs="Arial"/>
        </w:rPr>
        <w:tab/>
      </w:r>
      <w:r w:rsidR="005E29A9" w:rsidRPr="00B61FF1">
        <w:rPr>
          <w:rFonts w:ascii="Arial" w:eastAsia="PMingLiU" w:hAnsi="Arial" w:cs="Arial"/>
        </w:rPr>
        <w:t xml:space="preserve">“Positive </w:t>
      </w:r>
      <w:r w:rsidR="00294F64" w:rsidRPr="00B61FF1">
        <w:rPr>
          <w:rFonts w:ascii="Arial" w:eastAsia="PMingLiU" w:hAnsi="Arial" w:cs="Arial"/>
        </w:rPr>
        <w:t>P</w:t>
      </w:r>
      <w:r w:rsidR="005E29A9" w:rsidRPr="00B61FF1">
        <w:rPr>
          <w:rFonts w:ascii="Arial" w:eastAsia="PMingLiU" w:hAnsi="Arial" w:cs="Arial"/>
        </w:rPr>
        <w:t xml:space="preserve">roduct </w:t>
      </w:r>
      <w:r w:rsidR="00294F64" w:rsidRPr="00B61FF1">
        <w:rPr>
          <w:rFonts w:ascii="Arial" w:eastAsia="PMingLiU" w:hAnsi="Arial" w:cs="Arial"/>
        </w:rPr>
        <w:t>D</w:t>
      </w:r>
      <w:r w:rsidR="005E29A9" w:rsidRPr="00B61FF1">
        <w:rPr>
          <w:rFonts w:ascii="Arial" w:eastAsia="PMingLiU" w:hAnsi="Arial" w:cs="Arial"/>
        </w:rPr>
        <w:t xml:space="preserve">ata </w:t>
      </w:r>
      <w:r w:rsidR="00294F64" w:rsidRPr="00B61FF1">
        <w:rPr>
          <w:rFonts w:ascii="Arial" w:eastAsia="PMingLiU" w:hAnsi="Arial" w:cs="Arial"/>
        </w:rPr>
        <w:t>V</w:t>
      </w:r>
      <w:r w:rsidR="005E29A9" w:rsidRPr="00B61FF1">
        <w:rPr>
          <w:rFonts w:ascii="Arial" w:eastAsia="PMingLiU" w:hAnsi="Arial" w:cs="Arial"/>
        </w:rPr>
        <w:t xml:space="preserve">erification </w:t>
      </w:r>
      <w:r w:rsidR="00294F64" w:rsidRPr="00B61FF1">
        <w:rPr>
          <w:rFonts w:ascii="Arial" w:eastAsia="PMingLiU" w:hAnsi="Arial" w:cs="Arial"/>
        </w:rPr>
        <w:t>S</w:t>
      </w:r>
      <w:r w:rsidR="005E29A9" w:rsidRPr="00B61FF1">
        <w:rPr>
          <w:rFonts w:ascii="Arial" w:eastAsia="PMingLiU" w:hAnsi="Arial" w:cs="Arial"/>
        </w:rPr>
        <w:t>tatement” means a verification statement rendered by a verification body attesting that the verification body can say with reasonable assurance that the</w:t>
      </w:r>
      <w:r w:rsidR="00417FE1" w:rsidRPr="00B61FF1">
        <w:rPr>
          <w:rFonts w:ascii="Arial" w:eastAsia="PMingLiU" w:hAnsi="Arial" w:cs="Arial"/>
        </w:rPr>
        <w:t xml:space="preserve"> covered</w:t>
      </w:r>
      <w:r w:rsidR="005E29A9" w:rsidRPr="00B61FF1">
        <w:rPr>
          <w:rFonts w:ascii="Arial" w:eastAsia="PMingLiU" w:hAnsi="Arial" w:cs="Arial"/>
        </w:rPr>
        <w:t xml:space="preserve"> product data in the submitted emissions data report is free of material misstatement and that the product data conforms to the requirements of </w:t>
      </w:r>
      <w:r w:rsidR="00722194" w:rsidRPr="00B61FF1">
        <w:rPr>
          <w:rFonts w:ascii="Arial" w:eastAsia="PMingLiU" w:hAnsi="Arial" w:cs="Arial"/>
        </w:rPr>
        <w:t>MRR</w:t>
      </w:r>
      <w:r w:rsidR="005E29A9" w:rsidRPr="00B61FF1">
        <w:rPr>
          <w:rFonts w:ascii="Arial" w:eastAsia="PMingLiU" w:hAnsi="Arial" w:cs="Arial"/>
        </w:rPr>
        <w:t>.</w:t>
      </w:r>
      <w:r w:rsidR="00EB7E04" w:rsidRPr="00B61FF1">
        <w:rPr>
          <w:rFonts w:ascii="Arial" w:eastAsia="PMingLiU" w:hAnsi="Arial" w:cs="Arial"/>
        </w:rPr>
        <w:t xml:space="preserve"> For purposes of this definition, ‘material misstatement’ shall have the same meaning as ascribed to it in section 95102(a) of MRR.</w:t>
      </w:r>
    </w:p>
    <w:p w14:paraId="6156D185" w14:textId="77777777" w:rsidR="0054122B" w:rsidRPr="00B61FF1" w:rsidRDefault="007B5A4B" w:rsidP="00C64C59">
      <w:pPr>
        <w:tabs>
          <w:tab w:val="left" w:pos="3780"/>
        </w:tabs>
        <w:spacing w:line="360" w:lineRule="auto"/>
        <w:ind w:left="1080" w:hanging="720"/>
        <w:rPr>
          <w:rFonts w:ascii="Arial" w:hAnsi="Arial" w:cs="Arial"/>
          <w:sz w:val="24"/>
          <w:szCs w:val="24"/>
        </w:rPr>
      </w:pPr>
      <w:r w:rsidRPr="00B61FF1">
        <w:rPr>
          <w:rFonts w:ascii="Arial" w:eastAsia="MS Mincho" w:hAnsi="Arial" w:cs="Arial"/>
          <w:sz w:val="24"/>
          <w:szCs w:val="24"/>
          <w:lang w:eastAsia="ja-JP"/>
        </w:rPr>
        <w:t>(</w:t>
      </w:r>
      <w:r w:rsidR="001D745B" w:rsidRPr="00B61FF1">
        <w:rPr>
          <w:rFonts w:ascii="Arial" w:hAnsi="Arial" w:cs="Arial"/>
          <w:sz w:val="24"/>
          <w:szCs w:val="24"/>
        </w:rPr>
        <w:t>20</w:t>
      </w:r>
      <w:r w:rsidR="00417FE1" w:rsidRPr="00B61FF1">
        <w:rPr>
          <w:rFonts w:ascii="Arial" w:hAnsi="Arial" w:cs="Arial"/>
          <w:sz w:val="24"/>
          <w:szCs w:val="24"/>
        </w:rPr>
        <w:t>6</w:t>
      </w:r>
      <w:r w:rsidR="0054122B" w:rsidRPr="00B61FF1">
        <w:rPr>
          <w:rFonts w:ascii="Arial" w:eastAsia="MS Mincho" w:hAnsi="Arial" w:cs="Arial"/>
          <w:sz w:val="24"/>
          <w:szCs w:val="24"/>
          <w:lang w:eastAsia="ja-JP"/>
        </w:rPr>
        <w:t xml:space="preserve">) </w:t>
      </w:r>
      <w:r w:rsidR="00CD4B45" w:rsidRPr="00B61FF1">
        <w:rPr>
          <w:rFonts w:ascii="Arial" w:eastAsia="MS Mincho" w:hAnsi="Arial" w:cs="Arial"/>
          <w:sz w:val="24"/>
          <w:szCs w:val="24"/>
          <w:lang w:eastAsia="ja-JP"/>
        </w:rPr>
        <w:tab/>
      </w:r>
      <w:r w:rsidR="0054122B" w:rsidRPr="00B61FF1">
        <w:rPr>
          <w:rFonts w:ascii="Arial" w:eastAsia="MS Mincho" w:hAnsi="Arial" w:cs="Arial"/>
          <w:sz w:val="24"/>
          <w:szCs w:val="24"/>
          <w:lang w:eastAsia="ja-JP"/>
        </w:rPr>
        <w:t>“Positive Offset Verification Statement” means an Offset Verification Statement rendered by a verification body attesting that the verification body can say with reasonable assurance that the submitted Offset Project Data Report is free of an offset material misstatement and that the Offset Project Data Report conforms to the requirements of this article and applicable Compliance Offset Protocol.</w:t>
      </w:r>
    </w:p>
    <w:p w14:paraId="5AB0D2E7" w14:textId="77777777" w:rsidR="0054122B" w:rsidRPr="00B61FF1" w:rsidRDefault="00EF3B6D"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20</w:t>
      </w:r>
      <w:r w:rsidR="00417FE1" w:rsidRPr="00B61FF1">
        <w:rPr>
          <w:rFonts w:ascii="Arial" w:hAnsi="Arial" w:cs="Arial"/>
          <w:sz w:val="24"/>
          <w:szCs w:val="24"/>
        </w:rPr>
        <w:t>7</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“Power” means electricity, except where the context makes clear that another meaning is intended.</w:t>
      </w:r>
    </w:p>
    <w:p w14:paraId="4C97BDDC" w14:textId="2C650E74" w:rsidR="00881FD3" w:rsidRPr="00B61FF1" w:rsidRDefault="00881FD3"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(20</w:t>
      </w:r>
      <w:r w:rsidR="00417FE1" w:rsidRPr="00B61FF1">
        <w:rPr>
          <w:rFonts w:ascii="Arial" w:hAnsi="Arial" w:cs="Arial"/>
          <w:sz w:val="24"/>
          <w:szCs w:val="24"/>
        </w:rPr>
        <w:t>8</w:t>
      </w:r>
      <w:r w:rsidRPr="00B61FF1">
        <w:rPr>
          <w:rFonts w:ascii="Arial" w:hAnsi="Arial" w:cs="Arial"/>
          <w:sz w:val="24"/>
          <w:szCs w:val="24"/>
        </w:rPr>
        <w:t xml:space="preserve">) </w:t>
      </w:r>
      <w:r w:rsidRPr="00B61FF1">
        <w:rPr>
          <w:rFonts w:ascii="Arial" w:hAnsi="Arial" w:cs="Arial"/>
          <w:sz w:val="24"/>
          <w:szCs w:val="24"/>
        </w:rPr>
        <w:tab/>
        <w:t>“Primary Account Representative” means an indiv</w:t>
      </w:r>
      <w:r w:rsidR="001F3A12" w:rsidRPr="00B61FF1">
        <w:rPr>
          <w:rFonts w:ascii="Arial" w:hAnsi="Arial" w:cs="Arial"/>
          <w:sz w:val="24"/>
          <w:szCs w:val="24"/>
          <w:u w:val="single"/>
        </w:rPr>
        <w:t>i</w:t>
      </w:r>
      <w:r w:rsidRPr="00B61FF1">
        <w:rPr>
          <w:rFonts w:ascii="Arial" w:hAnsi="Arial" w:cs="Arial"/>
          <w:sz w:val="24"/>
          <w:szCs w:val="24"/>
        </w:rPr>
        <w:t>dual authorized by a registered entity through the registration process outlined in section 95832 to make submissions to the Executive Officer and the tracking system in all matters pertaining to this article that legally bind the authorizing entity.</w:t>
      </w:r>
    </w:p>
    <w:p w14:paraId="745B87DF" w14:textId="77777777" w:rsidR="0054122B" w:rsidRPr="00B61FF1" w:rsidRDefault="0054122B" w:rsidP="00FF34D5">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20</w:t>
      </w:r>
      <w:r w:rsidR="00417FE1" w:rsidRPr="00B61FF1">
        <w:rPr>
          <w:rFonts w:ascii="Arial" w:hAnsi="Arial" w:cs="Arial"/>
          <w:sz w:val="24"/>
          <w:szCs w:val="24"/>
        </w:rPr>
        <w:t>9</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"Primary </w:t>
      </w:r>
      <w:r w:rsidR="00463D5E" w:rsidRPr="00B61FF1">
        <w:rPr>
          <w:rFonts w:ascii="Arial" w:hAnsi="Arial" w:cs="Arial"/>
          <w:sz w:val="24"/>
          <w:szCs w:val="24"/>
        </w:rPr>
        <w:t>Refinery Products</w:t>
      </w:r>
      <w:r w:rsidRPr="00B61FF1">
        <w:rPr>
          <w:rFonts w:ascii="Arial" w:hAnsi="Arial" w:cs="Arial"/>
          <w:sz w:val="24"/>
          <w:szCs w:val="24"/>
        </w:rPr>
        <w:t>" means aviation gasoline, motor gasoline</w:t>
      </w:r>
      <w:r w:rsidR="00417FE1" w:rsidRPr="00B61FF1">
        <w:rPr>
          <w:rFonts w:ascii="Arial" w:hAnsi="Arial" w:cs="Arial"/>
          <w:sz w:val="24"/>
          <w:szCs w:val="24"/>
        </w:rPr>
        <w:t xml:space="preserve"> (finished)</w:t>
      </w:r>
      <w:r w:rsidRPr="00B61FF1">
        <w:rPr>
          <w:rFonts w:ascii="Arial" w:hAnsi="Arial" w:cs="Arial"/>
          <w:sz w:val="24"/>
          <w:szCs w:val="24"/>
        </w:rPr>
        <w:t>, kerosene-type jet</w:t>
      </w:r>
      <w:r w:rsidR="00463D5E" w:rsidRPr="00B61FF1">
        <w:rPr>
          <w:rFonts w:ascii="Arial" w:hAnsi="Arial" w:cs="Arial"/>
          <w:sz w:val="24"/>
          <w:szCs w:val="24"/>
        </w:rPr>
        <w:t xml:space="preserve"> fuel, distillate fuel oil, </w:t>
      </w:r>
      <w:r w:rsidRPr="00B61FF1">
        <w:rPr>
          <w:rFonts w:ascii="Arial" w:hAnsi="Arial" w:cs="Arial"/>
          <w:sz w:val="24"/>
          <w:szCs w:val="24"/>
        </w:rPr>
        <w:t>renewable liquid fuels</w:t>
      </w:r>
      <w:r w:rsidR="00463D5E" w:rsidRPr="00B61FF1">
        <w:rPr>
          <w:rFonts w:ascii="Arial" w:hAnsi="Arial" w:cs="Arial"/>
          <w:sz w:val="24"/>
          <w:szCs w:val="24"/>
        </w:rPr>
        <w:t>, and asphalt</w:t>
      </w:r>
      <w:r w:rsidRPr="00B61FF1">
        <w:rPr>
          <w:rFonts w:ascii="Arial" w:hAnsi="Arial" w:cs="Arial"/>
          <w:sz w:val="24"/>
          <w:szCs w:val="24"/>
        </w:rPr>
        <w:t>.  For the purpose of calculating this value for each refinery ARB will convert blen</w:t>
      </w:r>
      <w:r w:rsidR="000B407B" w:rsidRPr="00B61FF1">
        <w:rPr>
          <w:rFonts w:ascii="Arial" w:hAnsi="Arial" w:cs="Arial"/>
          <w:sz w:val="24"/>
          <w:szCs w:val="24"/>
        </w:rPr>
        <w:t>d</w:t>
      </w:r>
      <w:r w:rsidRPr="00B61FF1">
        <w:rPr>
          <w:rFonts w:ascii="Arial" w:hAnsi="Arial" w:cs="Arial"/>
          <w:sz w:val="24"/>
          <w:szCs w:val="24"/>
        </w:rPr>
        <w:t>stocks into their finished fuel volumes by multiplying blendstocks by an assumed blending ratio.</w:t>
      </w:r>
    </w:p>
    <w:p w14:paraId="767865E0" w14:textId="77777777" w:rsidR="00881FD3" w:rsidRPr="00B61FF1" w:rsidRDefault="00881FD3" w:rsidP="00FF34D5">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(2</w:t>
      </w:r>
      <w:r w:rsidR="00417FE1" w:rsidRPr="00B61FF1">
        <w:rPr>
          <w:rFonts w:ascii="Arial" w:hAnsi="Arial" w:cs="Arial"/>
          <w:sz w:val="24"/>
          <w:szCs w:val="24"/>
        </w:rPr>
        <w:t>10</w:t>
      </w:r>
      <w:r w:rsidRPr="00B61FF1">
        <w:rPr>
          <w:rFonts w:ascii="Arial" w:hAnsi="Arial" w:cs="Arial"/>
          <w:sz w:val="24"/>
          <w:szCs w:val="24"/>
        </w:rPr>
        <w:t>)</w:t>
      </w:r>
      <w:r w:rsidRPr="00B61FF1">
        <w:rPr>
          <w:rFonts w:ascii="Arial" w:hAnsi="Arial" w:cs="Arial"/>
          <w:sz w:val="24"/>
          <w:szCs w:val="24"/>
        </w:rPr>
        <w:tab/>
        <w:t>“Primary Residence” means the property an individual uses as a residence the majority of the time during the year or as the principal place of abode of the individual's family members.  The primary residence may be documented by the address listed on the individual's federal and state tax returns, driver's license, automobile registration, or voter registration card.</w:t>
      </w:r>
    </w:p>
    <w:p w14:paraId="03E949ED" w14:textId="77777777" w:rsidR="0054122B" w:rsidRPr="00B61FF1" w:rsidRDefault="0054122B" w:rsidP="0002722D">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w:t>
      </w:r>
      <w:r w:rsidR="00417FE1" w:rsidRPr="00B61FF1">
        <w:rPr>
          <w:rFonts w:ascii="Arial" w:hAnsi="Arial" w:cs="Arial"/>
          <w:sz w:val="24"/>
          <w:szCs w:val="24"/>
        </w:rPr>
        <w:t>11</w:t>
      </w:r>
      <w:r w:rsidRPr="00B61FF1">
        <w:rPr>
          <w:rFonts w:ascii="Arial" w:hAnsi="Arial" w:cs="Arial"/>
          <w:sz w:val="24"/>
          <w:szCs w:val="24"/>
        </w:rPr>
        <w:t xml:space="preserve">) </w:t>
      </w:r>
      <w:r w:rsidR="00CD4B45" w:rsidRPr="00B61FF1">
        <w:rPr>
          <w:rFonts w:ascii="Arial" w:hAnsi="Arial" w:cs="Arial"/>
          <w:sz w:val="24"/>
          <w:szCs w:val="24"/>
        </w:rPr>
        <w:tab/>
      </w:r>
      <w:r w:rsidR="0002722D" w:rsidRPr="00B61FF1">
        <w:rPr>
          <w:rFonts w:ascii="Arial" w:hAnsi="Arial" w:cs="Arial"/>
          <w:sz w:val="24"/>
          <w:szCs w:val="24"/>
        </w:rPr>
        <w:t xml:space="preserve">“Proceeds” means monies generated as a result of an auction or from sales from the Allowance Price Containment Reserve. </w:t>
      </w:r>
    </w:p>
    <w:p w14:paraId="27C5ACD7"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17FE1" w:rsidRPr="00B61FF1">
        <w:rPr>
          <w:rFonts w:ascii="Arial" w:hAnsi="Arial" w:cs="Arial"/>
          <w:sz w:val="24"/>
          <w:szCs w:val="24"/>
        </w:rPr>
        <w:t>12</w:t>
      </w:r>
      <w:r w:rsidRPr="00B61FF1">
        <w:rPr>
          <w:rFonts w:ascii="Arial" w:hAnsi="Arial" w:cs="Arial"/>
          <w:sz w:val="24"/>
          <w:szCs w:val="24"/>
        </w:rPr>
        <w:t>)</w:t>
      </w:r>
      <w:r w:rsidR="00FF34D5"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“Process” means the intentional or unintentional reactions between substances or their transformation, including the chemical or electrolytic reduction o</w:t>
      </w:r>
      <w:r w:rsidR="000B407B" w:rsidRPr="00B61FF1">
        <w:rPr>
          <w:rFonts w:ascii="Arial" w:hAnsi="Arial" w:cs="Arial"/>
          <w:sz w:val="24"/>
          <w:szCs w:val="24"/>
        </w:rPr>
        <w:t>f</w:t>
      </w:r>
      <w:r w:rsidRPr="00B61FF1">
        <w:rPr>
          <w:rFonts w:ascii="Arial" w:hAnsi="Arial" w:cs="Arial"/>
          <w:sz w:val="24"/>
          <w:szCs w:val="24"/>
        </w:rPr>
        <w:t xml:space="preserve"> metal ores, the thermal decomposition of substances, and the formation of substances for use as product or feedstock.</w:t>
      </w:r>
    </w:p>
    <w:p w14:paraId="6584803B"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21</w:t>
      </w:r>
      <w:r w:rsidR="00417FE1" w:rsidRPr="00B61FF1">
        <w:rPr>
          <w:rFonts w:ascii="Arial" w:hAnsi="Arial" w:cs="Arial"/>
          <w:sz w:val="24"/>
          <w:szCs w:val="24"/>
        </w:rPr>
        <w:t>3</w:t>
      </w:r>
      <w:r w:rsidRPr="00B61FF1">
        <w:rPr>
          <w:rFonts w:ascii="Arial" w:hAnsi="Arial" w:cs="Arial"/>
          <w:sz w:val="24"/>
          <w:szCs w:val="24"/>
        </w:rPr>
        <w:t>)</w:t>
      </w:r>
      <w:r w:rsidR="00A52001"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“Process </w:t>
      </w:r>
      <w:r w:rsidR="00294F64" w:rsidRPr="00B61FF1">
        <w:rPr>
          <w:rFonts w:ascii="Arial" w:hAnsi="Arial" w:cs="Arial"/>
          <w:sz w:val="24"/>
          <w:szCs w:val="24"/>
        </w:rPr>
        <w:t>E</w:t>
      </w:r>
      <w:r w:rsidRPr="00B61FF1">
        <w:rPr>
          <w:rFonts w:ascii="Arial" w:hAnsi="Arial" w:cs="Arial"/>
          <w:sz w:val="24"/>
          <w:szCs w:val="24"/>
        </w:rPr>
        <w:t>missions” means the emissions from industrial processes (e.g., cement production, ammonia production) involving chemical or physical transformations other than fuel combustion.  For example, the calcination of carbonates in a kiln during cement production or the oxidation of methane in an ammonia process results in the release of process CO</w:t>
      </w:r>
      <w:r w:rsidRPr="00B61FF1">
        <w:rPr>
          <w:rFonts w:ascii="Arial" w:hAnsi="Arial" w:cs="Arial"/>
          <w:sz w:val="24"/>
          <w:szCs w:val="24"/>
          <w:vertAlign w:val="subscript"/>
        </w:rPr>
        <w:t>2</w:t>
      </w:r>
      <w:r w:rsidRPr="00B61FF1">
        <w:rPr>
          <w:rFonts w:ascii="Arial" w:hAnsi="Arial" w:cs="Arial"/>
          <w:sz w:val="24"/>
          <w:szCs w:val="24"/>
        </w:rPr>
        <w:t xml:space="preserve"> emissions to the atmosphere.  Emissions from fuel combustion to provide process heat are not part of process emissions, whether the combustion is internal or external to the process equipment.</w:t>
      </w:r>
    </w:p>
    <w:p w14:paraId="27384641"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21</w:t>
      </w:r>
      <w:r w:rsidR="00417FE1" w:rsidRPr="00B61FF1">
        <w:rPr>
          <w:rFonts w:ascii="Arial" w:hAnsi="Arial" w:cs="Arial"/>
          <w:sz w:val="24"/>
          <w:szCs w:val="24"/>
        </w:rPr>
        <w:t>4</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“Process Unit” means the equipment assembled and connected by pipes and ducts to process raw materials and to manufacture either a final or intermediate</w:t>
      </w:r>
      <w:r w:rsidR="000B407B" w:rsidRPr="00B61FF1">
        <w:rPr>
          <w:rFonts w:ascii="Arial" w:hAnsi="Arial" w:cs="Arial"/>
          <w:sz w:val="24"/>
          <w:szCs w:val="24"/>
        </w:rPr>
        <w:t xml:space="preserve"> product</w:t>
      </w:r>
      <w:r w:rsidRPr="00B61FF1">
        <w:rPr>
          <w:rFonts w:ascii="Arial" w:hAnsi="Arial" w:cs="Arial"/>
          <w:sz w:val="24"/>
          <w:szCs w:val="24"/>
        </w:rPr>
        <w:t xml:space="preserve"> used in the onsite production of other products.  The process unit also includes the purification of recovered byproducts.</w:t>
      </w:r>
    </w:p>
    <w:p w14:paraId="34EBF7E4"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21</w:t>
      </w:r>
      <w:r w:rsidR="00417FE1"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“Producer” means a person who owns leases, operat</w:t>
      </w:r>
      <w:r w:rsidR="00FA79D9" w:rsidRPr="00B61FF1">
        <w:rPr>
          <w:rFonts w:ascii="Arial" w:hAnsi="Arial" w:cs="Arial"/>
          <w:sz w:val="24"/>
          <w:szCs w:val="24"/>
        </w:rPr>
        <w:t xml:space="preserve">es, controls, </w:t>
      </w:r>
      <w:r w:rsidRPr="00B61FF1">
        <w:rPr>
          <w:rFonts w:ascii="Arial" w:hAnsi="Arial" w:cs="Arial"/>
          <w:sz w:val="24"/>
          <w:szCs w:val="24"/>
        </w:rPr>
        <w:t>or supervises a California production facility.</w:t>
      </w:r>
    </w:p>
    <w:p w14:paraId="5B91BC38" w14:textId="77777777" w:rsidR="00D126D6" w:rsidRPr="00B61FF1" w:rsidRDefault="00D126D6" w:rsidP="00AE2499">
      <w:pPr>
        <w:pStyle w:val="autonumbered0"/>
        <w:spacing w:before="0" w:beforeAutospacing="0" w:after="0" w:afterAutospacing="0" w:line="360" w:lineRule="auto"/>
        <w:ind w:left="1080" w:hanging="720"/>
        <w:rPr>
          <w:rFonts w:ascii="Arial" w:eastAsia="PMingLiU" w:hAnsi="Arial" w:cs="Arial"/>
        </w:rPr>
      </w:pPr>
      <w:r w:rsidRPr="00B61FF1">
        <w:rPr>
          <w:rFonts w:ascii="Arial" w:hAnsi="Arial" w:cs="Arial"/>
        </w:rPr>
        <w:t>(</w:t>
      </w:r>
      <w:r w:rsidR="00FA79D9" w:rsidRPr="00B61FF1">
        <w:rPr>
          <w:rFonts w:ascii="Arial" w:hAnsi="Arial" w:cs="Arial"/>
        </w:rPr>
        <w:t>21</w:t>
      </w:r>
      <w:r w:rsidR="00417FE1" w:rsidRPr="00B61FF1">
        <w:rPr>
          <w:rFonts w:ascii="Arial" w:hAnsi="Arial" w:cs="Arial"/>
        </w:rPr>
        <w:t>6</w:t>
      </w:r>
      <w:r w:rsidRPr="00B61FF1">
        <w:rPr>
          <w:rFonts w:ascii="Arial" w:hAnsi="Arial" w:cs="Arial"/>
        </w:rPr>
        <w:t>)</w:t>
      </w:r>
      <w:r w:rsidR="00CD4B45" w:rsidRPr="00B61FF1">
        <w:rPr>
          <w:rFonts w:ascii="Arial" w:hAnsi="Arial" w:cs="Arial"/>
        </w:rPr>
        <w:tab/>
      </w:r>
      <w:r w:rsidRPr="00B61FF1">
        <w:rPr>
          <w:rFonts w:ascii="Arial" w:hAnsi="Arial" w:cs="Arial"/>
        </w:rPr>
        <w:t xml:space="preserve">“Product </w:t>
      </w:r>
      <w:r w:rsidR="00D26033" w:rsidRPr="00B61FF1">
        <w:rPr>
          <w:rFonts w:ascii="Arial" w:hAnsi="Arial" w:cs="Arial"/>
        </w:rPr>
        <w:t>D</w:t>
      </w:r>
      <w:r w:rsidRPr="00B61FF1">
        <w:rPr>
          <w:rFonts w:ascii="Arial" w:hAnsi="Arial" w:cs="Arial"/>
        </w:rPr>
        <w:t xml:space="preserve">ata </w:t>
      </w:r>
      <w:r w:rsidR="00D26033" w:rsidRPr="00B61FF1">
        <w:rPr>
          <w:rFonts w:ascii="Arial" w:hAnsi="Arial" w:cs="Arial"/>
        </w:rPr>
        <w:t>V</w:t>
      </w:r>
      <w:r w:rsidRPr="00B61FF1">
        <w:rPr>
          <w:rFonts w:ascii="Arial" w:hAnsi="Arial" w:cs="Arial"/>
        </w:rPr>
        <w:t xml:space="preserve">erification </w:t>
      </w:r>
      <w:r w:rsidR="00D26033" w:rsidRPr="00B61FF1">
        <w:rPr>
          <w:rFonts w:ascii="Arial" w:hAnsi="Arial" w:cs="Arial"/>
        </w:rPr>
        <w:t>S</w:t>
      </w:r>
      <w:r w:rsidRPr="00B61FF1">
        <w:rPr>
          <w:rFonts w:ascii="Arial" w:hAnsi="Arial" w:cs="Arial"/>
        </w:rPr>
        <w:t>tatement” means the final statement rendered by a verification body attesting whether a reporting entity’s product data in their</w:t>
      </w:r>
      <w:r w:rsidR="00417FE1" w:rsidRPr="00B61FF1">
        <w:rPr>
          <w:rFonts w:ascii="Arial" w:hAnsi="Arial" w:cs="Arial"/>
        </w:rPr>
        <w:t xml:space="preserve"> covered</w:t>
      </w:r>
      <w:r w:rsidRPr="00B61FF1">
        <w:rPr>
          <w:rFonts w:ascii="Arial" w:hAnsi="Arial" w:cs="Arial"/>
        </w:rPr>
        <w:t xml:space="preserve"> emissions data report is free of material misstatement, and whether the product data conforms to the requirements of </w:t>
      </w:r>
      <w:r w:rsidR="00FD207A" w:rsidRPr="00B61FF1">
        <w:rPr>
          <w:rFonts w:ascii="Arial" w:hAnsi="Arial" w:cs="Arial"/>
        </w:rPr>
        <w:t>the MRR</w:t>
      </w:r>
      <w:r w:rsidRPr="00B61FF1">
        <w:rPr>
          <w:rFonts w:ascii="Arial" w:hAnsi="Arial" w:cs="Arial"/>
        </w:rPr>
        <w:t>.</w:t>
      </w:r>
      <w:r w:rsidR="00AE2499" w:rsidRPr="00B61FF1">
        <w:rPr>
          <w:rFonts w:ascii="Arial" w:eastAsia="PMingLiU" w:hAnsi="Arial" w:cs="Arial"/>
        </w:rPr>
        <w:t xml:space="preserve"> For purposes of this definition, ‘material misstatement’ shall have the same meaning as ascribed to it in section 95102(a) of MRR.</w:t>
      </w:r>
    </w:p>
    <w:p w14:paraId="00EE9ABF" w14:textId="77777777" w:rsidR="0054122B" w:rsidRPr="00B61FF1" w:rsidRDefault="0054122B" w:rsidP="005D1854">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FA79D9" w:rsidRPr="00B61FF1">
        <w:rPr>
          <w:rFonts w:ascii="Arial" w:hAnsi="Arial" w:cs="Arial"/>
          <w:sz w:val="24"/>
          <w:szCs w:val="24"/>
        </w:rPr>
        <w:t>21</w:t>
      </w:r>
      <w:r w:rsidR="00417FE1"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“Professional </w:t>
      </w:r>
      <w:r w:rsidR="00294F64" w:rsidRPr="00B61FF1">
        <w:rPr>
          <w:rFonts w:ascii="Arial" w:hAnsi="Arial" w:cs="Arial"/>
          <w:sz w:val="24"/>
          <w:szCs w:val="24"/>
        </w:rPr>
        <w:t>J</w:t>
      </w:r>
      <w:r w:rsidRPr="00B61FF1">
        <w:rPr>
          <w:rFonts w:ascii="Arial" w:hAnsi="Arial" w:cs="Arial"/>
          <w:sz w:val="24"/>
          <w:szCs w:val="24"/>
        </w:rPr>
        <w:t>udgment” means the ability to render sound decisions based on professional qualifications and relevant greenhouse gas accounting and auditing experience.</w:t>
      </w:r>
    </w:p>
    <w:p w14:paraId="5CB3422A"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21</w:t>
      </w:r>
      <w:r w:rsidR="00417FE1" w:rsidRPr="00B61FF1">
        <w:rPr>
          <w:rFonts w:ascii="Arial" w:hAnsi="Arial" w:cs="Arial"/>
          <w:sz w:val="24"/>
          <w:szCs w:val="24"/>
        </w:rPr>
        <w:t>8</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 xml:space="preserve">“Project </w:t>
      </w:r>
      <w:r w:rsidR="00294F64" w:rsidRPr="00B61FF1">
        <w:rPr>
          <w:rFonts w:ascii="Arial" w:hAnsi="Arial" w:cs="Arial"/>
          <w:sz w:val="24"/>
          <w:szCs w:val="24"/>
        </w:rPr>
        <w:t>B</w:t>
      </w:r>
      <w:r w:rsidRPr="00B61FF1">
        <w:rPr>
          <w:rFonts w:ascii="Arial" w:hAnsi="Arial" w:cs="Arial"/>
          <w:sz w:val="24"/>
          <w:szCs w:val="24"/>
        </w:rPr>
        <w:t>aseline” means, in the context of a specific offset project, a conservative estimate of business-as-usual GHG emission reductions or GHG removal enhancements for the offset project’s GHG emission sources, GHG sinks, or GHG reservoirs within the offset project boundary.</w:t>
      </w:r>
    </w:p>
    <w:p w14:paraId="63FE289D"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21</w:t>
      </w:r>
      <w:r w:rsidR="00417FE1"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“Project </w:t>
      </w:r>
      <w:r w:rsidR="00294F64" w:rsidRPr="00B61FF1">
        <w:rPr>
          <w:rFonts w:ascii="Arial" w:hAnsi="Arial" w:cs="Arial"/>
          <w:sz w:val="24"/>
          <w:szCs w:val="24"/>
        </w:rPr>
        <w:t>E</w:t>
      </w:r>
      <w:r w:rsidRPr="00B61FF1">
        <w:rPr>
          <w:rFonts w:ascii="Arial" w:hAnsi="Arial" w:cs="Arial"/>
          <w:sz w:val="24"/>
          <w:szCs w:val="24"/>
        </w:rPr>
        <w:t xml:space="preserve">missions” means any GHG emissions associated with the implementation of an offset project that must be accounted for in </w:t>
      </w:r>
      <w:r w:rsidRPr="00B61FF1">
        <w:rPr>
          <w:rFonts w:ascii="Arial" w:hAnsi="Arial" w:cs="Arial"/>
          <w:sz w:val="24"/>
          <w:szCs w:val="24"/>
          <w:lang w:eastAsia="ar-SA"/>
        </w:rPr>
        <w:t>the Offset Project Data Report.</w:t>
      </w:r>
    </w:p>
    <w:p w14:paraId="2868EECC"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17FE1" w:rsidRPr="00B61FF1">
        <w:rPr>
          <w:rFonts w:ascii="Arial" w:hAnsi="Arial" w:cs="Arial"/>
          <w:sz w:val="24"/>
          <w:szCs w:val="24"/>
        </w:rPr>
        <w:t>20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“Propane” is a paraffinic hydrocarbon with molecular formula C</w:t>
      </w:r>
      <w:r w:rsidRPr="00B61FF1">
        <w:rPr>
          <w:rFonts w:ascii="Arial" w:hAnsi="Arial" w:cs="Arial"/>
          <w:sz w:val="24"/>
          <w:szCs w:val="24"/>
          <w:vertAlign w:val="subscript"/>
        </w:rPr>
        <w:t>3</w:t>
      </w:r>
      <w:r w:rsidRPr="00B61FF1">
        <w:rPr>
          <w:rFonts w:ascii="Arial" w:hAnsi="Arial" w:cs="Arial"/>
          <w:sz w:val="24"/>
          <w:szCs w:val="24"/>
        </w:rPr>
        <w:t>H</w:t>
      </w:r>
      <w:r w:rsidRPr="00B61FF1">
        <w:rPr>
          <w:rFonts w:ascii="Arial" w:hAnsi="Arial" w:cs="Arial"/>
          <w:sz w:val="24"/>
          <w:szCs w:val="24"/>
          <w:vertAlign w:val="subscript"/>
        </w:rPr>
        <w:t>8</w:t>
      </w:r>
      <w:r w:rsidRPr="00B61FF1">
        <w:rPr>
          <w:rFonts w:ascii="Arial" w:hAnsi="Arial" w:cs="Arial"/>
          <w:sz w:val="24"/>
          <w:szCs w:val="24"/>
        </w:rPr>
        <w:t>.</w:t>
      </w:r>
    </w:p>
    <w:p w14:paraId="5C9DC0D4"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17FE1" w:rsidRPr="00B61FF1">
        <w:rPr>
          <w:rFonts w:ascii="Arial" w:hAnsi="Arial" w:cs="Arial"/>
          <w:sz w:val="24"/>
          <w:szCs w:val="24"/>
        </w:rPr>
        <w:t>21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“Property </w:t>
      </w:r>
      <w:r w:rsidR="00294F64" w:rsidRPr="00B61FF1">
        <w:rPr>
          <w:rFonts w:ascii="Arial" w:hAnsi="Arial" w:cs="Arial"/>
          <w:sz w:val="24"/>
          <w:szCs w:val="24"/>
        </w:rPr>
        <w:t>R</w:t>
      </w:r>
      <w:r w:rsidRPr="00B61FF1">
        <w:rPr>
          <w:rFonts w:ascii="Arial" w:hAnsi="Arial" w:cs="Arial"/>
          <w:sz w:val="24"/>
          <w:szCs w:val="24"/>
        </w:rPr>
        <w:t>ight” means any type of right to specific property whether it is personal or real property, tangible or intangible.</w:t>
      </w:r>
    </w:p>
    <w:p w14:paraId="6AD0B16E" w14:textId="79FED91F" w:rsidR="0067156E" w:rsidRPr="00B61FF1" w:rsidRDefault="0067156E" w:rsidP="00FF34D5">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“Public Service Facility” means a facility that is a covered entity or opt-in covered entity owned by a local government as defined in Government Code section 53720(a), excluding facilities owned or operated by an electrical distribution utility, that provides steam and chilled water solely to buildings and facilities owned by the local government, and may also provide electricity to its own facilities or for sale to an electrical distribution utility.</w:t>
      </w:r>
    </w:p>
    <w:p w14:paraId="2AFB721D"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22</w:t>
      </w:r>
      <w:r w:rsidR="00417FE1" w:rsidRPr="00B61FF1">
        <w:rPr>
          <w:rFonts w:ascii="Arial" w:hAnsi="Arial" w:cs="Arial"/>
          <w:sz w:val="24"/>
          <w:szCs w:val="24"/>
        </w:rPr>
        <w:t>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“Public </w:t>
      </w:r>
      <w:r w:rsidR="00294F64" w:rsidRPr="00B61FF1">
        <w:rPr>
          <w:rFonts w:ascii="Arial" w:hAnsi="Arial" w:cs="Arial"/>
          <w:sz w:val="24"/>
          <w:szCs w:val="24"/>
        </w:rPr>
        <w:t>U</w:t>
      </w:r>
      <w:r w:rsidRPr="00B61FF1">
        <w:rPr>
          <w:rFonts w:ascii="Arial" w:hAnsi="Arial" w:cs="Arial"/>
          <w:sz w:val="24"/>
          <w:szCs w:val="24"/>
        </w:rPr>
        <w:t xml:space="preserve">tility </w:t>
      </w:r>
      <w:r w:rsidR="00294F64" w:rsidRPr="00B61FF1">
        <w:rPr>
          <w:rFonts w:ascii="Arial" w:hAnsi="Arial" w:cs="Arial"/>
          <w:sz w:val="24"/>
          <w:szCs w:val="24"/>
        </w:rPr>
        <w:t>G</w:t>
      </w:r>
      <w:r w:rsidRPr="00B61FF1">
        <w:rPr>
          <w:rFonts w:ascii="Arial" w:hAnsi="Arial" w:cs="Arial"/>
          <w:sz w:val="24"/>
          <w:szCs w:val="24"/>
        </w:rPr>
        <w:t xml:space="preserve">as </w:t>
      </w:r>
      <w:r w:rsidR="00294F64" w:rsidRPr="00B61FF1">
        <w:rPr>
          <w:rFonts w:ascii="Arial" w:hAnsi="Arial" w:cs="Arial"/>
          <w:sz w:val="24"/>
          <w:szCs w:val="24"/>
        </w:rPr>
        <w:t>C</w:t>
      </w:r>
      <w:r w:rsidRPr="00B61FF1">
        <w:rPr>
          <w:rFonts w:ascii="Arial" w:hAnsi="Arial" w:cs="Arial"/>
          <w:sz w:val="24"/>
          <w:szCs w:val="24"/>
        </w:rPr>
        <w:t>orporation” is a gas corporation defined in California Public Utilities Code section 222 that is also a public utility as defined in California Public Utilities Code section 216.</w:t>
      </w:r>
    </w:p>
    <w:p w14:paraId="0B5587FF" w14:textId="77777777" w:rsidR="0054122B" w:rsidRPr="00B61FF1" w:rsidRDefault="0054122B" w:rsidP="00FF34D5">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22</w:t>
      </w:r>
      <w:r w:rsidR="00417FE1"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“Publicly </w:t>
      </w:r>
      <w:r w:rsidR="00294F64" w:rsidRPr="00B61FF1">
        <w:rPr>
          <w:rFonts w:ascii="Arial" w:hAnsi="Arial" w:cs="Arial"/>
          <w:sz w:val="24"/>
          <w:szCs w:val="24"/>
        </w:rPr>
        <w:t>O</w:t>
      </w:r>
      <w:r w:rsidRPr="00B61FF1">
        <w:rPr>
          <w:rFonts w:ascii="Arial" w:hAnsi="Arial" w:cs="Arial"/>
          <w:sz w:val="24"/>
          <w:szCs w:val="24"/>
        </w:rPr>
        <w:t xml:space="preserve">wned </w:t>
      </w:r>
      <w:r w:rsidR="00294F64" w:rsidRPr="00B61FF1">
        <w:rPr>
          <w:rFonts w:ascii="Arial" w:hAnsi="Arial" w:cs="Arial"/>
          <w:sz w:val="24"/>
          <w:szCs w:val="24"/>
        </w:rPr>
        <w:t>N</w:t>
      </w:r>
      <w:r w:rsidRPr="00B61FF1">
        <w:rPr>
          <w:rFonts w:ascii="Arial" w:hAnsi="Arial" w:cs="Arial"/>
          <w:sz w:val="24"/>
          <w:szCs w:val="24"/>
        </w:rPr>
        <w:t xml:space="preserve">atural </w:t>
      </w:r>
      <w:r w:rsidR="00294F64" w:rsidRPr="00B61FF1">
        <w:rPr>
          <w:rFonts w:ascii="Arial" w:hAnsi="Arial" w:cs="Arial"/>
          <w:sz w:val="24"/>
          <w:szCs w:val="24"/>
        </w:rPr>
        <w:t>G</w:t>
      </w:r>
      <w:r w:rsidRPr="00B61FF1">
        <w:rPr>
          <w:rFonts w:ascii="Arial" w:hAnsi="Arial" w:cs="Arial"/>
          <w:sz w:val="24"/>
          <w:szCs w:val="24"/>
        </w:rPr>
        <w:t xml:space="preserve">as </w:t>
      </w:r>
      <w:r w:rsidR="00294F64" w:rsidRPr="00B61FF1">
        <w:rPr>
          <w:rFonts w:ascii="Arial" w:hAnsi="Arial" w:cs="Arial"/>
          <w:sz w:val="24"/>
          <w:szCs w:val="24"/>
        </w:rPr>
        <w:t>U</w:t>
      </w:r>
      <w:r w:rsidRPr="00B61FF1">
        <w:rPr>
          <w:rFonts w:ascii="Arial" w:hAnsi="Arial" w:cs="Arial"/>
          <w:sz w:val="24"/>
          <w:szCs w:val="24"/>
        </w:rPr>
        <w:t>tility” means a municipality or municipal corporation, a municipal utility district, a public utility district, or a joint powers authority that includes one or more of these agencies that furnishes natural gas services to end users.</w:t>
      </w:r>
    </w:p>
    <w:p w14:paraId="6B4F03B9"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22</w:t>
      </w:r>
      <w:r w:rsidR="00417FE1"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“Purchase </w:t>
      </w:r>
      <w:r w:rsidR="00294F64" w:rsidRPr="00B61FF1">
        <w:rPr>
          <w:rFonts w:ascii="Arial" w:hAnsi="Arial" w:cs="Arial"/>
          <w:sz w:val="24"/>
          <w:szCs w:val="24"/>
        </w:rPr>
        <w:t>L</w:t>
      </w:r>
      <w:r w:rsidRPr="00B61FF1">
        <w:rPr>
          <w:rFonts w:ascii="Arial" w:hAnsi="Arial" w:cs="Arial"/>
          <w:sz w:val="24"/>
          <w:szCs w:val="24"/>
        </w:rPr>
        <w:t>imit” means the maximum percentage of allowances that may be purchased by an entity of a group of affiliated entities at an allowance auction.</w:t>
      </w:r>
    </w:p>
    <w:p w14:paraId="514EB1FD"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22</w:t>
      </w:r>
      <w:r w:rsidR="00417FE1"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“Purchasing-</w:t>
      </w:r>
      <w:r w:rsidR="00294F64" w:rsidRPr="00B61FF1">
        <w:rPr>
          <w:rFonts w:ascii="Arial" w:hAnsi="Arial" w:cs="Arial"/>
          <w:sz w:val="24"/>
          <w:szCs w:val="24"/>
        </w:rPr>
        <w:t>S</w:t>
      </w:r>
      <w:r w:rsidRPr="00B61FF1">
        <w:rPr>
          <w:rFonts w:ascii="Arial" w:hAnsi="Arial" w:cs="Arial"/>
          <w:sz w:val="24"/>
          <w:szCs w:val="24"/>
        </w:rPr>
        <w:t xml:space="preserve">elling </w:t>
      </w:r>
      <w:r w:rsidR="00294F64" w:rsidRPr="00B61FF1">
        <w:rPr>
          <w:rFonts w:ascii="Arial" w:hAnsi="Arial" w:cs="Arial"/>
          <w:sz w:val="24"/>
          <w:szCs w:val="24"/>
        </w:rPr>
        <w:t>E</w:t>
      </w:r>
      <w:r w:rsidRPr="00B61FF1">
        <w:rPr>
          <w:rFonts w:ascii="Arial" w:hAnsi="Arial" w:cs="Arial"/>
          <w:sz w:val="24"/>
          <w:szCs w:val="24"/>
        </w:rPr>
        <w:t xml:space="preserve">ntity” or “PSE” </w:t>
      </w:r>
      <w:r w:rsidR="00734726" w:rsidRPr="00B61FF1">
        <w:rPr>
          <w:rFonts w:ascii="Arial" w:hAnsi="Arial" w:cs="Arial"/>
          <w:sz w:val="24"/>
          <w:szCs w:val="24"/>
        </w:rPr>
        <w:t xml:space="preserve">means the </w:t>
      </w:r>
      <w:r w:rsidR="00FA6844" w:rsidRPr="00B61FF1">
        <w:rPr>
          <w:rFonts w:ascii="Arial" w:hAnsi="Arial" w:cs="Arial"/>
          <w:sz w:val="24"/>
          <w:szCs w:val="24"/>
        </w:rPr>
        <w:t xml:space="preserve">same meaning </w:t>
      </w:r>
      <w:r w:rsidR="002B70ED" w:rsidRPr="00B61FF1">
        <w:rPr>
          <w:rFonts w:ascii="Arial" w:hAnsi="Arial" w:cs="Arial"/>
          <w:sz w:val="24"/>
          <w:szCs w:val="24"/>
        </w:rPr>
        <w:t xml:space="preserve">as </w:t>
      </w:r>
      <w:r w:rsidR="00FA6844" w:rsidRPr="00B61FF1">
        <w:rPr>
          <w:rFonts w:ascii="Arial" w:hAnsi="Arial" w:cs="Arial"/>
          <w:sz w:val="24"/>
          <w:szCs w:val="24"/>
        </w:rPr>
        <w:t xml:space="preserve">ascribed in MRR. </w:t>
      </w:r>
    </w:p>
    <w:p w14:paraId="530F1266" w14:textId="22582D77" w:rsidR="00734726" w:rsidRPr="00B61FF1" w:rsidRDefault="0054122B" w:rsidP="00734726">
      <w:pPr>
        <w:tabs>
          <w:tab w:val="left" w:pos="1170"/>
          <w:tab w:val="left" w:pos="1260"/>
          <w:tab w:val="left" w:pos="3780"/>
        </w:tabs>
        <w:spacing w:line="360" w:lineRule="auto"/>
        <w:ind w:left="1080" w:hanging="720"/>
        <w:rPr>
          <w:rFonts w:ascii="Arial" w:hAnsi="Arial" w:cs="Arial"/>
          <w:sz w:val="24"/>
          <w:szCs w:val="24"/>
        </w:rPr>
      </w:pPr>
      <w:r w:rsidRPr="00B61FF1">
        <w:rPr>
          <w:rFonts w:ascii="Arial" w:eastAsia="Calibri" w:hAnsi="Arial" w:cs="Arial"/>
          <w:sz w:val="24"/>
          <w:szCs w:val="24"/>
        </w:rPr>
        <w:t>(</w:t>
      </w:r>
      <w:r w:rsidR="001D745B" w:rsidRPr="00B61FF1">
        <w:rPr>
          <w:rFonts w:ascii="Arial" w:hAnsi="Arial" w:cs="Arial"/>
          <w:sz w:val="24"/>
          <w:szCs w:val="24"/>
        </w:rPr>
        <w:t>22</w:t>
      </w:r>
      <w:r w:rsidR="00417FE1" w:rsidRPr="00B61FF1">
        <w:rPr>
          <w:rFonts w:ascii="Arial" w:hAnsi="Arial" w:cs="Arial"/>
          <w:sz w:val="24"/>
          <w:szCs w:val="24"/>
        </w:rPr>
        <w:t>6</w:t>
      </w:r>
      <w:r w:rsidRPr="00B61FF1">
        <w:rPr>
          <w:rFonts w:ascii="Arial" w:eastAsia="Calibri" w:hAnsi="Arial" w:cs="Arial"/>
          <w:sz w:val="24"/>
          <w:szCs w:val="24"/>
        </w:rPr>
        <w:t>)</w:t>
      </w:r>
      <w:r w:rsidR="00CD4B45" w:rsidRPr="00B61FF1">
        <w:rPr>
          <w:rFonts w:ascii="Arial" w:eastAsia="Calibri" w:hAnsi="Arial" w:cs="Arial"/>
          <w:sz w:val="24"/>
          <w:szCs w:val="24"/>
        </w:rPr>
        <w:tab/>
      </w:r>
      <w:r w:rsidRPr="00B61FF1">
        <w:rPr>
          <w:rFonts w:ascii="Arial" w:eastAsia="Calibri" w:hAnsi="Arial" w:cs="Arial"/>
          <w:sz w:val="24"/>
          <w:szCs w:val="24"/>
        </w:rPr>
        <w:t xml:space="preserve">“Qualified Export” </w:t>
      </w:r>
      <w:r w:rsidR="00734726" w:rsidRPr="00B61FF1">
        <w:rPr>
          <w:rFonts w:ascii="Arial" w:hAnsi="Arial" w:cs="Arial"/>
          <w:sz w:val="24"/>
          <w:szCs w:val="24"/>
        </w:rPr>
        <w:t xml:space="preserve">means electricity that is exported in the same hour as imported electricity and documented by NERC E-tags. </w:t>
      </w:r>
      <w:r w:rsidR="007945FB" w:rsidRPr="00B61FF1">
        <w:rPr>
          <w:rFonts w:ascii="Arial" w:hAnsi="Arial" w:cs="Arial"/>
          <w:sz w:val="24"/>
          <w:szCs w:val="24"/>
        </w:rPr>
        <w:t xml:space="preserve">When imports are not documented on NERC E-tags, because a facility or unit located outside the state of California has a first point of interconnection with a California balancing authority area, the reporting entity may demonstrate hourly </w:t>
      </w:r>
      <w:r w:rsidR="00AE5C67" w:rsidRPr="00B61FF1">
        <w:rPr>
          <w:rFonts w:ascii="Arial" w:hAnsi="Arial" w:cs="Arial"/>
          <w:strike/>
          <w:sz w:val="24"/>
          <w:szCs w:val="24"/>
        </w:rPr>
        <w:t>electriticy</w:t>
      </w:r>
      <w:r w:rsidR="00AE5C67" w:rsidRPr="00B61FF1">
        <w:rPr>
          <w:rFonts w:ascii="Arial" w:hAnsi="Arial" w:cs="Arial"/>
          <w:sz w:val="24"/>
          <w:szCs w:val="24"/>
          <w:u w:val="single"/>
        </w:rPr>
        <w:t>electricity</w:t>
      </w:r>
      <w:r w:rsidR="00AE5C67" w:rsidRPr="00B61FF1">
        <w:rPr>
          <w:rFonts w:ascii="Arial" w:hAnsi="Arial" w:cs="Arial"/>
          <w:sz w:val="24"/>
          <w:szCs w:val="24"/>
        </w:rPr>
        <w:t xml:space="preserve"> </w:t>
      </w:r>
      <w:r w:rsidR="007945FB" w:rsidRPr="00B61FF1">
        <w:rPr>
          <w:rFonts w:ascii="Arial" w:hAnsi="Arial" w:cs="Arial"/>
          <w:sz w:val="24"/>
          <w:szCs w:val="24"/>
        </w:rPr>
        <w:t xml:space="preserve">delivery consistent with the record keeping requirements of the California balancing authority area, including records of revenue quality meter data, invoices, or settlements data. </w:t>
      </w:r>
      <w:r w:rsidR="00734726" w:rsidRPr="00B61FF1">
        <w:rPr>
          <w:rFonts w:ascii="Arial" w:hAnsi="Arial" w:cs="Arial"/>
          <w:sz w:val="24"/>
          <w:szCs w:val="24"/>
        </w:rPr>
        <w:t>Only electricity exported within the same hour and by the same importer as the imported electricity is a qualified export. It is not necessary for the imported and exported electricity</w:t>
      </w:r>
      <w:r w:rsidR="007945FB" w:rsidRPr="00B61FF1">
        <w:rPr>
          <w:rFonts w:ascii="Arial" w:hAnsi="Arial" w:cs="Arial"/>
          <w:sz w:val="24"/>
          <w:szCs w:val="24"/>
        </w:rPr>
        <w:t xml:space="preserve"> (as defined in the MRR)</w:t>
      </w:r>
      <w:r w:rsidR="00734726" w:rsidRPr="00B61FF1">
        <w:rPr>
          <w:rFonts w:ascii="Arial" w:hAnsi="Arial" w:cs="Arial"/>
          <w:sz w:val="24"/>
          <w:szCs w:val="24"/>
        </w:rPr>
        <w:t xml:space="preserve"> to enter or leave California at the same intertie. </w:t>
      </w:r>
      <w:r w:rsidR="00942A88" w:rsidRPr="00B61FF1">
        <w:rPr>
          <w:rFonts w:ascii="Arial" w:hAnsi="Arial" w:cs="Arial"/>
          <w:sz w:val="24"/>
          <w:szCs w:val="24"/>
        </w:rPr>
        <w:t xml:space="preserve"> </w:t>
      </w:r>
      <w:r w:rsidR="00734726" w:rsidRPr="00B61FF1">
        <w:rPr>
          <w:rFonts w:ascii="Arial" w:hAnsi="Arial" w:cs="Arial"/>
          <w:sz w:val="24"/>
          <w:szCs w:val="24"/>
        </w:rPr>
        <w:t>Qualified exports shall not result in a negative compliance obligation for any hour.</w:t>
      </w:r>
    </w:p>
    <w:p w14:paraId="0441A495" w14:textId="7F45940C"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22</w:t>
      </w:r>
      <w:r w:rsidR="00417FE1"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“Qualified Positive Offset Verification Statement” means an Offset Verification Statement rendered by a verification body attesting that the verification body can say with reasonable assurance that the submitted Offset Project Data Report is free of an offset material misstatement, but the Offset Project Data Report may include one or more nonconformance(s) with the quantification, monitoring, or metering requirements of this article and applicable Compliance Offset Protocol which do not result in an offset material misstatement.</w:t>
      </w:r>
      <w:r w:rsidR="00AE5C67" w:rsidRPr="00B61FF1">
        <w:rPr>
          <w:rFonts w:ascii="Arial" w:hAnsi="Arial" w:cs="Arial"/>
          <w:sz w:val="24"/>
          <w:szCs w:val="24"/>
          <w:u w:val="single"/>
        </w:rPr>
        <w:t xml:space="preserve"> Non-conformance</w:t>
      </w:r>
      <w:r w:rsidR="00054959" w:rsidRPr="00B61FF1">
        <w:rPr>
          <w:rFonts w:ascii="Arial" w:hAnsi="Arial" w:cs="Arial"/>
          <w:sz w:val="24"/>
          <w:szCs w:val="24"/>
          <w:u w:val="single"/>
        </w:rPr>
        <w:t>,</w:t>
      </w:r>
      <w:r w:rsidR="00AE5C67" w:rsidRPr="00B61FF1">
        <w:rPr>
          <w:rFonts w:ascii="Arial" w:hAnsi="Arial" w:cs="Arial"/>
          <w:sz w:val="24"/>
          <w:szCs w:val="24"/>
          <w:u w:val="single"/>
        </w:rPr>
        <w:t xml:space="preserve"> in this context</w:t>
      </w:r>
      <w:r w:rsidR="00054959" w:rsidRPr="00B61FF1">
        <w:rPr>
          <w:rFonts w:ascii="Arial" w:hAnsi="Arial" w:cs="Arial"/>
          <w:sz w:val="24"/>
          <w:szCs w:val="24"/>
          <w:u w:val="single"/>
        </w:rPr>
        <w:t>,</w:t>
      </w:r>
      <w:r w:rsidR="00AE5C67" w:rsidRPr="00B61FF1">
        <w:rPr>
          <w:rFonts w:ascii="Arial" w:hAnsi="Arial" w:cs="Arial"/>
          <w:sz w:val="24"/>
          <w:szCs w:val="24"/>
          <w:u w:val="single"/>
        </w:rPr>
        <w:t xml:space="preserve"> does not include disregarding the explicit requirements of this article or applicable Compliance Offset Protocol</w:t>
      </w:r>
      <w:r w:rsidR="00B328A2">
        <w:rPr>
          <w:rFonts w:ascii="Arial" w:hAnsi="Arial" w:cs="Arial"/>
          <w:sz w:val="24"/>
          <w:szCs w:val="24"/>
          <w:u w:val="single"/>
        </w:rPr>
        <w:t xml:space="preserve"> and substituting alternative requirements not approved by the Board</w:t>
      </w:r>
      <w:r w:rsidR="00AE5C67" w:rsidRPr="00B61FF1">
        <w:rPr>
          <w:rFonts w:ascii="Arial" w:hAnsi="Arial" w:cs="Arial"/>
          <w:sz w:val="24"/>
          <w:szCs w:val="24"/>
          <w:u w:val="single"/>
        </w:rPr>
        <w:t>.</w:t>
      </w:r>
    </w:p>
    <w:p w14:paraId="65538D37" w14:textId="77777777" w:rsidR="005E29A9" w:rsidRPr="00B61FF1" w:rsidRDefault="0054122B" w:rsidP="00483366">
      <w:pPr>
        <w:pStyle w:val="autonumbered0"/>
        <w:spacing w:before="0" w:beforeAutospacing="0" w:after="0" w:afterAutospacing="0" w:line="360" w:lineRule="auto"/>
        <w:ind w:left="1080" w:hanging="720"/>
        <w:rPr>
          <w:rFonts w:ascii="Arial" w:hAnsi="Arial" w:cs="Arial"/>
        </w:rPr>
      </w:pPr>
      <w:r w:rsidRPr="00B61FF1">
        <w:rPr>
          <w:rFonts w:ascii="Arial" w:hAnsi="Arial" w:cs="Arial"/>
        </w:rPr>
        <w:t>(</w:t>
      </w:r>
      <w:r w:rsidR="001D745B" w:rsidRPr="00B61FF1">
        <w:rPr>
          <w:rFonts w:ascii="Arial" w:hAnsi="Arial" w:cs="Arial"/>
        </w:rPr>
        <w:t>22</w:t>
      </w:r>
      <w:r w:rsidR="00417FE1" w:rsidRPr="00B61FF1">
        <w:rPr>
          <w:rFonts w:ascii="Arial" w:hAnsi="Arial" w:cs="Arial"/>
        </w:rPr>
        <w:t>8</w:t>
      </w:r>
      <w:r w:rsidR="005D1854" w:rsidRPr="00B61FF1">
        <w:rPr>
          <w:rFonts w:ascii="Arial" w:hAnsi="Arial" w:cs="Arial"/>
        </w:rPr>
        <w:t xml:space="preserve">) </w:t>
      </w:r>
      <w:r w:rsidR="00CD4B45" w:rsidRPr="00B61FF1">
        <w:rPr>
          <w:rFonts w:ascii="Arial" w:hAnsi="Arial" w:cs="Arial"/>
        </w:rPr>
        <w:tab/>
      </w:r>
      <w:r w:rsidR="005E29A9" w:rsidRPr="00B61FF1">
        <w:rPr>
          <w:rFonts w:ascii="Arial" w:hAnsi="Arial" w:cs="Arial"/>
        </w:rPr>
        <w:t xml:space="preserve">“Qualified </w:t>
      </w:r>
      <w:r w:rsidR="00294F64" w:rsidRPr="00B61FF1">
        <w:rPr>
          <w:rFonts w:ascii="Arial" w:hAnsi="Arial" w:cs="Arial"/>
        </w:rPr>
        <w:t>P</w:t>
      </w:r>
      <w:r w:rsidR="005E29A9" w:rsidRPr="00B61FF1">
        <w:rPr>
          <w:rFonts w:ascii="Arial" w:hAnsi="Arial" w:cs="Arial"/>
        </w:rPr>
        <w:t xml:space="preserve">ositive </w:t>
      </w:r>
      <w:r w:rsidR="00294F64" w:rsidRPr="00B61FF1">
        <w:rPr>
          <w:rFonts w:ascii="Arial" w:hAnsi="Arial" w:cs="Arial"/>
        </w:rPr>
        <w:t>E</w:t>
      </w:r>
      <w:r w:rsidR="005E29A9" w:rsidRPr="00B61FF1">
        <w:rPr>
          <w:rFonts w:ascii="Arial" w:hAnsi="Arial" w:cs="Arial"/>
        </w:rPr>
        <w:t xml:space="preserve">missions </w:t>
      </w:r>
      <w:r w:rsidR="00294F64" w:rsidRPr="00B61FF1">
        <w:rPr>
          <w:rFonts w:ascii="Arial" w:hAnsi="Arial" w:cs="Arial"/>
        </w:rPr>
        <w:t>D</w:t>
      </w:r>
      <w:r w:rsidR="005E29A9" w:rsidRPr="00B61FF1">
        <w:rPr>
          <w:rFonts w:ascii="Arial" w:hAnsi="Arial" w:cs="Arial"/>
        </w:rPr>
        <w:t xml:space="preserve">ata </w:t>
      </w:r>
      <w:r w:rsidR="00294F64" w:rsidRPr="00B61FF1">
        <w:rPr>
          <w:rFonts w:ascii="Arial" w:hAnsi="Arial" w:cs="Arial"/>
        </w:rPr>
        <w:t>V</w:t>
      </w:r>
      <w:r w:rsidR="005E29A9" w:rsidRPr="00B61FF1">
        <w:rPr>
          <w:rFonts w:ascii="Arial" w:hAnsi="Arial" w:cs="Arial"/>
        </w:rPr>
        <w:t xml:space="preserve">erification </w:t>
      </w:r>
      <w:r w:rsidR="00294F64" w:rsidRPr="00B61FF1">
        <w:rPr>
          <w:rFonts w:ascii="Arial" w:hAnsi="Arial" w:cs="Arial"/>
        </w:rPr>
        <w:t>S</w:t>
      </w:r>
      <w:r w:rsidR="005E29A9" w:rsidRPr="00B61FF1">
        <w:rPr>
          <w:rFonts w:ascii="Arial" w:hAnsi="Arial" w:cs="Arial"/>
        </w:rPr>
        <w:t>tatement” means a statement rendered by a verification body attesting that the verification body can say with reasonable assurance that the</w:t>
      </w:r>
      <w:r w:rsidR="00417FE1" w:rsidRPr="00B61FF1">
        <w:rPr>
          <w:rFonts w:ascii="Arial" w:hAnsi="Arial" w:cs="Arial"/>
        </w:rPr>
        <w:t xml:space="preserve"> covered</w:t>
      </w:r>
      <w:r w:rsidR="005E29A9" w:rsidRPr="00B61FF1">
        <w:rPr>
          <w:rFonts w:ascii="Arial" w:hAnsi="Arial" w:cs="Arial"/>
        </w:rPr>
        <w:t xml:space="preserve"> emissions data in the submitted emissions data report is free of material </w:t>
      </w:r>
      <w:r w:rsidR="005E29A9" w:rsidRPr="00B61FF1">
        <w:rPr>
          <w:rFonts w:ascii="Arial" w:hAnsi="Arial" w:cs="Arial"/>
        </w:rPr>
        <w:lastRenderedPageBreak/>
        <w:t>misstatement</w:t>
      </w:r>
      <w:r w:rsidR="00417FE1" w:rsidRPr="00B61FF1">
        <w:rPr>
          <w:rFonts w:ascii="Arial" w:hAnsi="Arial" w:cs="Arial"/>
        </w:rPr>
        <w:t xml:space="preserve"> and is in conformance with section 95131(b)(9) of MRR</w:t>
      </w:r>
      <w:r w:rsidR="005E29A9" w:rsidRPr="00B61FF1">
        <w:rPr>
          <w:rFonts w:ascii="Arial" w:hAnsi="Arial" w:cs="Arial"/>
        </w:rPr>
        <w:t>, but the emissions data may include one or more</w:t>
      </w:r>
      <w:r w:rsidR="00417FE1" w:rsidRPr="00B61FF1">
        <w:rPr>
          <w:rFonts w:ascii="Arial" w:hAnsi="Arial" w:cs="Arial"/>
        </w:rPr>
        <w:t xml:space="preserve"> other</w:t>
      </w:r>
      <w:r w:rsidR="005E29A9" w:rsidRPr="00B61FF1">
        <w:rPr>
          <w:rFonts w:ascii="Arial" w:hAnsi="Arial" w:cs="Arial"/>
        </w:rPr>
        <w:t xml:space="preserve"> nonconformance(s) with requirements of </w:t>
      </w:r>
      <w:r w:rsidR="00996042" w:rsidRPr="00B61FF1">
        <w:rPr>
          <w:rFonts w:ascii="Arial" w:hAnsi="Arial" w:cs="Arial"/>
        </w:rPr>
        <w:t>MRR</w:t>
      </w:r>
      <w:r w:rsidR="005E29A9" w:rsidRPr="00B61FF1">
        <w:rPr>
          <w:rFonts w:ascii="Arial" w:hAnsi="Arial" w:cs="Arial"/>
        </w:rPr>
        <w:t xml:space="preserve"> which do not result in a material misstatement.</w:t>
      </w:r>
      <w:r w:rsidR="00EB7E04" w:rsidRPr="00B61FF1">
        <w:rPr>
          <w:rFonts w:ascii="Arial" w:hAnsi="Arial" w:cs="Arial"/>
        </w:rPr>
        <w:t xml:space="preserve"> </w:t>
      </w:r>
      <w:r w:rsidR="00EB7E04" w:rsidRPr="00B61FF1">
        <w:rPr>
          <w:rFonts w:ascii="Arial" w:eastAsia="PMingLiU" w:hAnsi="Arial" w:cs="Arial"/>
        </w:rPr>
        <w:t>For purposes of this definition, ‘material misstatement’ shall have the same meaning as ascribed to it in section 95102(a) of MRR.</w:t>
      </w:r>
    </w:p>
    <w:p w14:paraId="515D73CF" w14:textId="77777777" w:rsidR="005E29A9" w:rsidRPr="00B61FF1" w:rsidRDefault="005D1854" w:rsidP="00483366">
      <w:pPr>
        <w:pStyle w:val="autonumbered0"/>
        <w:spacing w:before="0" w:beforeAutospacing="0" w:after="0" w:afterAutospacing="0" w:line="360" w:lineRule="auto"/>
        <w:ind w:left="1080" w:hanging="720"/>
        <w:rPr>
          <w:rFonts w:ascii="Arial" w:eastAsia="PMingLiU" w:hAnsi="Arial" w:cs="Arial"/>
        </w:rPr>
      </w:pPr>
      <w:r w:rsidRPr="00B61FF1">
        <w:rPr>
          <w:rFonts w:ascii="Arial" w:hAnsi="Arial" w:cs="Arial"/>
        </w:rPr>
        <w:t>(</w:t>
      </w:r>
      <w:r w:rsidR="00250491" w:rsidRPr="00B61FF1">
        <w:rPr>
          <w:rFonts w:ascii="Arial" w:hAnsi="Arial" w:cs="Arial"/>
        </w:rPr>
        <w:t>2</w:t>
      </w:r>
      <w:r w:rsidR="001D745B" w:rsidRPr="00B61FF1">
        <w:rPr>
          <w:rFonts w:ascii="Arial" w:hAnsi="Arial" w:cs="Arial"/>
        </w:rPr>
        <w:t>2</w:t>
      </w:r>
      <w:r w:rsidR="00483366" w:rsidRPr="00B61FF1">
        <w:rPr>
          <w:rFonts w:ascii="Arial" w:hAnsi="Arial" w:cs="Arial"/>
        </w:rPr>
        <w:t>9</w:t>
      </w:r>
      <w:r w:rsidRPr="00B61FF1">
        <w:rPr>
          <w:rFonts w:ascii="Arial" w:hAnsi="Arial" w:cs="Arial"/>
        </w:rPr>
        <w:t xml:space="preserve">) </w:t>
      </w:r>
      <w:r w:rsidR="00CD4B45" w:rsidRPr="00B61FF1">
        <w:rPr>
          <w:rFonts w:ascii="Arial" w:hAnsi="Arial" w:cs="Arial"/>
        </w:rPr>
        <w:tab/>
      </w:r>
      <w:r w:rsidR="005E29A9" w:rsidRPr="00B61FF1">
        <w:rPr>
          <w:rFonts w:ascii="Arial" w:hAnsi="Arial" w:cs="Arial"/>
        </w:rPr>
        <w:t xml:space="preserve">“Qualified </w:t>
      </w:r>
      <w:r w:rsidR="00294F64" w:rsidRPr="00B61FF1">
        <w:rPr>
          <w:rFonts w:ascii="Arial" w:hAnsi="Arial" w:cs="Arial"/>
        </w:rPr>
        <w:t>P</w:t>
      </w:r>
      <w:r w:rsidR="005E29A9" w:rsidRPr="00B61FF1">
        <w:rPr>
          <w:rFonts w:ascii="Arial" w:hAnsi="Arial" w:cs="Arial"/>
        </w:rPr>
        <w:t xml:space="preserve">ositive </w:t>
      </w:r>
      <w:r w:rsidR="00294F64" w:rsidRPr="00B61FF1">
        <w:rPr>
          <w:rFonts w:ascii="Arial" w:hAnsi="Arial" w:cs="Arial"/>
        </w:rPr>
        <w:t>P</w:t>
      </w:r>
      <w:r w:rsidR="005E29A9" w:rsidRPr="00B61FF1">
        <w:rPr>
          <w:rFonts w:ascii="Arial" w:hAnsi="Arial" w:cs="Arial"/>
        </w:rPr>
        <w:t xml:space="preserve">roduct </w:t>
      </w:r>
      <w:r w:rsidR="00294F64" w:rsidRPr="00B61FF1">
        <w:rPr>
          <w:rFonts w:ascii="Arial" w:hAnsi="Arial" w:cs="Arial"/>
        </w:rPr>
        <w:t>D</w:t>
      </w:r>
      <w:r w:rsidR="005E29A9" w:rsidRPr="00B61FF1">
        <w:rPr>
          <w:rFonts w:ascii="Arial" w:hAnsi="Arial" w:cs="Arial"/>
        </w:rPr>
        <w:t xml:space="preserve">ata </w:t>
      </w:r>
      <w:r w:rsidR="00294F64" w:rsidRPr="00B61FF1">
        <w:rPr>
          <w:rFonts w:ascii="Arial" w:hAnsi="Arial" w:cs="Arial"/>
        </w:rPr>
        <w:t>V</w:t>
      </w:r>
      <w:r w:rsidR="005E29A9" w:rsidRPr="00B61FF1">
        <w:rPr>
          <w:rFonts w:ascii="Arial" w:hAnsi="Arial" w:cs="Arial"/>
        </w:rPr>
        <w:t xml:space="preserve">erification </w:t>
      </w:r>
      <w:r w:rsidR="00294F64" w:rsidRPr="00B61FF1">
        <w:rPr>
          <w:rFonts w:ascii="Arial" w:hAnsi="Arial" w:cs="Arial"/>
        </w:rPr>
        <w:t>S</w:t>
      </w:r>
      <w:r w:rsidR="005E29A9" w:rsidRPr="00B61FF1">
        <w:rPr>
          <w:rFonts w:ascii="Arial" w:hAnsi="Arial" w:cs="Arial"/>
        </w:rPr>
        <w:t>tatement” means a statement rendered by a verification body attesting that the verification body can say with reasonable assurance that the</w:t>
      </w:r>
      <w:r w:rsidR="00483366" w:rsidRPr="00B61FF1">
        <w:rPr>
          <w:rFonts w:ascii="Arial" w:hAnsi="Arial" w:cs="Arial"/>
        </w:rPr>
        <w:t xml:space="preserve"> covered</w:t>
      </w:r>
      <w:r w:rsidR="005E29A9" w:rsidRPr="00B61FF1">
        <w:rPr>
          <w:rFonts w:ascii="Arial" w:hAnsi="Arial" w:cs="Arial"/>
        </w:rPr>
        <w:t xml:space="preserve"> product data in the submitted emissions data report is free of material misstatement</w:t>
      </w:r>
      <w:r w:rsidR="00483366" w:rsidRPr="00B61FF1">
        <w:rPr>
          <w:rFonts w:ascii="Arial" w:hAnsi="Arial" w:cs="Arial"/>
        </w:rPr>
        <w:t xml:space="preserve"> and is in conformance with section 95131(b)(9) of MRR</w:t>
      </w:r>
      <w:r w:rsidR="005E29A9" w:rsidRPr="00B61FF1">
        <w:rPr>
          <w:rFonts w:ascii="Arial" w:hAnsi="Arial" w:cs="Arial"/>
        </w:rPr>
        <w:t xml:space="preserve">, but the product data may include one or more </w:t>
      </w:r>
      <w:r w:rsidR="00483366" w:rsidRPr="00B61FF1">
        <w:rPr>
          <w:rFonts w:ascii="Arial" w:hAnsi="Arial" w:cs="Arial"/>
        </w:rPr>
        <w:t xml:space="preserve">other </w:t>
      </w:r>
      <w:r w:rsidR="005E29A9" w:rsidRPr="00B61FF1">
        <w:rPr>
          <w:rFonts w:ascii="Arial" w:hAnsi="Arial" w:cs="Arial"/>
        </w:rPr>
        <w:t xml:space="preserve">nonconformance(s) with the requirements of </w:t>
      </w:r>
      <w:r w:rsidR="00996042" w:rsidRPr="00B61FF1">
        <w:rPr>
          <w:rFonts w:ascii="Arial" w:hAnsi="Arial" w:cs="Arial"/>
        </w:rPr>
        <w:t>MRR</w:t>
      </w:r>
      <w:r w:rsidR="005E29A9" w:rsidRPr="00B61FF1">
        <w:rPr>
          <w:rFonts w:ascii="Arial" w:hAnsi="Arial" w:cs="Arial"/>
        </w:rPr>
        <w:t xml:space="preserve"> which do not result in a material misstatement.</w:t>
      </w:r>
      <w:r w:rsidR="00EB7E04" w:rsidRPr="00B61FF1">
        <w:rPr>
          <w:rFonts w:ascii="Arial" w:hAnsi="Arial" w:cs="Arial"/>
        </w:rPr>
        <w:t xml:space="preserve"> </w:t>
      </w:r>
      <w:r w:rsidR="00EB7E04" w:rsidRPr="00B61FF1">
        <w:rPr>
          <w:rFonts w:ascii="Arial" w:eastAsia="PMingLiU" w:hAnsi="Arial" w:cs="Arial"/>
        </w:rPr>
        <w:t>For purposes of this definition, ‘material misstatement’ shall have the same meaning as ascribed to it in section 95102(a) of MRR.</w:t>
      </w:r>
    </w:p>
    <w:p w14:paraId="6B7D75D9" w14:textId="040FE8EB" w:rsidR="00124F58" w:rsidRPr="00B61FF1" w:rsidRDefault="00124F58" w:rsidP="00483366">
      <w:pPr>
        <w:pStyle w:val="autonumbered0"/>
        <w:spacing w:before="0" w:beforeAutospacing="0" w:after="0" w:afterAutospacing="0" w:line="360" w:lineRule="auto"/>
        <w:ind w:left="1080" w:hanging="720"/>
        <w:rPr>
          <w:rFonts w:ascii="Arial" w:eastAsia="PMingLiU" w:hAnsi="Arial" w:cs="Arial"/>
          <w:u w:val="single"/>
        </w:rPr>
      </w:pPr>
      <w:r w:rsidRPr="00B61FF1">
        <w:rPr>
          <w:rFonts w:ascii="Arial" w:eastAsia="PMingLiU" w:hAnsi="Arial" w:cs="Arial"/>
          <w:u w:val="single"/>
        </w:rPr>
        <w:t>(</w:t>
      </w:r>
      <w:r w:rsidR="00671579" w:rsidRPr="00B61FF1">
        <w:rPr>
          <w:rFonts w:ascii="Arial" w:eastAsia="PMingLiU" w:hAnsi="Arial" w:cs="Arial"/>
          <w:u w:val="single"/>
        </w:rPr>
        <w:t>YYY</w:t>
      </w:r>
      <w:r w:rsidRPr="00B61FF1">
        <w:rPr>
          <w:rFonts w:ascii="Arial" w:eastAsia="PMingLiU" w:hAnsi="Arial" w:cs="Arial"/>
          <w:u w:val="single"/>
        </w:rPr>
        <w:t>)</w:t>
      </w:r>
      <w:r w:rsidRPr="00B61FF1">
        <w:rPr>
          <w:rFonts w:ascii="Arial" w:eastAsia="PMingLiU" w:hAnsi="Arial" w:cs="Arial"/>
          <w:u w:val="single"/>
        </w:rPr>
        <w:tab/>
        <w:t>“Qualified Thermal Output” means the thermal energy generated by a cogeneration unit or district energy facility that is sold to particular end-users and reported pursuant to MRR section 95112(a)(5)(A) and the thermal energy used on-site by industrial processes or operations and heating and cooling operations that is not in support of or a part of the electricity generation or cogeneration system and is reported pursuant to MRR sections 95112(a)(5)(C).  Qualified thermal output does not include thermal energy that is vented, radiated, wasted, or discharged before it is utilized at industrial processes or operations, or any thermal energy generated by equipment that is not an integral part of the cogeneration unit.</w:t>
      </w:r>
    </w:p>
    <w:p w14:paraId="0930BD92" w14:textId="77777777" w:rsidR="0054122B" w:rsidRPr="00B61FF1" w:rsidRDefault="0054122B" w:rsidP="00483366">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83366" w:rsidRPr="00B61FF1">
        <w:rPr>
          <w:rFonts w:ascii="Arial" w:hAnsi="Arial" w:cs="Arial"/>
          <w:sz w:val="24"/>
          <w:szCs w:val="24"/>
        </w:rPr>
        <w:t>30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“Quantifiable” means, in the context of offset projects, the ability to accurately measure and calculate GHG reductions or GHG removal enhancements relative to a project baseline in a reliable and replicable manner for all GHG emission sources, GHG sinks, </w:t>
      </w:r>
      <w:r w:rsidRPr="00B61FF1">
        <w:rPr>
          <w:rFonts w:ascii="Arial" w:hAnsi="Arial" w:cs="Arial"/>
          <w:bCs/>
          <w:sz w:val="24"/>
          <w:szCs w:val="24"/>
        </w:rPr>
        <w:t>or</w:t>
      </w:r>
      <w:r w:rsidRPr="00B61FF1">
        <w:rPr>
          <w:rFonts w:ascii="Arial" w:hAnsi="Arial" w:cs="Arial"/>
          <w:sz w:val="24"/>
          <w:szCs w:val="24"/>
        </w:rPr>
        <w:t xml:space="preserve"> GHG reservoirs </w:t>
      </w:r>
      <w:r w:rsidRPr="00B61FF1">
        <w:rPr>
          <w:rFonts w:ascii="Arial" w:hAnsi="Arial" w:cs="Arial"/>
          <w:sz w:val="24"/>
          <w:szCs w:val="24"/>
        </w:rPr>
        <w:lastRenderedPageBreak/>
        <w:t>included within the offset project boundary, while accounting for uncertainty and activity-shifting leakage and market-shifting leakage.  </w:t>
      </w:r>
    </w:p>
    <w:p w14:paraId="2DE536B3" w14:textId="77777777" w:rsidR="0054122B" w:rsidRPr="00B61FF1" w:rsidRDefault="005D1854"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83366" w:rsidRPr="00B61FF1">
        <w:rPr>
          <w:rFonts w:ascii="Arial" w:hAnsi="Arial" w:cs="Arial"/>
          <w:sz w:val="24"/>
          <w:szCs w:val="24"/>
        </w:rPr>
        <w:t>31</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 xml:space="preserve">“Quantitative </w:t>
      </w:r>
      <w:r w:rsidR="00294F64" w:rsidRPr="00B61FF1">
        <w:rPr>
          <w:rFonts w:ascii="Arial" w:hAnsi="Arial" w:cs="Arial"/>
          <w:sz w:val="24"/>
          <w:szCs w:val="24"/>
        </w:rPr>
        <w:t>U</w:t>
      </w:r>
      <w:r w:rsidR="0054122B" w:rsidRPr="00B61FF1">
        <w:rPr>
          <w:rFonts w:ascii="Arial" w:hAnsi="Arial" w:cs="Arial"/>
          <w:sz w:val="24"/>
          <w:szCs w:val="24"/>
        </w:rPr>
        <w:t xml:space="preserve">sage </w:t>
      </w:r>
      <w:r w:rsidR="00294F64" w:rsidRPr="00B61FF1">
        <w:rPr>
          <w:rFonts w:ascii="Arial" w:hAnsi="Arial" w:cs="Arial"/>
          <w:sz w:val="24"/>
          <w:szCs w:val="24"/>
        </w:rPr>
        <w:t>L</w:t>
      </w:r>
      <w:r w:rsidR="0054122B" w:rsidRPr="00B61FF1">
        <w:rPr>
          <w:rFonts w:ascii="Arial" w:hAnsi="Arial" w:cs="Arial"/>
          <w:sz w:val="24"/>
          <w:szCs w:val="24"/>
        </w:rPr>
        <w:t>imit” means a limit on the percentage of an entity’s compliance obligation that may be met by surrendering offset credits, sector-based credits, or other compliance instruments designated to be subject to the limit under this article.</w:t>
      </w:r>
    </w:p>
    <w:p w14:paraId="4D702E65"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83366" w:rsidRPr="00B61FF1">
        <w:rPr>
          <w:rFonts w:ascii="Arial" w:hAnsi="Arial" w:cs="Arial"/>
          <w:sz w:val="24"/>
          <w:szCs w:val="24"/>
        </w:rPr>
        <w:t>32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“Rack” means a mechanism for delivering motor vehicle fuel or diesel from a refinery or terminal into a truck, trailer, railroad car, or other means of non-bulk transfer.</w:t>
      </w:r>
    </w:p>
    <w:p w14:paraId="63B0A976"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D72E1B" w:rsidRPr="00B61FF1">
        <w:rPr>
          <w:rFonts w:ascii="Arial" w:hAnsi="Arial" w:cs="Arial"/>
          <w:sz w:val="24"/>
          <w:szCs w:val="24"/>
        </w:rPr>
        <w:t>23</w:t>
      </w:r>
      <w:r w:rsidR="00483366" w:rsidRPr="00B61FF1">
        <w:rPr>
          <w:rFonts w:ascii="Arial" w:hAnsi="Arial" w:cs="Arial"/>
          <w:sz w:val="24"/>
          <w:szCs w:val="24"/>
        </w:rPr>
        <w:t>3</w:t>
      </w:r>
      <w:r w:rsidRPr="00B61FF1">
        <w:rPr>
          <w:rFonts w:ascii="Arial" w:hAnsi="Arial" w:cs="Arial"/>
          <w:sz w:val="24"/>
          <w:szCs w:val="24"/>
        </w:rPr>
        <w:t>)</w:t>
      </w:r>
      <w:r w:rsidR="00DC2E0C" w:rsidRPr="00B61FF1">
        <w:rPr>
          <w:rFonts w:ascii="Arial" w:hAnsi="Arial" w:cs="Arial"/>
          <w:sz w:val="24"/>
          <w:szCs w:val="24"/>
        </w:rPr>
        <w:t xml:space="preserve"> </w:t>
      </w:r>
      <w:r w:rsidR="00CD4B45" w:rsidRPr="00B61FF1">
        <w:rPr>
          <w:rFonts w:ascii="Arial" w:hAnsi="Arial" w:cs="Arial"/>
          <w:sz w:val="24"/>
          <w:szCs w:val="24"/>
        </w:rPr>
        <w:tab/>
      </w:r>
      <w:r w:rsidR="00DC2E0C" w:rsidRPr="00B61FF1">
        <w:rPr>
          <w:rFonts w:ascii="Arial" w:hAnsi="Arial" w:cs="Arial"/>
          <w:sz w:val="24"/>
          <w:szCs w:val="24"/>
        </w:rPr>
        <w:t xml:space="preserve">“Radiative </w:t>
      </w:r>
      <w:r w:rsidR="00294F64" w:rsidRPr="00B61FF1">
        <w:rPr>
          <w:rFonts w:ascii="Arial" w:hAnsi="Arial" w:cs="Arial"/>
          <w:sz w:val="24"/>
          <w:szCs w:val="24"/>
        </w:rPr>
        <w:t>F</w:t>
      </w:r>
      <w:r w:rsidRPr="00B61FF1">
        <w:rPr>
          <w:rFonts w:ascii="Arial" w:hAnsi="Arial" w:cs="Arial"/>
          <w:sz w:val="24"/>
          <w:szCs w:val="24"/>
        </w:rPr>
        <w:t>orcing” means</w:t>
      </w:r>
      <w:r w:rsidRPr="00B61FF1">
        <w:rPr>
          <w:rFonts w:ascii="Arial" w:eastAsia="MS Mincho" w:hAnsi="Arial" w:cs="Arial"/>
          <w:sz w:val="24"/>
          <w:szCs w:val="24"/>
          <w:lang w:eastAsia="ja-JP"/>
        </w:rPr>
        <w:t xml:space="preserve"> the change in the net vertical irradiance at the</w:t>
      </w:r>
      <w:r w:rsidRPr="00B61FF1">
        <w:rPr>
          <w:rFonts w:ascii="Arial" w:hAnsi="Arial" w:cs="Arial"/>
          <w:sz w:val="24"/>
          <w:szCs w:val="24"/>
        </w:rPr>
        <w:t xml:space="preserve"> atmospheric boundary between the troposphere and the stratosphere</w:t>
      </w:r>
      <w:r w:rsidRPr="00B61FF1">
        <w:rPr>
          <w:rFonts w:ascii="Arial" w:eastAsia="MS Mincho" w:hAnsi="Arial" w:cs="Arial"/>
          <w:i/>
          <w:iCs/>
          <w:sz w:val="24"/>
          <w:szCs w:val="24"/>
          <w:lang w:eastAsia="ja-JP"/>
        </w:rPr>
        <w:t xml:space="preserve"> </w:t>
      </w:r>
      <w:r w:rsidRPr="00B61FF1">
        <w:rPr>
          <w:rFonts w:ascii="Arial" w:eastAsia="MS Mincho" w:hAnsi="Arial" w:cs="Arial"/>
          <w:sz w:val="24"/>
          <w:szCs w:val="24"/>
          <w:lang w:eastAsia="ja-JP"/>
        </w:rPr>
        <w:t xml:space="preserve">due to an internal change or a change in the external forcing of the </w:t>
      </w:r>
      <w:r w:rsidRPr="00B61FF1">
        <w:rPr>
          <w:rFonts w:ascii="Arial" w:eastAsia="MS Mincho" w:hAnsi="Arial" w:cs="Arial"/>
          <w:iCs/>
          <w:sz w:val="24"/>
          <w:szCs w:val="24"/>
          <w:lang w:eastAsia="ja-JP"/>
        </w:rPr>
        <w:t>climate system</w:t>
      </w:r>
      <w:r w:rsidRPr="00B61FF1">
        <w:rPr>
          <w:rFonts w:ascii="Arial" w:eastAsia="MS Mincho" w:hAnsi="Arial" w:cs="Arial"/>
          <w:sz w:val="24"/>
          <w:szCs w:val="24"/>
          <w:lang w:eastAsia="ja-JP"/>
        </w:rPr>
        <w:t xml:space="preserve"> such as a change in the concentration of </w:t>
      </w:r>
      <w:r w:rsidRPr="00B61FF1">
        <w:rPr>
          <w:rFonts w:ascii="Arial" w:eastAsia="MS Mincho" w:hAnsi="Arial" w:cs="Arial"/>
          <w:iCs/>
          <w:sz w:val="24"/>
          <w:szCs w:val="24"/>
          <w:lang w:eastAsia="ja-JP"/>
        </w:rPr>
        <w:t xml:space="preserve">carbon dioxide </w:t>
      </w:r>
      <w:r w:rsidRPr="00B61FF1">
        <w:rPr>
          <w:rFonts w:ascii="Arial" w:eastAsia="MS Mincho" w:hAnsi="Arial" w:cs="Arial"/>
          <w:sz w:val="24"/>
          <w:szCs w:val="24"/>
          <w:lang w:eastAsia="ja-JP"/>
        </w:rPr>
        <w:t>or the output of the Sun.</w:t>
      </w:r>
    </w:p>
    <w:p w14:paraId="0B620CBB"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23</w:t>
      </w:r>
      <w:r w:rsidR="00483366"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“Real” means</w:t>
      </w:r>
      <w:r w:rsidRPr="00B61FF1">
        <w:rPr>
          <w:rFonts w:ascii="Arial" w:eastAsia="Times New Roman" w:hAnsi="Arial" w:cs="Arial"/>
          <w:sz w:val="24"/>
          <w:szCs w:val="24"/>
          <w:lang w:bidi="en-US"/>
        </w:rPr>
        <w:t>, in the context of offset projects, that GHG reductions or GHG enhancements result from a demonstrable action or set of actions, and are quantified using appropriate, accurate, and conservative methodologies that account for all GHG emissions sources, GHG sinks, and GHG reservoirs within the offset project boundary and account for uncertainty and the potential for activity-shifting leakage and market-shifting leakage.</w:t>
      </w:r>
    </w:p>
    <w:p w14:paraId="4B8F14E2" w14:textId="77777777" w:rsidR="0054122B" w:rsidRPr="00B61FF1" w:rsidRDefault="0054122B" w:rsidP="00DC2E0C">
      <w:pPr>
        <w:tabs>
          <w:tab w:val="left" w:pos="3780"/>
        </w:tabs>
        <w:spacing w:line="360" w:lineRule="auto"/>
        <w:ind w:left="1080" w:hanging="720"/>
        <w:rPr>
          <w:rFonts w:ascii="Arial" w:eastAsia="Times New Roman" w:hAnsi="Arial" w:cs="Arial"/>
          <w:sz w:val="24"/>
          <w:szCs w:val="24"/>
          <w:lang w:bidi="en-US"/>
        </w:rPr>
      </w:pPr>
      <w:r w:rsidRPr="00B61FF1">
        <w:rPr>
          <w:rFonts w:ascii="Arial" w:eastAsia="Times New Roman" w:hAnsi="Arial" w:cs="Arial"/>
          <w:sz w:val="24"/>
          <w:szCs w:val="24"/>
          <w:lang w:bidi="en-US"/>
        </w:rPr>
        <w:t>(</w:t>
      </w:r>
      <w:r w:rsidR="001D745B" w:rsidRPr="00B61FF1">
        <w:rPr>
          <w:rFonts w:ascii="Arial" w:hAnsi="Arial" w:cs="Arial"/>
          <w:sz w:val="24"/>
          <w:szCs w:val="24"/>
        </w:rPr>
        <w:t>23</w:t>
      </w:r>
      <w:r w:rsidR="00483366" w:rsidRPr="00B61FF1">
        <w:rPr>
          <w:rFonts w:ascii="Arial" w:hAnsi="Arial" w:cs="Arial"/>
          <w:sz w:val="24"/>
          <w:szCs w:val="24"/>
        </w:rPr>
        <w:t>5</w:t>
      </w:r>
      <w:r w:rsidRPr="00B61FF1">
        <w:rPr>
          <w:rFonts w:ascii="Arial" w:eastAsia="Times New Roman" w:hAnsi="Arial" w:cs="Arial"/>
          <w:sz w:val="24"/>
          <w:szCs w:val="24"/>
          <w:lang w:bidi="en-US"/>
        </w:rPr>
        <w:t xml:space="preserve">) </w:t>
      </w:r>
      <w:r w:rsidR="00CD4B45" w:rsidRPr="00B61FF1">
        <w:rPr>
          <w:rFonts w:ascii="Arial" w:eastAsia="Times New Roman" w:hAnsi="Arial" w:cs="Arial"/>
          <w:sz w:val="24"/>
          <w:szCs w:val="24"/>
          <w:lang w:bidi="en-US"/>
        </w:rPr>
        <w:tab/>
      </w:r>
      <w:r w:rsidRPr="00B61FF1">
        <w:rPr>
          <w:rFonts w:ascii="Arial" w:eastAsia="Times New Roman" w:hAnsi="Arial" w:cs="Arial"/>
          <w:sz w:val="24"/>
          <w:szCs w:val="24"/>
          <w:lang w:bidi="en-US"/>
        </w:rPr>
        <w:t xml:space="preserve">“Reasonable </w:t>
      </w:r>
      <w:r w:rsidR="00294F64" w:rsidRPr="00B61FF1">
        <w:rPr>
          <w:rFonts w:ascii="Arial" w:eastAsia="Times New Roman" w:hAnsi="Arial" w:cs="Arial"/>
          <w:sz w:val="24"/>
          <w:szCs w:val="24"/>
          <w:lang w:bidi="en-US"/>
        </w:rPr>
        <w:t>A</w:t>
      </w:r>
      <w:r w:rsidRPr="00B61FF1">
        <w:rPr>
          <w:rFonts w:ascii="Arial" w:eastAsia="Times New Roman" w:hAnsi="Arial" w:cs="Arial"/>
          <w:sz w:val="24"/>
          <w:szCs w:val="24"/>
          <w:lang w:bidi="en-US"/>
        </w:rPr>
        <w:t>ssurance” means a high degree of confidence that submitted data and statements are valid.</w:t>
      </w:r>
      <w:r w:rsidRPr="00B61FF1">
        <w:rPr>
          <w:rFonts w:ascii="Arial" w:hAnsi="Arial" w:cs="Arial"/>
          <w:sz w:val="24"/>
          <w:szCs w:val="24"/>
        </w:rPr>
        <w:t xml:space="preserve">  </w:t>
      </w:r>
    </w:p>
    <w:p w14:paraId="4B210FB9" w14:textId="77777777" w:rsidR="0054122B" w:rsidRPr="00B61FF1" w:rsidRDefault="0054122B" w:rsidP="00DC2E0C">
      <w:pPr>
        <w:tabs>
          <w:tab w:val="left" w:pos="720"/>
          <w:tab w:val="left" w:pos="3780"/>
        </w:tabs>
        <w:spacing w:line="360" w:lineRule="auto"/>
        <w:ind w:left="1080" w:hanging="720"/>
        <w:rPr>
          <w:rFonts w:ascii="Arial" w:hAnsi="Arial" w:cs="Arial"/>
          <w:color w:val="000000"/>
          <w:sz w:val="24"/>
          <w:szCs w:val="24"/>
        </w:rPr>
      </w:pPr>
      <w:r w:rsidRPr="00B61FF1">
        <w:rPr>
          <w:rFonts w:ascii="Arial" w:hAnsi="Arial" w:cs="Arial"/>
          <w:color w:val="000000"/>
          <w:sz w:val="24"/>
          <w:szCs w:val="24"/>
        </w:rPr>
        <w:t>(</w:t>
      </w:r>
      <w:r w:rsidR="00250491" w:rsidRPr="00B61FF1">
        <w:rPr>
          <w:rFonts w:ascii="Arial" w:hAnsi="Arial" w:cs="Arial"/>
          <w:sz w:val="24"/>
          <w:szCs w:val="24"/>
        </w:rPr>
        <w:t>23</w:t>
      </w:r>
      <w:r w:rsidR="00483366" w:rsidRPr="00B61FF1">
        <w:rPr>
          <w:rFonts w:ascii="Arial" w:hAnsi="Arial" w:cs="Arial"/>
          <w:sz w:val="24"/>
          <w:szCs w:val="24"/>
        </w:rPr>
        <w:t>6</w:t>
      </w:r>
      <w:r w:rsidRPr="00B61FF1">
        <w:rPr>
          <w:rFonts w:ascii="Arial" w:hAnsi="Arial" w:cs="Arial"/>
          <w:color w:val="000000"/>
          <w:sz w:val="24"/>
          <w:szCs w:val="24"/>
        </w:rPr>
        <w:t>)</w:t>
      </w:r>
      <w:r w:rsidR="00CD4B45" w:rsidRPr="00B61FF1">
        <w:rPr>
          <w:rFonts w:ascii="Arial" w:hAnsi="Arial" w:cs="Arial"/>
          <w:color w:val="000000"/>
          <w:sz w:val="24"/>
          <w:szCs w:val="24"/>
        </w:rPr>
        <w:tab/>
      </w:r>
      <w:r w:rsidRPr="00B61FF1">
        <w:rPr>
          <w:rFonts w:ascii="Arial" w:hAnsi="Arial" w:cs="Arial"/>
          <w:color w:val="000000"/>
          <w:sz w:val="24"/>
          <w:szCs w:val="24"/>
        </w:rPr>
        <w:t>"Recycled Boxboard" means containers of solid fiber made from recycled fibers, including cereal boxes, shoe boxes and protective paper packaging for dry foods.  It also includes folding paper cartons, set-up boxes, and similar boxboard products.  Recycled boxboard is made from recycled fibers.</w:t>
      </w:r>
    </w:p>
    <w:p w14:paraId="4E64FC14" w14:textId="77777777" w:rsidR="0054122B" w:rsidRPr="00B61FF1" w:rsidRDefault="0054122B" w:rsidP="00DC2E0C">
      <w:pPr>
        <w:tabs>
          <w:tab w:val="left" w:pos="3780"/>
        </w:tabs>
        <w:spacing w:line="360" w:lineRule="auto"/>
        <w:ind w:left="1080" w:hanging="720"/>
        <w:rPr>
          <w:rFonts w:ascii="Arial" w:hAnsi="Arial" w:cs="Arial"/>
          <w:color w:val="000000"/>
          <w:sz w:val="24"/>
          <w:szCs w:val="24"/>
        </w:rPr>
      </w:pPr>
      <w:r w:rsidRPr="00B61FF1">
        <w:rPr>
          <w:rFonts w:ascii="Arial" w:hAnsi="Arial" w:cs="Arial"/>
          <w:color w:val="000000"/>
          <w:sz w:val="24"/>
          <w:szCs w:val="24"/>
        </w:rPr>
        <w:t>(</w:t>
      </w:r>
      <w:r w:rsidR="00250491" w:rsidRPr="00B61FF1">
        <w:rPr>
          <w:rFonts w:ascii="Arial" w:hAnsi="Arial" w:cs="Arial"/>
          <w:sz w:val="24"/>
          <w:szCs w:val="24"/>
        </w:rPr>
        <w:t>23</w:t>
      </w:r>
      <w:r w:rsidR="00483366" w:rsidRPr="00B61FF1">
        <w:rPr>
          <w:rFonts w:ascii="Arial" w:hAnsi="Arial" w:cs="Arial"/>
          <w:sz w:val="24"/>
          <w:szCs w:val="24"/>
        </w:rPr>
        <w:t>7</w:t>
      </w:r>
      <w:r w:rsidRPr="00B61FF1">
        <w:rPr>
          <w:rFonts w:ascii="Arial" w:hAnsi="Arial" w:cs="Arial"/>
          <w:color w:val="000000"/>
          <w:sz w:val="24"/>
          <w:szCs w:val="24"/>
        </w:rPr>
        <w:t>)</w:t>
      </w:r>
      <w:r w:rsidR="00CD4B45" w:rsidRPr="00B61FF1">
        <w:rPr>
          <w:rFonts w:ascii="Arial" w:hAnsi="Arial" w:cs="Arial"/>
          <w:color w:val="000000"/>
          <w:sz w:val="24"/>
          <w:szCs w:val="24"/>
        </w:rPr>
        <w:tab/>
      </w:r>
      <w:r w:rsidRPr="00B61FF1">
        <w:rPr>
          <w:rFonts w:ascii="Arial" w:hAnsi="Arial" w:cs="Arial"/>
          <w:color w:val="000000"/>
          <w:sz w:val="24"/>
          <w:szCs w:val="24"/>
        </w:rPr>
        <w:t xml:space="preserve">"Recycled Linerboard" means types of paperboard made from recycled fibers that meet specific tests adopted by the packaging industry to </w:t>
      </w:r>
      <w:r w:rsidRPr="00B61FF1">
        <w:rPr>
          <w:rFonts w:ascii="Arial" w:hAnsi="Arial" w:cs="Arial"/>
          <w:color w:val="000000"/>
          <w:sz w:val="24"/>
          <w:szCs w:val="24"/>
        </w:rPr>
        <w:lastRenderedPageBreak/>
        <w:t>qualify for use as the outer facing layer for corrugated board, from which shipping containers are made.</w:t>
      </w:r>
    </w:p>
    <w:p w14:paraId="13277D3C" w14:textId="77777777" w:rsidR="0054122B" w:rsidRPr="00B61FF1" w:rsidRDefault="0054122B" w:rsidP="00DC2E0C">
      <w:pPr>
        <w:tabs>
          <w:tab w:val="left" w:pos="720"/>
          <w:tab w:val="left" w:pos="3780"/>
        </w:tabs>
        <w:spacing w:line="360" w:lineRule="auto"/>
        <w:ind w:left="1080" w:hanging="720"/>
        <w:rPr>
          <w:rFonts w:ascii="Arial" w:hAnsi="Arial" w:cs="Arial"/>
          <w:color w:val="000000"/>
          <w:sz w:val="24"/>
          <w:szCs w:val="24"/>
        </w:rPr>
      </w:pPr>
      <w:r w:rsidRPr="00B61FF1">
        <w:rPr>
          <w:rFonts w:ascii="Arial" w:hAnsi="Arial" w:cs="Arial"/>
          <w:color w:val="000000"/>
          <w:sz w:val="24"/>
          <w:szCs w:val="24"/>
        </w:rPr>
        <w:t>(</w:t>
      </w:r>
      <w:r w:rsidR="001D745B" w:rsidRPr="00B61FF1">
        <w:rPr>
          <w:rFonts w:ascii="Arial" w:hAnsi="Arial" w:cs="Arial"/>
          <w:sz w:val="24"/>
          <w:szCs w:val="24"/>
        </w:rPr>
        <w:t>23</w:t>
      </w:r>
      <w:r w:rsidR="00483366" w:rsidRPr="00B61FF1">
        <w:rPr>
          <w:rFonts w:ascii="Arial" w:hAnsi="Arial" w:cs="Arial"/>
          <w:sz w:val="24"/>
          <w:szCs w:val="24"/>
        </w:rPr>
        <w:t>8</w:t>
      </w:r>
      <w:r w:rsidRPr="00B61FF1">
        <w:rPr>
          <w:rFonts w:ascii="Arial" w:hAnsi="Arial" w:cs="Arial"/>
          <w:color w:val="000000"/>
          <w:sz w:val="24"/>
          <w:szCs w:val="24"/>
        </w:rPr>
        <w:t>)</w:t>
      </w:r>
      <w:r w:rsidR="00CD4B45" w:rsidRPr="00B61FF1">
        <w:rPr>
          <w:rFonts w:ascii="Arial" w:hAnsi="Arial" w:cs="Arial"/>
          <w:color w:val="000000"/>
          <w:sz w:val="24"/>
          <w:szCs w:val="24"/>
        </w:rPr>
        <w:tab/>
      </w:r>
      <w:r w:rsidRPr="00B61FF1">
        <w:rPr>
          <w:rFonts w:ascii="Arial" w:hAnsi="Arial" w:cs="Arial"/>
          <w:color w:val="000000"/>
          <w:sz w:val="24"/>
          <w:szCs w:val="24"/>
        </w:rPr>
        <w:t>“Recycled Medium" means the center segment of corrugated shipping containers, being faced with linerboard on both sides.  Recycled medium is made from recycled fibers.</w:t>
      </w:r>
    </w:p>
    <w:p w14:paraId="6CFC24D6" w14:textId="77777777" w:rsidR="0054122B" w:rsidRPr="00B61FF1" w:rsidRDefault="0054122B" w:rsidP="00DC2E0C">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color w:val="000000"/>
          <w:sz w:val="24"/>
          <w:szCs w:val="24"/>
        </w:rPr>
        <w:t>(</w:t>
      </w:r>
      <w:r w:rsidR="001D745B" w:rsidRPr="00B61FF1">
        <w:rPr>
          <w:rFonts w:ascii="Arial" w:hAnsi="Arial" w:cs="Arial"/>
          <w:sz w:val="24"/>
          <w:szCs w:val="24"/>
        </w:rPr>
        <w:t>23</w:t>
      </w:r>
      <w:r w:rsidR="00483366" w:rsidRPr="00B61FF1">
        <w:rPr>
          <w:rFonts w:ascii="Arial" w:hAnsi="Arial" w:cs="Arial"/>
          <w:sz w:val="24"/>
          <w:szCs w:val="24"/>
        </w:rPr>
        <w:t>9</w:t>
      </w:r>
      <w:r w:rsidRPr="00B61FF1">
        <w:rPr>
          <w:rFonts w:ascii="Arial" w:hAnsi="Arial" w:cs="Arial"/>
          <w:color w:val="000000"/>
          <w:sz w:val="24"/>
          <w:szCs w:val="24"/>
        </w:rPr>
        <w:t xml:space="preserve">) </w:t>
      </w:r>
      <w:r w:rsidR="00CD4B45" w:rsidRPr="00B61FF1">
        <w:rPr>
          <w:rFonts w:ascii="Arial" w:hAnsi="Arial" w:cs="Arial"/>
          <w:color w:val="000000"/>
          <w:sz w:val="24"/>
          <w:szCs w:val="24"/>
        </w:rPr>
        <w:tab/>
      </w:r>
      <w:r w:rsidRPr="00B61FF1">
        <w:rPr>
          <w:rFonts w:ascii="Arial" w:hAnsi="Arial" w:cs="Arial"/>
          <w:color w:val="000000"/>
          <w:sz w:val="24"/>
          <w:szCs w:val="24"/>
        </w:rPr>
        <w:t xml:space="preserve">“Reference Level” means </w:t>
      </w:r>
      <w:r w:rsidRPr="00B61FF1">
        <w:rPr>
          <w:rFonts w:ascii="Arial" w:eastAsia="MS Mincho" w:hAnsi="Arial" w:cs="Arial"/>
          <w:sz w:val="24"/>
          <w:szCs w:val="24"/>
          <w:lang w:eastAsia="ja-JP"/>
        </w:rPr>
        <w:t>the quantity of GHG emission equivalents that have occurred during the normal course of business or activities during a designated period of time within the boundaries of a defined sector and a defined jurisdiction.</w:t>
      </w:r>
    </w:p>
    <w:p w14:paraId="201E0EDE" w14:textId="77777777" w:rsidR="0054122B" w:rsidRPr="00B61FF1" w:rsidRDefault="0054122B" w:rsidP="00DC2E0C">
      <w:pPr>
        <w:tabs>
          <w:tab w:val="left" w:pos="3780"/>
        </w:tabs>
        <w:spacing w:line="360" w:lineRule="auto"/>
        <w:ind w:left="1080" w:hanging="720"/>
        <w:rPr>
          <w:rFonts w:ascii="Arial" w:hAnsi="Arial" w:cs="Arial"/>
          <w:color w:val="000000"/>
          <w:sz w:val="24"/>
          <w:szCs w:val="24"/>
        </w:rPr>
      </w:pPr>
      <w:r w:rsidRPr="00B61FF1">
        <w:rPr>
          <w:rFonts w:ascii="Arial" w:hAnsi="Arial" w:cs="Arial"/>
          <w:color w:val="000000"/>
          <w:sz w:val="24"/>
          <w:szCs w:val="24"/>
        </w:rPr>
        <w:t>(</w:t>
      </w:r>
      <w:r w:rsidR="001D745B" w:rsidRPr="00B61FF1">
        <w:rPr>
          <w:rFonts w:ascii="Arial" w:hAnsi="Arial" w:cs="Arial"/>
          <w:sz w:val="24"/>
          <w:szCs w:val="24"/>
        </w:rPr>
        <w:t>2</w:t>
      </w:r>
      <w:r w:rsidR="00483366" w:rsidRPr="00B61FF1">
        <w:rPr>
          <w:rFonts w:ascii="Arial" w:hAnsi="Arial" w:cs="Arial"/>
          <w:sz w:val="24"/>
          <w:szCs w:val="24"/>
        </w:rPr>
        <w:t>40</w:t>
      </w:r>
      <w:r w:rsidRPr="00B61FF1">
        <w:rPr>
          <w:rFonts w:ascii="Arial" w:hAnsi="Arial" w:cs="Arial"/>
          <w:color w:val="000000"/>
          <w:sz w:val="24"/>
          <w:szCs w:val="24"/>
        </w:rPr>
        <w:t xml:space="preserve">) </w:t>
      </w:r>
      <w:r w:rsidR="00CD4B45" w:rsidRPr="00B61FF1">
        <w:rPr>
          <w:rFonts w:ascii="Arial" w:hAnsi="Arial" w:cs="Arial"/>
          <w:color w:val="000000"/>
          <w:sz w:val="24"/>
          <w:szCs w:val="24"/>
        </w:rPr>
        <w:tab/>
      </w:r>
      <w:r w:rsidRPr="00B61FF1">
        <w:rPr>
          <w:rFonts w:ascii="Arial" w:hAnsi="Arial" w:cs="Arial"/>
          <w:color w:val="000000"/>
          <w:sz w:val="24"/>
          <w:szCs w:val="24"/>
        </w:rPr>
        <w:t xml:space="preserve">“Reformulated </w:t>
      </w:r>
      <w:r w:rsidRPr="00B61FF1">
        <w:rPr>
          <w:rFonts w:ascii="Arial" w:hAnsi="Arial" w:cs="Arial"/>
          <w:sz w:val="24"/>
          <w:szCs w:val="24"/>
        </w:rPr>
        <w:t>Gasoline Blendstock for Oxygenate Blending</w:t>
      </w:r>
      <w:r w:rsidRPr="00B61FF1">
        <w:rPr>
          <w:rFonts w:ascii="Arial" w:hAnsi="Arial" w:cs="Arial"/>
          <w:color w:val="000000"/>
          <w:sz w:val="24"/>
          <w:szCs w:val="24"/>
        </w:rPr>
        <w:t>” or “RBOB”</w:t>
      </w:r>
      <w:r w:rsidRPr="00B61FF1">
        <w:rPr>
          <w:rFonts w:ascii="Arial" w:eastAsia="MS Mincho" w:hAnsi="Arial" w:cs="Arial"/>
          <w:sz w:val="24"/>
          <w:szCs w:val="24"/>
          <w:lang w:eastAsia="ja-JP"/>
        </w:rPr>
        <w:t xml:space="preserve"> has the same meaning as defined in title 13 of the California Code of Regulations, section 2260(a).</w:t>
      </w:r>
    </w:p>
    <w:p w14:paraId="3C2D2E7E"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color w:val="000000"/>
          <w:sz w:val="24"/>
          <w:szCs w:val="24"/>
        </w:rPr>
        <w:t>(</w:t>
      </w:r>
      <w:r w:rsidR="001D745B" w:rsidRPr="00B61FF1">
        <w:rPr>
          <w:rFonts w:ascii="Arial" w:hAnsi="Arial" w:cs="Arial"/>
          <w:sz w:val="24"/>
          <w:szCs w:val="24"/>
        </w:rPr>
        <w:t>2</w:t>
      </w:r>
      <w:r w:rsidR="00483366" w:rsidRPr="00B61FF1">
        <w:rPr>
          <w:rFonts w:ascii="Arial" w:hAnsi="Arial" w:cs="Arial"/>
          <w:sz w:val="24"/>
          <w:szCs w:val="24"/>
        </w:rPr>
        <w:t>41</w:t>
      </w:r>
      <w:r w:rsidRPr="00B61FF1">
        <w:rPr>
          <w:rFonts w:ascii="Arial" w:hAnsi="Arial" w:cs="Arial"/>
          <w:color w:val="000000"/>
          <w:sz w:val="24"/>
          <w:szCs w:val="24"/>
        </w:rPr>
        <w:t xml:space="preserve">) </w:t>
      </w:r>
      <w:r w:rsidR="00CD4B45" w:rsidRPr="00B61FF1">
        <w:rPr>
          <w:rFonts w:ascii="Arial" w:hAnsi="Arial" w:cs="Arial"/>
          <w:color w:val="000000"/>
          <w:sz w:val="24"/>
          <w:szCs w:val="24"/>
        </w:rPr>
        <w:tab/>
      </w:r>
      <w:r w:rsidRPr="00B61FF1">
        <w:rPr>
          <w:rFonts w:ascii="Arial" w:hAnsi="Arial" w:cs="Arial"/>
          <w:sz w:val="24"/>
          <w:szCs w:val="24"/>
        </w:rPr>
        <w:t>“Register</w:t>
      </w:r>
      <w:r w:rsidR="00BA303A" w:rsidRPr="00B61FF1">
        <w:rPr>
          <w:rFonts w:ascii="Arial" w:hAnsi="Arial" w:cs="Arial"/>
          <w:sz w:val="24"/>
          <w:szCs w:val="24"/>
        </w:rPr>
        <w:t>,</w:t>
      </w:r>
      <w:r w:rsidRPr="00B61FF1">
        <w:rPr>
          <w:rFonts w:ascii="Arial" w:hAnsi="Arial" w:cs="Arial"/>
          <w:sz w:val="24"/>
          <w:szCs w:val="24"/>
        </w:rPr>
        <w:t>” in the context of a compliance instrument</w:t>
      </w:r>
      <w:r w:rsidR="00BA303A" w:rsidRPr="00B61FF1">
        <w:rPr>
          <w:rFonts w:ascii="Arial" w:hAnsi="Arial" w:cs="Arial"/>
          <w:sz w:val="24"/>
          <w:szCs w:val="24"/>
        </w:rPr>
        <w:t>,</w:t>
      </w:r>
      <w:r w:rsidRPr="00B61FF1">
        <w:rPr>
          <w:rFonts w:ascii="Arial" w:hAnsi="Arial" w:cs="Arial"/>
          <w:sz w:val="24"/>
          <w:szCs w:val="24"/>
        </w:rPr>
        <w:t xml:space="preserve"> means the act of </w:t>
      </w:r>
      <w:r w:rsidRPr="00B61FF1">
        <w:rPr>
          <w:rFonts w:ascii="Arial" w:hAnsi="Arial" w:cs="Arial"/>
          <w:strike/>
          <w:sz w:val="24"/>
          <w:szCs w:val="24"/>
        </w:rPr>
        <w:t>entering</w:t>
      </w:r>
      <w:r w:rsidR="007F76A5" w:rsidRPr="00B61FF1">
        <w:rPr>
          <w:rFonts w:ascii="Arial" w:hAnsi="Arial" w:cs="Arial"/>
          <w:sz w:val="24"/>
          <w:szCs w:val="24"/>
          <w:u w:val="single"/>
        </w:rPr>
        <w:t xml:space="preserve">assigning </w:t>
      </w:r>
      <w:r w:rsidRPr="00B61FF1">
        <w:rPr>
          <w:rFonts w:ascii="Arial" w:hAnsi="Arial" w:cs="Arial"/>
          <w:sz w:val="24"/>
          <w:szCs w:val="24"/>
        </w:rPr>
        <w:t xml:space="preserve"> the serial number of a compliance instrument into an account.</w:t>
      </w:r>
    </w:p>
    <w:p w14:paraId="2C5D7B6E"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color w:val="000000"/>
          <w:sz w:val="24"/>
          <w:szCs w:val="24"/>
        </w:rPr>
        <w:t>(</w:t>
      </w:r>
      <w:r w:rsidR="001D745B" w:rsidRPr="00B61FF1">
        <w:rPr>
          <w:rFonts w:ascii="Arial" w:hAnsi="Arial" w:cs="Arial"/>
          <w:sz w:val="24"/>
          <w:szCs w:val="24"/>
        </w:rPr>
        <w:t>24</w:t>
      </w:r>
      <w:r w:rsidR="00483366" w:rsidRPr="00B61FF1">
        <w:rPr>
          <w:rFonts w:ascii="Arial" w:hAnsi="Arial" w:cs="Arial"/>
          <w:sz w:val="24"/>
          <w:szCs w:val="24"/>
        </w:rPr>
        <w:t>2</w:t>
      </w:r>
      <w:r w:rsidRPr="00B61FF1">
        <w:rPr>
          <w:rFonts w:ascii="Arial" w:hAnsi="Arial" w:cs="Arial"/>
          <w:color w:val="000000"/>
          <w:sz w:val="24"/>
          <w:szCs w:val="24"/>
        </w:rPr>
        <w:t xml:space="preserve">) </w:t>
      </w:r>
      <w:r w:rsidR="00CD4B45" w:rsidRPr="00B61FF1">
        <w:rPr>
          <w:rFonts w:ascii="Arial" w:hAnsi="Arial" w:cs="Arial"/>
          <w:color w:val="000000"/>
          <w:sz w:val="24"/>
          <w:szCs w:val="24"/>
        </w:rPr>
        <w:tab/>
      </w:r>
      <w:r w:rsidR="00CD4B45" w:rsidRPr="00B61FF1">
        <w:rPr>
          <w:rFonts w:ascii="Arial" w:hAnsi="Arial" w:cs="Arial"/>
          <w:sz w:val="24"/>
          <w:szCs w:val="24"/>
        </w:rPr>
        <w:t>“</w:t>
      </w:r>
      <w:r w:rsidRPr="00B61FF1">
        <w:rPr>
          <w:rFonts w:ascii="Arial" w:hAnsi="Arial" w:cs="Arial"/>
          <w:sz w:val="24"/>
          <w:szCs w:val="24"/>
        </w:rPr>
        <w:t xml:space="preserve">Registrant” </w:t>
      </w:r>
      <w:r w:rsidR="005D1854" w:rsidRPr="00B61FF1">
        <w:rPr>
          <w:rFonts w:ascii="Arial" w:hAnsi="Arial" w:cs="Arial"/>
          <w:sz w:val="24"/>
          <w:szCs w:val="24"/>
        </w:rPr>
        <w:t xml:space="preserve">or “Registered Entity” means </w:t>
      </w:r>
      <w:r w:rsidRPr="00B61FF1">
        <w:rPr>
          <w:rFonts w:ascii="Arial" w:hAnsi="Arial" w:cs="Arial"/>
          <w:sz w:val="24"/>
          <w:szCs w:val="24"/>
        </w:rPr>
        <w:t>an entity that has completed the process for registration.</w:t>
      </w:r>
    </w:p>
    <w:p w14:paraId="1954F4C5" w14:textId="125DA5C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24</w:t>
      </w:r>
      <w:r w:rsidR="00483366" w:rsidRPr="00B61FF1">
        <w:rPr>
          <w:rFonts w:ascii="Arial" w:hAnsi="Arial" w:cs="Arial"/>
          <w:sz w:val="24"/>
          <w:szCs w:val="24"/>
        </w:rPr>
        <w:t>3</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“Registry Offset Credit” means a credit issued by an Offset Project Registry for a GHG reduction or GHG removal enhance</w:t>
      </w:r>
      <w:r w:rsidR="00DC2E0C" w:rsidRPr="00B61FF1">
        <w:rPr>
          <w:rFonts w:ascii="Arial" w:hAnsi="Arial" w:cs="Arial"/>
          <w:sz w:val="24"/>
          <w:szCs w:val="24"/>
        </w:rPr>
        <w:t>ment of one metric ton of CO</w:t>
      </w:r>
      <w:r w:rsidR="00DC2E0C" w:rsidRPr="00B61FF1">
        <w:rPr>
          <w:rFonts w:ascii="Arial" w:hAnsi="Arial" w:cs="Arial"/>
          <w:sz w:val="24"/>
          <w:szCs w:val="24"/>
          <w:vertAlign w:val="subscript"/>
        </w:rPr>
        <w:t>2</w:t>
      </w:r>
      <w:r w:rsidR="00DC2E0C" w:rsidRPr="00B61FF1">
        <w:rPr>
          <w:rFonts w:ascii="Arial" w:hAnsi="Arial" w:cs="Arial"/>
          <w:sz w:val="24"/>
          <w:szCs w:val="24"/>
        </w:rPr>
        <w:t xml:space="preserve">e. </w:t>
      </w:r>
      <w:r w:rsidRPr="00B61FF1">
        <w:rPr>
          <w:rFonts w:ascii="Arial" w:hAnsi="Arial" w:cs="Arial"/>
          <w:sz w:val="24"/>
          <w:szCs w:val="24"/>
        </w:rPr>
        <w:t xml:space="preserve"> The GHG reduction or GHG removal enhancement must be real, additional, quantifiable, permanent, verifiable, and enforceable and may only be issued for offset projects using Compliance Offset Protocols.</w:t>
      </w:r>
      <w:r w:rsidR="00DF17CA" w:rsidRPr="00B61FF1">
        <w:rPr>
          <w:rFonts w:ascii="Arial" w:hAnsi="Arial" w:cs="Arial"/>
          <w:sz w:val="24"/>
          <w:szCs w:val="24"/>
        </w:rPr>
        <w:t xml:space="preserve">  Pursuant to section 95981.1</w:t>
      </w:r>
      <w:r w:rsidR="00565747" w:rsidRPr="00B61FF1">
        <w:rPr>
          <w:rFonts w:ascii="Arial" w:hAnsi="Arial" w:cs="Arial"/>
          <w:sz w:val="24"/>
          <w:szCs w:val="24"/>
        </w:rPr>
        <w:t>,</w:t>
      </w:r>
      <w:r w:rsidR="00DF17CA" w:rsidRPr="00B61FF1">
        <w:rPr>
          <w:rFonts w:ascii="Arial" w:hAnsi="Arial" w:cs="Arial"/>
          <w:sz w:val="24"/>
          <w:szCs w:val="24"/>
        </w:rPr>
        <w:t xml:space="preserve"> ARB may determine that a regis</w:t>
      </w:r>
      <w:r w:rsidR="00BA303A" w:rsidRPr="00B61FF1">
        <w:rPr>
          <w:rFonts w:ascii="Arial" w:hAnsi="Arial" w:cs="Arial"/>
          <w:sz w:val="24"/>
          <w:szCs w:val="24"/>
        </w:rPr>
        <w:t>try offset credit may be removed</w:t>
      </w:r>
      <w:r w:rsidR="00AE5C67" w:rsidRPr="00B61FF1">
        <w:rPr>
          <w:rFonts w:ascii="Arial" w:hAnsi="Arial" w:cs="Arial"/>
          <w:sz w:val="24"/>
          <w:szCs w:val="24"/>
          <w:u w:val="single"/>
        </w:rPr>
        <w:t>, retired, or cancelled from the Offset Project Registry system</w:t>
      </w:r>
      <w:r w:rsidR="00DF17CA" w:rsidRPr="00B61FF1">
        <w:rPr>
          <w:rFonts w:ascii="Arial" w:hAnsi="Arial" w:cs="Arial"/>
          <w:sz w:val="24"/>
          <w:szCs w:val="24"/>
        </w:rPr>
        <w:t xml:space="preserve"> and issued as an ARB offset credit.</w:t>
      </w:r>
    </w:p>
    <w:p w14:paraId="6B3ED9D1"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24</w:t>
      </w:r>
      <w:r w:rsidR="00483366"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“Registry Services” means all services provided by an ARB approved Offset Project Registry in section 95987.</w:t>
      </w:r>
    </w:p>
    <w:p w14:paraId="6537263A"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24</w:t>
      </w:r>
      <w:r w:rsidR="00483366"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“Renewable </w:t>
      </w:r>
      <w:r w:rsidR="00294F64" w:rsidRPr="00B61FF1">
        <w:rPr>
          <w:rFonts w:ascii="Arial" w:hAnsi="Arial" w:cs="Arial"/>
          <w:sz w:val="24"/>
          <w:szCs w:val="24"/>
        </w:rPr>
        <w:t>E</w:t>
      </w:r>
      <w:r w:rsidRPr="00B61FF1">
        <w:rPr>
          <w:rFonts w:ascii="Arial" w:hAnsi="Arial" w:cs="Arial"/>
          <w:sz w:val="24"/>
          <w:szCs w:val="24"/>
        </w:rPr>
        <w:t xml:space="preserve">nergy” means energy from sources that constantly renew themselves or that are regarded as practically inexhaustible.  Renewable energy includes energy derived from solar, wind, </w:t>
      </w:r>
      <w:r w:rsidRPr="00B61FF1">
        <w:rPr>
          <w:rFonts w:ascii="Arial" w:hAnsi="Arial" w:cs="Arial"/>
          <w:sz w:val="24"/>
          <w:szCs w:val="24"/>
        </w:rPr>
        <w:lastRenderedPageBreak/>
        <w:t>geothermal, hydroelectric, wood, biomass, tidal power, sea currents, and ocean thermal gradients.</w:t>
      </w:r>
    </w:p>
    <w:p w14:paraId="0FC2704A"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2C06E4" w:rsidRPr="00B61FF1">
        <w:rPr>
          <w:rFonts w:ascii="Arial" w:hAnsi="Arial" w:cs="Arial"/>
          <w:sz w:val="24"/>
          <w:szCs w:val="24"/>
        </w:rPr>
        <w:t>4</w:t>
      </w:r>
      <w:r w:rsidR="00483366" w:rsidRPr="00B61FF1">
        <w:rPr>
          <w:rFonts w:ascii="Arial" w:hAnsi="Arial" w:cs="Arial"/>
          <w:sz w:val="24"/>
          <w:szCs w:val="24"/>
        </w:rPr>
        <w:t>6</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“Renewable Energy Credit” or “REC” means a certificate of proof, issued through the accounting system established by the California Energy Commission pursuant to Public Utilities Code Section 399.13, that one megawatt hour of electricity was generated and delivered by an eligible renewable energy resource.  As specified in Public Utilities Code Section 399.12, Subdivision (g)(2), a REC includes all renewable and environmental attributes associated with the production of electricity from an eligible renewable energy resource, except for an emissions reduction credit issued pursuant to Section 40709 of the Health and Safety Code and any credits or payments associated with the reduction of solid waste and treatment benefits created by the utilization of biomass or biogas fuels.</w:t>
      </w:r>
    </w:p>
    <w:p w14:paraId="315A8BF8"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2C06E4" w:rsidRPr="00B61FF1">
        <w:rPr>
          <w:rFonts w:ascii="Arial" w:hAnsi="Arial" w:cs="Arial"/>
          <w:sz w:val="24"/>
          <w:szCs w:val="24"/>
        </w:rPr>
        <w:t>24</w:t>
      </w:r>
      <w:r w:rsidR="00483366" w:rsidRPr="00B61FF1">
        <w:rPr>
          <w:rFonts w:ascii="Arial" w:hAnsi="Arial" w:cs="Arial"/>
          <w:sz w:val="24"/>
          <w:szCs w:val="24"/>
        </w:rPr>
        <w:t>7</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"Renewable Liquid Fuels" means fuel ethanol, biomass-based diesel fuel, other renewable diesel fuel and other renewable fuels.</w:t>
      </w:r>
    </w:p>
    <w:p w14:paraId="79B86EB3" w14:textId="5792BA36" w:rsidR="0054122B" w:rsidRPr="00B61FF1" w:rsidRDefault="0054122B" w:rsidP="00DC2E0C">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24</w:t>
      </w:r>
      <w:r w:rsidR="00483366" w:rsidRPr="00B61FF1">
        <w:rPr>
          <w:rFonts w:ascii="Arial" w:hAnsi="Arial" w:cs="Arial"/>
          <w:sz w:val="24"/>
          <w:szCs w:val="24"/>
        </w:rPr>
        <w:t>8</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“Reporting Period” means, in the context of offsets, the period of time for which an Offset Project Operator or Authorized Project Designee quantifies and reports GHG reductions or GHG removal enhancements covered in</w:t>
      </w:r>
      <w:r w:rsidR="00DC2E0C" w:rsidRPr="00B61FF1">
        <w:rPr>
          <w:rFonts w:ascii="Arial" w:hAnsi="Arial" w:cs="Arial"/>
          <w:sz w:val="24"/>
          <w:szCs w:val="24"/>
        </w:rPr>
        <w:t xml:space="preserve"> an Offset Project Data Report. </w:t>
      </w:r>
      <w:r w:rsidRPr="00B61FF1">
        <w:rPr>
          <w:rFonts w:ascii="Arial" w:hAnsi="Arial" w:cs="Arial"/>
          <w:sz w:val="24"/>
          <w:szCs w:val="24"/>
        </w:rPr>
        <w:t xml:space="preserve"> The first reporting period for an offset project in an initial crediting period may consist of 6 to 24 consecutive months; all subsequent reporting periods in an initial crediting and all reporting periods in any renewed crediting period must consist of 12 consecutive months.</w:t>
      </w:r>
      <w:r w:rsidR="00AE5C67" w:rsidRPr="00B61FF1">
        <w:rPr>
          <w:rFonts w:ascii="Arial" w:hAnsi="Arial" w:cs="Arial"/>
          <w:sz w:val="24"/>
          <w:szCs w:val="24"/>
          <w:u w:val="single"/>
        </w:rPr>
        <w:t xml:space="preserve">  For offset projects developed using the Compliance Offset Protocol Ozone Depleting Substances Projects, October 20, 2011, there may only be one Reporting Period per offset project.  The Reporting Period may not be longer than 12 months and there is no minimum timeframe imposed for the Reporting Period.</w:t>
      </w:r>
    </w:p>
    <w:p w14:paraId="337BBF6A"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4973AA" w:rsidRPr="00B61FF1">
        <w:rPr>
          <w:rFonts w:ascii="Arial" w:hAnsi="Arial" w:cs="Arial"/>
          <w:sz w:val="24"/>
          <w:szCs w:val="24"/>
        </w:rPr>
        <w:t>24</w:t>
      </w:r>
      <w:r w:rsidR="00483366"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“Reporting </w:t>
      </w:r>
      <w:r w:rsidR="00294F64" w:rsidRPr="00B61FF1">
        <w:rPr>
          <w:rFonts w:ascii="Arial" w:hAnsi="Arial" w:cs="Arial"/>
          <w:sz w:val="24"/>
          <w:szCs w:val="24"/>
        </w:rPr>
        <w:t>Y</w:t>
      </w:r>
      <w:r w:rsidRPr="00B61FF1">
        <w:rPr>
          <w:rFonts w:ascii="Arial" w:hAnsi="Arial" w:cs="Arial"/>
          <w:sz w:val="24"/>
          <w:szCs w:val="24"/>
        </w:rPr>
        <w:t>ear” means data year.</w:t>
      </w:r>
    </w:p>
    <w:p w14:paraId="2D6B1F0C" w14:textId="77777777" w:rsidR="0054122B" w:rsidRPr="00B61FF1" w:rsidRDefault="00FB15DF"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483366" w:rsidRPr="00B61FF1">
        <w:rPr>
          <w:rFonts w:ascii="Arial" w:hAnsi="Arial" w:cs="Arial"/>
          <w:sz w:val="24"/>
          <w:szCs w:val="24"/>
        </w:rPr>
        <w:t>250</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 xml:space="preserve">“Reserve </w:t>
      </w:r>
      <w:r w:rsidR="00294F64" w:rsidRPr="00B61FF1">
        <w:rPr>
          <w:rFonts w:ascii="Arial" w:hAnsi="Arial" w:cs="Arial"/>
          <w:sz w:val="24"/>
          <w:szCs w:val="24"/>
        </w:rPr>
        <w:t>P</w:t>
      </w:r>
      <w:r w:rsidR="00BA303A" w:rsidRPr="00B61FF1">
        <w:rPr>
          <w:rFonts w:ascii="Arial" w:hAnsi="Arial" w:cs="Arial"/>
          <w:sz w:val="24"/>
          <w:szCs w:val="24"/>
        </w:rPr>
        <w:t>rice” see “Auction Reserve P</w:t>
      </w:r>
      <w:r w:rsidR="0054122B" w:rsidRPr="00B61FF1">
        <w:rPr>
          <w:rFonts w:ascii="Arial" w:hAnsi="Arial" w:cs="Arial"/>
          <w:sz w:val="24"/>
          <w:szCs w:val="24"/>
        </w:rPr>
        <w:t>rice.”</w:t>
      </w:r>
    </w:p>
    <w:p w14:paraId="0192EB86"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w:t>
      </w:r>
      <w:r w:rsidR="00483366" w:rsidRPr="00B61FF1">
        <w:rPr>
          <w:rFonts w:ascii="Arial" w:hAnsi="Arial" w:cs="Arial"/>
          <w:sz w:val="24"/>
          <w:szCs w:val="24"/>
        </w:rPr>
        <w:t>51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“Reserve Sale Administrator” means the operator of sales from the Allowance Price</w:t>
      </w:r>
      <w:r w:rsidR="00BA303A" w:rsidRPr="00B61FF1">
        <w:rPr>
          <w:rFonts w:ascii="Arial" w:hAnsi="Arial" w:cs="Arial"/>
          <w:sz w:val="24"/>
          <w:szCs w:val="24"/>
        </w:rPr>
        <w:t xml:space="preserve"> Containment R</w:t>
      </w:r>
      <w:r w:rsidRPr="00B61FF1">
        <w:rPr>
          <w:rFonts w:ascii="Arial" w:hAnsi="Arial" w:cs="Arial"/>
          <w:sz w:val="24"/>
          <w:szCs w:val="24"/>
        </w:rPr>
        <w:t>eserve account, which may be the Executive Officer or an entity designated by the Executive Officer.</w:t>
      </w:r>
    </w:p>
    <w:p w14:paraId="7C623730" w14:textId="1D82BEE6" w:rsidR="0054122B" w:rsidRPr="00B61FF1" w:rsidRDefault="0054122B" w:rsidP="00942A88">
      <w:pPr>
        <w:tabs>
          <w:tab w:val="left" w:pos="990"/>
          <w:tab w:val="left" w:pos="1080"/>
          <w:tab w:val="left" w:pos="1440"/>
          <w:tab w:val="left" w:pos="3780"/>
        </w:tabs>
        <w:spacing w:line="360" w:lineRule="auto"/>
        <w:ind w:left="1080" w:hanging="720"/>
        <w:rPr>
          <w:rFonts w:ascii="Arial" w:hAnsi="Arial" w:cs="Arial"/>
          <w:dstrike/>
          <w:sz w:val="24"/>
          <w:szCs w:val="24"/>
        </w:rPr>
      </w:pPr>
      <w:r w:rsidRPr="00B61FF1">
        <w:rPr>
          <w:rFonts w:ascii="Arial" w:hAnsi="Arial" w:cs="Arial"/>
          <w:sz w:val="24"/>
          <w:szCs w:val="24"/>
        </w:rPr>
        <w:t>(</w:t>
      </w:r>
      <w:r w:rsidR="002C06E4" w:rsidRPr="00B61FF1">
        <w:rPr>
          <w:rFonts w:ascii="Arial" w:hAnsi="Arial" w:cs="Arial"/>
          <w:sz w:val="24"/>
          <w:szCs w:val="24"/>
        </w:rPr>
        <w:t>25</w:t>
      </w:r>
      <w:r w:rsidR="00483366" w:rsidRPr="00B61FF1">
        <w:rPr>
          <w:rFonts w:ascii="Arial" w:hAnsi="Arial" w:cs="Arial"/>
          <w:sz w:val="24"/>
          <w:szCs w:val="24"/>
        </w:rPr>
        <w:t>2</w:t>
      </w:r>
      <w:r w:rsidRPr="00B61FF1">
        <w:rPr>
          <w:rFonts w:ascii="Arial" w:hAnsi="Arial" w:cs="Arial"/>
          <w:sz w:val="24"/>
          <w:szCs w:val="24"/>
        </w:rPr>
        <w:t>)</w:t>
      </w:r>
      <w:r w:rsidR="00DC2E0C" w:rsidRPr="00B61FF1">
        <w:rPr>
          <w:rFonts w:ascii="Arial" w:hAnsi="Arial" w:cs="Arial"/>
          <w:sz w:val="24"/>
          <w:szCs w:val="24"/>
        </w:rPr>
        <w:tab/>
      </w:r>
      <w:r w:rsidR="00CD4B45" w:rsidRPr="00B61FF1">
        <w:rPr>
          <w:rFonts w:ascii="Arial" w:hAnsi="Arial" w:cs="Arial"/>
          <w:sz w:val="24"/>
          <w:szCs w:val="24"/>
        </w:rPr>
        <w:tab/>
      </w:r>
      <w:r w:rsidRPr="00B61FF1">
        <w:rPr>
          <w:rFonts w:ascii="Arial" w:hAnsi="Arial" w:cs="Arial"/>
          <w:sz w:val="24"/>
          <w:szCs w:val="24"/>
        </w:rPr>
        <w:t xml:space="preserve">“Resource Shuffling” means any plan, scheme, or artifice </w:t>
      </w:r>
      <w:r w:rsidR="00D72E3C" w:rsidRPr="00B61FF1">
        <w:rPr>
          <w:rFonts w:ascii="Arial" w:hAnsi="Arial" w:cs="Arial"/>
          <w:strike/>
          <w:sz w:val="24"/>
          <w:szCs w:val="24"/>
        </w:rPr>
        <w:t xml:space="preserve">to receive credit based on emissions reductions that have not occurred, </w:t>
      </w:r>
      <w:r w:rsidRPr="00B61FF1">
        <w:rPr>
          <w:rFonts w:ascii="Arial" w:hAnsi="Arial" w:cs="Arial"/>
          <w:strike/>
          <w:sz w:val="24"/>
          <w:szCs w:val="24"/>
        </w:rPr>
        <w:t>involving the delivery of electricity to the California grid</w:t>
      </w:r>
      <w:r w:rsidR="005A4E98" w:rsidRPr="00B61FF1">
        <w:rPr>
          <w:rFonts w:ascii="Arial" w:hAnsi="Arial" w:cs="Arial"/>
          <w:sz w:val="24"/>
          <w:szCs w:val="24"/>
        </w:rPr>
        <w:t xml:space="preserve"> </w:t>
      </w:r>
      <w:r w:rsidR="005A4E98" w:rsidRPr="00B61FF1">
        <w:rPr>
          <w:rFonts w:ascii="Arial" w:hAnsi="Arial" w:cs="Arial"/>
          <w:sz w:val="24"/>
          <w:szCs w:val="24"/>
          <w:u w:val="single"/>
        </w:rPr>
        <w:t>undertaken by a First Deliverer of Electricity to substitute electricity deliveries from sources with relatively lower emissions for electricity deliveries from sources with relatively  higher emissions resources to reduce its emissions compliance obligation.  Resource shuffling does not include substitution of electricity deliveries from sources with relatively lower emissions for electricity deliveries from sources with relatively  higher emissions resources when the substitution occurs pursuant to</w:t>
      </w:r>
      <w:r w:rsidR="00054959" w:rsidRPr="00B61FF1">
        <w:rPr>
          <w:rFonts w:ascii="Arial" w:hAnsi="Arial" w:cs="Arial"/>
          <w:sz w:val="24"/>
          <w:szCs w:val="24"/>
          <w:u w:val="single"/>
        </w:rPr>
        <w:t xml:space="preserve"> the</w:t>
      </w:r>
      <w:r w:rsidR="005A4E98" w:rsidRPr="00B61FF1">
        <w:rPr>
          <w:rFonts w:ascii="Arial" w:hAnsi="Arial" w:cs="Arial"/>
          <w:sz w:val="24"/>
          <w:szCs w:val="24"/>
          <w:u w:val="single"/>
        </w:rPr>
        <w:t xml:space="preserve"> conditions listed in section 95852(b)(2)(A)</w:t>
      </w:r>
      <w:r w:rsidR="00734726" w:rsidRPr="00B61FF1">
        <w:rPr>
          <w:rFonts w:ascii="Arial" w:hAnsi="Arial" w:cs="Arial"/>
          <w:sz w:val="24"/>
          <w:szCs w:val="24"/>
        </w:rPr>
        <w:t>.</w:t>
      </w:r>
    </w:p>
    <w:p w14:paraId="5EEC1F87"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2C06E4" w:rsidRPr="00B61FF1">
        <w:rPr>
          <w:rFonts w:ascii="Arial" w:hAnsi="Arial" w:cs="Arial"/>
          <w:sz w:val="24"/>
          <w:szCs w:val="24"/>
        </w:rPr>
        <w:t>5</w:t>
      </w:r>
      <w:r w:rsidR="00483366"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“Retail </w:t>
      </w:r>
      <w:r w:rsidR="00294F64" w:rsidRPr="00B61FF1">
        <w:rPr>
          <w:rFonts w:ascii="Arial" w:hAnsi="Arial" w:cs="Arial"/>
          <w:sz w:val="24"/>
          <w:szCs w:val="24"/>
        </w:rPr>
        <w:t>P</w:t>
      </w:r>
      <w:r w:rsidRPr="00B61FF1">
        <w:rPr>
          <w:rFonts w:ascii="Arial" w:hAnsi="Arial" w:cs="Arial"/>
          <w:sz w:val="24"/>
          <w:szCs w:val="24"/>
        </w:rPr>
        <w:t>rovider” means an entity that provides electricity to retail end users in California and is an electric</w:t>
      </w:r>
      <w:r w:rsidR="0038067E" w:rsidRPr="00B61FF1">
        <w:rPr>
          <w:rFonts w:ascii="Arial" w:hAnsi="Arial" w:cs="Arial"/>
          <w:sz w:val="24"/>
          <w:szCs w:val="24"/>
        </w:rPr>
        <w:t>al</w:t>
      </w:r>
      <w:r w:rsidRPr="00B61FF1">
        <w:rPr>
          <w:rFonts w:ascii="Arial" w:hAnsi="Arial" w:cs="Arial"/>
          <w:sz w:val="24"/>
          <w:szCs w:val="24"/>
        </w:rPr>
        <w:t xml:space="preserve"> corporation as defined in Public Utilities Code section 218, electric service provider as defined in Public Utilities Code section 218.3, local publicly owned electric utility as defined in Public Utilities Code section 224.3, a community choice aggregator as defined in Public Utilities Code section 331.1, or the Western Area Power Administration.  For purposes of this article, electrical cooperatives, as defined by Public Utilities Code section 2776, are excluded</w:t>
      </w:r>
      <w:r w:rsidRPr="00B61FF1">
        <w:rPr>
          <w:rFonts w:ascii="Arial" w:hAnsi="Arial" w:cs="Arial"/>
        </w:rPr>
        <w:t>.</w:t>
      </w:r>
    </w:p>
    <w:p w14:paraId="2382636C" w14:textId="77777777" w:rsidR="0054122B" w:rsidRPr="00B61FF1" w:rsidRDefault="0054122B" w:rsidP="0002722D">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25</w:t>
      </w:r>
      <w:r w:rsidR="00483366" w:rsidRPr="00B61FF1">
        <w:rPr>
          <w:rFonts w:ascii="Arial" w:hAnsi="Arial" w:cs="Arial"/>
          <w:sz w:val="24"/>
          <w:szCs w:val="24"/>
        </w:rPr>
        <w:t>4</w:t>
      </w:r>
      <w:r w:rsidRPr="00B61FF1">
        <w:rPr>
          <w:rFonts w:ascii="Arial" w:hAnsi="Arial" w:cs="Arial"/>
          <w:sz w:val="24"/>
          <w:szCs w:val="24"/>
        </w:rPr>
        <w:t xml:space="preserve">) </w:t>
      </w:r>
      <w:r w:rsidR="00CD4B45" w:rsidRPr="00B61FF1">
        <w:rPr>
          <w:rFonts w:ascii="Arial" w:hAnsi="Arial" w:cs="Arial"/>
          <w:sz w:val="24"/>
          <w:szCs w:val="24"/>
        </w:rPr>
        <w:tab/>
      </w:r>
      <w:r w:rsidR="0002722D" w:rsidRPr="00B61FF1">
        <w:rPr>
          <w:rFonts w:ascii="Arial" w:hAnsi="Arial" w:cs="Arial"/>
          <w:sz w:val="24"/>
          <w:szCs w:val="24"/>
        </w:rPr>
        <w:t xml:space="preserve">“Retire” or “Retired” or “Retirement” means that the serial number for a compliance instrument is registered into the Retirement Account under the control of the Executive Officer.  Compliance instruments registered into this account cannot be removed. </w:t>
      </w:r>
    </w:p>
    <w:p w14:paraId="5C2CF6DB" w14:textId="77777777" w:rsidR="0054122B" w:rsidRPr="00B61FF1" w:rsidRDefault="0054122B" w:rsidP="00DC2E0C">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25</w:t>
      </w:r>
      <w:r w:rsidR="00483366"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“Reversal” means a GHG emission reduction or GHG removal enhancement for which an ARB offset credit or </w:t>
      </w:r>
      <w:r w:rsidR="00DC2E0C" w:rsidRPr="00B61FF1">
        <w:rPr>
          <w:rFonts w:ascii="Arial" w:hAnsi="Arial" w:cs="Arial"/>
          <w:sz w:val="24"/>
          <w:szCs w:val="24"/>
        </w:rPr>
        <w:t>r</w:t>
      </w:r>
      <w:r w:rsidRPr="00B61FF1">
        <w:rPr>
          <w:rFonts w:ascii="Arial" w:hAnsi="Arial" w:cs="Arial"/>
          <w:sz w:val="24"/>
          <w:szCs w:val="24"/>
        </w:rPr>
        <w:t xml:space="preserve">egistry </w:t>
      </w:r>
      <w:r w:rsidR="00DC2E0C" w:rsidRPr="00B61FF1">
        <w:rPr>
          <w:rFonts w:ascii="Arial" w:hAnsi="Arial" w:cs="Arial"/>
          <w:sz w:val="24"/>
          <w:szCs w:val="24"/>
        </w:rPr>
        <w:t>o</w:t>
      </w:r>
      <w:r w:rsidRPr="00B61FF1">
        <w:rPr>
          <w:rFonts w:ascii="Arial" w:hAnsi="Arial" w:cs="Arial"/>
          <w:sz w:val="24"/>
          <w:szCs w:val="24"/>
        </w:rPr>
        <w:t xml:space="preserve">ffset </w:t>
      </w:r>
      <w:r w:rsidR="00DC2E0C" w:rsidRPr="00B61FF1">
        <w:rPr>
          <w:rFonts w:ascii="Arial" w:hAnsi="Arial" w:cs="Arial"/>
          <w:sz w:val="24"/>
          <w:szCs w:val="24"/>
        </w:rPr>
        <w:t>c</w:t>
      </w:r>
      <w:r w:rsidRPr="00B61FF1">
        <w:rPr>
          <w:rFonts w:ascii="Arial" w:hAnsi="Arial" w:cs="Arial"/>
          <w:sz w:val="24"/>
          <w:szCs w:val="24"/>
        </w:rPr>
        <w:t>redit has been issued that is subsequently released or emitted back into the atmosphere due to any intentional or unintentional circumstance.</w:t>
      </w:r>
    </w:p>
    <w:p w14:paraId="44071A7B"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25</w:t>
      </w:r>
      <w:r w:rsidR="00483366" w:rsidRPr="00B61FF1">
        <w:rPr>
          <w:rFonts w:ascii="Arial" w:hAnsi="Arial" w:cs="Arial"/>
          <w:sz w:val="24"/>
          <w:szCs w:val="24"/>
        </w:rPr>
        <w:t>6</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“Sector” or “</w:t>
      </w:r>
      <w:r w:rsidR="00294F64" w:rsidRPr="00B61FF1">
        <w:rPr>
          <w:rFonts w:ascii="Arial" w:hAnsi="Arial" w:cs="Arial"/>
          <w:sz w:val="24"/>
          <w:szCs w:val="24"/>
        </w:rPr>
        <w:t>S</w:t>
      </w:r>
      <w:r w:rsidRPr="00B61FF1">
        <w:rPr>
          <w:rFonts w:ascii="Arial" w:hAnsi="Arial" w:cs="Arial"/>
          <w:sz w:val="24"/>
          <w:szCs w:val="24"/>
        </w:rPr>
        <w:t>ectoral,” when used in conjunction with sector-based crediting programs, means a group or subgroup of an economic activity, or a group or cross-section of a group of economic activities, within a jurisdiction.</w:t>
      </w:r>
    </w:p>
    <w:p w14:paraId="5F8FC23D" w14:textId="77777777" w:rsidR="0054122B" w:rsidRPr="00B61FF1" w:rsidRDefault="0054122B" w:rsidP="00DC2E0C">
      <w:pPr>
        <w:tabs>
          <w:tab w:val="left" w:pos="3780"/>
        </w:tabs>
        <w:spacing w:line="360" w:lineRule="auto"/>
        <w:ind w:left="1080" w:hanging="720"/>
        <w:rPr>
          <w:rFonts w:ascii="Arial" w:eastAsia="MS Mincho" w:hAnsi="Arial" w:cs="Arial"/>
          <w:sz w:val="24"/>
          <w:szCs w:val="24"/>
          <w:lang w:eastAsia="ja-JP"/>
        </w:rPr>
      </w:pPr>
      <w:r w:rsidRPr="00B61FF1">
        <w:rPr>
          <w:rFonts w:ascii="Arial" w:hAnsi="Arial" w:cs="Arial"/>
          <w:sz w:val="24"/>
          <w:szCs w:val="24"/>
        </w:rPr>
        <w:t>(</w:t>
      </w:r>
      <w:r w:rsidR="001D745B" w:rsidRPr="00B61FF1">
        <w:rPr>
          <w:rFonts w:ascii="Arial" w:hAnsi="Arial" w:cs="Arial"/>
          <w:sz w:val="24"/>
          <w:szCs w:val="24"/>
        </w:rPr>
        <w:t>25</w:t>
      </w:r>
      <w:r w:rsidR="00483366"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“Sector-</w:t>
      </w:r>
      <w:r w:rsidR="00294F64" w:rsidRPr="00B61FF1">
        <w:rPr>
          <w:rFonts w:ascii="Arial" w:hAnsi="Arial" w:cs="Arial"/>
          <w:sz w:val="24"/>
          <w:szCs w:val="24"/>
        </w:rPr>
        <w:t>B</w:t>
      </w:r>
      <w:r w:rsidRPr="00B61FF1">
        <w:rPr>
          <w:rFonts w:ascii="Arial" w:hAnsi="Arial" w:cs="Arial"/>
          <w:sz w:val="24"/>
          <w:szCs w:val="24"/>
        </w:rPr>
        <w:t xml:space="preserve">ased </w:t>
      </w:r>
      <w:r w:rsidR="00294F64" w:rsidRPr="00B61FF1">
        <w:rPr>
          <w:rFonts w:ascii="Arial" w:hAnsi="Arial" w:cs="Arial"/>
          <w:sz w:val="24"/>
          <w:szCs w:val="24"/>
        </w:rPr>
        <w:t>C</w:t>
      </w:r>
      <w:r w:rsidRPr="00B61FF1">
        <w:rPr>
          <w:rFonts w:ascii="Arial" w:hAnsi="Arial" w:cs="Arial"/>
          <w:sz w:val="24"/>
          <w:szCs w:val="24"/>
        </w:rPr>
        <w:t xml:space="preserve">rediting </w:t>
      </w:r>
      <w:r w:rsidR="00294F64" w:rsidRPr="00B61FF1">
        <w:rPr>
          <w:rFonts w:ascii="Arial" w:hAnsi="Arial" w:cs="Arial"/>
          <w:sz w:val="24"/>
          <w:szCs w:val="24"/>
        </w:rPr>
        <w:t>P</w:t>
      </w:r>
      <w:r w:rsidRPr="00B61FF1">
        <w:rPr>
          <w:rFonts w:ascii="Arial" w:hAnsi="Arial" w:cs="Arial"/>
          <w:sz w:val="24"/>
          <w:szCs w:val="24"/>
        </w:rPr>
        <w:t>rogram” is</w:t>
      </w:r>
      <w:r w:rsidRPr="00B61FF1">
        <w:rPr>
          <w:rFonts w:ascii="Arial" w:eastAsia="MS Mincho" w:hAnsi="Arial" w:cs="Arial"/>
          <w:sz w:val="24"/>
          <w:szCs w:val="24"/>
          <w:lang w:eastAsia="ja-JP"/>
        </w:rPr>
        <w:t xml:space="preserve"> a GHG emissions-reduction crediting mechanism established by a country, region, or subnational jurisdiction in a developing country and covering a particular economic sector within that jurisdiction.  A program’s performance is based on </w:t>
      </w:r>
      <w:r w:rsidR="00C9611B" w:rsidRPr="00B61FF1">
        <w:rPr>
          <w:rFonts w:ascii="Arial" w:eastAsia="MS Mincho" w:hAnsi="Arial" w:cs="Arial"/>
          <w:sz w:val="24"/>
          <w:szCs w:val="24"/>
          <w:lang w:eastAsia="ja-JP"/>
        </w:rPr>
        <w:t xml:space="preserve">achievement toward an emissions </w:t>
      </w:r>
      <w:r w:rsidRPr="00B61FF1">
        <w:rPr>
          <w:rFonts w:ascii="Arial" w:eastAsia="MS Mincho" w:hAnsi="Arial" w:cs="Arial"/>
          <w:sz w:val="24"/>
          <w:szCs w:val="24"/>
          <w:lang w:eastAsia="ja-JP"/>
        </w:rPr>
        <w:t>reduction target for the particular sector within the boundary of the jurisdiction.</w:t>
      </w:r>
    </w:p>
    <w:p w14:paraId="291B8B08"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25</w:t>
      </w:r>
      <w:r w:rsidR="00483366"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“Sector-</w:t>
      </w:r>
      <w:r w:rsidR="00C9611B" w:rsidRPr="00B61FF1">
        <w:rPr>
          <w:rFonts w:ascii="Arial" w:hAnsi="Arial" w:cs="Arial"/>
          <w:sz w:val="24"/>
          <w:szCs w:val="24"/>
        </w:rPr>
        <w:t>B</w:t>
      </w:r>
      <w:r w:rsidRPr="00B61FF1">
        <w:rPr>
          <w:rFonts w:ascii="Arial" w:hAnsi="Arial" w:cs="Arial"/>
          <w:sz w:val="24"/>
          <w:szCs w:val="24"/>
        </w:rPr>
        <w:t xml:space="preserve">ased </w:t>
      </w:r>
      <w:r w:rsidR="00294F64" w:rsidRPr="00B61FF1">
        <w:rPr>
          <w:rFonts w:ascii="Arial" w:hAnsi="Arial" w:cs="Arial"/>
          <w:sz w:val="24"/>
          <w:szCs w:val="24"/>
        </w:rPr>
        <w:t>O</w:t>
      </w:r>
      <w:r w:rsidRPr="00B61FF1">
        <w:rPr>
          <w:rFonts w:ascii="Arial" w:hAnsi="Arial" w:cs="Arial"/>
          <w:sz w:val="24"/>
          <w:szCs w:val="24"/>
        </w:rPr>
        <w:t xml:space="preserve">ffset </w:t>
      </w:r>
      <w:r w:rsidR="00294F64" w:rsidRPr="00B61FF1">
        <w:rPr>
          <w:rFonts w:ascii="Arial" w:hAnsi="Arial" w:cs="Arial"/>
          <w:sz w:val="24"/>
          <w:szCs w:val="24"/>
        </w:rPr>
        <w:t>C</w:t>
      </w:r>
      <w:r w:rsidRPr="00B61FF1">
        <w:rPr>
          <w:rFonts w:ascii="Arial" w:hAnsi="Arial" w:cs="Arial"/>
          <w:sz w:val="24"/>
          <w:szCs w:val="24"/>
        </w:rPr>
        <w:t>redit” means a credit issued from a sector-based crediting program once the crediting baseline for a sector has been reached.</w:t>
      </w:r>
    </w:p>
    <w:p w14:paraId="20B188D3"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25</w:t>
      </w:r>
      <w:r w:rsidR="00483366" w:rsidRPr="00B61FF1">
        <w:rPr>
          <w:rFonts w:ascii="Arial" w:hAnsi="Arial" w:cs="Arial"/>
          <w:sz w:val="24"/>
          <w:szCs w:val="24"/>
        </w:rPr>
        <w:t>9</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“Self-</w:t>
      </w:r>
      <w:r w:rsidR="00294F64" w:rsidRPr="00B61FF1">
        <w:rPr>
          <w:rFonts w:ascii="Arial" w:hAnsi="Arial" w:cs="Arial"/>
          <w:sz w:val="24"/>
          <w:szCs w:val="24"/>
        </w:rPr>
        <w:t>G</w:t>
      </w:r>
      <w:r w:rsidRPr="00B61FF1">
        <w:rPr>
          <w:rFonts w:ascii="Arial" w:hAnsi="Arial" w:cs="Arial"/>
          <w:sz w:val="24"/>
          <w:szCs w:val="24"/>
        </w:rPr>
        <w:t xml:space="preserve">eneration of </w:t>
      </w:r>
      <w:r w:rsidR="00294F64" w:rsidRPr="00B61FF1">
        <w:rPr>
          <w:rFonts w:ascii="Arial" w:hAnsi="Arial" w:cs="Arial"/>
          <w:sz w:val="24"/>
          <w:szCs w:val="24"/>
        </w:rPr>
        <w:t>E</w:t>
      </w:r>
      <w:r w:rsidRPr="00B61FF1">
        <w:rPr>
          <w:rFonts w:ascii="Arial" w:hAnsi="Arial" w:cs="Arial"/>
          <w:sz w:val="24"/>
          <w:szCs w:val="24"/>
        </w:rPr>
        <w:t>lectricity” means electricity dedicated to serving an electricity user on the same location as the generator.  The system may be operated directly by the electricity user or by an entity with a contractual arrangement.</w:t>
      </w:r>
    </w:p>
    <w:p w14:paraId="55DAD51A"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83366" w:rsidRPr="00B61FF1">
        <w:rPr>
          <w:rFonts w:ascii="Arial" w:hAnsi="Arial" w:cs="Arial"/>
          <w:sz w:val="24"/>
          <w:szCs w:val="24"/>
        </w:rPr>
        <w:t>60</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“Serial </w:t>
      </w:r>
      <w:r w:rsidR="00294F64" w:rsidRPr="00B61FF1">
        <w:rPr>
          <w:rFonts w:ascii="Arial" w:hAnsi="Arial" w:cs="Arial"/>
          <w:sz w:val="24"/>
          <w:szCs w:val="24"/>
        </w:rPr>
        <w:t>N</w:t>
      </w:r>
      <w:r w:rsidRPr="00B61FF1">
        <w:rPr>
          <w:rFonts w:ascii="Arial" w:hAnsi="Arial" w:cs="Arial"/>
          <w:sz w:val="24"/>
          <w:szCs w:val="24"/>
        </w:rPr>
        <w:t>umber” means a unique number assigned to each compliance instrument for identification.</w:t>
      </w:r>
    </w:p>
    <w:p w14:paraId="472E271A"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483366" w:rsidRPr="00B61FF1">
        <w:rPr>
          <w:rFonts w:ascii="Arial" w:hAnsi="Arial" w:cs="Arial"/>
          <w:sz w:val="24"/>
          <w:szCs w:val="24"/>
        </w:rPr>
        <w:t>61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“Sequestration” means the removal and storage of carbon from the atmosphere in GHG sinks or GHG reservoirs through physical or biological processes.</w:t>
      </w:r>
    </w:p>
    <w:p w14:paraId="509EF66C" w14:textId="77777777" w:rsidR="00483366" w:rsidRPr="00B61FF1" w:rsidRDefault="00483366" w:rsidP="00483366">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(262) </w:t>
      </w:r>
      <w:r w:rsidRPr="00B61FF1">
        <w:rPr>
          <w:rFonts w:ascii="Arial" w:hAnsi="Arial" w:cs="Arial"/>
          <w:sz w:val="24"/>
          <w:szCs w:val="24"/>
        </w:rPr>
        <w:tab/>
        <w:t>“Sink” or “sink to load” or “load sink” means the sink identified on the physical path of NERC e-Tags, where defined points have been established through the NERC Registry.  Exported electricity is disaggregated by the sink on the NERC e-Tag, also referred to as the final point of delivery on the NERC e-Tag.</w:t>
      </w:r>
    </w:p>
    <w:p w14:paraId="7D606F3D" w14:textId="77777777" w:rsidR="0054122B" w:rsidRPr="00B61FF1" w:rsidRDefault="0054122B" w:rsidP="00483366">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26</w:t>
      </w:r>
      <w:r w:rsidR="00483366" w:rsidRPr="00B61FF1">
        <w:rPr>
          <w:rFonts w:ascii="Arial" w:hAnsi="Arial" w:cs="Arial"/>
          <w:sz w:val="24"/>
          <w:szCs w:val="24"/>
        </w:rPr>
        <w:t>3</w:t>
      </w:r>
      <w:r w:rsidRPr="00B61FF1">
        <w:rPr>
          <w:rFonts w:ascii="Arial" w:hAnsi="Arial" w:cs="Arial"/>
          <w:sz w:val="24"/>
          <w:szCs w:val="24"/>
        </w:rPr>
        <w:t>)</w:t>
      </w:r>
      <w:r w:rsidR="004973AA"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"Soda Ash Equivalent" means the total mass of all soda ash, biocarb,</w:t>
      </w:r>
      <w:r w:rsidR="00C9611B" w:rsidRPr="00B61FF1">
        <w:rPr>
          <w:rFonts w:ascii="Arial" w:hAnsi="Arial" w:cs="Arial"/>
          <w:sz w:val="24"/>
          <w:szCs w:val="24"/>
        </w:rPr>
        <w:t xml:space="preserve"> </w:t>
      </w:r>
      <w:r w:rsidRPr="00B61FF1">
        <w:rPr>
          <w:rFonts w:ascii="Arial" w:hAnsi="Arial" w:cs="Arial"/>
          <w:sz w:val="24"/>
          <w:szCs w:val="24"/>
        </w:rPr>
        <w:t xml:space="preserve">borax, V-Bor, DECA, PYROBOR, Boric Acid, </w:t>
      </w:r>
      <w:r w:rsidR="00483366" w:rsidRPr="00B61FF1">
        <w:rPr>
          <w:rFonts w:ascii="Arial" w:hAnsi="Arial" w:cs="Arial"/>
          <w:sz w:val="24"/>
          <w:szCs w:val="24"/>
        </w:rPr>
        <w:t xml:space="preserve">Sodium Sulfate, Potassium Sulfate, Potassium Chloride, and Sodium Chloride </w:t>
      </w:r>
      <w:r w:rsidRPr="00B61FF1">
        <w:rPr>
          <w:rFonts w:ascii="Arial" w:hAnsi="Arial" w:cs="Arial"/>
          <w:sz w:val="24"/>
          <w:szCs w:val="24"/>
        </w:rPr>
        <w:t>produced.</w:t>
      </w:r>
    </w:p>
    <w:p w14:paraId="77986779" w14:textId="77777777" w:rsidR="0054122B" w:rsidRPr="00B61FF1" w:rsidRDefault="0054122B" w:rsidP="00DC2E0C">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26</w:t>
      </w:r>
      <w:r w:rsidR="00EB2EC7" w:rsidRPr="00B61FF1">
        <w:rPr>
          <w:rFonts w:ascii="Arial" w:hAnsi="Arial" w:cs="Arial"/>
          <w:sz w:val="24"/>
          <w:szCs w:val="24"/>
        </w:rPr>
        <w:t>4</w:t>
      </w:r>
      <w:r w:rsidRPr="00B61FF1">
        <w:rPr>
          <w:rFonts w:ascii="Arial" w:hAnsi="Arial" w:cs="Arial"/>
          <w:sz w:val="24"/>
          <w:szCs w:val="24"/>
        </w:rPr>
        <w:t>)</w:t>
      </w:r>
      <w:r w:rsidR="00CD4B45" w:rsidRPr="00B61FF1">
        <w:rPr>
          <w:rFonts w:ascii="Arial" w:hAnsi="Arial" w:cs="Arial"/>
          <w:sz w:val="24"/>
          <w:szCs w:val="24"/>
        </w:rPr>
        <w:tab/>
      </w:r>
      <w:r w:rsidR="00EE7601" w:rsidRPr="00B61FF1">
        <w:rPr>
          <w:rFonts w:ascii="Arial" w:hAnsi="Arial" w:cs="Arial"/>
          <w:sz w:val="24"/>
          <w:szCs w:val="24"/>
        </w:rPr>
        <w:t>“Solomon Energy Intensity Index</w:t>
      </w:r>
      <w:r w:rsidR="00672EAA" w:rsidRPr="00B61FF1">
        <w:rPr>
          <w:rFonts w:ascii="Arial" w:hAnsi="Arial" w:cs="Arial"/>
          <w:sz w:val="24"/>
          <w:szCs w:val="24"/>
        </w:rPr>
        <w:t>®</w:t>
      </w:r>
      <w:r w:rsidR="00EE7601" w:rsidRPr="00B61FF1">
        <w:rPr>
          <w:rFonts w:ascii="Arial" w:hAnsi="Arial" w:cs="Arial"/>
          <w:sz w:val="24"/>
          <w:szCs w:val="24"/>
        </w:rPr>
        <w:t>” or “Solomon EII” or “EII” means a petroleum refinery energy efficiency metric that compares actual energy consumption for a refinery with the “standard” energy consumption for a refinery of similar size and configuration.  The “standard” energy is calculated based on an analysis of worldwide refining capacity as contained in the database maintained by Solomon Associates.  The ratio of a facility’s actual energy to the standard energy is multiplied by 100 to arrive at the Solomon EII for a refinery.</w:t>
      </w:r>
      <w:r w:rsidR="00CC2F3B" w:rsidRPr="00B61FF1">
        <w:rPr>
          <w:rFonts w:ascii="Arial" w:hAnsi="Arial" w:cs="Arial"/>
          <w:sz w:val="24"/>
          <w:szCs w:val="24"/>
        </w:rPr>
        <w:t xml:space="preserve"> “Solomon Energy Review” means a data submittal and review conducted by a petroleum refinery and Solomon Associates.  This process uses the refinery energy utilization, throughput and output to determine the Solomon EII of the refinery. </w:t>
      </w:r>
    </w:p>
    <w:p w14:paraId="2CC697F3"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26</w:t>
      </w:r>
      <w:r w:rsidR="00EB2EC7"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“Source” means greenhouse gas source; </w:t>
      </w:r>
      <w:r w:rsidR="00C9611B" w:rsidRPr="00B61FF1">
        <w:rPr>
          <w:rFonts w:ascii="Arial" w:hAnsi="Arial" w:cs="Arial"/>
          <w:sz w:val="24"/>
          <w:szCs w:val="24"/>
        </w:rPr>
        <w:t xml:space="preserve">or </w:t>
      </w:r>
      <w:r w:rsidRPr="00B61FF1">
        <w:rPr>
          <w:rFonts w:ascii="Arial" w:hAnsi="Arial" w:cs="Arial"/>
          <w:sz w:val="24"/>
          <w:szCs w:val="24"/>
        </w:rPr>
        <w:t>any physical unit, process, or other use or activity that releases a greenhouse gas into the atmosphere.</w:t>
      </w:r>
    </w:p>
    <w:p w14:paraId="59C01D04" w14:textId="77777777" w:rsidR="00EB2EC7" w:rsidRPr="00B61FF1" w:rsidRDefault="00EB2EC7" w:rsidP="00EB2EC7">
      <w:pPr>
        <w:tabs>
          <w:tab w:val="left" w:pos="3780"/>
        </w:tabs>
        <w:spacing w:line="360" w:lineRule="auto"/>
        <w:ind w:left="1080" w:hanging="720"/>
        <w:rPr>
          <w:rFonts w:ascii="Arial" w:hAnsi="Arial" w:cs="Arial"/>
          <w:sz w:val="24"/>
          <w:szCs w:val="24"/>
        </w:rPr>
      </w:pPr>
      <w:r w:rsidRPr="00B61FF1">
        <w:rPr>
          <w:rFonts w:ascii="Arial" w:hAnsi="Arial" w:cs="Arial"/>
          <w:sz w:val="24"/>
          <w:szCs w:val="24"/>
        </w:rPr>
        <w:t xml:space="preserve">(266) </w:t>
      </w:r>
      <w:r w:rsidRPr="00B61FF1">
        <w:rPr>
          <w:rFonts w:ascii="Arial" w:hAnsi="Arial" w:cs="Arial"/>
          <w:sz w:val="24"/>
          <w:szCs w:val="24"/>
        </w:rPr>
        <w:tab/>
        <w:t>“Source of generation” or “generation source” means the generation source identified on the physical path of NERC e-Tags, where defined points have been established through the NERC Registry. Imported electricity and wheels are disaggregated by the source on the NERC e-Tag, also referred to as the first point of receipt.</w:t>
      </w:r>
    </w:p>
    <w:p w14:paraId="3A261731"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26</w:t>
      </w:r>
      <w:r w:rsidR="00EB2EC7"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“Specified </w:t>
      </w:r>
      <w:r w:rsidR="00D26033" w:rsidRPr="00B61FF1">
        <w:rPr>
          <w:rFonts w:ascii="Arial" w:hAnsi="Arial" w:cs="Arial"/>
          <w:sz w:val="24"/>
          <w:szCs w:val="24"/>
        </w:rPr>
        <w:t>S</w:t>
      </w:r>
      <w:r w:rsidR="00DC2E0C" w:rsidRPr="00B61FF1">
        <w:rPr>
          <w:rFonts w:ascii="Arial" w:hAnsi="Arial" w:cs="Arial"/>
          <w:sz w:val="24"/>
          <w:szCs w:val="24"/>
        </w:rPr>
        <w:t xml:space="preserve">ource of </w:t>
      </w:r>
      <w:r w:rsidR="00D26033" w:rsidRPr="00B61FF1">
        <w:rPr>
          <w:rFonts w:ascii="Arial" w:hAnsi="Arial" w:cs="Arial"/>
          <w:sz w:val="24"/>
          <w:szCs w:val="24"/>
        </w:rPr>
        <w:t>E</w:t>
      </w:r>
      <w:r w:rsidRPr="00B61FF1">
        <w:rPr>
          <w:rFonts w:ascii="Arial" w:hAnsi="Arial" w:cs="Arial"/>
          <w:sz w:val="24"/>
          <w:szCs w:val="24"/>
        </w:rPr>
        <w:t>lectricity” or “</w:t>
      </w:r>
      <w:r w:rsidR="00D26033" w:rsidRPr="00B61FF1">
        <w:rPr>
          <w:rFonts w:ascii="Arial" w:hAnsi="Arial" w:cs="Arial"/>
          <w:sz w:val="24"/>
          <w:szCs w:val="24"/>
        </w:rPr>
        <w:t>S</w:t>
      </w:r>
      <w:r w:rsidRPr="00B61FF1">
        <w:rPr>
          <w:rFonts w:ascii="Arial" w:hAnsi="Arial" w:cs="Arial"/>
          <w:sz w:val="24"/>
          <w:szCs w:val="24"/>
        </w:rPr>
        <w:t xml:space="preserve">pecified </w:t>
      </w:r>
      <w:r w:rsidR="00D26033" w:rsidRPr="00B61FF1">
        <w:rPr>
          <w:rFonts w:ascii="Arial" w:hAnsi="Arial" w:cs="Arial"/>
          <w:sz w:val="24"/>
          <w:szCs w:val="24"/>
        </w:rPr>
        <w:t>S</w:t>
      </w:r>
      <w:r w:rsidRPr="00B61FF1">
        <w:rPr>
          <w:rFonts w:ascii="Arial" w:hAnsi="Arial" w:cs="Arial"/>
          <w:sz w:val="24"/>
          <w:szCs w:val="24"/>
        </w:rPr>
        <w:t xml:space="preserve">ource” means a facility or unit which is permitted to be claimed as the source of electricity delivered.  The </w:t>
      </w:r>
      <w:r w:rsidR="00A96269" w:rsidRPr="00B61FF1">
        <w:rPr>
          <w:rFonts w:ascii="Arial" w:hAnsi="Arial" w:cs="Arial"/>
          <w:sz w:val="24"/>
          <w:szCs w:val="24"/>
        </w:rPr>
        <w:t xml:space="preserve">reporting entity </w:t>
      </w:r>
      <w:r w:rsidRPr="00B61FF1">
        <w:rPr>
          <w:rFonts w:ascii="Arial" w:hAnsi="Arial" w:cs="Arial"/>
          <w:sz w:val="24"/>
          <w:szCs w:val="24"/>
        </w:rPr>
        <w:t>must have either full or partial ownership in the facility/unit or a written</w:t>
      </w:r>
      <w:r w:rsidR="00FA6844" w:rsidRPr="00B61FF1">
        <w:rPr>
          <w:rFonts w:ascii="Arial" w:hAnsi="Arial" w:cs="Arial"/>
          <w:sz w:val="24"/>
          <w:szCs w:val="24"/>
        </w:rPr>
        <w:t xml:space="preserve"> power</w:t>
      </w:r>
      <w:r w:rsidRPr="00B61FF1">
        <w:rPr>
          <w:rFonts w:ascii="Arial" w:hAnsi="Arial" w:cs="Arial"/>
          <w:sz w:val="24"/>
          <w:szCs w:val="24"/>
        </w:rPr>
        <w:t xml:space="preserve"> contract</w:t>
      </w:r>
      <w:r w:rsidR="00FA6844" w:rsidRPr="00B61FF1">
        <w:rPr>
          <w:rFonts w:ascii="Arial" w:hAnsi="Arial" w:cs="Arial"/>
          <w:sz w:val="24"/>
          <w:szCs w:val="24"/>
        </w:rPr>
        <w:t xml:space="preserve"> as defined in MRR section 95102(a)</w:t>
      </w:r>
      <w:r w:rsidRPr="00B61FF1">
        <w:rPr>
          <w:rFonts w:ascii="Arial" w:hAnsi="Arial" w:cs="Arial"/>
          <w:sz w:val="24"/>
          <w:szCs w:val="24"/>
        </w:rPr>
        <w:t xml:space="preserve"> to procure electricity generated by that facility/unit.  Specified facilities/units include cogeneration systems.  Specified source also means electricity procured from an asset-controlling supplier recognized by ARB.</w:t>
      </w:r>
    </w:p>
    <w:p w14:paraId="5F0C8BA9" w14:textId="27EE45C0" w:rsidR="00F64BB5" w:rsidRPr="00B61FF1" w:rsidRDefault="00F64BB5" w:rsidP="00F64BB5">
      <w:pPr>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09261E">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“Spot” means a contract for the immediate delivery of and payment for a product.</w:t>
      </w:r>
    </w:p>
    <w:p w14:paraId="563CE687" w14:textId="496C62E5" w:rsidR="0018728C" w:rsidRPr="00B61FF1" w:rsidRDefault="0018728C" w:rsidP="00F64BB5">
      <w:pPr>
        <w:spacing w:line="360" w:lineRule="auto"/>
        <w:ind w:left="1080" w:hanging="720"/>
        <w:rPr>
          <w:rFonts w:ascii="Arial" w:hAnsi="Arial" w:cs="Arial"/>
          <w:sz w:val="24"/>
          <w:szCs w:val="24"/>
          <w:u w:val="single"/>
        </w:rPr>
      </w:pPr>
      <w:r w:rsidRPr="00B61FF1">
        <w:rPr>
          <w:rFonts w:ascii="Arial" w:hAnsi="Arial" w:cs="Arial"/>
          <w:sz w:val="24"/>
          <w:szCs w:val="24"/>
          <w:u w:val="single"/>
        </w:rPr>
        <w:lastRenderedPageBreak/>
        <w:t>(</w:t>
      </w:r>
      <w:r w:rsidR="0009261E">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“Stand-Alone-Electricity Generating Facility” has the same meaning in this regulation as in section 95102(a) of MRR.</w:t>
      </w:r>
    </w:p>
    <w:p w14:paraId="62548C7D" w14:textId="77777777" w:rsidR="0054122B" w:rsidRPr="00B61FF1" w:rsidRDefault="0054122B" w:rsidP="00DC2E0C">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26</w:t>
      </w:r>
      <w:r w:rsidR="00EB2EC7"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“Standing </w:t>
      </w:r>
      <w:r w:rsidR="00294F64" w:rsidRPr="00B61FF1">
        <w:rPr>
          <w:rFonts w:ascii="Arial" w:hAnsi="Arial" w:cs="Arial"/>
          <w:sz w:val="24"/>
          <w:szCs w:val="24"/>
        </w:rPr>
        <w:t>L</w:t>
      </w:r>
      <w:r w:rsidRPr="00B61FF1">
        <w:rPr>
          <w:rFonts w:ascii="Arial" w:hAnsi="Arial" w:cs="Arial"/>
          <w:sz w:val="24"/>
          <w:szCs w:val="24"/>
        </w:rPr>
        <w:t xml:space="preserve">ive </w:t>
      </w:r>
      <w:r w:rsidR="00294F64" w:rsidRPr="00B61FF1">
        <w:rPr>
          <w:rFonts w:ascii="Arial" w:hAnsi="Arial" w:cs="Arial"/>
          <w:sz w:val="24"/>
          <w:szCs w:val="24"/>
        </w:rPr>
        <w:t>C</w:t>
      </w:r>
      <w:r w:rsidRPr="00B61FF1">
        <w:rPr>
          <w:rFonts w:ascii="Arial" w:hAnsi="Arial" w:cs="Arial"/>
          <w:sz w:val="24"/>
          <w:szCs w:val="24"/>
        </w:rPr>
        <w:t xml:space="preserve">arbon </w:t>
      </w:r>
      <w:r w:rsidR="00294F64" w:rsidRPr="00B61FF1">
        <w:rPr>
          <w:rFonts w:ascii="Arial" w:hAnsi="Arial" w:cs="Arial"/>
          <w:sz w:val="24"/>
          <w:szCs w:val="24"/>
        </w:rPr>
        <w:t>S</w:t>
      </w:r>
      <w:r w:rsidRPr="00B61FF1">
        <w:rPr>
          <w:rFonts w:ascii="Arial" w:hAnsi="Arial" w:cs="Arial"/>
          <w:sz w:val="24"/>
          <w:szCs w:val="24"/>
        </w:rPr>
        <w:t>tocks” means the above ground carbon in live tree biomass.  Live trees include the bole, stem, branches, roots, and leaves or needles.</w:t>
      </w:r>
    </w:p>
    <w:p w14:paraId="609E8182"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26</w:t>
      </w:r>
      <w:r w:rsidR="00EB2EC7" w:rsidRPr="00B61FF1">
        <w:rPr>
          <w:rFonts w:ascii="Arial" w:hAnsi="Arial" w:cs="Arial"/>
          <w:sz w:val="24"/>
          <w:szCs w:val="24"/>
        </w:rPr>
        <w:t>9</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“Stationary” means neither portable nor self-propelled, and operated at a single facility.</w:t>
      </w:r>
    </w:p>
    <w:p w14:paraId="3BDB39DC"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70</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"Steel Produced Using an Electric Arc Furnace" means steel produced by electric arc furnace or "EAF".  EAF means a furnace that produces molten steel and heats the charge materials with electric arcs from carbon electrodes.</w:t>
      </w:r>
    </w:p>
    <w:p w14:paraId="64477A65"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“Supplier” means a producer, importer, exporter</w:t>
      </w:r>
      <w:r w:rsidR="00A96269" w:rsidRPr="00B61FF1">
        <w:rPr>
          <w:rFonts w:ascii="Arial" w:hAnsi="Arial" w:cs="Arial"/>
          <w:sz w:val="24"/>
          <w:szCs w:val="24"/>
        </w:rPr>
        <w:t>, position holder, or local distributi</w:t>
      </w:r>
      <w:r w:rsidR="00D26033" w:rsidRPr="00B61FF1">
        <w:rPr>
          <w:rFonts w:ascii="Arial" w:hAnsi="Arial" w:cs="Arial"/>
          <w:sz w:val="24"/>
          <w:szCs w:val="24"/>
        </w:rPr>
        <w:t>o</w:t>
      </w:r>
      <w:r w:rsidR="00A96269" w:rsidRPr="00B61FF1">
        <w:rPr>
          <w:rFonts w:ascii="Arial" w:hAnsi="Arial" w:cs="Arial"/>
          <w:sz w:val="24"/>
          <w:szCs w:val="24"/>
        </w:rPr>
        <w:t>n company</w:t>
      </w:r>
      <w:r w:rsidRPr="00B61FF1">
        <w:rPr>
          <w:rFonts w:ascii="Arial" w:hAnsi="Arial" w:cs="Arial"/>
          <w:sz w:val="24"/>
          <w:szCs w:val="24"/>
        </w:rPr>
        <w:t xml:space="preserve"> of a fossil fuel or an industrial greenhouse gas.</w:t>
      </w:r>
    </w:p>
    <w:p w14:paraId="252F6DDA" w14:textId="77777777" w:rsidR="0054122B" w:rsidRPr="00B61FF1" w:rsidRDefault="0054122B" w:rsidP="00DC2E0C">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72</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“Terminal” means a motor vehicle fuel or diesel fuel storage and distribution facility that is supplied by pipeline or vessel, and from which fuel may be removed at a rack.  “Terminal” includes a fuel production facility where motor vehicle</w:t>
      </w:r>
      <w:r w:rsidR="003A343C" w:rsidRPr="00B61FF1">
        <w:rPr>
          <w:rFonts w:ascii="Arial" w:hAnsi="Arial" w:cs="Arial"/>
          <w:sz w:val="24"/>
          <w:szCs w:val="24"/>
        </w:rPr>
        <w:t xml:space="preserve"> or diesel</w:t>
      </w:r>
      <w:r w:rsidRPr="00B61FF1">
        <w:rPr>
          <w:rFonts w:ascii="Arial" w:hAnsi="Arial" w:cs="Arial"/>
          <w:sz w:val="24"/>
          <w:szCs w:val="24"/>
        </w:rPr>
        <w:t xml:space="preserve"> fuel is produced and stored and from which fuel may be removed at a rack.</w:t>
      </w:r>
    </w:p>
    <w:p w14:paraId="27961306" w14:textId="77777777" w:rsidR="0054122B" w:rsidRPr="00B61FF1" w:rsidRDefault="0054122B" w:rsidP="00DC2E0C">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73</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"Testliner" means types of paperboard that meet specific tests adopted by the packaging industry to qualify for use as the outer facing layer for corrugated board, from which shipping containers are made.  Testliner is made primarily from fibers obtained from recycled fibers.</w:t>
      </w:r>
    </w:p>
    <w:p w14:paraId="436483F4" w14:textId="77777777" w:rsidR="0054122B" w:rsidRPr="00B61FF1" w:rsidRDefault="0054122B"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74</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“Tin Plate" means thin sheet steel with a very thin coating of metallic tin.  Tin plate also includes Tin Free Steel or TFS which has an extremely thin coating of chromium, metallic</w:t>
      </w:r>
      <w:r w:rsidR="00C9611B" w:rsidRPr="00B61FF1">
        <w:rPr>
          <w:rFonts w:ascii="Arial" w:hAnsi="Arial" w:cs="Arial"/>
          <w:sz w:val="24"/>
          <w:szCs w:val="24"/>
        </w:rPr>
        <w:t>,</w:t>
      </w:r>
      <w:r w:rsidRPr="00B61FF1">
        <w:rPr>
          <w:rFonts w:ascii="Arial" w:hAnsi="Arial" w:cs="Arial"/>
          <w:sz w:val="24"/>
          <w:szCs w:val="24"/>
        </w:rPr>
        <w:t xml:space="preserve"> and oxide.  Tin plate is used primarily in can</w:t>
      </w:r>
      <w:r w:rsidR="004E2278" w:rsidRPr="00B61FF1">
        <w:rPr>
          <w:rFonts w:ascii="Arial" w:hAnsi="Arial" w:cs="Arial"/>
          <w:sz w:val="24"/>
          <w:szCs w:val="24"/>
        </w:rPr>
        <w:t xml:space="preserve"> </w:t>
      </w:r>
      <w:r w:rsidRPr="00B61FF1">
        <w:rPr>
          <w:rFonts w:ascii="Arial" w:hAnsi="Arial" w:cs="Arial"/>
          <w:sz w:val="24"/>
          <w:szCs w:val="24"/>
        </w:rPr>
        <w:t xml:space="preserve">making. </w:t>
      </w:r>
    </w:p>
    <w:p w14:paraId="0226F904" w14:textId="77777777" w:rsidR="0054122B" w:rsidRPr="00B61FF1" w:rsidRDefault="00867F1A" w:rsidP="00F977B5">
      <w:pPr>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75</w:t>
      </w:r>
      <w:r w:rsidRPr="00B61FF1">
        <w:rPr>
          <w:rFonts w:ascii="Arial" w:hAnsi="Arial" w:cs="Arial"/>
          <w:sz w:val="24"/>
          <w:szCs w:val="24"/>
        </w:rPr>
        <w:t>)</w:t>
      </w:r>
      <w:r w:rsidRPr="00B61FF1">
        <w:rPr>
          <w:rFonts w:ascii="Arial" w:hAnsi="Arial" w:cs="Arial"/>
          <w:sz w:val="24"/>
          <w:szCs w:val="24"/>
        </w:rPr>
        <w:tab/>
        <w:t>“Tissue” means a class of papers which are characteristically gauzy in texture and, in some cases, fairly transparent. They may</w:t>
      </w:r>
      <w:r w:rsidR="00C9611B" w:rsidRPr="00B61FF1">
        <w:rPr>
          <w:rFonts w:ascii="Arial" w:hAnsi="Arial" w:cs="Arial"/>
          <w:sz w:val="24"/>
          <w:szCs w:val="24"/>
        </w:rPr>
        <w:t xml:space="preserve"> be glazed, unglazed, or creped</w:t>
      </w:r>
      <w:r w:rsidRPr="00B61FF1">
        <w:rPr>
          <w:rFonts w:ascii="Arial" w:hAnsi="Arial" w:cs="Arial"/>
          <w:sz w:val="24"/>
          <w:szCs w:val="24"/>
        </w:rPr>
        <w:t xml:space="preserve"> and are used for a variety of purposes. Examples </w:t>
      </w:r>
      <w:r w:rsidRPr="00B61FF1">
        <w:rPr>
          <w:rFonts w:ascii="Arial" w:hAnsi="Arial" w:cs="Arial"/>
          <w:sz w:val="24"/>
          <w:szCs w:val="24"/>
        </w:rPr>
        <w:lastRenderedPageBreak/>
        <w:t>of different types of tissue papers include sanitary grades such as toilet, facial, napkin, towels, wipes, and special sanitary papers.</w:t>
      </w:r>
    </w:p>
    <w:p w14:paraId="14D41869" w14:textId="78DC395E" w:rsidR="003839AE" w:rsidRPr="00B61FF1" w:rsidRDefault="003839AE" w:rsidP="00F977B5">
      <w:pPr>
        <w:spacing w:line="360" w:lineRule="auto"/>
        <w:ind w:left="1080" w:hanging="720"/>
        <w:rPr>
          <w:rFonts w:ascii="Arial" w:hAnsi="Arial" w:cs="Arial"/>
          <w:u w:val="single"/>
        </w:rPr>
      </w:pPr>
      <w:r w:rsidRPr="00B61FF1">
        <w:rPr>
          <w:rFonts w:ascii="Arial" w:hAnsi="Arial" w:cs="Arial"/>
          <w:sz w:val="24"/>
          <w:szCs w:val="24"/>
          <w:u w:val="single"/>
        </w:rPr>
        <w:t>(XYZ)</w:t>
      </w:r>
      <w:r w:rsidRPr="00B61FF1">
        <w:rPr>
          <w:rFonts w:ascii="Arial" w:hAnsi="Arial" w:cs="Arial"/>
          <w:sz w:val="24"/>
          <w:szCs w:val="24"/>
          <w:u w:val="single"/>
        </w:rPr>
        <w:tab/>
        <w:t>“Tracking System” means the Compliance Instrument Tracking System Service where ARB compliance instruments are issued, traded, and retired.</w:t>
      </w:r>
    </w:p>
    <w:p w14:paraId="2C2BCBF9" w14:textId="77777777" w:rsidR="00ED3C74" w:rsidRPr="00B61FF1" w:rsidRDefault="00ED3C74" w:rsidP="00ED3C74">
      <w:pPr>
        <w:tabs>
          <w:tab w:val="left" w:pos="1170"/>
          <w:tab w:val="left" w:pos="1440"/>
          <w:tab w:val="left" w:pos="3780"/>
        </w:tabs>
        <w:spacing w:line="360" w:lineRule="auto"/>
        <w:ind w:left="1080" w:hanging="720"/>
        <w:rPr>
          <w:rFonts w:ascii="Arial" w:hAnsi="Arial" w:cs="Arial"/>
          <w:bCs/>
          <w:iCs/>
          <w:sz w:val="24"/>
          <w:szCs w:val="24"/>
        </w:rPr>
      </w:pPr>
      <w:r w:rsidRPr="00B61FF1">
        <w:rPr>
          <w:rFonts w:ascii="Arial" w:hAnsi="Arial" w:cs="Arial"/>
          <w:sz w:val="24"/>
          <w:szCs w:val="24"/>
        </w:rPr>
        <w:t>(</w:t>
      </w:r>
      <w:r w:rsidR="00787EAA" w:rsidRPr="00B61FF1">
        <w:rPr>
          <w:rFonts w:ascii="Arial" w:hAnsi="Arial" w:cs="Arial"/>
          <w:sz w:val="24"/>
          <w:szCs w:val="24"/>
        </w:rPr>
        <w:t>2</w:t>
      </w:r>
      <w:r w:rsidR="00EB2EC7" w:rsidRPr="00B61FF1">
        <w:rPr>
          <w:rFonts w:ascii="Arial" w:hAnsi="Arial" w:cs="Arial"/>
          <w:sz w:val="24"/>
          <w:szCs w:val="24"/>
        </w:rPr>
        <w:t>76</w:t>
      </w:r>
      <w:r w:rsidRPr="00B61FF1">
        <w:rPr>
          <w:rFonts w:ascii="Arial" w:hAnsi="Arial" w:cs="Arial"/>
          <w:sz w:val="24"/>
          <w:szCs w:val="24"/>
        </w:rPr>
        <w:t>)</w:t>
      </w:r>
      <w:r w:rsidRPr="00B61FF1">
        <w:rPr>
          <w:rFonts w:ascii="Arial" w:hAnsi="Arial" w:cs="Arial"/>
          <w:sz w:val="24"/>
          <w:szCs w:val="24"/>
        </w:rPr>
        <w:tab/>
      </w:r>
      <w:r w:rsidRPr="00B61FF1">
        <w:rPr>
          <w:rFonts w:ascii="Arial" w:hAnsi="Arial" w:cs="Arial"/>
          <w:bCs/>
          <w:iCs/>
          <w:sz w:val="24"/>
          <w:szCs w:val="24"/>
        </w:rPr>
        <w:t>“Transaction</w:t>
      </w:r>
      <w:r w:rsidR="00D11FAE" w:rsidRPr="00B61FF1">
        <w:rPr>
          <w:rFonts w:ascii="Arial" w:hAnsi="Arial" w:cs="Arial"/>
          <w:bCs/>
          <w:iCs/>
          <w:sz w:val="24"/>
          <w:szCs w:val="24"/>
        </w:rPr>
        <w:t>,</w:t>
      </w:r>
      <w:r w:rsidRPr="00B61FF1">
        <w:rPr>
          <w:rFonts w:ascii="Arial" w:hAnsi="Arial" w:cs="Arial"/>
          <w:bCs/>
          <w:iCs/>
          <w:sz w:val="24"/>
          <w:szCs w:val="24"/>
        </w:rPr>
        <w:t>”</w:t>
      </w:r>
      <w:r w:rsidR="00D11FAE" w:rsidRPr="00B61FF1">
        <w:rPr>
          <w:rFonts w:ascii="Arial" w:hAnsi="Arial" w:cs="Arial"/>
          <w:bCs/>
          <w:iCs/>
          <w:sz w:val="24"/>
          <w:szCs w:val="24"/>
        </w:rPr>
        <w:t xml:space="preserve"> when referring to an arrangement between registered entities regarding allowances, </w:t>
      </w:r>
      <w:r w:rsidRPr="00B61FF1">
        <w:rPr>
          <w:rFonts w:ascii="Arial" w:hAnsi="Arial" w:cs="Arial"/>
          <w:bCs/>
          <w:iCs/>
          <w:sz w:val="24"/>
          <w:szCs w:val="24"/>
        </w:rPr>
        <w:t>means an understanding among registered entities to transfer the control of an allowance from one entity to another, either immediately or at a later date.</w:t>
      </w:r>
    </w:p>
    <w:p w14:paraId="273CC7CF" w14:textId="77777777" w:rsidR="0054122B" w:rsidRPr="00B61FF1" w:rsidRDefault="0054122B"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“Transfer” of a compliance instrument means the </w:t>
      </w:r>
      <w:r w:rsidR="00C50493" w:rsidRPr="00B61FF1">
        <w:rPr>
          <w:rFonts w:ascii="Arial" w:hAnsi="Arial" w:cs="Arial"/>
          <w:sz w:val="24"/>
          <w:szCs w:val="24"/>
          <w:u w:val="single"/>
        </w:rPr>
        <w:t>movement</w:t>
      </w:r>
      <w:r w:rsidR="00C50493" w:rsidRPr="00B61FF1">
        <w:rPr>
          <w:rFonts w:ascii="Arial" w:hAnsi="Arial" w:cs="Arial"/>
          <w:sz w:val="24"/>
          <w:szCs w:val="24"/>
        </w:rPr>
        <w:t xml:space="preserve"> </w:t>
      </w:r>
      <w:r w:rsidRPr="00B61FF1">
        <w:rPr>
          <w:rFonts w:ascii="Arial" w:hAnsi="Arial" w:cs="Arial"/>
          <w:strike/>
          <w:sz w:val="24"/>
          <w:szCs w:val="24"/>
        </w:rPr>
        <w:t>removal of the serial number</w:t>
      </w:r>
      <w:r w:rsidRPr="00B61FF1">
        <w:rPr>
          <w:rFonts w:ascii="Arial" w:hAnsi="Arial" w:cs="Arial"/>
          <w:sz w:val="24"/>
          <w:szCs w:val="24"/>
        </w:rPr>
        <w:t xml:space="preserve"> of a compliance instrument from one account and placement into another account.</w:t>
      </w:r>
    </w:p>
    <w:p w14:paraId="61CA0B17" w14:textId="77777777" w:rsidR="00ED3C74" w:rsidRPr="00B61FF1" w:rsidRDefault="00787EAA" w:rsidP="00ED3C74">
      <w:pPr>
        <w:tabs>
          <w:tab w:val="left" w:pos="3780"/>
        </w:tabs>
        <w:spacing w:line="360" w:lineRule="auto"/>
        <w:ind w:left="1080" w:hanging="720"/>
        <w:rPr>
          <w:rFonts w:ascii="Arial" w:hAnsi="Arial" w:cs="Arial"/>
          <w:bCs/>
          <w:iCs/>
          <w:sz w:val="24"/>
          <w:szCs w:val="24"/>
        </w:rPr>
      </w:pPr>
      <w:r w:rsidRPr="00B61FF1">
        <w:rPr>
          <w:rFonts w:ascii="Arial" w:hAnsi="Arial" w:cs="Arial"/>
          <w:sz w:val="24"/>
          <w:szCs w:val="24"/>
        </w:rPr>
        <w:t>(2</w:t>
      </w:r>
      <w:r w:rsidR="00EB2EC7" w:rsidRPr="00B61FF1">
        <w:rPr>
          <w:rFonts w:ascii="Arial" w:hAnsi="Arial" w:cs="Arial"/>
          <w:sz w:val="24"/>
          <w:szCs w:val="24"/>
        </w:rPr>
        <w:t>78</w:t>
      </w:r>
      <w:r w:rsidR="00ED3C74" w:rsidRPr="00B61FF1">
        <w:rPr>
          <w:rFonts w:ascii="Arial" w:hAnsi="Arial" w:cs="Arial"/>
          <w:sz w:val="24"/>
          <w:szCs w:val="24"/>
        </w:rPr>
        <w:t>)</w:t>
      </w:r>
      <w:r w:rsidR="00ED3C74" w:rsidRPr="00B61FF1">
        <w:rPr>
          <w:rFonts w:ascii="Arial" w:hAnsi="Arial" w:cs="Arial"/>
          <w:sz w:val="24"/>
          <w:szCs w:val="24"/>
        </w:rPr>
        <w:tab/>
      </w:r>
      <w:r w:rsidR="00ED3C74" w:rsidRPr="00B61FF1">
        <w:rPr>
          <w:rFonts w:ascii="Arial" w:hAnsi="Arial" w:cs="Arial"/>
          <w:bCs/>
          <w:iCs/>
          <w:sz w:val="24"/>
          <w:szCs w:val="24"/>
        </w:rPr>
        <w:t>“Transfer Request” means the communication by an authorized account representative or an alternate authorized account representative to the accounts administrator to register into the tracking system the transfer of allowances between accounts.</w:t>
      </w:r>
    </w:p>
    <w:p w14:paraId="1F1868B8" w14:textId="77777777" w:rsidR="0054122B" w:rsidRPr="00B61FF1" w:rsidRDefault="0054122B" w:rsidP="00BD5383">
      <w:pPr>
        <w:tabs>
          <w:tab w:val="left" w:pos="3780"/>
        </w:tabs>
        <w:spacing w:line="360" w:lineRule="auto"/>
        <w:ind w:left="1080" w:hanging="720"/>
        <w:rPr>
          <w:rFonts w:ascii="Arial" w:hAnsi="Arial" w:cs="Arial"/>
          <w:strike/>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79</w:t>
      </w:r>
      <w:r w:rsidRPr="00B61FF1">
        <w:rPr>
          <w:rFonts w:ascii="Arial" w:hAnsi="Arial" w:cs="Arial"/>
          <w:sz w:val="24"/>
          <w:szCs w:val="24"/>
        </w:rPr>
        <w:t xml:space="preserve">) </w:t>
      </w:r>
      <w:r w:rsidR="00CD4B45" w:rsidRPr="00B61FF1">
        <w:rPr>
          <w:rFonts w:ascii="Arial" w:hAnsi="Arial" w:cs="Arial"/>
          <w:sz w:val="24"/>
          <w:szCs w:val="24"/>
        </w:rPr>
        <w:tab/>
      </w:r>
      <w:r w:rsidR="003400B5" w:rsidRPr="00B61FF1">
        <w:rPr>
          <w:rFonts w:ascii="Arial" w:hAnsi="Arial" w:cs="Arial"/>
          <w:sz w:val="24"/>
          <w:szCs w:val="24"/>
        </w:rPr>
        <w:t>“Tribe” means a federally-recognized Indian tribe</w:t>
      </w:r>
      <w:r w:rsidR="00805F7E" w:rsidRPr="00B61FF1">
        <w:rPr>
          <w:rFonts w:ascii="Arial" w:hAnsi="Arial" w:cs="Arial"/>
          <w:sz w:val="24"/>
          <w:szCs w:val="24"/>
        </w:rPr>
        <w:t xml:space="preserve"> and any entity created by a federally-recognized Indian Tribe</w:t>
      </w:r>
      <w:r w:rsidR="003400B5" w:rsidRPr="00B61FF1">
        <w:rPr>
          <w:rFonts w:ascii="Arial" w:hAnsi="Arial" w:cs="Arial"/>
          <w:sz w:val="24"/>
          <w:szCs w:val="24"/>
        </w:rPr>
        <w:t>.</w:t>
      </w:r>
      <w:r w:rsidRPr="00B61FF1">
        <w:rPr>
          <w:rFonts w:ascii="Arial" w:hAnsi="Arial" w:cs="Arial"/>
          <w:strike/>
          <w:sz w:val="24"/>
          <w:szCs w:val="24"/>
        </w:rPr>
        <w:t xml:space="preserve"> </w:t>
      </w:r>
    </w:p>
    <w:p w14:paraId="4C8367CB" w14:textId="3B01E8C5" w:rsidR="00FF0A78" w:rsidRPr="00B61FF1" w:rsidRDefault="00FF0A78" w:rsidP="00FF0A78">
      <w:pPr>
        <w:spacing w:line="360" w:lineRule="auto"/>
        <w:ind w:left="1080" w:hanging="720"/>
        <w:rPr>
          <w:rFonts w:ascii="Arial" w:eastAsia="Calibri" w:hAnsi="Arial" w:cs="Arial"/>
          <w:sz w:val="24"/>
          <w:szCs w:val="24"/>
          <w:u w:val="single"/>
        </w:rPr>
      </w:pPr>
      <w:r w:rsidRPr="00B61FF1">
        <w:rPr>
          <w:rFonts w:ascii="Arial" w:eastAsia="Calibri" w:hAnsi="Arial" w:cs="Arial"/>
          <w:sz w:val="24"/>
          <w:szCs w:val="24"/>
          <w:u w:val="single"/>
        </w:rPr>
        <w:t>(</w:t>
      </w:r>
      <w:r w:rsidR="00671579" w:rsidRPr="00B61FF1">
        <w:rPr>
          <w:rFonts w:ascii="Arial" w:eastAsia="Calibri" w:hAnsi="Arial" w:cs="Arial"/>
          <w:sz w:val="24"/>
          <w:szCs w:val="24"/>
          <w:u w:val="single"/>
        </w:rPr>
        <w:t>YYY</w:t>
      </w:r>
      <w:r w:rsidRPr="00B61FF1">
        <w:rPr>
          <w:rFonts w:ascii="Arial" w:eastAsia="Calibri" w:hAnsi="Arial" w:cs="Arial"/>
          <w:sz w:val="24"/>
          <w:szCs w:val="24"/>
          <w:u w:val="single"/>
        </w:rPr>
        <w:t>)</w:t>
      </w:r>
      <w:r w:rsidRPr="00B61FF1">
        <w:rPr>
          <w:rFonts w:ascii="Arial" w:eastAsia="Calibri" w:hAnsi="Arial" w:cs="Arial"/>
          <w:sz w:val="24"/>
          <w:szCs w:val="24"/>
          <w:u w:val="single"/>
        </w:rPr>
        <w:tab/>
        <w:t xml:space="preserve">"True-up allowance amount" is a quantity of </w:t>
      </w:r>
      <w:r w:rsidRPr="00B61FF1">
        <w:rPr>
          <w:rFonts w:ascii="Arial" w:hAnsi="Arial" w:cs="Arial"/>
          <w:sz w:val="24"/>
          <w:szCs w:val="24"/>
          <w:u w:val="single"/>
        </w:rPr>
        <w:t xml:space="preserve">California GHG allowances </w:t>
      </w:r>
      <w:r w:rsidRPr="00B61FF1">
        <w:rPr>
          <w:rFonts w:ascii="Arial" w:eastAsia="Calibri" w:hAnsi="Arial" w:cs="Arial"/>
          <w:sz w:val="24"/>
          <w:szCs w:val="24"/>
          <w:u w:val="single"/>
        </w:rPr>
        <w:t xml:space="preserve">allocated for changes in production or allocation not properly accounted for in prior allocations pursuant to 95891(b) or (c). </w:t>
      </w:r>
    </w:p>
    <w:p w14:paraId="06761BE3" w14:textId="77777777" w:rsidR="0054122B" w:rsidRPr="00B61FF1" w:rsidRDefault="00D126D6"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80</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 xml:space="preserve">“Unintentional </w:t>
      </w:r>
      <w:r w:rsidR="00294F64" w:rsidRPr="00B61FF1">
        <w:rPr>
          <w:rFonts w:ascii="Arial" w:hAnsi="Arial" w:cs="Arial"/>
          <w:sz w:val="24"/>
          <w:szCs w:val="24"/>
        </w:rPr>
        <w:t>R</w:t>
      </w:r>
      <w:r w:rsidR="0054122B" w:rsidRPr="00B61FF1">
        <w:rPr>
          <w:rFonts w:ascii="Arial" w:hAnsi="Arial" w:cs="Arial"/>
          <w:sz w:val="24"/>
          <w:szCs w:val="24"/>
        </w:rPr>
        <w:t>eversal” means any reversal, including wildfires or disease that is not the result of the forest owner’s negligence, gross negligence, or willful intent.</w:t>
      </w:r>
    </w:p>
    <w:p w14:paraId="7C31F67B" w14:textId="5B9F5BFC" w:rsidR="00E643F6" w:rsidRPr="00B61FF1" w:rsidRDefault="00E643F6" w:rsidP="00BD5383">
      <w:pPr>
        <w:tabs>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 xml:space="preserve">“University Covered Entity” means a facility that meets the definition of an educational facility pursuant to Education Code section 94110(e) and is a covered entity or opt-in covered entity </w:t>
      </w:r>
      <w:r w:rsidR="00671579" w:rsidRPr="00B61FF1">
        <w:rPr>
          <w:rFonts w:ascii="Arial" w:hAnsi="Arial" w:cs="Arial"/>
          <w:sz w:val="24"/>
          <w:szCs w:val="24"/>
          <w:u w:val="single"/>
        </w:rPr>
        <w:t>starting with</w:t>
      </w:r>
      <w:r w:rsidRPr="00B61FF1">
        <w:rPr>
          <w:rFonts w:ascii="Arial" w:hAnsi="Arial" w:cs="Arial"/>
          <w:sz w:val="24"/>
          <w:szCs w:val="24"/>
          <w:u w:val="single"/>
        </w:rPr>
        <w:t xml:space="preserve"> the 2015 data year.</w:t>
      </w:r>
    </w:p>
    <w:p w14:paraId="7C187A0D" w14:textId="77777777" w:rsidR="0054122B" w:rsidRPr="00B61FF1" w:rsidRDefault="0054122B" w:rsidP="00EB2EC7">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EB2EC7" w:rsidRPr="00B61FF1">
        <w:rPr>
          <w:rFonts w:ascii="Arial" w:hAnsi="Arial" w:cs="Arial"/>
          <w:sz w:val="24"/>
          <w:szCs w:val="24"/>
        </w:rPr>
        <w:t>8</w:t>
      </w:r>
      <w:r w:rsidR="000E356A" w:rsidRPr="00B61FF1">
        <w:rPr>
          <w:rFonts w:ascii="Arial" w:hAnsi="Arial" w:cs="Arial"/>
          <w:sz w:val="24"/>
          <w:szCs w:val="24"/>
        </w:rPr>
        <w:t>1</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“Unspecified </w:t>
      </w:r>
      <w:r w:rsidR="00294F64" w:rsidRPr="00B61FF1">
        <w:rPr>
          <w:rFonts w:ascii="Arial" w:hAnsi="Arial" w:cs="Arial"/>
          <w:sz w:val="24"/>
          <w:szCs w:val="24"/>
        </w:rPr>
        <w:t>S</w:t>
      </w:r>
      <w:r w:rsidRPr="00B61FF1">
        <w:rPr>
          <w:rFonts w:ascii="Arial" w:hAnsi="Arial" w:cs="Arial"/>
          <w:sz w:val="24"/>
          <w:szCs w:val="24"/>
        </w:rPr>
        <w:t xml:space="preserve">ource of </w:t>
      </w:r>
      <w:r w:rsidR="00294F64" w:rsidRPr="00B61FF1">
        <w:rPr>
          <w:rFonts w:ascii="Arial" w:hAnsi="Arial" w:cs="Arial"/>
          <w:sz w:val="24"/>
          <w:szCs w:val="24"/>
        </w:rPr>
        <w:t>E</w:t>
      </w:r>
      <w:r w:rsidRPr="00B61FF1">
        <w:rPr>
          <w:rFonts w:ascii="Arial" w:hAnsi="Arial" w:cs="Arial"/>
          <w:sz w:val="24"/>
          <w:szCs w:val="24"/>
        </w:rPr>
        <w:t>lectricity” or “</w:t>
      </w:r>
      <w:r w:rsidR="00294F64" w:rsidRPr="00B61FF1">
        <w:rPr>
          <w:rFonts w:ascii="Arial" w:hAnsi="Arial" w:cs="Arial"/>
          <w:sz w:val="24"/>
          <w:szCs w:val="24"/>
        </w:rPr>
        <w:t>U</w:t>
      </w:r>
      <w:r w:rsidRPr="00B61FF1">
        <w:rPr>
          <w:rFonts w:ascii="Arial" w:hAnsi="Arial" w:cs="Arial"/>
          <w:sz w:val="24"/>
          <w:szCs w:val="24"/>
        </w:rPr>
        <w:t xml:space="preserve">nspecified </w:t>
      </w:r>
      <w:r w:rsidR="00294F64" w:rsidRPr="00B61FF1">
        <w:rPr>
          <w:rFonts w:ascii="Arial" w:hAnsi="Arial" w:cs="Arial"/>
          <w:sz w:val="24"/>
          <w:szCs w:val="24"/>
        </w:rPr>
        <w:t>S</w:t>
      </w:r>
      <w:r w:rsidRPr="00B61FF1">
        <w:rPr>
          <w:rFonts w:ascii="Arial" w:hAnsi="Arial" w:cs="Arial"/>
          <w:sz w:val="24"/>
          <w:szCs w:val="24"/>
        </w:rPr>
        <w:t xml:space="preserve">ource” means </w:t>
      </w:r>
      <w:r w:rsidR="00EB2EC7" w:rsidRPr="00B61FF1">
        <w:rPr>
          <w:rFonts w:ascii="Arial" w:hAnsi="Arial" w:cs="Arial"/>
          <w:sz w:val="24"/>
          <w:szCs w:val="24"/>
        </w:rPr>
        <w:t xml:space="preserve">a source of </w:t>
      </w:r>
      <w:r w:rsidRPr="00B61FF1">
        <w:rPr>
          <w:rFonts w:ascii="Arial" w:hAnsi="Arial" w:cs="Arial"/>
          <w:sz w:val="24"/>
          <w:szCs w:val="24"/>
        </w:rPr>
        <w:t xml:space="preserve">electricity </w:t>
      </w:r>
      <w:r w:rsidR="00EB2EC7" w:rsidRPr="00B61FF1">
        <w:rPr>
          <w:rFonts w:ascii="Arial" w:hAnsi="Arial" w:cs="Arial"/>
          <w:sz w:val="24"/>
          <w:szCs w:val="24"/>
        </w:rPr>
        <w:t xml:space="preserve">that is not a specified source at the time of entry into the transaction to procure the electricity.  </w:t>
      </w:r>
    </w:p>
    <w:p w14:paraId="520F3377" w14:textId="77777777" w:rsidR="0054122B" w:rsidRPr="00B61FF1" w:rsidRDefault="00A85AA2"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1D745B" w:rsidRPr="00B61FF1">
        <w:rPr>
          <w:rFonts w:ascii="Arial" w:hAnsi="Arial" w:cs="Arial"/>
          <w:sz w:val="24"/>
          <w:szCs w:val="24"/>
        </w:rPr>
        <w:t>2</w:t>
      </w:r>
      <w:r w:rsidR="00EB2EC7" w:rsidRPr="00B61FF1">
        <w:rPr>
          <w:rFonts w:ascii="Arial" w:hAnsi="Arial" w:cs="Arial"/>
          <w:sz w:val="24"/>
          <w:szCs w:val="24"/>
        </w:rPr>
        <w:t>8</w:t>
      </w:r>
      <w:r w:rsidR="000E356A" w:rsidRPr="00B61FF1">
        <w:rPr>
          <w:rFonts w:ascii="Arial" w:hAnsi="Arial" w:cs="Arial"/>
          <w:sz w:val="24"/>
          <w:szCs w:val="24"/>
        </w:rPr>
        <w:t>2</w:t>
      </w:r>
      <w:r w:rsidR="0054122B" w:rsidRPr="00B61FF1">
        <w:rPr>
          <w:rFonts w:ascii="Arial" w:hAnsi="Arial" w:cs="Arial"/>
          <w:sz w:val="24"/>
          <w:szCs w:val="24"/>
        </w:rPr>
        <w:t xml:space="preserve">) </w:t>
      </w:r>
      <w:r w:rsidR="00CD4B45" w:rsidRPr="00B61FF1">
        <w:rPr>
          <w:rFonts w:ascii="Arial" w:hAnsi="Arial" w:cs="Arial"/>
          <w:sz w:val="24"/>
          <w:szCs w:val="24"/>
        </w:rPr>
        <w:tab/>
      </w:r>
      <w:r w:rsidR="0054122B" w:rsidRPr="00B61FF1">
        <w:rPr>
          <w:rFonts w:ascii="Arial" w:hAnsi="Arial" w:cs="Arial"/>
          <w:sz w:val="24"/>
          <w:szCs w:val="24"/>
        </w:rPr>
        <w:t xml:space="preserve">“Vented </w:t>
      </w:r>
      <w:r w:rsidR="00294F64" w:rsidRPr="00B61FF1">
        <w:rPr>
          <w:rFonts w:ascii="Arial" w:hAnsi="Arial" w:cs="Arial"/>
          <w:sz w:val="24"/>
          <w:szCs w:val="24"/>
        </w:rPr>
        <w:t>E</w:t>
      </w:r>
      <w:r w:rsidR="0054122B" w:rsidRPr="00B61FF1">
        <w:rPr>
          <w:rFonts w:ascii="Arial" w:hAnsi="Arial" w:cs="Arial"/>
          <w:sz w:val="24"/>
          <w:szCs w:val="24"/>
        </w:rPr>
        <w:t>missions” means intentional or designed releases of CH</w:t>
      </w:r>
      <w:r w:rsidR="0054122B" w:rsidRPr="00B61FF1">
        <w:rPr>
          <w:rFonts w:ascii="Arial" w:hAnsi="Arial" w:cs="Arial"/>
          <w:sz w:val="24"/>
          <w:szCs w:val="24"/>
          <w:vertAlign w:val="subscript"/>
        </w:rPr>
        <w:t>4</w:t>
      </w:r>
      <w:r w:rsidR="0054122B" w:rsidRPr="00B61FF1">
        <w:rPr>
          <w:rFonts w:ascii="Arial" w:hAnsi="Arial" w:cs="Arial"/>
          <w:sz w:val="24"/>
          <w:szCs w:val="24"/>
        </w:rPr>
        <w:t xml:space="preserve"> or CO</w:t>
      </w:r>
      <w:r w:rsidR="0054122B" w:rsidRPr="00B61FF1">
        <w:rPr>
          <w:rFonts w:ascii="Arial" w:hAnsi="Arial" w:cs="Arial"/>
          <w:sz w:val="24"/>
          <w:szCs w:val="24"/>
          <w:vertAlign w:val="subscript"/>
        </w:rPr>
        <w:t xml:space="preserve">2 </w:t>
      </w:r>
      <w:r w:rsidR="0054122B" w:rsidRPr="00B61FF1">
        <w:rPr>
          <w:rFonts w:ascii="Arial" w:hAnsi="Arial" w:cs="Arial"/>
          <w:sz w:val="24"/>
          <w:szCs w:val="24"/>
        </w:rPr>
        <w:t>containing natural gas or hydrocarbon gas (not including stationary combustion flue gas), including process designed flow to the atmosphere through seals or vent pipes, equipment blowdown for maintenance, and direct venting of gas used to power equipment (such as pneumatic devices).</w:t>
      </w:r>
    </w:p>
    <w:p w14:paraId="2C36480E" w14:textId="1E5B1040" w:rsidR="0054122B" w:rsidRPr="00B61FF1" w:rsidRDefault="0054122B"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A84C34" w:rsidRPr="00B61FF1">
        <w:rPr>
          <w:rFonts w:ascii="Arial" w:hAnsi="Arial" w:cs="Arial"/>
          <w:sz w:val="24"/>
          <w:szCs w:val="24"/>
        </w:rPr>
        <w:t>8</w:t>
      </w:r>
      <w:r w:rsidR="000E356A" w:rsidRPr="00B61FF1">
        <w:rPr>
          <w:rFonts w:ascii="Arial" w:hAnsi="Arial" w:cs="Arial"/>
          <w:sz w:val="24"/>
          <w:szCs w:val="24"/>
        </w:rPr>
        <w:t>3</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“Verifiable”</w:t>
      </w:r>
      <w:r w:rsidR="00FE6A4C" w:rsidRPr="00B61FF1">
        <w:rPr>
          <w:rFonts w:ascii="Arial" w:hAnsi="Arial" w:cs="Arial"/>
          <w:sz w:val="24"/>
          <w:szCs w:val="24"/>
          <w:u w:val="single"/>
        </w:rPr>
        <w:t xml:space="preserve"> </w:t>
      </w:r>
      <w:r w:rsidRPr="00B61FF1">
        <w:rPr>
          <w:rFonts w:ascii="Arial" w:hAnsi="Arial" w:cs="Arial"/>
          <w:sz w:val="24"/>
          <w:szCs w:val="24"/>
        </w:rPr>
        <w:t>means</w:t>
      </w:r>
      <w:r w:rsidRPr="00B61FF1">
        <w:rPr>
          <w:rFonts w:ascii="Arial" w:eastAsia="MS Mincho" w:hAnsi="Arial" w:cs="Arial"/>
          <w:sz w:val="24"/>
          <w:szCs w:val="24"/>
          <w:lang w:eastAsia="ja-JP"/>
        </w:rPr>
        <w:t xml:space="preserve"> that an Offset Project Data Report assertion is well documented and transparent such that it lends itself to an objective review by an accredited verification body.</w:t>
      </w:r>
    </w:p>
    <w:p w14:paraId="3977032C" w14:textId="77777777" w:rsidR="001F02FF" w:rsidRPr="00B61FF1" w:rsidRDefault="0054122B" w:rsidP="00D14167">
      <w:pPr>
        <w:tabs>
          <w:tab w:val="left" w:pos="3780"/>
        </w:tabs>
        <w:spacing w:line="360" w:lineRule="auto"/>
        <w:ind w:left="1080" w:hanging="720"/>
        <w:rPr>
          <w:rFonts w:ascii="Arial" w:eastAsia="MS Mincho" w:hAnsi="Arial" w:cs="Arial"/>
          <w:sz w:val="24"/>
          <w:szCs w:val="24"/>
          <w:lang w:eastAsia="ja-JP"/>
        </w:rPr>
      </w:pPr>
      <w:r w:rsidRPr="00B61FF1">
        <w:rPr>
          <w:rFonts w:ascii="Arial" w:eastAsia="MS Mincho" w:hAnsi="Arial" w:cs="Arial"/>
          <w:sz w:val="24"/>
          <w:szCs w:val="24"/>
          <w:lang w:eastAsia="ja-JP"/>
        </w:rPr>
        <w:t>(</w:t>
      </w:r>
      <w:r w:rsidR="001D745B" w:rsidRPr="00B61FF1">
        <w:rPr>
          <w:rFonts w:ascii="Arial" w:hAnsi="Arial" w:cs="Arial"/>
          <w:sz w:val="24"/>
          <w:szCs w:val="24"/>
        </w:rPr>
        <w:t>28</w:t>
      </w:r>
      <w:r w:rsidR="000E356A" w:rsidRPr="00B61FF1">
        <w:rPr>
          <w:rFonts w:ascii="Arial" w:hAnsi="Arial" w:cs="Arial"/>
          <w:sz w:val="24"/>
          <w:szCs w:val="24"/>
        </w:rPr>
        <w:t>4</w:t>
      </w:r>
      <w:r w:rsidRPr="00B61FF1">
        <w:rPr>
          <w:rFonts w:ascii="Arial" w:eastAsia="MS Mincho" w:hAnsi="Arial" w:cs="Arial"/>
          <w:sz w:val="24"/>
          <w:szCs w:val="24"/>
          <w:lang w:eastAsia="ja-JP"/>
        </w:rPr>
        <w:t xml:space="preserve">) </w:t>
      </w:r>
      <w:r w:rsidR="00CD4B45" w:rsidRPr="00B61FF1">
        <w:rPr>
          <w:rFonts w:ascii="Arial" w:eastAsia="MS Mincho" w:hAnsi="Arial" w:cs="Arial"/>
          <w:sz w:val="24"/>
          <w:szCs w:val="24"/>
          <w:lang w:eastAsia="ja-JP"/>
        </w:rPr>
        <w:tab/>
      </w:r>
      <w:r w:rsidRPr="00B61FF1">
        <w:rPr>
          <w:rFonts w:ascii="Arial" w:eastAsia="MS Mincho" w:hAnsi="Arial" w:cs="Arial"/>
          <w:sz w:val="24"/>
          <w:szCs w:val="24"/>
          <w:lang w:eastAsia="ja-JP"/>
        </w:rPr>
        <w:t xml:space="preserve">“Verification Body” means </w:t>
      </w:r>
      <w:bookmarkStart w:id="50" w:name="_DV_C666"/>
      <w:r w:rsidRPr="00B61FF1">
        <w:rPr>
          <w:rFonts w:ascii="Arial" w:eastAsia="MS Mincho" w:hAnsi="Arial" w:cs="Arial"/>
          <w:sz w:val="24"/>
          <w:szCs w:val="24"/>
          <w:lang w:eastAsia="ja-JP"/>
        </w:rPr>
        <w:t>a</w:t>
      </w:r>
      <w:bookmarkStart w:id="51" w:name="_DV_M496"/>
      <w:bookmarkEnd w:id="50"/>
      <w:bookmarkEnd w:id="51"/>
      <w:r w:rsidRPr="00B61FF1">
        <w:rPr>
          <w:rFonts w:ascii="Arial" w:eastAsia="MS Mincho" w:hAnsi="Arial" w:cs="Arial"/>
          <w:sz w:val="24"/>
          <w:szCs w:val="24"/>
          <w:lang w:eastAsia="ja-JP"/>
        </w:rPr>
        <w:t xml:space="preserve"> firm</w:t>
      </w:r>
      <w:bookmarkStart w:id="52" w:name="_DV_C667"/>
      <w:r w:rsidRPr="00B61FF1">
        <w:rPr>
          <w:rFonts w:ascii="Arial" w:eastAsia="MS Mincho" w:hAnsi="Arial" w:cs="Arial"/>
          <w:sz w:val="24"/>
          <w:szCs w:val="24"/>
          <w:lang w:eastAsia="ja-JP"/>
        </w:rPr>
        <w:t xml:space="preserve"> accredited by ARB,</w:t>
      </w:r>
      <w:bookmarkStart w:id="53" w:name="_DV_M497"/>
      <w:bookmarkEnd w:id="52"/>
      <w:bookmarkEnd w:id="53"/>
      <w:r w:rsidRPr="00B61FF1">
        <w:rPr>
          <w:rFonts w:ascii="Arial" w:eastAsia="MS Mincho" w:hAnsi="Arial" w:cs="Arial"/>
          <w:sz w:val="24"/>
          <w:szCs w:val="24"/>
          <w:lang w:eastAsia="ja-JP"/>
        </w:rPr>
        <w:t xml:space="preserve"> </w:t>
      </w:r>
      <w:bookmarkStart w:id="54" w:name="_DV_M498"/>
      <w:bookmarkEnd w:id="54"/>
      <w:r w:rsidRPr="00B61FF1">
        <w:rPr>
          <w:rFonts w:ascii="Arial" w:eastAsia="MS Mincho" w:hAnsi="Arial" w:cs="Arial"/>
          <w:sz w:val="24"/>
          <w:szCs w:val="24"/>
          <w:lang w:eastAsia="ja-JP"/>
        </w:rPr>
        <w:t>which is able to render an offset verification statement and provide offset verification services for Offset Project Operators or Authorized Project Designees subject to providing an Offset Project Data Report under this article.</w:t>
      </w:r>
    </w:p>
    <w:p w14:paraId="25C190C5" w14:textId="313B42CF" w:rsidR="0054122B" w:rsidRPr="00B61FF1" w:rsidRDefault="0054122B"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28</w:t>
      </w:r>
      <w:r w:rsidR="000E356A" w:rsidRPr="00B61FF1">
        <w:rPr>
          <w:rFonts w:ascii="Arial" w:hAnsi="Arial" w:cs="Arial"/>
          <w:sz w:val="24"/>
          <w:szCs w:val="24"/>
        </w:rPr>
        <w:t>5</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“Verifier” </w:t>
      </w:r>
      <w:r w:rsidR="000E7420" w:rsidRPr="00B61FF1">
        <w:rPr>
          <w:rFonts w:ascii="Arial" w:hAnsi="Arial" w:cs="Arial"/>
          <w:sz w:val="24"/>
          <w:szCs w:val="24"/>
          <w:u w:val="single"/>
        </w:rPr>
        <w:t xml:space="preserve">or </w:t>
      </w:r>
      <w:r w:rsidR="00671579" w:rsidRPr="00B61FF1">
        <w:rPr>
          <w:rFonts w:ascii="Arial" w:hAnsi="Arial" w:cs="Arial"/>
          <w:sz w:val="24"/>
          <w:szCs w:val="24"/>
          <w:u w:val="single"/>
        </w:rPr>
        <w:t>“</w:t>
      </w:r>
      <w:r w:rsidR="000E7420" w:rsidRPr="00B61FF1">
        <w:rPr>
          <w:rFonts w:ascii="Arial" w:hAnsi="Arial" w:cs="Arial"/>
          <w:sz w:val="24"/>
          <w:szCs w:val="24"/>
          <w:u w:val="single"/>
        </w:rPr>
        <w:t>offset verifier</w:t>
      </w:r>
      <w:r w:rsidR="00671579" w:rsidRPr="00B61FF1">
        <w:rPr>
          <w:rFonts w:ascii="Arial" w:hAnsi="Arial" w:cs="Arial"/>
          <w:sz w:val="24"/>
          <w:szCs w:val="24"/>
          <w:u w:val="single"/>
        </w:rPr>
        <w:t>”</w:t>
      </w:r>
      <w:r w:rsidR="000E7420" w:rsidRPr="00B61FF1">
        <w:rPr>
          <w:rFonts w:ascii="Arial" w:hAnsi="Arial" w:cs="Arial"/>
          <w:sz w:val="24"/>
          <w:szCs w:val="24"/>
        </w:rPr>
        <w:t xml:space="preserve"> </w:t>
      </w:r>
      <w:r w:rsidRPr="00B61FF1">
        <w:rPr>
          <w:rFonts w:ascii="Arial" w:hAnsi="Arial" w:cs="Arial"/>
          <w:sz w:val="24"/>
          <w:szCs w:val="24"/>
        </w:rPr>
        <w:t>means an individual accredited by ARB to carry out offset verification services as specified in sections 95977.1 and 95977.2.</w:t>
      </w:r>
    </w:p>
    <w:p w14:paraId="0DDB8A9E" w14:textId="77777777" w:rsidR="0054122B" w:rsidRPr="00B61FF1" w:rsidRDefault="0054122B" w:rsidP="00BD5383">
      <w:pPr>
        <w:tabs>
          <w:tab w:val="left" w:pos="3780"/>
        </w:tabs>
        <w:spacing w:line="360" w:lineRule="auto"/>
        <w:ind w:left="1080" w:hanging="720"/>
        <w:rPr>
          <w:rFonts w:ascii="Arial" w:hAnsi="Arial" w:cs="Arial"/>
          <w:sz w:val="24"/>
          <w:szCs w:val="24"/>
        </w:rPr>
      </w:pPr>
      <w:r w:rsidRPr="00B61FF1">
        <w:rPr>
          <w:rFonts w:ascii="Arial" w:eastAsia="MS Mincho" w:hAnsi="Arial" w:cs="Arial"/>
          <w:sz w:val="24"/>
          <w:szCs w:val="24"/>
          <w:lang w:eastAsia="ja-JP"/>
        </w:rPr>
        <w:t>(</w:t>
      </w:r>
      <w:r w:rsidR="001D745B" w:rsidRPr="00B61FF1">
        <w:rPr>
          <w:rFonts w:ascii="Arial" w:hAnsi="Arial" w:cs="Arial"/>
          <w:sz w:val="24"/>
          <w:szCs w:val="24"/>
        </w:rPr>
        <w:t>28</w:t>
      </w:r>
      <w:r w:rsidR="000E356A" w:rsidRPr="00B61FF1">
        <w:rPr>
          <w:rFonts w:ascii="Arial" w:hAnsi="Arial" w:cs="Arial"/>
          <w:sz w:val="24"/>
          <w:szCs w:val="24"/>
        </w:rPr>
        <w:t>6</w:t>
      </w:r>
      <w:r w:rsidRPr="00B61FF1">
        <w:rPr>
          <w:rFonts w:ascii="Arial" w:eastAsia="MS Mincho" w:hAnsi="Arial" w:cs="Arial"/>
          <w:sz w:val="24"/>
          <w:szCs w:val="24"/>
          <w:lang w:eastAsia="ja-JP"/>
        </w:rPr>
        <w:t xml:space="preserve">) </w:t>
      </w:r>
      <w:r w:rsidR="00CD4B45" w:rsidRPr="00B61FF1">
        <w:rPr>
          <w:rFonts w:ascii="Arial" w:eastAsia="MS Mincho" w:hAnsi="Arial" w:cs="Arial"/>
          <w:sz w:val="24"/>
          <w:szCs w:val="24"/>
          <w:lang w:eastAsia="ja-JP"/>
        </w:rPr>
        <w:tab/>
      </w:r>
      <w:r w:rsidRPr="00B61FF1">
        <w:rPr>
          <w:rFonts w:ascii="Arial" w:eastAsia="MS Mincho" w:hAnsi="Arial" w:cs="Arial"/>
          <w:sz w:val="24"/>
          <w:szCs w:val="24"/>
          <w:lang w:eastAsia="ja-JP"/>
        </w:rPr>
        <w:t xml:space="preserve">“Vintage </w:t>
      </w:r>
      <w:r w:rsidR="00294F64" w:rsidRPr="00B61FF1">
        <w:rPr>
          <w:rFonts w:ascii="Arial" w:eastAsia="MS Mincho" w:hAnsi="Arial" w:cs="Arial"/>
          <w:sz w:val="24"/>
          <w:szCs w:val="24"/>
          <w:lang w:eastAsia="ja-JP"/>
        </w:rPr>
        <w:t>Y</w:t>
      </w:r>
      <w:r w:rsidRPr="00B61FF1">
        <w:rPr>
          <w:rFonts w:ascii="Arial" w:eastAsia="MS Mincho" w:hAnsi="Arial" w:cs="Arial"/>
          <w:sz w:val="24"/>
          <w:szCs w:val="24"/>
          <w:lang w:eastAsia="ja-JP"/>
        </w:rPr>
        <w:t>ear” means</w:t>
      </w:r>
      <w:r w:rsidRPr="00B61FF1">
        <w:rPr>
          <w:rFonts w:ascii="Arial" w:hAnsi="Arial" w:cs="Arial"/>
          <w:sz w:val="24"/>
          <w:szCs w:val="24"/>
        </w:rPr>
        <w:t xml:space="preserve"> the budget year to which an individual Californian GHG allowance is assigned pursuant to subarticle 6.</w:t>
      </w:r>
    </w:p>
    <w:p w14:paraId="3A6199F4" w14:textId="77777777" w:rsidR="0054122B" w:rsidRPr="00B61FF1" w:rsidRDefault="0054122B" w:rsidP="00BD5383">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28</w:t>
      </w:r>
      <w:r w:rsidR="000E356A" w:rsidRPr="00B61FF1">
        <w:rPr>
          <w:rFonts w:ascii="Arial" w:hAnsi="Arial" w:cs="Arial"/>
          <w:sz w:val="24"/>
          <w:szCs w:val="24"/>
        </w:rPr>
        <w:t>7</w:t>
      </w:r>
      <w:r w:rsidRPr="00B61FF1">
        <w:rPr>
          <w:rFonts w:ascii="Arial" w:hAnsi="Arial" w:cs="Arial"/>
          <w:sz w:val="24"/>
          <w:szCs w:val="24"/>
        </w:rPr>
        <w:t xml:space="preserve">) </w:t>
      </w:r>
      <w:r w:rsidR="00CD4B45" w:rsidRPr="00B61FF1">
        <w:rPr>
          <w:rFonts w:ascii="Arial" w:hAnsi="Arial" w:cs="Arial"/>
          <w:sz w:val="24"/>
          <w:szCs w:val="24"/>
        </w:rPr>
        <w:tab/>
      </w:r>
      <w:r w:rsidRPr="00B61FF1">
        <w:rPr>
          <w:rFonts w:ascii="Arial" w:hAnsi="Arial" w:cs="Arial"/>
          <w:sz w:val="24"/>
          <w:szCs w:val="24"/>
        </w:rPr>
        <w:t xml:space="preserve">“Voluntarily Associated Entity” </w:t>
      </w:r>
      <w:r w:rsidR="008963E8" w:rsidRPr="00B61FF1">
        <w:rPr>
          <w:rFonts w:ascii="Arial" w:hAnsi="Arial" w:cs="Arial"/>
          <w:sz w:val="24"/>
          <w:szCs w:val="24"/>
          <w:u w:val="single"/>
        </w:rPr>
        <w:t>or “General Market Participant”</w:t>
      </w:r>
      <w:r w:rsidR="008963E8" w:rsidRPr="00B61FF1">
        <w:t xml:space="preserve"> </w:t>
      </w:r>
      <w:r w:rsidRPr="00B61FF1">
        <w:rPr>
          <w:rFonts w:ascii="Arial" w:hAnsi="Arial" w:cs="Arial"/>
          <w:sz w:val="24"/>
          <w:szCs w:val="24"/>
        </w:rPr>
        <w:t xml:space="preserve">means any entity which does not meet the requirements of section 95811 or 95813 in this article and that intends to purchase, hold, sell, or voluntarily retire compliance instruments or an entity operating an offset project </w:t>
      </w:r>
      <w:r w:rsidR="000963AF" w:rsidRPr="00B61FF1">
        <w:rPr>
          <w:rFonts w:ascii="Arial" w:hAnsi="Arial" w:cs="Arial"/>
          <w:sz w:val="24"/>
          <w:szCs w:val="24"/>
        </w:rPr>
        <w:t xml:space="preserve">or early action offset project </w:t>
      </w:r>
      <w:r w:rsidRPr="00B61FF1">
        <w:rPr>
          <w:rFonts w:ascii="Arial" w:hAnsi="Arial" w:cs="Arial"/>
          <w:sz w:val="24"/>
          <w:szCs w:val="24"/>
        </w:rPr>
        <w:t xml:space="preserve">that is registered with ARB pursuant to subarticle 13 </w:t>
      </w:r>
      <w:r w:rsidR="000963AF" w:rsidRPr="00B61FF1">
        <w:rPr>
          <w:rFonts w:ascii="Arial" w:hAnsi="Arial" w:cs="Arial"/>
          <w:sz w:val="24"/>
          <w:szCs w:val="24"/>
        </w:rPr>
        <w:t xml:space="preserve">or 14 </w:t>
      </w:r>
      <w:r w:rsidRPr="00B61FF1">
        <w:rPr>
          <w:rFonts w:ascii="Arial" w:hAnsi="Arial" w:cs="Arial"/>
          <w:sz w:val="24"/>
          <w:szCs w:val="24"/>
        </w:rPr>
        <w:t xml:space="preserve">in this article. </w:t>
      </w:r>
    </w:p>
    <w:p w14:paraId="4D5BF537" w14:textId="77777777" w:rsidR="00BE45EF" w:rsidRPr="00B61FF1" w:rsidRDefault="00BE45EF" w:rsidP="00BE45EF">
      <w:pPr>
        <w:tabs>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28</w:t>
      </w:r>
      <w:r w:rsidR="000E356A" w:rsidRPr="00B61FF1">
        <w:rPr>
          <w:rFonts w:ascii="Arial" w:hAnsi="Arial" w:cs="Arial"/>
          <w:sz w:val="24"/>
          <w:szCs w:val="24"/>
        </w:rPr>
        <w:t>8</w:t>
      </w:r>
      <w:r w:rsidRPr="00B61FF1">
        <w:rPr>
          <w:rFonts w:ascii="Arial" w:hAnsi="Arial" w:cs="Arial"/>
          <w:sz w:val="24"/>
          <w:szCs w:val="24"/>
        </w:rPr>
        <w:t xml:space="preserve">) </w:t>
      </w:r>
      <w:r w:rsidR="00CD4B45" w:rsidRPr="00B61FF1">
        <w:rPr>
          <w:rFonts w:ascii="Arial" w:hAnsi="Arial" w:cs="Arial"/>
          <w:sz w:val="24"/>
          <w:szCs w:val="24"/>
        </w:rPr>
        <w:tab/>
      </w:r>
      <w:r w:rsidR="005C5EBD" w:rsidRPr="00B61FF1">
        <w:rPr>
          <w:rFonts w:ascii="Arial" w:hAnsi="Arial" w:cs="Arial"/>
          <w:sz w:val="24"/>
          <w:szCs w:val="24"/>
        </w:rPr>
        <w:t>“Vo</w:t>
      </w:r>
      <w:r w:rsidR="00C9611B" w:rsidRPr="00B61FF1">
        <w:rPr>
          <w:rFonts w:ascii="Arial" w:hAnsi="Arial" w:cs="Arial"/>
          <w:sz w:val="24"/>
          <w:szCs w:val="24"/>
        </w:rPr>
        <w:t xml:space="preserve">luntary Renewable Electricity” </w:t>
      </w:r>
      <w:r w:rsidR="005C5EBD" w:rsidRPr="00B61FF1">
        <w:rPr>
          <w:rFonts w:ascii="Arial" w:hAnsi="Arial" w:cs="Arial"/>
          <w:sz w:val="24"/>
          <w:szCs w:val="24"/>
        </w:rPr>
        <w:t xml:space="preserve">or </w:t>
      </w:r>
      <w:r w:rsidR="00F94E26" w:rsidRPr="00B61FF1">
        <w:rPr>
          <w:rFonts w:ascii="Arial" w:hAnsi="Arial" w:cs="Arial"/>
          <w:sz w:val="24"/>
          <w:szCs w:val="24"/>
        </w:rPr>
        <w:t>“VRE”</w:t>
      </w:r>
      <w:r w:rsidR="005C5EBD" w:rsidRPr="00B61FF1">
        <w:rPr>
          <w:rFonts w:ascii="Arial" w:hAnsi="Arial" w:cs="Arial"/>
          <w:sz w:val="24"/>
          <w:szCs w:val="24"/>
        </w:rPr>
        <w:t xml:space="preserve"> means electricity produced or RECs associated with electricity, produced by a voluntary renewable electricity generator, and which has not and will not be sold or used to meet any other mandatory requirements in California or any other jurisdiction. </w:t>
      </w:r>
    </w:p>
    <w:p w14:paraId="5BDB1512" w14:textId="77777777" w:rsidR="0054122B" w:rsidRPr="00B61FF1" w:rsidRDefault="007C1F97" w:rsidP="00BD5383">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lastRenderedPageBreak/>
        <w:t>(</w:t>
      </w:r>
      <w:r w:rsidR="00787EAA" w:rsidRPr="00B61FF1">
        <w:rPr>
          <w:rFonts w:ascii="Arial" w:hAnsi="Arial" w:cs="Arial"/>
          <w:sz w:val="24"/>
          <w:szCs w:val="24"/>
        </w:rPr>
        <w:t>28</w:t>
      </w:r>
      <w:r w:rsidR="000E356A" w:rsidRPr="00B61FF1">
        <w:rPr>
          <w:rFonts w:ascii="Arial" w:hAnsi="Arial" w:cs="Arial"/>
          <w:sz w:val="24"/>
          <w:szCs w:val="24"/>
        </w:rPr>
        <w:t>9</w:t>
      </w:r>
      <w:r w:rsidR="0054122B" w:rsidRPr="00B61FF1">
        <w:rPr>
          <w:rFonts w:ascii="Arial" w:hAnsi="Arial" w:cs="Arial"/>
          <w:sz w:val="24"/>
          <w:szCs w:val="24"/>
        </w:rPr>
        <w:t>)</w:t>
      </w:r>
      <w:r w:rsidR="00CD4B45" w:rsidRPr="00B61FF1">
        <w:rPr>
          <w:rFonts w:ascii="Arial" w:hAnsi="Arial" w:cs="Arial"/>
          <w:sz w:val="24"/>
          <w:szCs w:val="24"/>
        </w:rPr>
        <w:tab/>
      </w:r>
      <w:r w:rsidR="008C58AA" w:rsidRPr="00B61FF1">
        <w:rPr>
          <w:rFonts w:ascii="Arial" w:hAnsi="Arial" w:cs="Arial"/>
          <w:sz w:val="24"/>
          <w:szCs w:val="24"/>
        </w:rPr>
        <w:t>“Voluntary Renewa</w:t>
      </w:r>
      <w:r w:rsidR="00C9611B" w:rsidRPr="00B61FF1">
        <w:rPr>
          <w:rFonts w:ascii="Arial" w:hAnsi="Arial" w:cs="Arial"/>
          <w:sz w:val="24"/>
          <w:szCs w:val="24"/>
        </w:rPr>
        <w:t>ble Electricity Aggregator” or “VRE Aggregator”</w:t>
      </w:r>
      <w:r w:rsidR="008C58AA" w:rsidRPr="00B61FF1">
        <w:rPr>
          <w:rFonts w:ascii="Arial" w:hAnsi="Arial" w:cs="Arial"/>
          <w:sz w:val="24"/>
          <w:szCs w:val="24"/>
        </w:rPr>
        <w:t xml:space="preserve"> means the entity that is aggregating systems for the purpose of </w:t>
      </w:r>
      <w:r w:rsidR="008C58AA" w:rsidRPr="00B61FF1">
        <w:rPr>
          <w:rFonts w:ascii="Arial" w:hAnsi="Arial" w:cs="Arial"/>
          <w:dstrike/>
          <w:sz w:val="24"/>
          <w:szCs w:val="24"/>
        </w:rPr>
        <w:t xml:space="preserve"> </w:t>
      </w:r>
      <w:r w:rsidR="008C58AA" w:rsidRPr="00B61FF1">
        <w:rPr>
          <w:rFonts w:ascii="Arial" w:hAnsi="Arial" w:cs="Arial"/>
          <w:sz w:val="24"/>
          <w:szCs w:val="24"/>
        </w:rPr>
        <w:t xml:space="preserve">allowance retirement pursuant to section 95841.1. </w:t>
      </w:r>
    </w:p>
    <w:p w14:paraId="7EC4486C" w14:textId="77777777" w:rsidR="004D4336" w:rsidRPr="00B61FF1" w:rsidRDefault="004D4336" w:rsidP="00BD5383">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787EAA" w:rsidRPr="00B61FF1">
        <w:rPr>
          <w:rFonts w:ascii="Arial" w:hAnsi="Arial" w:cs="Arial"/>
          <w:sz w:val="24"/>
          <w:szCs w:val="24"/>
        </w:rPr>
        <w:t>2</w:t>
      </w:r>
      <w:r w:rsidR="000E356A" w:rsidRPr="00B61FF1">
        <w:rPr>
          <w:rFonts w:ascii="Arial" w:hAnsi="Arial" w:cs="Arial"/>
          <w:sz w:val="24"/>
          <w:szCs w:val="24"/>
        </w:rPr>
        <w:t>90</w:t>
      </w:r>
      <w:r w:rsidRPr="00B61FF1">
        <w:rPr>
          <w:rFonts w:ascii="Arial" w:hAnsi="Arial" w:cs="Arial"/>
          <w:sz w:val="24"/>
          <w:szCs w:val="24"/>
        </w:rPr>
        <w:t>)</w:t>
      </w:r>
      <w:r w:rsidR="00CD4B45" w:rsidRPr="00B61FF1">
        <w:rPr>
          <w:rFonts w:ascii="Arial" w:hAnsi="Arial" w:cs="Arial"/>
          <w:sz w:val="24"/>
          <w:szCs w:val="24"/>
        </w:rPr>
        <w:tab/>
      </w:r>
      <w:r w:rsidR="008C58AA" w:rsidRPr="00B61FF1">
        <w:rPr>
          <w:rFonts w:ascii="Arial" w:hAnsi="Arial" w:cs="Arial"/>
          <w:sz w:val="24"/>
          <w:szCs w:val="24"/>
        </w:rPr>
        <w:t>“Voluntary Renewable Electricity Generator” means any entity that produces renewable electricity and applies for allowance retirement pursuant to section 95841.1.</w:t>
      </w:r>
    </w:p>
    <w:p w14:paraId="4B1B6539" w14:textId="77777777" w:rsidR="004D4336" w:rsidRPr="00B61FF1" w:rsidRDefault="004D4336" w:rsidP="00BD5383">
      <w:pPr>
        <w:tabs>
          <w:tab w:val="left" w:pos="720"/>
          <w:tab w:val="left" w:pos="3780"/>
        </w:tabs>
        <w:spacing w:line="360" w:lineRule="auto"/>
        <w:ind w:left="1080" w:hanging="720"/>
        <w:rPr>
          <w:rFonts w:ascii="Arial" w:hAnsi="Arial" w:cs="Arial"/>
          <w:sz w:val="24"/>
          <w:szCs w:val="24"/>
        </w:rPr>
      </w:pPr>
      <w:r w:rsidRPr="00B61FF1">
        <w:rPr>
          <w:rFonts w:ascii="Arial" w:hAnsi="Arial" w:cs="Arial"/>
          <w:sz w:val="24"/>
          <w:szCs w:val="24"/>
        </w:rPr>
        <w:t>(</w:t>
      </w:r>
      <w:r w:rsidR="001D745B" w:rsidRPr="00B61FF1">
        <w:rPr>
          <w:rFonts w:ascii="Arial" w:hAnsi="Arial" w:cs="Arial"/>
          <w:sz w:val="24"/>
          <w:szCs w:val="24"/>
        </w:rPr>
        <w:t>2</w:t>
      </w:r>
      <w:r w:rsidR="00A84C34" w:rsidRPr="00B61FF1">
        <w:rPr>
          <w:rFonts w:ascii="Arial" w:hAnsi="Arial" w:cs="Arial"/>
          <w:sz w:val="24"/>
          <w:szCs w:val="24"/>
        </w:rPr>
        <w:t>9</w:t>
      </w:r>
      <w:r w:rsidR="000E356A" w:rsidRPr="00B61FF1">
        <w:rPr>
          <w:rFonts w:ascii="Arial" w:hAnsi="Arial" w:cs="Arial"/>
          <w:sz w:val="24"/>
          <w:szCs w:val="24"/>
        </w:rPr>
        <w:t>1</w:t>
      </w:r>
      <w:r w:rsidRPr="00B61FF1">
        <w:rPr>
          <w:rFonts w:ascii="Arial" w:hAnsi="Arial" w:cs="Arial"/>
          <w:sz w:val="24"/>
          <w:szCs w:val="24"/>
        </w:rPr>
        <w:t>)</w:t>
      </w:r>
      <w:r w:rsidR="00CD4B45" w:rsidRPr="00B61FF1">
        <w:rPr>
          <w:rFonts w:ascii="Arial" w:hAnsi="Arial" w:cs="Arial"/>
          <w:sz w:val="24"/>
          <w:szCs w:val="24"/>
        </w:rPr>
        <w:tab/>
      </w:r>
      <w:r w:rsidRPr="00B61FF1">
        <w:rPr>
          <w:rFonts w:ascii="Arial" w:hAnsi="Arial" w:cs="Arial"/>
          <w:sz w:val="24"/>
          <w:szCs w:val="24"/>
        </w:rPr>
        <w:t>“Voluntary Renewable Ele</w:t>
      </w:r>
      <w:r w:rsidR="00C9611B" w:rsidRPr="00B61FF1">
        <w:rPr>
          <w:rFonts w:ascii="Arial" w:hAnsi="Arial" w:cs="Arial"/>
          <w:sz w:val="24"/>
          <w:szCs w:val="24"/>
        </w:rPr>
        <w:t>ctricity Participant” or “VRE Participant”</w:t>
      </w:r>
      <w:r w:rsidRPr="00B61FF1">
        <w:rPr>
          <w:rFonts w:ascii="Arial" w:hAnsi="Arial" w:cs="Arial"/>
          <w:sz w:val="24"/>
          <w:szCs w:val="24"/>
        </w:rPr>
        <w:t xml:space="preserve"> means a voluntary renewable electricity generator, a REC marketer, or entity that purchases voluntary renewable electricity or RECs as an end-u</w:t>
      </w:r>
      <w:r w:rsidR="00C9611B" w:rsidRPr="00B61FF1">
        <w:rPr>
          <w:rFonts w:ascii="Arial" w:hAnsi="Arial" w:cs="Arial"/>
          <w:sz w:val="24"/>
          <w:szCs w:val="24"/>
        </w:rPr>
        <w:t>ser or on behalf of an end-user</w:t>
      </w:r>
      <w:r w:rsidRPr="00B61FF1">
        <w:rPr>
          <w:rFonts w:ascii="Arial" w:hAnsi="Arial" w:cs="Arial"/>
          <w:sz w:val="24"/>
          <w:szCs w:val="24"/>
        </w:rPr>
        <w:t xml:space="preserve"> and is seeking allowance retirement pursuant to section 95841.1.</w:t>
      </w:r>
    </w:p>
    <w:p w14:paraId="3955A71B" w14:textId="3459C08E" w:rsidR="0018728C" w:rsidRPr="00B61FF1" w:rsidRDefault="0018728C" w:rsidP="00BD5383">
      <w:pPr>
        <w:tabs>
          <w:tab w:val="left" w:pos="720"/>
          <w:tab w:val="left" w:pos="3780"/>
        </w:tabs>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671579" w:rsidRPr="00B61FF1">
        <w:rPr>
          <w:rFonts w:ascii="Arial" w:hAnsi="Arial" w:cs="Arial"/>
          <w:sz w:val="24"/>
          <w:szCs w:val="24"/>
          <w:u w:val="single"/>
        </w:rPr>
        <w:t>YYY</w:t>
      </w:r>
      <w:r w:rsidRPr="00B61FF1">
        <w:rPr>
          <w:rFonts w:ascii="Arial" w:hAnsi="Arial" w:cs="Arial"/>
          <w:sz w:val="24"/>
          <w:szCs w:val="24"/>
          <w:u w:val="single"/>
        </w:rPr>
        <w:t>)</w:t>
      </w:r>
      <w:r w:rsidRPr="00B61FF1">
        <w:rPr>
          <w:rFonts w:ascii="Arial" w:hAnsi="Arial" w:cs="Arial"/>
          <w:sz w:val="24"/>
          <w:szCs w:val="24"/>
          <w:u w:val="single"/>
        </w:rPr>
        <w:tab/>
        <w:t>“Waste-to-Energy” means a facility located in California that incinerates eligible municipal solid waste in accordance with a current permit issued by the local Air Pollution Control District or Air Quality Management District, to generate and distribute electricity over the electric power grid for wholesale or retail customers of the grid located in California.</w:t>
      </w:r>
    </w:p>
    <w:p w14:paraId="75071DA3" w14:textId="77777777" w:rsidR="00FE6B15" w:rsidRPr="00B61FF1" w:rsidRDefault="00FE6B15" w:rsidP="00FE6A4C">
      <w:pPr>
        <w:numPr>
          <w:ilvl w:val="0"/>
          <w:numId w:val="7"/>
        </w:numPr>
        <w:tabs>
          <w:tab w:val="left" w:pos="3780"/>
        </w:tabs>
        <w:spacing w:line="360" w:lineRule="auto"/>
        <w:rPr>
          <w:rFonts w:ascii="Arial" w:hAnsi="Arial" w:cs="Arial"/>
          <w:sz w:val="24"/>
          <w:szCs w:val="24"/>
        </w:rPr>
      </w:pPr>
      <w:r w:rsidRPr="00B61FF1">
        <w:rPr>
          <w:rFonts w:ascii="Arial" w:hAnsi="Arial" w:cs="Arial"/>
          <w:sz w:val="24"/>
          <w:szCs w:val="24"/>
        </w:rPr>
        <w:t>For the purposes of sections 95801 through 9602</w:t>
      </w:r>
      <w:r w:rsidR="003E5A98" w:rsidRPr="00B61FF1">
        <w:rPr>
          <w:rFonts w:ascii="Arial" w:hAnsi="Arial" w:cs="Arial"/>
          <w:sz w:val="24"/>
          <w:szCs w:val="24"/>
        </w:rPr>
        <w:t>3</w:t>
      </w:r>
      <w:r w:rsidRPr="00B61FF1">
        <w:rPr>
          <w:rFonts w:ascii="Arial" w:hAnsi="Arial" w:cs="Arial"/>
          <w:sz w:val="24"/>
          <w:szCs w:val="24"/>
        </w:rPr>
        <w:t>, the following acronyms apply:</w:t>
      </w:r>
    </w:p>
    <w:p w14:paraId="2D08DF91" w14:textId="77777777" w:rsidR="00FE6B15" w:rsidRPr="00B61FF1" w:rsidRDefault="00FE6B15" w:rsidP="00FE6A4C">
      <w:pPr>
        <w:numPr>
          <w:ilvl w:val="1"/>
          <w:numId w:val="7"/>
        </w:numPr>
        <w:tabs>
          <w:tab w:val="clear" w:pos="1080"/>
          <w:tab w:val="num" w:pos="720"/>
          <w:tab w:val="left" w:pos="3780"/>
        </w:tabs>
        <w:spacing w:line="360" w:lineRule="auto"/>
        <w:rPr>
          <w:rFonts w:ascii="Arial" w:hAnsi="Arial" w:cs="Arial"/>
          <w:sz w:val="24"/>
          <w:szCs w:val="24"/>
        </w:rPr>
      </w:pPr>
      <w:r w:rsidRPr="00B61FF1">
        <w:rPr>
          <w:rFonts w:ascii="Arial" w:hAnsi="Arial" w:cs="Arial"/>
          <w:sz w:val="24"/>
          <w:szCs w:val="24"/>
        </w:rPr>
        <w:t>“AB 32” means Assembly Bill 32, the California Global Warming Solutions Act of 2006.</w:t>
      </w:r>
    </w:p>
    <w:p w14:paraId="48758023" w14:textId="77777777" w:rsidR="00FE6B15" w:rsidRPr="00B61FF1" w:rsidRDefault="00FE6B15" w:rsidP="00FE6A4C">
      <w:pPr>
        <w:numPr>
          <w:ilvl w:val="1"/>
          <w:numId w:val="7"/>
        </w:numPr>
        <w:tabs>
          <w:tab w:val="clear" w:pos="1080"/>
          <w:tab w:val="num" w:pos="720"/>
          <w:tab w:val="left" w:pos="3780"/>
        </w:tabs>
        <w:spacing w:line="360" w:lineRule="auto"/>
        <w:rPr>
          <w:rFonts w:ascii="Arial" w:hAnsi="Arial" w:cs="Arial"/>
          <w:sz w:val="24"/>
          <w:szCs w:val="24"/>
        </w:rPr>
      </w:pPr>
      <w:r w:rsidRPr="00B61FF1">
        <w:rPr>
          <w:rFonts w:ascii="Arial" w:hAnsi="Arial" w:cs="Arial"/>
          <w:sz w:val="24"/>
          <w:szCs w:val="24"/>
        </w:rPr>
        <w:t>“ARB” means the California Air Resources Board.</w:t>
      </w:r>
    </w:p>
    <w:p w14:paraId="5EC19CF9" w14:textId="77777777" w:rsidR="00FE6B15" w:rsidRPr="00B61FF1" w:rsidRDefault="00FE6B15" w:rsidP="00FE6A4C">
      <w:pPr>
        <w:numPr>
          <w:ilvl w:val="1"/>
          <w:numId w:val="7"/>
        </w:numPr>
        <w:tabs>
          <w:tab w:val="clear" w:pos="1080"/>
          <w:tab w:val="num" w:pos="720"/>
          <w:tab w:val="left" w:pos="3780"/>
        </w:tabs>
        <w:spacing w:line="360" w:lineRule="auto"/>
        <w:rPr>
          <w:rFonts w:ascii="Arial" w:hAnsi="Arial" w:cs="Arial"/>
          <w:sz w:val="24"/>
          <w:szCs w:val="24"/>
        </w:rPr>
      </w:pPr>
      <w:r w:rsidRPr="00B61FF1">
        <w:rPr>
          <w:rFonts w:ascii="Arial" w:hAnsi="Arial" w:cs="Arial"/>
          <w:sz w:val="24"/>
          <w:szCs w:val="24"/>
        </w:rPr>
        <w:t>“BAU” means business as usual.</w:t>
      </w:r>
    </w:p>
    <w:p w14:paraId="44AFE9A1" w14:textId="77777777" w:rsidR="00FE6B15" w:rsidRPr="00B61FF1" w:rsidRDefault="00FE6B15" w:rsidP="00FE6A4C">
      <w:pPr>
        <w:numPr>
          <w:ilvl w:val="1"/>
          <w:numId w:val="7"/>
        </w:numPr>
        <w:tabs>
          <w:tab w:val="clear" w:pos="1080"/>
          <w:tab w:val="num" w:pos="720"/>
          <w:tab w:val="left" w:pos="3780"/>
        </w:tabs>
        <w:spacing w:line="360" w:lineRule="auto"/>
        <w:rPr>
          <w:rFonts w:ascii="Arial" w:hAnsi="Arial" w:cs="Arial"/>
          <w:sz w:val="24"/>
          <w:szCs w:val="24"/>
        </w:rPr>
      </w:pPr>
      <w:r w:rsidRPr="00B61FF1">
        <w:rPr>
          <w:rFonts w:ascii="Arial" w:hAnsi="Arial" w:cs="Arial"/>
          <w:sz w:val="24"/>
          <w:szCs w:val="24"/>
        </w:rPr>
        <w:t>“BPA” means Bonneville Power Administration.</w:t>
      </w:r>
    </w:p>
    <w:p w14:paraId="2BA291EB" w14:textId="77777777" w:rsidR="00D11FAE" w:rsidRPr="00B61FF1" w:rsidRDefault="00D11FAE" w:rsidP="00FE6A4C">
      <w:pPr>
        <w:numPr>
          <w:ilvl w:val="1"/>
          <w:numId w:val="7"/>
        </w:numPr>
        <w:tabs>
          <w:tab w:val="clear" w:pos="1080"/>
          <w:tab w:val="num" w:pos="720"/>
          <w:tab w:val="left" w:pos="3780"/>
        </w:tabs>
        <w:spacing w:line="360" w:lineRule="auto"/>
        <w:rPr>
          <w:rFonts w:ascii="Arial" w:hAnsi="Arial" w:cs="Arial"/>
          <w:sz w:val="24"/>
          <w:szCs w:val="24"/>
        </w:rPr>
      </w:pPr>
      <w:r w:rsidRPr="00B61FF1">
        <w:rPr>
          <w:rFonts w:ascii="Arial" w:hAnsi="Arial" w:cs="Arial"/>
          <w:sz w:val="24"/>
          <w:szCs w:val="24"/>
        </w:rPr>
        <w:t>“CAISO” means the California Independent System Operator</w:t>
      </w:r>
      <w:r w:rsidR="00D26033" w:rsidRPr="00B61FF1">
        <w:rPr>
          <w:rFonts w:ascii="Arial" w:hAnsi="Arial" w:cs="Arial"/>
          <w:sz w:val="24"/>
          <w:szCs w:val="24"/>
        </w:rPr>
        <w:t>.</w:t>
      </w:r>
    </w:p>
    <w:p w14:paraId="16C4A257" w14:textId="77777777" w:rsidR="00FE6B15" w:rsidRPr="00B61FF1" w:rsidRDefault="00653D1C" w:rsidP="00653D1C">
      <w:pPr>
        <w:tabs>
          <w:tab w:val="left" w:pos="720"/>
          <w:tab w:val="left" w:pos="3780"/>
        </w:tabs>
        <w:spacing w:line="360" w:lineRule="auto"/>
        <w:ind w:left="720" w:hanging="36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r>
      <w:r w:rsidR="00FE6B15" w:rsidRPr="00B61FF1">
        <w:rPr>
          <w:rFonts w:ascii="Arial" w:hAnsi="Arial" w:cs="Arial"/>
          <w:sz w:val="24"/>
          <w:szCs w:val="24"/>
        </w:rPr>
        <w:t>“CAR” means Climate Action Reserve.</w:t>
      </w:r>
    </w:p>
    <w:p w14:paraId="10949F67" w14:textId="77777777" w:rsidR="00FE6B15" w:rsidRPr="00B61FF1" w:rsidRDefault="001D745B" w:rsidP="00485A59">
      <w:pPr>
        <w:tabs>
          <w:tab w:val="left" w:pos="3780"/>
        </w:tabs>
        <w:spacing w:line="360" w:lineRule="auto"/>
        <w:ind w:left="360"/>
        <w:rPr>
          <w:rFonts w:ascii="Arial" w:hAnsi="Arial" w:cs="Arial"/>
          <w:sz w:val="24"/>
          <w:szCs w:val="24"/>
        </w:rPr>
      </w:pPr>
      <w:r w:rsidRPr="00B61FF1">
        <w:rPr>
          <w:rFonts w:ascii="Arial" w:hAnsi="Arial" w:cs="Arial"/>
          <w:sz w:val="24"/>
          <w:szCs w:val="24"/>
        </w:rPr>
        <w:t xml:space="preserve">(7) </w:t>
      </w:r>
      <w:r w:rsidR="00FE6B15" w:rsidRPr="00B61FF1">
        <w:rPr>
          <w:rFonts w:ascii="Arial" w:hAnsi="Arial" w:cs="Arial"/>
          <w:sz w:val="24"/>
          <w:szCs w:val="24"/>
        </w:rPr>
        <w:t>“CEC” means California Energy Commission.</w:t>
      </w:r>
    </w:p>
    <w:p w14:paraId="30B3E3F2" w14:textId="77777777" w:rsidR="00FE6B15" w:rsidRPr="00B61FF1" w:rsidRDefault="001D745B" w:rsidP="001D745B">
      <w:pPr>
        <w:tabs>
          <w:tab w:val="left" w:pos="360"/>
          <w:tab w:val="left" w:pos="3780"/>
        </w:tabs>
        <w:spacing w:line="360" w:lineRule="auto"/>
        <w:ind w:firstLine="360"/>
        <w:rPr>
          <w:rFonts w:ascii="Arial" w:hAnsi="Arial" w:cs="Arial"/>
          <w:sz w:val="24"/>
          <w:szCs w:val="24"/>
        </w:rPr>
      </w:pPr>
      <w:r w:rsidRPr="00B61FF1">
        <w:rPr>
          <w:rFonts w:ascii="Arial" w:hAnsi="Arial" w:cs="Arial"/>
          <w:sz w:val="24"/>
          <w:szCs w:val="24"/>
        </w:rPr>
        <w:t xml:space="preserve">(8) </w:t>
      </w:r>
      <w:r w:rsidR="00FE6B15" w:rsidRPr="00B61FF1">
        <w:rPr>
          <w:rFonts w:ascii="Arial" w:hAnsi="Arial" w:cs="Arial"/>
          <w:sz w:val="24"/>
          <w:szCs w:val="24"/>
        </w:rPr>
        <w:t>“CFR” means Code of Federal Regulations.</w:t>
      </w:r>
    </w:p>
    <w:p w14:paraId="003C973B" w14:textId="77777777" w:rsidR="00FE6B15" w:rsidRPr="00B61FF1" w:rsidRDefault="001D745B" w:rsidP="001D745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(9) </w:t>
      </w:r>
      <w:r w:rsidR="00FE6B15" w:rsidRPr="00B61FF1">
        <w:rPr>
          <w:rFonts w:ascii="Arial" w:hAnsi="Arial" w:cs="Arial"/>
          <w:sz w:val="24"/>
          <w:szCs w:val="24"/>
        </w:rPr>
        <w:t>“CH</w:t>
      </w:r>
      <w:r w:rsidR="00FE6B15" w:rsidRPr="00B61FF1">
        <w:rPr>
          <w:rFonts w:ascii="Arial" w:hAnsi="Arial" w:cs="Arial"/>
          <w:sz w:val="24"/>
          <w:szCs w:val="24"/>
          <w:vertAlign w:val="subscript"/>
        </w:rPr>
        <w:t>4</w:t>
      </w:r>
      <w:r w:rsidR="00FE6B15" w:rsidRPr="00B61FF1">
        <w:rPr>
          <w:rFonts w:ascii="Arial" w:hAnsi="Arial" w:cs="Arial"/>
          <w:sz w:val="24"/>
          <w:szCs w:val="24"/>
        </w:rPr>
        <w:t>” means methane.</w:t>
      </w:r>
    </w:p>
    <w:p w14:paraId="2F825D85" w14:textId="77777777" w:rsidR="00FE6B15" w:rsidRPr="00B61FF1" w:rsidRDefault="001D745B" w:rsidP="001D745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(10) </w:t>
      </w:r>
      <w:r w:rsidR="00FE6B15" w:rsidRPr="00B61FF1">
        <w:rPr>
          <w:rFonts w:ascii="Arial" w:hAnsi="Arial" w:cs="Arial"/>
          <w:sz w:val="24"/>
          <w:szCs w:val="24"/>
        </w:rPr>
        <w:t>“CO</w:t>
      </w:r>
      <w:r w:rsidR="00FE6B15" w:rsidRPr="00B61FF1">
        <w:rPr>
          <w:rFonts w:ascii="Arial" w:hAnsi="Arial" w:cs="Arial"/>
          <w:sz w:val="24"/>
          <w:szCs w:val="24"/>
          <w:vertAlign w:val="subscript"/>
        </w:rPr>
        <w:t>2</w:t>
      </w:r>
      <w:r w:rsidR="00FE6B15" w:rsidRPr="00B61FF1">
        <w:rPr>
          <w:rFonts w:ascii="Arial" w:hAnsi="Arial" w:cs="Arial"/>
          <w:sz w:val="24"/>
          <w:szCs w:val="24"/>
        </w:rPr>
        <w:t>” means carbon dioxide.</w:t>
      </w:r>
    </w:p>
    <w:p w14:paraId="374A7BCE" w14:textId="77777777" w:rsidR="00FE6B15" w:rsidRPr="00B61FF1" w:rsidRDefault="001D745B" w:rsidP="001D745B">
      <w:pPr>
        <w:tabs>
          <w:tab w:val="left" w:pos="3780"/>
        </w:tabs>
        <w:spacing w:line="360" w:lineRule="auto"/>
        <w:ind w:firstLine="360"/>
        <w:rPr>
          <w:rFonts w:ascii="Arial" w:hAnsi="Arial" w:cs="Arial"/>
          <w:sz w:val="24"/>
          <w:szCs w:val="24"/>
        </w:rPr>
      </w:pPr>
      <w:r w:rsidRPr="00B61FF1">
        <w:rPr>
          <w:rFonts w:ascii="Arial" w:hAnsi="Arial" w:cs="Arial"/>
          <w:sz w:val="24"/>
          <w:szCs w:val="24"/>
        </w:rPr>
        <w:t>(11)</w:t>
      </w:r>
      <w:r w:rsidR="00FE6B15" w:rsidRPr="00B61FF1">
        <w:rPr>
          <w:rFonts w:ascii="Arial" w:hAnsi="Arial" w:cs="Arial"/>
          <w:sz w:val="24"/>
          <w:szCs w:val="24"/>
        </w:rPr>
        <w:t>"CO</w:t>
      </w:r>
      <w:r w:rsidR="00FE6B15" w:rsidRPr="00B61FF1">
        <w:rPr>
          <w:rFonts w:ascii="Arial" w:hAnsi="Arial" w:cs="Arial"/>
          <w:sz w:val="24"/>
          <w:szCs w:val="24"/>
          <w:vertAlign w:val="subscript"/>
        </w:rPr>
        <w:t>2</w:t>
      </w:r>
      <w:r w:rsidR="00FE6B15" w:rsidRPr="00B61FF1">
        <w:rPr>
          <w:rFonts w:ascii="Arial" w:hAnsi="Arial" w:cs="Arial"/>
          <w:sz w:val="24"/>
          <w:szCs w:val="24"/>
        </w:rPr>
        <w:t>e" means carbon dioxide equivalent.</w:t>
      </w:r>
    </w:p>
    <w:p w14:paraId="7BBAE25E" w14:textId="77777777" w:rsidR="00FE6A4C" w:rsidRPr="00B61FF1" w:rsidRDefault="00FE6A4C" w:rsidP="00FE6A4C">
      <w:pPr>
        <w:tabs>
          <w:tab w:val="left" w:pos="3780"/>
        </w:tabs>
        <w:spacing w:line="360" w:lineRule="auto"/>
        <w:ind w:firstLine="360"/>
        <w:rPr>
          <w:rFonts w:ascii="Arial" w:hAnsi="Arial" w:cs="Arial"/>
          <w:strike/>
          <w:sz w:val="24"/>
          <w:szCs w:val="24"/>
        </w:rPr>
      </w:pPr>
      <w:r w:rsidRPr="00B61FF1">
        <w:rPr>
          <w:rFonts w:ascii="Arial" w:hAnsi="Arial" w:cs="Arial"/>
          <w:strike/>
          <w:sz w:val="24"/>
          <w:szCs w:val="24"/>
        </w:rPr>
        <w:lastRenderedPageBreak/>
        <w:t>(12) “CRT” means Climate Reserve Tonne.</w:t>
      </w:r>
    </w:p>
    <w:p w14:paraId="1F27119D" w14:textId="34EA8888" w:rsidR="00FE6B15" w:rsidRPr="00B61FF1" w:rsidRDefault="0072587B" w:rsidP="00FE6A4C">
      <w:pPr>
        <w:tabs>
          <w:tab w:val="left" w:pos="3780"/>
        </w:tabs>
        <w:spacing w:line="360" w:lineRule="auto"/>
        <w:ind w:firstLine="360"/>
        <w:rPr>
          <w:rFonts w:ascii="Arial" w:hAnsi="Arial" w:cs="Arial"/>
          <w:sz w:val="24"/>
          <w:szCs w:val="24"/>
        </w:rPr>
      </w:pPr>
      <w:r w:rsidRPr="00B61FF1">
        <w:rPr>
          <w:rFonts w:ascii="Arial" w:hAnsi="Arial" w:cs="Arial"/>
          <w:sz w:val="24"/>
          <w:szCs w:val="24"/>
        </w:rPr>
        <w:t>(13</w:t>
      </w:r>
      <w:r w:rsidR="001D745B" w:rsidRPr="00B61FF1">
        <w:rPr>
          <w:rFonts w:ascii="Arial" w:hAnsi="Arial" w:cs="Arial"/>
          <w:sz w:val="24"/>
          <w:szCs w:val="24"/>
        </w:rPr>
        <w:t xml:space="preserve">) </w:t>
      </w:r>
      <w:r w:rsidR="00FE6B15" w:rsidRPr="00B61FF1">
        <w:rPr>
          <w:rFonts w:ascii="Arial" w:hAnsi="Arial" w:cs="Arial"/>
          <w:sz w:val="24"/>
          <w:szCs w:val="24"/>
        </w:rPr>
        <w:t>“DWR” means California Department of Water Resources.</w:t>
      </w:r>
    </w:p>
    <w:p w14:paraId="38DB729A" w14:textId="77777777" w:rsidR="00FE6B15" w:rsidRPr="00B61FF1" w:rsidRDefault="0072587B" w:rsidP="0072587B">
      <w:pPr>
        <w:tabs>
          <w:tab w:val="left" w:pos="3780"/>
        </w:tabs>
        <w:spacing w:line="360" w:lineRule="auto"/>
        <w:ind w:left="360"/>
        <w:rPr>
          <w:rFonts w:ascii="Arial" w:hAnsi="Arial" w:cs="Arial"/>
          <w:sz w:val="24"/>
          <w:szCs w:val="24"/>
        </w:rPr>
      </w:pPr>
      <w:r w:rsidRPr="00B61FF1">
        <w:rPr>
          <w:rFonts w:ascii="Arial" w:hAnsi="Arial" w:cs="Arial"/>
          <w:sz w:val="24"/>
          <w:szCs w:val="24"/>
        </w:rPr>
        <w:t xml:space="preserve">(14) </w:t>
      </w:r>
      <w:r w:rsidR="00FE6B15" w:rsidRPr="00B61FF1">
        <w:rPr>
          <w:rFonts w:ascii="Arial" w:hAnsi="Arial" w:cs="Arial"/>
          <w:sz w:val="24"/>
          <w:szCs w:val="24"/>
        </w:rPr>
        <w:t>“F” means Fahrenheit.</w:t>
      </w:r>
    </w:p>
    <w:p w14:paraId="55C84B1F"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(15) </w:t>
      </w:r>
      <w:r w:rsidR="00FE6B15" w:rsidRPr="00B61FF1">
        <w:rPr>
          <w:rFonts w:ascii="Arial" w:hAnsi="Arial" w:cs="Arial"/>
          <w:sz w:val="24"/>
          <w:szCs w:val="24"/>
        </w:rPr>
        <w:t>“GHG" means greenhouse gas.</w:t>
      </w:r>
    </w:p>
    <w:p w14:paraId="7FF6C18B"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(16) </w:t>
      </w:r>
      <w:r w:rsidR="00FE6B15" w:rsidRPr="00B61FF1">
        <w:rPr>
          <w:rFonts w:ascii="Arial" w:hAnsi="Arial" w:cs="Arial"/>
          <w:sz w:val="24"/>
          <w:szCs w:val="24"/>
        </w:rPr>
        <w:t>“GHG ETS” means greenhouse gas emissions trading system.</w:t>
      </w:r>
    </w:p>
    <w:p w14:paraId="386BF72B"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(17) </w:t>
      </w:r>
      <w:r w:rsidR="00FE6B15" w:rsidRPr="00B61FF1">
        <w:rPr>
          <w:rFonts w:ascii="Arial" w:hAnsi="Arial" w:cs="Arial"/>
          <w:sz w:val="24"/>
          <w:szCs w:val="24"/>
        </w:rPr>
        <w:t>“GWP” means global warming potential.</w:t>
      </w:r>
    </w:p>
    <w:p w14:paraId="20F60843"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(18) </w:t>
      </w:r>
      <w:r w:rsidR="00FE6B15" w:rsidRPr="00B61FF1">
        <w:rPr>
          <w:rFonts w:ascii="Arial" w:hAnsi="Arial" w:cs="Arial"/>
          <w:sz w:val="24"/>
          <w:szCs w:val="24"/>
        </w:rPr>
        <w:t>“HFC” means hydrofluorocarbon.</w:t>
      </w:r>
    </w:p>
    <w:p w14:paraId="19A7AB70"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(19) </w:t>
      </w:r>
      <w:r w:rsidR="00FE6B15" w:rsidRPr="00B61FF1">
        <w:rPr>
          <w:rFonts w:ascii="Arial" w:hAnsi="Arial" w:cs="Arial"/>
          <w:sz w:val="24"/>
          <w:szCs w:val="24"/>
        </w:rPr>
        <w:t xml:space="preserve">“LPG” means </w:t>
      </w:r>
      <w:r w:rsidR="00FE6B15" w:rsidRPr="00B61FF1">
        <w:rPr>
          <w:rFonts w:ascii="Arial" w:hAnsi="Arial" w:cs="Arial"/>
          <w:iCs/>
          <w:sz w:val="24"/>
          <w:szCs w:val="24"/>
        </w:rPr>
        <w:t>liquefied petroleum gas.</w:t>
      </w:r>
    </w:p>
    <w:p w14:paraId="5068AAE6"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(20)</w:t>
      </w:r>
      <w:r w:rsidRPr="00B61FF1">
        <w:rPr>
          <w:rFonts w:ascii="Arial" w:hAnsi="Arial" w:cs="Arial"/>
          <w:iCs/>
          <w:sz w:val="24"/>
          <w:szCs w:val="24"/>
        </w:rPr>
        <w:t xml:space="preserve"> </w:t>
      </w:r>
      <w:r w:rsidR="00FE6B15" w:rsidRPr="00B61FF1">
        <w:rPr>
          <w:rFonts w:ascii="Arial" w:hAnsi="Arial" w:cs="Arial"/>
          <w:iCs/>
          <w:sz w:val="24"/>
          <w:szCs w:val="24"/>
        </w:rPr>
        <w:t xml:space="preserve">“MMBtu” </w:t>
      </w:r>
      <w:r w:rsidR="00717BB5" w:rsidRPr="00B61FF1">
        <w:rPr>
          <w:rFonts w:ascii="Arial" w:hAnsi="Arial" w:cs="Arial"/>
          <w:iCs/>
          <w:sz w:val="24"/>
          <w:szCs w:val="24"/>
        </w:rPr>
        <w:t>mean</w:t>
      </w:r>
      <w:r w:rsidR="00BE45EF" w:rsidRPr="00B61FF1">
        <w:rPr>
          <w:rFonts w:ascii="Arial" w:hAnsi="Arial" w:cs="Arial"/>
          <w:iCs/>
          <w:sz w:val="24"/>
          <w:szCs w:val="24"/>
        </w:rPr>
        <w:t>s</w:t>
      </w:r>
      <w:r w:rsidR="00FE6B15" w:rsidRPr="00B61FF1">
        <w:rPr>
          <w:rFonts w:ascii="Arial" w:hAnsi="Arial" w:cs="Arial"/>
          <w:iCs/>
          <w:sz w:val="24"/>
          <w:szCs w:val="24"/>
        </w:rPr>
        <w:t xml:space="preserve"> one million British thermal units. </w:t>
      </w:r>
    </w:p>
    <w:p w14:paraId="5A7110C5" w14:textId="77777777" w:rsidR="00FE6B15" w:rsidRPr="00B61FF1" w:rsidRDefault="0072587B" w:rsidP="0072587B">
      <w:pPr>
        <w:tabs>
          <w:tab w:val="left" w:pos="3780"/>
        </w:tabs>
        <w:spacing w:line="360" w:lineRule="auto"/>
        <w:ind w:left="1350" w:hanging="990"/>
        <w:rPr>
          <w:rFonts w:ascii="Arial" w:hAnsi="Arial" w:cs="Arial"/>
          <w:sz w:val="24"/>
          <w:szCs w:val="24"/>
        </w:rPr>
      </w:pPr>
      <w:r w:rsidRPr="00B61FF1">
        <w:rPr>
          <w:rFonts w:ascii="Arial" w:hAnsi="Arial" w:cs="Arial"/>
          <w:sz w:val="24"/>
          <w:szCs w:val="24"/>
        </w:rPr>
        <w:t>(21)</w:t>
      </w:r>
      <w:r w:rsidRPr="00B61FF1">
        <w:rPr>
          <w:rFonts w:ascii="Arial" w:hAnsi="Arial" w:cs="Arial"/>
          <w:iCs/>
          <w:sz w:val="24"/>
          <w:szCs w:val="24"/>
        </w:rPr>
        <w:t xml:space="preserve"> </w:t>
      </w:r>
      <w:r w:rsidR="00FE6B15" w:rsidRPr="00B61FF1">
        <w:rPr>
          <w:rFonts w:ascii="Arial" w:hAnsi="Arial" w:cs="Arial"/>
          <w:iCs/>
          <w:sz w:val="24"/>
          <w:szCs w:val="24"/>
        </w:rPr>
        <w:t>“MRR” means the Air Resources Board’s Regulation for the Mandatory Reporting of Greenhouse Gas Emissions.</w:t>
      </w:r>
    </w:p>
    <w:p w14:paraId="3E9D3FE4"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(22)</w:t>
      </w:r>
      <w:r w:rsidRPr="00B61FF1">
        <w:rPr>
          <w:rFonts w:ascii="Arial" w:hAnsi="Arial" w:cs="Arial"/>
          <w:iCs/>
          <w:sz w:val="24"/>
          <w:szCs w:val="24"/>
        </w:rPr>
        <w:t xml:space="preserve"> </w:t>
      </w:r>
      <w:r w:rsidR="00FE6B15" w:rsidRPr="00B61FF1">
        <w:rPr>
          <w:rFonts w:ascii="Arial" w:hAnsi="Arial" w:cs="Arial"/>
          <w:iCs/>
          <w:sz w:val="24"/>
          <w:szCs w:val="24"/>
        </w:rPr>
        <w:t xml:space="preserve">“Mscf” means </w:t>
      </w:r>
      <w:r w:rsidR="004952AB" w:rsidRPr="00B61FF1">
        <w:rPr>
          <w:rFonts w:ascii="Arial" w:hAnsi="Arial" w:cs="Arial"/>
          <w:iCs/>
          <w:sz w:val="24"/>
          <w:szCs w:val="24"/>
        </w:rPr>
        <w:t xml:space="preserve">one thousand </w:t>
      </w:r>
      <w:r w:rsidR="00FE6B15" w:rsidRPr="00B61FF1">
        <w:rPr>
          <w:rFonts w:ascii="Arial" w:hAnsi="Arial" w:cs="Arial"/>
          <w:iCs/>
          <w:sz w:val="24"/>
          <w:szCs w:val="24"/>
        </w:rPr>
        <w:t xml:space="preserve">standard cubic feet. </w:t>
      </w:r>
    </w:p>
    <w:p w14:paraId="31A8DE01"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(23)</w:t>
      </w:r>
      <w:r w:rsidRPr="00B61FF1">
        <w:rPr>
          <w:rFonts w:ascii="Arial" w:hAnsi="Arial" w:cs="Arial"/>
          <w:iCs/>
          <w:sz w:val="24"/>
          <w:szCs w:val="24"/>
        </w:rPr>
        <w:t xml:space="preserve"> </w:t>
      </w:r>
      <w:r w:rsidR="00FE6B15" w:rsidRPr="00B61FF1">
        <w:rPr>
          <w:rFonts w:ascii="Arial" w:hAnsi="Arial" w:cs="Arial"/>
          <w:iCs/>
          <w:sz w:val="24"/>
          <w:szCs w:val="24"/>
        </w:rPr>
        <w:t>“MWh” means megawatt-hour.</w:t>
      </w:r>
    </w:p>
    <w:p w14:paraId="36598D7A"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(24) </w:t>
      </w:r>
      <w:r w:rsidR="00FE6B15" w:rsidRPr="00B61FF1">
        <w:rPr>
          <w:rFonts w:ascii="Arial" w:hAnsi="Arial" w:cs="Arial"/>
          <w:sz w:val="24"/>
          <w:szCs w:val="24"/>
        </w:rPr>
        <w:t>“MT” means metric tons.</w:t>
      </w:r>
    </w:p>
    <w:p w14:paraId="2495553E"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(25) </w:t>
      </w:r>
      <w:r w:rsidR="00FE6B15" w:rsidRPr="00B61FF1">
        <w:rPr>
          <w:rFonts w:ascii="Arial" w:hAnsi="Arial" w:cs="Arial"/>
          <w:sz w:val="24"/>
          <w:szCs w:val="24"/>
        </w:rPr>
        <w:t xml:space="preserve">“NAICS” means North American Industry Classification System. </w:t>
      </w:r>
    </w:p>
    <w:p w14:paraId="0FF3EFC9"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(26) </w:t>
      </w:r>
      <w:r w:rsidR="00FE6B15" w:rsidRPr="00B61FF1">
        <w:rPr>
          <w:rFonts w:ascii="Arial" w:hAnsi="Arial" w:cs="Arial"/>
          <w:sz w:val="24"/>
          <w:szCs w:val="24"/>
        </w:rPr>
        <w:t>“NGLs” means natural gas liquids.</w:t>
      </w:r>
    </w:p>
    <w:p w14:paraId="1C42B7B5"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(27) </w:t>
      </w:r>
      <w:r w:rsidR="00FE6B15" w:rsidRPr="00B61FF1">
        <w:rPr>
          <w:rFonts w:ascii="Arial" w:hAnsi="Arial" w:cs="Arial"/>
          <w:sz w:val="24"/>
          <w:szCs w:val="24"/>
        </w:rPr>
        <w:t>“NERC” means North American Electric Reliability Corporation.</w:t>
      </w:r>
    </w:p>
    <w:p w14:paraId="468E4B62" w14:textId="77777777" w:rsidR="00FE6B15" w:rsidRPr="00B61FF1" w:rsidRDefault="00F94E26"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w:t>
      </w:r>
      <w:r w:rsidR="0072587B" w:rsidRPr="00B61FF1">
        <w:rPr>
          <w:rFonts w:ascii="Arial" w:hAnsi="Arial" w:cs="Arial"/>
          <w:sz w:val="24"/>
          <w:szCs w:val="24"/>
        </w:rPr>
        <w:t xml:space="preserve">28) </w:t>
      </w:r>
      <w:r w:rsidR="00FE6B15" w:rsidRPr="00B61FF1">
        <w:rPr>
          <w:rFonts w:ascii="Arial" w:hAnsi="Arial" w:cs="Arial"/>
          <w:sz w:val="24"/>
          <w:szCs w:val="24"/>
        </w:rPr>
        <w:t>“N</w:t>
      </w:r>
      <w:r w:rsidR="00FE6B15" w:rsidRPr="00B61FF1">
        <w:rPr>
          <w:rFonts w:ascii="Arial" w:hAnsi="Arial" w:cs="Arial"/>
          <w:sz w:val="24"/>
          <w:szCs w:val="24"/>
          <w:vertAlign w:val="subscript"/>
        </w:rPr>
        <w:t>2</w:t>
      </w:r>
      <w:r w:rsidR="00FE6B15" w:rsidRPr="00B61FF1">
        <w:rPr>
          <w:rFonts w:ascii="Arial" w:hAnsi="Arial" w:cs="Arial"/>
          <w:sz w:val="24"/>
          <w:szCs w:val="24"/>
        </w:rPr>
        <w:t>O” means “nitrous oxide.”</w:t>
      </w:r>
    </w:p>
    <w:p w14:paraId="5BEEC405"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(29) ”</w:t>
      </w:r>
      <w:r w:rsidR="00FE6B15" w:rsidRPr="00B61FF1">
        <w:rPr>
          <w:rFonts w:ascii="Arial" w:hAnsi="Arial" w:cs="Arial"/>
          <w:sz w:val="24"/>
          <w:szCs w:val="24"/>
        </w:rPr>
        <w:t>PFC” means perfluorocarbon.</w:t>
      </w:r>
    </w:p>
    <w:p w14:paraId="71E2D05A"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(30) </w:t>
      </w:r>
      <w:r w:rsidR="00FE6B15" w:rsidRPr="00B61FF1">
        <w:rPr>
          <w:rFonts w:ascii="Arial" w:hAnsi="Arial" w:cs="Arial"/>
          <w:sz w:val="24"/>
          <w:szCs w:val="24"/>
        </w:rPr>
        <w:t>“PSE” means purchasing-selling entity.</w:t>
      </w:r>
    </w:p>
    <w:p w14:paraId="255FF30D"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(31) </w:t>
      </w:r>
      <w:r w:rsidR="00FE6B15" w:rsidRPr="00B61FF1">
        <w:rPr>
          <w:rFonts w:ascii="Arial" w:hAnsi="Arial" w:cs="Arial"/>
          <w:sz w:val="24"/>
          <w:szCs w:val="24"/>
        </w:rPr>
        <w:t xml:space="preserve">“PUC” means the </w:t>
      </w:r>
      <w:r w:rsidR="00287757" w:rsidRPr="00B61FF1">
        <w:rPr>
          <w:rFonts w:ascii="Arial" w:hAnsi="Arial" w:cs="Arial"/>
          <w:sz w:val="24"/>
          <w:szCs w:val="24"/>
        </w:rPr>
        <w:t>Public Utilities Commission</w:t>
      </w:r>
      <w:r w:rsidR="00FE6B15" w:rsidRPr="00B61FF1">
        <w:rPr>
          <w:rFonts w:ascii="Arial" w:hAnsi="Arial" w:cs="Arial"/>
          <w:sz w:val="24"/>
          <w:szCs w:val="24"/>
        </w:rPr>
        <w:t>.</w:t>
      </w:r>
    </w:p>
    <w:p w14:paraId="6CFBF1FE" w14:textId="77777777" w:rsidR="00341B67" w:rsidRPr="00B61FF1" w:rsidRDefault="0072587B" w:rsidP="0072587B">
      <w:pPr>
        <w:tabs>
          <w:tab w:val="left" w:pos="3780"/>
        </w:tabs>
        <w:spacing w:line="360" w:lineRule="auto"/>
        <w:ind w:left="360"/>
        <w:rPr>
          <w:rFonts w:ascii="Arial" w:hAnsi="Arial" w:cs="Arial"/>
          <w:sz w:val="24"/>
          <w:szCs w:val="24"/>
        </w:rPr>
      </w:pPr>
      <w:r w:rsidRPr="00B61FF1">
        <w:rPr>
          <w:rFonts w:ascii="Arial" w:hAnsi="Arial" w:cs="Arial"/>
          <w:sz w:val="24"/>
          <w:szCs w:val="24"/>
        </w:rPr>
        <w:t xml:space="preserve">(32) </w:t>
      </w:r>
      <w:r w:rsidR="00341B67" w:rsidRPr="00B61FF1">
        <w:rPr>
          <w:rFonts w:ascii="Arial" w:hAnsi="Arial" w:cs="Arial"/>
          <w:sz w:val="24"/>
          <w:szCs w:val="24"/>
        </w:rPr>
        <w:t>“REC” means Renewable Energy Credit.</w:t>
      </w:r>
    </w:p>
    <w:p w14:paraId="187F86ED" w14:textId="77777777" w:rsidR="00FE6B15" w:rsidRPr="00B61FF1" w:rsidRDefault="0072587B" w:rsidP="0072587B">
      <w:pPr>
        <w:tabs>
          <w:tab w:val="left" w:pos="3780"/>
        </w:tabs>
        <w:spacing w:line="360" w:lineRule="auto"/>
        <w:ind w:left="1350" w:hanging="990"/>
        <w:rPr>
          <w:rFonts w:ascii="Arial" w:hAnsi="Arial" w:cs="Arial"/>
          <w:sz w:val="24"/>
          <w:szCs w:val="24"/>
        </w:rPr>
      </w:pPr>
      <w:r w:rsidRPr="00B61FF1">
        <w:rPr>
          <w:rFonts w:ascii="Arial" w:hAnsi="Arial" w:cs="Arial"/>
          <w:sz w:val="24"/>
          <w:szCs w:val="24"/>
        </w:rPr>
        <w:t>(33)</w:t>
      </w:r>
      <w:r w:rsidRPr="00B61FF1">
        <w:rPr>
          <w:rFonts w:ascii="Arial" w:hAnsi="Arial" w:cs="Arial"/>
          <w:color w:val="000000"/>
          <w:sz w:val="24"/>
          <w:szCs w:val="24"/>
        </w:rPr>
        <w:t xml:space="preserve"> </w:t>
      </w:r>
      <w:r w:rsidR="00FE6B15" w:rsidRPr="00B61FF1">
        <w:rPr>
          <w:rFonts w:ascii="Arial" w:hAnsi="Arial" w:cs="Arial"/>
          <w:color w:val="000000"/>
          <w:sz w:val="24"/>
          <w:szCs w:val="24"/>
        </w:rPr>
        <w:t>“REDD” means reducing emissions from deforestation and degradation.</w:t>
      </w:r>
    </w:p>
    <w:p w14:paraId="6F67EA11" w14:textId="77777777" w:rsidR="00FE6B15" w:rsidRPr="00B61FF1" w:rsidRDefault="0072587B" w:rsidP="0072587B">
      <w:pPr>
        <w:tabs>
          <w:tab w:val="left" w:pos="3780"/>
        </w:tabs>
        <w:spacing w:line="360" w:lineRule="auto"/>
        <w:ind w:left="360"/>
        <w:rPr>
          <w:rFonts w:ascii="Arial" w:hAnsi="Arial" w:cs="Arial"/>
          <w:sz w:val="24"/>
          <w:szCs w:val="24"/>
        </w:rPr>
      </w:pPr>
      <w:r w:rsidRPr="00B61FF1">
        <w:rPr>
          <w:rFonts w:ascii="Arial" w:hAnsi="Arial" w:cs="Arial"/>
          <w:sz w:val="24"/>
          <w:szCs w:val="24"/>
        </w:rPr>
        <w:t xml:space="preserve">(34) </w:t>
      </w:r>
      <w:r w:rsidR="00FE6B15" w:rsidRPr="00B61FF1">
        <w:rPr>
          <w:rFonts w:ascii="Arial" w:hAnsi="Arial" w:cs="Arial"/>
          <w:sz w:val="24"/>
          <w:szCs w:val="24"/>
        </w:rPr>
        <w:t>“SCF” means standard cubic foot.</w:t>
      </w:r>
    </w:p>
    <w:p w14:paraId="008B8252"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(35) </w:t>
      </w:r>
      <w:r w:rsidR="00FE6B15" w:rsidRPr="00B61FF1">
        <w:rPr>
          <w:rFonts w:ascii="Arial" w:hAnsi="Arial" w:cs="Arial"/>
          <w:sz w:val="24"/>
          <w:szCs w:val="24"/>
        </w:rPr>
        <w:t>“SF</w:t>
      </w:r>
      <w:r w:rsidR="00FE6B15" w:rsidRPr="00B61FF1">
        <w:rPr>
          <w:rFonts w:ascii="Arial" w:hAnsi="Arial" w:cs="Arial"/>
          <w:sz w:val="24"/>
          <w:szCs w:val="24"/>
          <w:vertAlign w:val="subscript"/>
        </w:rPr>
        <w:t>6</w:t>
      </w:r>
      <w:r w:rsidR="00FE6B15" w:rsidRPr="00B61FF1">
        <w:rPr>
          <w:rFonts w:ascii="Arial" w:hAnsi="Arial" w:cs="Arial"/>
          <w:sz w:val="24"/>
          <w:szCs w:val="24"/>
        </w:rPr>
        <w:t>” means sulfur hexafluoride.</w:t>
      </w:r>
    </w:p>
    <w:p w14:paraId="37423E76" w14:textId="77777777" w:rsidR="00FE6A4C" w:rsidRPr="00B61FF1" w:rsidRDefault="00FE6A4C" w:rsidP="00FE6A4C">
      <w:pPr>
        <w:tabs>
          <w:tab w:val="left" w:pos="3780"/>
        </w:tabs>
        <w:spacing w:line="360" w:lineRule="auto"/>
        <w:ind w:left="1260" w:hanging="900"/>
        <w:rPr>
          <w:rFonts w:ascii="Arial" w:hAnsi="Arial" w:cs="Arial"/>
          <w:sz w:val="24"/>
          <w:szCs w:val="24"/>
          <w:u w:val="single"/>
        </w:rPr>
      </w:pPr>
      <w:r w:rsidRPr="00B61FF1">
        <w:rPr>
          <w:rFonts w:ascii="Arial" w:hAnsi="Arial" w:cs="Arial"/>
          <w:sz w:val="24"/>
          <w:szCs w:val="24"/>
          <w:u w:val="single"/>
        </w:rPr>
        <w:t>(XX)</w:t>
      </w:r>
      <w:r w:rsidRPr="00B61FF1">
        <w:rPr>
          <w:rFonts w:ascii="Arial" w:hAnsi="Arial" w:cs="Arial"/>
          <w:sz w:val="24"/>
          <w:szCs w:val="24"/>
        </w:rPr>
        <w:t xml:space="preserve"> </w:t>
      </w:r>
      <w:r w:rsidRPr="00B61FF1">
        <w:rPr>
          <w:rFonts w:ascii="Arial" w:hAnsi="Arial" w:cs="Arial"/>
          <w:sz w:val="24"/>
          <w:szCs w:val="24"/>
          <w:u w:val="single"/>
        </w:rPr>
        <w:t>“TEAP” means the Technology and Economic Assessment Panel of the Montreal Protocol.</w:t>
      </w:r>
    </w:p>
    <w:p w14:paraId="031325E3" w14:textId="77777777" w:rsidR="00FE6B15" w:rsidRPr="00B61FF1" w:rsidRDefault="0072587B" w:rsidP="0072587B">
      <w:pPr>
        <w:tabs>
          <w:tab w:val="left" w:pos="3780"/>
        </w:tabs>
        <w:spacing w:line="360" w:lineRule="auto"/>
        <w:ind w:firstLine="360"/>
        <w:rPr>
          <w:rFonts w:ascii="Arial" w:hAnsi="Arial" w:cs="Arial"/>
          <w:sz w:val="24"/>
          <w:szCs w:val="24"/>
        </w:rPr>
      </w:pPr>
      <w:r w:rsidRPr="00B61FF1">
        <w:rPr>
          <w:rFonts w:ascii="Arial" w:hAnsi="Arial" w:cs="Arial"/>
          <w:sz w:val="24"/>
          <w:szCs w:val="24"/>
        </w:rPr>
        <w:t xml:space="preserve">(36) </w:t>
      </w:r>
      <w:r w:rsidR="00FE6B15" w:rsidRPr="00B61FF1">
        <w:rPr>
          <w:rFonts w:ascii="Arial" w:hAnsi="Arial" w:cs="Arial"/>
          <w:sz w:val="24"/>
          <w:szCs w:val="24"/>
        </w:rPr>
        <w:t>“WAPA” means Western Area Power Administration.</w:t>
      </w:r>
    </w:p>
    <w:p w14:paraId="10A11B62" w14:textId="77777777" w:rsidR="00FE6B15" w:rsidRPr="00B61FF1" w:rsidRDefault="00FE6B15" w:rsidP="004E3B67">
      <w:pPr>
        <w:spacing w:line="360" w:lineRule="auto"/>
        <w:rPr>
          <w:rFonts w:ascii="Arial" w:hAnsi="Arial" w:cs="Arial"/>
          <w:sz w:val="24"/>
          <w:szCs w:val="24"/>
        </w:rPr>
      </w:pPr>
    </w:p>
    <w:p w14:paraId="0FA43A22" w14:textId="77777777" w:rsidR="00FE6B15" w:rsidRPr="00B61FF1" w:rsidRDefault="00FE6B15" w:rsidP="0045344A">
      <w:pPr>
        <w:rPr>
          <w:rFonts w:ascii="Arial" w:hAnsi="Arial" w:cs="Arial"/>
        </w:rPr>
      </w:pPr>
      <w:r w:rsidRPr="00B61FF1">
        <w:rPr>
          <w:rFonts w:ascii="Arial" w:hAnsi="Arial" w:cs="Arial"/>
        </w:rPr>
        <w:t>NOTE:  Authority cited:  Sections 38510, 38560, 38562, 38570, 38571, 38580, 39600 and 39601, Health and Safety Code.</w:t>
      </w:r>
    </w:p>
    <w:p w14:paraId="2A56E609" w14:textId="77777777" w:rsidR="00FE6B15" w:rsidRPr="00B61FF1" w:rsidRDefault="00FE6B15" w:rsidP="0045344A">
      <w:pPr>
        <w:rPr>
          <w:rFonts w:ascii="Arial" w:hAnsi="Arial" w:cs="Arial"/>
        </w:rPr>
      </w:pPr>
      <w:r w:rsidRPr="00B61FF1">
        <w:rPr>
          <w:rFonts w:ascii="Arial" w:hAnsi="Arial" w:cs="Arial"/>
        </w:rPr>
        <w:t>Reference:  Sections 38530, 38560.5, 38564, 38565, 38570 and 39600, Health and Safety Code.</w:t>
      </w:r>
    </w:p>
    <w:p w14:paraId="62C3A186" w14:textId="77777777" w:rsidR="00BD1FA4" w:rsidRPr="00B61FF1" w:rsidRDefault="00BD1FA4" w:rsidP="0045344A">
      <w:pPr>
        <w:rPr>
          <w:rFonts w:ascii="Arial" w:hAnsi="Arial" w:cs="Arial"/>
        </w:rPr>
      </w:pPr>
    </w:p>
    <w:p w14:paraId="0618875C" w14:textId="77777777" w:rsidR="00FE6B15" w:rsidRPr="00B61FF1" w:rsidRDefault="00FE6B15" w:rsidP="00CC193F">
      <w:pPr>
        <w:pStyle w:val="Heading1"/>
      </w:pPr>
      <w:bookmarkStart w:id="55" w:name="_Toc299094907"/>
      <w:bookmarkStart w:id="56" w:name="_Toc302746760"/>
      <w:bookmarkStart w:id="57" w:name="_Toc352146222"/>
      <w:bookmarkStart w:id="58" w:name="_Toc361659823"/>
      <w:r w:rsidRPr="00B61FF1">
        <w:lastRenderedPageBreak/>
        <w:t>Subarticle 3: Applicability</w:t>
      </w:r>
      <w:bookmarkEnd w:id="35"/>
      <w:bookmarkEnd w:id="55"/>
      <w:bookmarkEnd w:id="56"/>
      <w:bookmarkEnd w:id="57"/>
      <w:bookmarkEnd w:id="58"/>
    </w:p>
    <w:p w14:paraId="760D7EFA"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 xml:space="preserve">This article applies to all of the entities identified in this subarticle. </w:t>
      </w:r>
    </w:p>
    <w:p w14:paraId="7ECD439D" w14:textId="77777777" w:rsidR="00FE6B15" w:rsidRPr="00B61FF1" w:rsidRDefault="00FE6B15" w:rsidP="004E3B67">
      <w:pPr>
        <w:pStyle w:val="Heading2"/>
        <w:keepNext w:val="0"/>
        <w:rPr>
          <w:i/>
          <w:szCs w:val="24"/>
        </w:rPr>
      </w:pPr>
      <w:bookmarkStart w:id="59" w:name="_Toc265660890"/>
      <w:bookmarkStart w:id="60" w:name="_Toc268526191"/>
      <w:bookmarkStart w:id="61" w:name="_Toc269206210"/>
      <w:bookmarkStart w:id="62" w:name="_Toc299094908"/>
      <w:bookmarkStart w:id="63" w:name="_Toc302746761"/>
      <w:bookmarkStart w:id="64" w:name="_Toc352146223"/>
      <w:bookmarkStart w:id="65" w:name="_Toc361659824"/>
      <w:r w:rsidRPr="00B61FF1">
        <w:rPr>
          <w:szCs w:val="24"/>
        </w:rPr>
        <w:t>§ 95810.  Covered Gases</w:t>
      </w:r>
      <w:bookmarkEnd w:id="59"/>
      <w:bookmarkEnd w:id="60"/>
      <w:bookmarkEnd w:id="61"/>
      <w:r w:rsidR="003E5A98" w:rsidRPr="00B61FF1">
        <w:rPr>
          <w:szCs w:val="24"/>
        </w:rPr>
        <w:t>.</w:t>
      </w:r>
      <w:bookmarkEnd w:id="62"/>
      <w:bookmarkEnd w:id="63"/>
      <w:bookmarkEnd w:id="64"/>
      <w:bookmarkEnd w:id="65"/>
      <w:r w:rsidRPr="00B61FF1">
        <w:rPr>
          <w:szCs w:val="24"/>
        </w:rPr>
        <w:t xml:space="preserve"> </w:t>
      </w:r>
    </w:p>
    <w:p w14:paraId="23A7D58C"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This article applies to the following greenhouse gases:  carbon dioxide (CO</w:t>
      </w:r>
      <w:r w:rsidRPr="00B61FF1">
        <w:rPr>
          <w:rFonts w:ascii="Arial" w:hAnsi="Arial" w:cs="Arial"/>
          <w:sz w:val="24"/>
          <w:szCs w:val="24"/>
          <w:vertAlign w:val="subscript"/>
        </w:rPr>
        <w:t>2</w:t>
      </w:r>
      <w:r w:rsidRPr="00B61FF1">
        <w:rPr>
          <w:rFonts w:ascii="Arial" w:hAnsi="Arial" w:cs="Arial"/>
          <w:sz w:val="24"/>
          <w:szCs w:val="24"/>
        </w:rPr>
        <w:t>), methane (CH</w:t>
      </w:r>
      <w:r w:rsidRPr="00B61FF1">
        <w:rPr>
          <w:rFonts w:ascii="Arial" w:hAnsi="Arial" w:cs="Arial"/>
          <w:sz w:val="24"/>
          <w:szCs w:val="24"/>
          <w:vertAlign w:val="subscript"/>
        </w:rPr>
        <w:t>4</w:t>
      </w:r>
      <w:r w:rsidRPr="00B61FF1">
        <w:rPr>
          <w:rFonts w:ascii="Arial" w:hAnsi="Arial" w:cs="Arial"/>
          <w:sz w:val="24"/>
          <w:szCs w:val="24"/>
        </w:rPr>
        <w:t>), nitrous oxide (N</w:t>
      </w:r>
      <w:r w:rsidRPr="00B61FF1">
        <w:rPr>
          <w:rFonts w:ascii="Arial" w:hAnsi="Arial" w:cs="Arial"/>
          <w:sz w:val="24"/>
          <w:szCs w:val="24"/>
          <w:vertAlign w:val="subscript"/>
        </w:rPr>
        <w:t>2</w:t>
      </w:r>
      <w:r w:rsidRPr="00B61FF1">
        <w:rPr>
          <w:rFonts w:ascii="Arial" w:hAnsi="Arial" w:cs="Arial"/>
          <w:sz w:val="24"/>
          <w:szCs w:val="24"/>
        </w:rPr>
        <w:t>O), sulfur hexafluoride (SF</w:t>
      </w:r>
      <w:r w:rsidRPr="00B61FF1">
        <w:rPr>
          <w:rFonts w:ascii="Arial" w:hAnsi="Arial" w:cs="Arial"/>
          <w:sz w:val="24"/>
          <w:szCs w:val="24"/>
          <w:vertAlign w:val="subscript"/>
        </w:rPr>
        <w:t>6</w:t>
      </w:r>
      <w:r w:rsidRPr="00B61FF1">
        <w:rPr>
          <w:rFonts w:ascii="Arial" w:hAnsi="Arial" w:cs="Arial"/>
          <w:sz w:val="24"/>
          <w:szCs w:val="24"/>
        </w:rPr>
        <w:t>), hydrofluorocarbons (HFCs), perfluorocarbons (PFCs), nitrogen trifluoride (NF</w:t>
      </w:r>
      <w:r w:rsidRPr="00B61FF1">
        <w:rPr>
          <w:rFonts w:ascii="Arial" w:hAnsi="Arial" w:cs="Arial"/>
          <w:sz w:val="24"/>
          <w:szCs w:val="24"/>
          <w:vertAlign w:val="subscript"/>
        </w:rPr>
        <w:t>3</w:t>
      </w:r>
      <w:r w:rsidRPr="00B61FF1">
        <w:rPr>
          <w:rFonts w:ascii="Arial" w:hAnsi="Arial" w:cs="Arial"/>
          <w:sz w:val="24"/>
          <w:szCs w:val="24"/>
        </w:rPr>
        <w:t xml:space="preserve">), and other fluorinated greenhouse gases. </w:t>
      </w:r>
    </w:p>
    <w:p w14:paraId="78B82AE8" w14:textId="77777777" w:rsidR="00FE6B15" w:rsidRPr="00B61FF1" w:rsidRDefault="00FE6B15" w:rsidP="004E3B67">
      <w:pPr>
        <w:spacing w:line="360" w:lineRule="auto"/>
        <w:rPr>
          <w:rFonts w:ascii="Arial" w:hAnsi="Arial" w:cs="Arial"/>
          <w:sz w:val="24"/>
          <w:szCs w:val="24"/>
        </w:rPr>
      </w:pPr>
    </w:p>
    <w:p w14:paraId="4C52F852" w14:textId="77777777" w:rsidR="00FE6B15" w:rsidRPr="00B61FF1" w:rsidRDefault="00FE6B15" w:rsidP="0045344A">
      <w:pPr>
        <w:rPr>
          <w:rFonts w:ascii="Arial" w:hAnsi="Arial" w:cs="Arial"/>
        </w:rPr>
      </w:pPr>
      <w:r w:rsidRPr="00B61FF1">
        <w:rPr>
          <w:rFonts w:ascii="Arial" w:hAnsi="Arial" w:cs="Arial"/>
        </w:rPr>
        <w:t>NOTE:  Authority cited:  Sections 38510, 38560, 38562, 38570, 38571, 38580, 39600 and 39601, Health and Safety Code.</w:t>
      </w:r>
    </w:p>
    <w:p w14:paraId="260D4D50" w14:textId="77777777" w:rsidR="00FE6B15" w:rsidRPr="00B61FF1" w:rsidRDefault="00FE6B15" w:rsidP="0045344A">
      <w:pPr>
        <w:rPr>
          <w:rFonts w:ascii="Arial" w:hAnsi="Arial" w:cs="Arial"/>
        </w:rPr>
      </w:pPr>
      <w:r w:rsidRPr="00B61FF1">
        <w:rPr>
          <w:rFonts w:ascii="Arial" w:hAnsi="Arial" w:cs="Arial"/>
        </w:rPr>
        <w:t>Reference:  Sections 38530, 38560.5, 38564, 38565, 38570 and 39600, Health and Safety Code.</w:t>
      </w:r>
    </w:p>
    <w:p w14:paraId="675BC2A3" w14:textId="77777777" w:rsidR="00BD1FA4" w:rsidRPr="00B61FF1" w:rsidRDefault="00BD1FA4" w:rsidP="0045344A">
      <w:pPr>
        <w:rPr>
          <w:rFonts w:ascii="Arial" w:hAnsi="Arial" w:cs="Arial"/>
        </w:rPr>
      </w:pPr>
    </w:p>
    <w:p w14:paraId="4646D97B" w14:textId="77777777" w:rsidR="00FE6B15" w:rsidRPr="00B61FF1" w:rsidRDefault="00FE6B15" w:rsidP="004E3B67">
      <w:pPr>
        <w:pStyle w:val="Heading2"/>
        <w:keepNext w:val="0"/>
        <w:rPr>
          <w:i/>
          <w:szCs w:val="24"/>
        </w:rPr>
      </w:pPr>
      <w:bookmarkStart w:id="66" w:name="_Toc265660891"/>
      <w:bookmarkStart w:id="67" w:name="_Toc268526192"/>
      <w:bookmarkStart w:id="68" w:name="_Toc269206211"/>
      <w:bookmarkStart w:id="69" w:name="_Toc299094909"/>
      <w:bookmarkStart w:id="70" w:name="_Toc302746762"/>
      <w:bookmarkStart w:id="71" w:name="_Toc352146224"/>
      <w:bookmarkStart w:id="72" w:name="_Toc361659825"/>
      <w:r w:rsidRPr="00B61FF1">
        <w:rPr>
          <w:szCs w:val="24"/>
        </w:rPr>
        <w:t>§ 95811.  Covered Entities</w:t>
      </w:r>
      <w:bookmarkEnd w:id="66"/>
      <w:bookmarkEnd w:id="67"/>
      <w:bookmarkEnd w:id="68"/>
      <w:r w:rsidR="003E5A98" w:rsidRPr="00B61FF1">
        <w:rPr>
          <w:szCs w:val="24"/>
        </w:rPr>
        <w:t>.</w:t>
      </w:r>
      <w:bookmarkEnd w:id="69"/>
      <w:bookmarkEnd w:id="70"/>
      <w:bookmarkEnd w:id="71"/>
      <w:bookmarkEnd w:id="72"/>
    </w:p>
    <w:p w14:paraId="27121D99"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 xml:space="preserve">This article applies to all of the following entities with associated GHG emissions pursuant to section 95812:  </w:t>
      </w:r>
    </w:p>
    <w:p w14:paraId="7D064F38"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Operators of Facilities.  The operator of a facility within California that has one or more of the following processes or operations:</w:t>
      </w:r>
    </w:p>
    <w:p w14:paraId="761A12F9" w14:textId="6C70B1FA"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Cement production;</w:t>
      </w:r>
    </w:p>
    <w:p w14:paraId="6156CF91" w14:textId="3A68B27D"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Cogeneration;</w:t>
      </w:r>
    </w:p>
    <w:p w14:paraId="5A65EA48" w14:textId="5D944A30"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E6B15" w:rsidRPr="00B61FF1">
        <w:rPr>
          <w:rFonts w:ascii="Arial" w:hAnsi="Arial" w:cs="Arial"/>
          <w:sz w:val="24"/>
          <w:szCs w:val="24"/>
        </w:rPr>
        <w:t>Glass production;</w:t>
      </w:r>
    </w:p>
    <w:p w14:paraId="12D9A89F" w14:textId="1CEEF90B"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FE6B15" w:rsidRPr="00B61FF1">
        <w:rPr>
          <w:rFonts w:ascii="Arial" w:hAnsi="Arial" w:cs="Arial"/>
          <w:sz w:val="24"/>
          <w:szCs w:val="24"/>
        </w:rPr>
        <w:t>Hydrogen production;</w:t>
      </w:r>
    </w:p>
    <w:p w14:paraId="432694C8" w14:textId="16D4DA2A"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FE6B15" w:rsidRPr="00B61FF1">
        <w:rPr>
          <w:rFonts w:ascii="Arial" w:hAnsi="Arial" w:cs="Arial"/>
          <w:sz w:val="24"/>
          <w:szCs w:val="24"/>
        </w:rPr>
        <w:t>Iron and steel production;</w:t>
      </w:r>
    </w:p>
    <w:p w14:paraId="7B8985D1" w14:textId="02CB1F07" w:rsidR="000F2675" w:rsidRPr="00B61FF1" w:rsidRDefault="000F2675" w:rsidP="000F2675">
      <w:pPr>
        <w:tabs>
          <w:tab w:val="right" w:pos="-2430"/>
        </w:tabs>
        <w:spacing w:line="360" w:lineRule="auto"/>
        <w:ind w:left="1080" w:hanging="720"/>
        <w:rPr>
          <w:rFonts w:ascii="Arial" w:hAnsi="Arial" w:cs="Arial"/>
          <w:sz w:val="24"/>
          <w:szCs w:val="24"/>
          <w:u w:val="single"/>
        </w:rPr>
      </w:pPr>
      <w:r w:rsidRPr="00B61FF1">
        <w:rPr>
          <w:rFonts w:ascii="Arial" w:hAnsi="Arial" w:cs="Arial"/>
          <w:sz w:val="24"/>
          <w:szCs w:val="24"/>
          <w:u w:val="single"/>
        </w:rPr>
        <w:t>(6)</w:t>
      </w:r>
      <w:r w:rsidRPr="00B61FF1">
        <w:rPr>
          <w:rFonts w:ascii="Arial" w:hAnsi="Arial" w:cs="Arial"/>
          <w:sz w:val="24"/>
          <w:szCs w:val="24"/>
        </w:rPr>
        <w:tab/>
      </w:r>
      <w:r w:rsidRPr="00B61FF1">
        <w:rPr>
          <w:rFonts w:ascii="Arial" w:hAnsi="Arial" w:cs="Arial"/>
          <w:sz w:val="24"/>
          <w:szCs w:val="24"/>
          <w:u w:val="single"/>
        </w:rPr>
        <w:t xml:space="preserve">Lead </w:t>
      </w:r>
      <w:r w:rsidR="000B13C8" w:rsidRPr="00B61FF1">
        <w:rPr>
          <w:rFonts w:ascii="Arial" w:hAnsi="Arial" w:cs="Arial"/>
          <w:sz w:val="24"/>
          <w:szCs w:val="24"/>
          <w:u w:val="single"/>
        </w:rPr>
        <w:t>Production</w:t>
      </w:r>
      <w:r w:rsidR="00570B7F">
        <w:rPr>
          <w:rFonts w:ascii="Arial" w:hAnsi="Arial" w:cs="Arial"/>
          <w:sz w:val="24"/>
          <w:szCs w:val="24"/>
          <w:u w:val="single"/>
        </w:rPr>
        <w:t>;</w:t>
      </w:r>
    </w:p>
    <w:p w14:paraId="3A269F43" w14:textId="0781F7BC"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6</w:t>
      </w:r>
      <w:r w:rsidRPr="00B61FF1">
        <w:rPr>
          <w:rFonts w:ascii="Arial" w:hAnsi="Arial" w:cs="Arial"/>
          <w:sz w:val="24"/>
          <w:szCs w:val="24"/>
          <w:u w:val="single"/>
        </w:rPr>
        <w:t>7</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Lime manufacturing;</w:t>
      </w:r>
    </w:p>
    <w:p w14:paraId="76B8A8AD" w14:textId="2D2CDC76"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7</w:t>
      </w:r>
      <w:r w:rsidRPr="00B61FF1">
        <w:rPr>
          <w:rFonts w:ascii="Arial" w:hAnsi="Arial" w:cs="Arial"/>
          <w:sz w:val="24"/>
          <w:szCs w:val="24"/>
          <w:u w:val="single"/>
        </w:rPr>
        <w:t>8</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Nitric acid production;</w:t>
      </w:r>
    </w:p>
    <w:p w14:paraId="252BDECC" w14:textId="38984F7A"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8</w:t>
      </w:r>
      <w:r w:rsidRPr="00B61FF1">
        <w:rPr>
          <w:rFonts w:ascii="Arial" w:hAnsi="Arial" w:cs="Arial"/>
          <w:sz w:val="24"/>
          <w:szCs w:val="24"/>
          <w:u w:val="single"/>
        </w:rPr>
        <w:t>9</w:t>
      </w:r>
      <w:r w:rsidRPr="00B61FF1">
        <w:rPr>
          <w:rFonts w:ascii="Arial" w:hAnsi="Arial" w:cs="Arial"/>
          <w:sz w:val="24"/>
          <w:szCs w:val="24"/>
        </w:rPr>
        <w:t>)</w:t>
      </w:r>
      <w:r w:rsidRPr="00B61FF1">
        <w:rPr>
          <w:rFonts w:ascii="Arial" w:hAnsi="Arial" w:cs="Arial"/>
          <w:sz w:val="24"/>
          <w:szCs w:val="24"/>
        </w:rPr>
        <w:tab/>
      </w:r>
      <w:r w:rsidR="003355DD" w:rsidRPr="00B61FF1">
        <w:rPr>
          <w:rFonts w:ascii="Arial" w:hAnsi="Arial" w:cs="Arial"/>
          <w:sz w:val="24"/>
          <w:szCs w:val="24"/>
        </w:rPr>
        <w:t>Petroleum and natural gas systems, as specified in section 95852(h)</w:t>
      </w:r>
      <w:r w:rsidR="00FE6B15" w:rsidRPr="00B61FF1">
        <w:rPr>
          <w:rFonts w:ascii="Arial" w:hAnsi="Arial" w:cs="Arial"/>
          <w:sz w:val="24"/>
          <w:szCs w:val="24"/>
        </w:rPr>
        <w:t xml:space="preserve">; </w:t>
      </w:r>
    </w:p>
    <w:p w14:paraId="1F0F0BF5" w14:textId="679C5476"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9</w:t>
      </w:r>
      <w:r w:rsidRPr="00B61FF1">
        <w:rPr>
          <w:rFonts w:ascii="Arial" w:hAnsi="Arial" w:cs="Arial"/>
          <w:sz w:val="24"/>
          <w:szCs w:val="24"/>
          <w:u w:val="single"/>
        </w:rPr>
        <w:t>10</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Petroleum refining;</w:t>
      </w:r>
    </w:p>
    <w:p w14:paraId="1F4A734C" w14:textId="369FA946"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trike/>
          <w:sz w:val="24"/>
          <w:szCs w:val="24"/>
        </w:rPr>
        <w:t>0</w:t>
      </w:r>
      <w:r w:rsidRPr="00B61FF1">
        <w:rPr>
          <w:rFonts w:ascii="Arial" w:hAnsi="Arial" w:cs="Arial"/>
          <w:sz w:val="24"/>
          <w:szCs w:val="24"/>
          <w:u w:val="single"/>
        </w:rPr>
        <w:t>1</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Pulp and paper manufacturing;</w:t>
      </w:r>
    </w:p>
    <w:p w14:paraId="0635F46B" w14:textId="70D85772"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trike/>
          <w:sz w:val="24"/>
          <w:szCs w:val="24"/>
        </w:rPr>
        <w:t>1</w:t>
      </w:r>
      <w:r w:rsidRPr="00B61FF1">
        <w:rPr>
          <w:rFonts w:ascii="Arial" w:hAnsi="Arial" w:cs="Arial"/>
          <w:sz w:val="24"/>
          <w:szCs w:val="24"/>
          <w:u w:val="single"/>
        </w:rPr>
        <w:t>2</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Self-generation of electricity; or</w:t>
      </w:r>
    </w:p>
    <w:p w14:paraId="5EEE5D20" w14:textId="44183C91" w:rsidR="00FE6B15" w:rsidRPr="00B61FF1" w:rsidRDefault="000F2675" w:rsidP="000F2675">
      <w:pPr>
        <w:tabs>
          <w:tab w:val="right" w:pos="-243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trike/>
          <w:sz w:val="24"/>
          <w:szCs w:val="24"/>
        </w:rPr>
        <w:t>2</w:t>
      </w:r>
      <w:r w:rsidRPr="00B61FF1">
        <w:rPr>
          <w:rFonts w:ascii="Arial" w:hAnsi="Arial" w:cs="Arial"/>
          <w:sz w:val="24"/>
          <w:szCs w:val="24"/>
          <w:u w:val="single"/>
        </w:rPr>
        <w:t>3</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Stationary combustion.</w:t>
      </w:r>
    </w:p>
    <w:p w14:paraId="79776D90"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First Deliverers of Electricity.</w:t>
      </w:r>
    </w:p>
    <w:p w14:paraId="75B31E74"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lastRenderedPageBreak/>
        <w:t xml:space="preserve">Electricity generating facilities: the operator of an electricity generating facility located in California; or </w:t>
      </w:r>
    </w:p>
    <w:p w14:paraId="73A42CC4"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Electricity importers.</w:t>
      </w:r>
    </w:p>
    <w:p w14:paraId="7C56594E"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Suppliers of Natural Gas.  An entity that distributes or uses natural gas in California as described below:</w:t>
      </w:r>
    </w:p>
    <w:p w14:paraId="17ACFA27"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A public utility gas corporation operating in California;</w:t>
      </w:r>
    </w:p>
    <w:p w14:paraId="62056489"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A publicly owned natural gas utility operating in California; or</w:t>
      </w:r>
    </w:p>
    <w:p w14:paraId="03EEC8B8"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The operator of an intrastate pipeline not included in section 95811(c)(1) or section 95811(c)(2) that distributes natural gas directly to end users.</w:t>
      </w:r>
    </w:p>
    <w:p w14:paraId="7A96F25D"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Suppliers of RBOB and Distillate Fuel Oil.  A position holder of one or more of the following fuels, or an enterer that imports one or more of the following fuels into California:</w:t>
      </w:r>
    </w:p>
    <w:p w14:paraId="0BDCCA7B"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RBOB;</w:t>
      </w:r>
    </w:p>
    <w:p w14:paraId="30508B5B"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Distillate Fuel Oil No. 1; or</w:t>
      </w:r>
    </w:p>
    <w:p w14:paraId="1CFEDE27"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Distillate Fuel Oil No. 2.</w:t>
      </w:r>
    </w:p>
    <w:p w14:paraId="789D4B91"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Suppliers of Liquefied Petroleum Gas.</w:t>
      </w:r>
    </w:p>
    <w:p w14:paraId="4568EBDE"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The operator of a refinery that produces liquid petroleum gas in California;</w:t>
      </w:r>
    </w:p>
    <w:p w14:paraId="652D7698"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The operator of a facility that fractionates natural gas liquids to produce liquid petroleum gas; or</w:t>
      </w:r>
    </w:p>
    <w:p w14:paraId="1C2B81FC" w14:textId="77777777" w:rsidR="00FE6B15" w:rsidRPr="00B61FF1" w:rsidRDefault="00FE6B15" w:rsidP="00FE6A4C">
      <w:pPr>
        <w:numPr>
          <w:ilvl w:val="1"/>
          <w:numId w:val="9"/>
        </w:numPr>
        <w:spacing w:line="360" w:lineRule="auto"/>
        <w:rPr>
          <w:rFonts w:ascii="Arial" w:hAnsi="Arial" w:cs="Arial"/>
          <w:sz w:val="24"/>
          <w:szCs w:val="24"/>
        </w:rPr>
      </w:pPr>
      <w:r w:rsidRPr="00B61FF1">
        <w:rPr>
          <w:rFonts w:ascii="Arial" w:hAnsi="Arial" w:cs="Arial"/>
          <w:sz w:val="24"/>
          <w:szCs w:val="24"/>
        </w:rPr>
        <w:t>A consignee of liquefied petroleum gas into California</w:t>
      </w:r>
      <w:r w:rsidR="00935ADD" w:rsidRPr="00B61FF1">
        <w:rPr>
          <w:rFonts w:ascii="Arial" w:hAnsi="Arial" w:cs="Arial"/>
          <w:sz w:val="24"/>
          <w:szCs w:val="24"/>
        </w:rPr>
        <w:t xml:space="preserve"> as defined under MRR</w:t>
      </w:r>
      <w:r w:rsidRPr="00B61FF1">
        <w:rPr>
          <w:rFonts w:ascii="Arial" w:hAnsi="Arial" w:cs="Arial"/>
          <w:sz w:val="24"/>
          <w:szCs w:val="24"/>
        </w:rPr>
        <w:t>.</w:t>
      </w:r>
    </w:p>
    <w:p w14:paraId="4C264F14"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 xml:space="preserve">Sections 95811(c), (d), and (e) apply to suppliers of blended fuels that contain the fuels listed above.  </w:t>
      </w:r>
    </w:p>
    <w:p w14:paraId="74B48462" w14:textId="77777777" w:rsidR="00FE6B15" w:rsidRPr="00B61FF1" w:rsidRDefault="00FE6B15" w:rsidP="00FE6A4C">
      <w:pPr>
        <w:numPr>
          <w:ilvl w:val="0"/>
          <w:numId w:val="9"/>
        </w:numPr>
        <w:spacing w:line="360" w:lineRule="auto"/>
        <w:rPr>
          <w:rFonts w:ascii="Arial" w:hAnsi="Arial" w:cs="Arial"/>
          <w:sz w:val="24"/>
          <w:szCs w:val="24"/>
        </w:rPr>
      </w:pPr>
      <w:r w:rsidRPr="00B61FF1">
        <w:rPr>
          <w:rFonts w:ascii="Arial" w:hAnsi="Arial" w:cs="Arial"/>
          <w:sz w:val="24"/>
          <w:szCs w:val="24"/>
        </w:rPr>
        <w:t>Carbon dioxide suppliers</w:t>
      </w:r>
      <w:r w:rsidRPr="00B61FF1">
        <w:rPr>
          <w:rFonts w:ascii="Arial" w:hAnsi="Arial" w:cs="Arial"/>
        </w:rPr>
        <w:t>.</w:t>
      </w:r>
    </w:p>
    <w:p w14:paraId="334E3870" w14:textId="77777777" w:rsidR="000E7420" w:rsidRPr="00B61FF1" w:rsidRDefault="000E7420" w:rsidP="000E7420">
      <w:pPr>
        <w:pStyle w:val="ListParagraph"/>
        <w:rPr>
          <w:rFonts w:ascii="Arial" w:hAnsi="Arial" w:cs="Arial"/>
          <w:sz w:val="24"/>
          <w:szCs w:val="24"/>
        </w:rPr>
      </w:pPr>
    </w:p>
    <w:p w14:paraId="73D6E268" w14:textId="77777777" w:rsidR="00FE6B15" w:rsidRPr="00B61FF1" w:rsidRDefault="00FE6B15" w:rsidP="0045344A">
      <w:pPr>
        <w:rPr>
          <w:rFonts w:ascii="Arial" w:hAnsi="Arial" w:cs="Arial"/>
        </w:rPr>
      </w:pPr>
      <w:r w:rsidRPr="00B61FF1">
        <w:rPr>
          <w:rFonts w:ascii="Arial" w:hAnsi="Arial" w:cs="Arial"/>
        </w:rPr>
        <w:t>NOTE:  Authority cited:  Sections 38510, 38560, 38562, 38570, 38571, 38580, 39600 and 39601, Health and Safety Code.</w:t>
      </w:r>
    </w:p>
    <w:p w14:paraId="15B8AB1E" w14:textId="77777777" w:rsidR="00FE6B15" w:rsidRPr="00B61FF1" w:rsidRDefault="00FE6B15" w:rsidP="0045344A">
      <w:pPr>
        <w:rPr>
          <w:rFonts w:ascii="Arial" w:hAnsi="Arial" w:cs="Arial"/>
        </w:rPr>
      </w:pPr>
      <w:r w:rsidRPr="00B61FF1">
        <w:rPr>
          <w:rFonts w:ascii="Arial" w:hAnsi="Arial" w:cs="Arial"/>
        </w:rPr>
        <w:t>Reference:  Sections 38530, 38560.5, 38564, 38565, 38570 and 39600, Health and Safety Code.</w:t>
      </w:r>
    </w:p>
    <w:p w14:paraId="6F26021F" w14:textId="77777777" w:rsidR="00773FFB" w:rsidRPr="00B61FF1" w:rsidRDefault="00773FFB">
      <w:pPr>
        <w:autoSpaceDE/>
        <w:autoSpaceDN/>
        <w:adjustRightInd/>
        <w:rPr>
          <w:rFonts w:ascii="Arial" w:hAnsi="Arial" w:cs="Arial"/>
          <w:b/>
          <w:bCs/>
          <w:iCs/>
          <w:sz w:val="24"/>
          <w:szCs w:val="24"/>
        </w:rPr>
      </w:pPr>
      <w:bookmarkStart w:id="73" w:name="_Toc265660892"/>
      <w:bookmarkStart w:id="74" w:name="_Toc268526193"/>
      <w:bookmarkStart w:id="75" w:name="_Toc269206212"/>
    </w:p>
    <w:p w14:paraId="34C9CFF4" w14:textId="77777777" w:rsidR="00815366" w:rsidRDefault="00815366" w:rsidP="00186F95">
      <w:pPr>
        <w:pStyle w:val="Heading2"/>
        <w:keepNext w:val="0"/>
        <w:rPr>
          <w:szCs w:val="24"/>
        </w:rPr>
      </w:pPr>
      <w:bookmarkStart w:id="76" w:name="_Toc299094910"/>
      <w:bookmarkStart w:id="77" w:name="_Toc302746763"/>
      <w:bookmarkStart w:id="78" w:name="_Toc352146225"/>
    </w:p>
    <w:p w14:paraId="202C50EE" w14:textId="77777777" w:rsidR="00FE6B15" w:rsidRPr="00B61FF1" w:rsidRDefault="00FE6B15" w:rsidP="00186F95">
      <w:pPr>
        <w:pStyle w:val="Heading2"/>
        <w:keepNext w:val="0"/>
        <w:rPr>
          <w:i/>
          <w:szCs w:val="24"/>
        </w:rPr>
      </w:pPr>
      <w:bookmarkStart w:id="79" w:name="_Toc361659826"/>
      <w:r w:rsidRPr="00B61FF1">
        <w:rPr>
          <w:szCs w:val="24"/>
        </w:rPr>
        <w:lastRenderedPageBreak/>
        <w:t>§ 95812.  Inclusion Thresholds for Covered Entities</w:t>
      </w:r>
      <w:bookmarkEnd w:id="73"/>
      <w:bookmarkEnd w:id="74"/>
      <w:bookmarkEnd w:id="75"/>
      <w:r w:rsidR="003E5A98" w:rsidRPr="00B61FF1">
        <w:rPr>
          <w:szCs w:val="24"/>
        </w:rPr>
        <w:t>.</w:t>
      </w:r>
      <w:bookmarkEnd w:id="76"/>
      <w:bookmarkEnd w:id="77"/>
      <w:bookmarkEnd w:id="78"/>
      <w:bookmarkEnd w:id="79"/>
    </w:p>
    <w:p w14:paraId="5F298311" w14:textId="77777777" w:rsidR="00FE6B15" w:rsidRPr="00B61FF1" w:rsidRDefault="003F5040" w:rsidP="003F5040">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The inclusion threshold for each covered entity is based on the subset of greenhouse gas emissions that generate a compliance obligation for that entity as specified in section 95852.  </w:t>
      </w:r>
      <w:r w:rsidR="003355DD" w:rsidRPr="00B61FF1">
        <w:rPr>
          <w:rFonts w:ascii="Arial" w:hAnsi="Arial" w:cs="Arial"/>
          <w:sz w:val="24"/>
          <w:szCs w:val="24"/>
        </w:rPr>
        <w:t>The entity must r</w:t>
      </w:r>
      <w:r w:rsidR="00FE6B15" w:rsidRPr="00B61FF1">
        <w:rPr>
          <w:rFonts w:ascii="Arial" w:hAnsi="Arial" w:cs="Arial"/>
          <w:sz w:val="24"/>
          <w:szCs w:val="24"/>
        </w:rPr>
        <w:t>eport and verif</w:t>
      </w:r>
      <w:r w:rsidR="003355DD" w:rsidRPr="00B61FF1">
        <w:rPr>
          <w:rFonts w:ascii="Arial" w:hAnsi="Arial" w:cs="Arial"/>
          <w:sz w:val="24"/>
          <w:szCs w:val="24"/>
        </w:rPr>
        <w:t>y</w:t>
      </w:r>
      <w:r w:rsidR="00FE6B15" w:rsidRPr="00B61FF1">
        <w:rPr>
          <w:rFonts w:ascii="Arial" w:hAnsi="Arial" w:cs="Arial"/>
          <w:sz w:val="24"/>
          <w:szCs w:val="24"/>
        </w:rPr>
        <w:t xml:space="preserve"> annual emissions pursuant to </w:t>
      </w:r>
      <w:r w:rsidR="00775AF1" w:rsidRPr="00B61FF1">
        <w:rPr>
          <w:rFonts w:ascii="Arial" w:hAnsi="Arial" w:cs="Arial"/>
          <w:sz w:val="24"/>
          <w:szCs w:val="24"/>
        </w:rPr>
        <w:t>section</w:t>
      </w:r>
      <w:r w:rsidR="00B81E33" w:rsidRPr="00B61FF1">
        <w:rPr>
          <w:rFonts w:ascii="Arial" w:hAnsi="Arial" w:cs="Arial"/>
          <w:sz w:val="24"/>
          <w:szCs w:val="24"/>
        </w:rPr>
        <w:t>s 951</w:t>
      </w:r>
      <w:r w:rsidR="00DC4011" w:rsidRPr="00B61FF1">
        <w:rPr>
          <w:rFonts w:ascii="Arial" w:hAnsi="Arial" w:cs="Arial"/>
          <w:sz w:val="24"/>
          <w:szCs w:val="24"/>
        </w:rPr>
        <w:t>00</w:t>
      </w:r>
      <w:r w:rsidR="00B81E33" w:rsidRPr="00B61FF1">
        <w:rPr>
          <w:rFonts w:ascii="Arial" w:hAnsi="Arial" w:cs="Arial"/>
          <w:sz w:val="24"/>
          <w:szCs w:val="24"/>
        </w:rPr>
        <w:t xml:space="preserve"> through 951</w:t>
      </w:r>
      <w:r w:rsidR="003355DD" w:rsidRPr="00B61FF1">
        <w:rPr>
          <w:rFonts w:ascii="Arial" w:hAnsi="Arial" w:cs="Arial"/>
          <w:sz w:val="24"/>
          <w:szCs w:val="24"/>
        </w:rPr>
        <w:t>57</w:t>
      </w:r>
      <w:r w:rsidR="00B81E33" w:rsidRPr="00B61FF1">
        <w:rPr>
          <w:rFonts w:ascii="Arial" w:hAnsi="Arial" w:cs="Arial"/>
          <w:sz w:val="24"/>
          <w:szCs w:val="24"/>
        </w:rPr>
        <w:t xml:space="preserve"> o</w:t>
      </w:r>
      <w:r w:rsidR="00775AF1" w:rsidRPr="00B61FF1">
        <w:rPr>
          <w:rFonts w:ascii="Arial" w:hAnsi="Arial" w:cs="Arial"/>
          <w:sz w:val="24"/>
          <w:szCs w:val="24"/>
        </w:rPr>
        <w:t xml:space="preserve">f </w:t>
      </w:r>
      <w:r w:rsidR="00885895" w:rsidRPr="00B61FF1">
        <w:rPr>
          <w:rFonts w:ascii="Arial" w:hAnsi="Arial" w:cs="Arial"/>
          <w:sz w:val="24"/>
          <w:szCs w:val="24"/>
        </w:rPr>
        <w:t>MRR</w:t>
      </w:r>
      <w:r w:rsidR="00FE6B15" w:rsidRPr="00B61FF1">
        <w:rPr>
          <w:rFonts w:ascii="Arial" w:hAnsi="Arial" w:cs="Arial"/>
          <w:sz w:val="24"/>
          <w:szCs w:val="24"/>
        </w:rPr>
        <w:t>.</w:t>
      </w:r>
    </w:p>
    <w:p w14:paraId="5695FD63" w14:textId="2F55505E" w:rsidR="00FE6B15" w:rsidRPr="00B61FF1" w:rsidRDefault="003F5040" w:rsidP="003F5040">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If an entity’s reported or reported and verified annual emissions in any data year from 200</w:t>
      </w:r>
      <w:r w:rsidR="00924538" w:rsidRPr="00B61FF1">
        <w:rPr>
          <w:rFonts w:ascii="Arial" w:hAnsi="Arial" w:cs="Arial"/>
          <w:sz w:val="24"/>
          <w:szCs w:val="24"/>
        </w:rPr>
        <w:t>9</w:t>
      </w:r>
      <w:r w:rsidR="00FE6B15" w:rsidRPr="00B61FF1">
        <w:rPr>
          <w:rFonts w:ascii="Arial" w:hAnsi="Arial" w:cs="Arial"/>
          <w:sz w:val="24"/>
          <w:szCs w:val="24"/>
        </w:rPr>
        <w:t xml:space="preserve"> t</w:t>
      </w:r>
      <w:r w:rsidR="00924538" w:rsidRPr="00B61FF1">
        <w:rPr>
          <w:rFonts w:ascii="Arial" w:hAnsi="Arial" w:cs="Arial"/>
          <w:sz w:val="24"/>
          <w:szCs w:val="24"/>
        </w:rPr>
        <w:t>hrough</w:t>
      </w:r>
      <w:r w:rsidR="00FE6B15" w:rsidRPr="00B61FF1">
        <w:rPr>
          <w:rFonts w:ascii="Arial" w:hAnsi="Arial" w:cs="Arial"/>
          <w:sz w:val="24"/>
          <w:szCs w:val="24"/>
        </w:rPr>
        <w:t xml:space="preserve"> 201</w:t>
      </w:r>
      <w:r w:rsidR="003E5A98" w:rsidRPr="00B61FF1">
        <w:rPr>
          <w:rFonts w:ascii="Arial" w:hAnsi="Arial" w:cs="Arial"/>
          <w:strike/>
          <w:sz w:val="24"/>
          <w:szCs w:val="24"/>
        </w:rPr>
        <w:t>1</w:t>
      </w:r>
      <w:r w:rsidR="005648E2" w:rsidRPr="00B61FF1">
        <w:rPr>
          <w:rFonts w:ascii="Arial" w:hAnsi="Arial" w:cs="Arial"/>
          <w:sz w:val="24"/>
          <w:szCs w:val="24"/>
          <w:u w:val="single"/>
        </w:rPr>
        <w:t>2</w:t>
      </w:r>
      <w:r w:rsidR="00FE6B15" w:rsidRPr="00B61FF1">
        <w:rPr>
          <w:rFonts w:ascii="Arial" w:hAnsi="Arial" w:cs="Arial"/>
          <w:sz w:val="24"/>
          <w:szCs w:val="24"/>
        </w:rPr>
        <w:t xml:space="preserve"> from the categories specified in section 9585</w:t>
      </w:r>
      <w:r w:rsidR="00520686" w:rsidRPr="00B61FF1">
        <w:rPr>
          <w:rFonts w:ascii="Arial" w:hAnsi="Arial" w:cs="Arial"/>
          <w:sz w:val="24"/>
          <w:szCs w:val="24"/>
        </w:rPr>
        <w:t>2</w:t>
      </w:r>
      <w:r w:rsidR="00FE6B15" w:rsidRPr="00B61FF1">
        <w:rPr>
          <w:rFonts w:ascii="Arial" w:hAnsi="Arial" w:cs="Arial"/>
          <w:sz w:val="24"/>
          <w:szCs w:val="24"/>
        </w:rPr>
        <w:t>(a) equal or exceed the thresholds identified below, that entity is classified as a covered entity as of January 1, 201</w:t>
      </w:r>
      <w:r w:rsidR="00353B88" w:rsidRPr="00B61FF1">
        <w:rPr>
          <w:rFonts w:ascii="Arial" w:hAnsi="Arial" w:cs="Arial"/>
          <w:sz w:val="24"/>
          <w:szCs w:val="24"/>
        </w:rPr>
        <w:t>3</w:t>
      </w:r>
      <w:r w:rsidR="00265C03" w:rsidRPr="00B61FF1">
        <w:rPr>
          <w:rFonts w:ascii="Arial" w:hAnsi="Arial" w:cs="Arial"/>
          <w:sz w:val="24"/>
          <w:szCs w:val="24"/>
        </w:rPr>
        <w:t>,</w:t>
      </w:r>
      <w:r w:rsidR="00FE6B15" w:rsidRPr="00B61FF1">
        <w:rPr>
          <w:rFonts w:ascii="Arial" w:hAnsi="Arial" w:cs="Arial"/>
          <w:sz w:val="24"/>
          <w:szCs w:val="24"/>
        </w:rPr>
        <w:t xml:space="preserve"> and for all future years until any requirement set forth in section 95812(e) is met.</w:t>
      </w:r>
    </w:p>
    <w:p w14:paraId="5326B37A" w14:textId="77777777" w:rsidR="0058560F" w:rsidRPr="00B61FF1" w:rsidRDefault="00474A3C" w:rsidP="00474A3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58560F" w:rsidRPr="00B61FF1">
        <w:rPr>
          <w:rFonts w:ascii="Arial" w:hAnsi="Arial" w:cs="Arial"/>
          <w:sz w:val="24"/>
          <w:szCs w:val="24"/>
        </w:rPr>
        <w:t>The re</w:t>
      </w:r>
      <w:r w:rsidR="00AD4E89" w:rsidRPr="00B61FF1">
        <w:rPr>
          <w:rFonts w:ascii="Arial" w:hAnsi="Arial" w:cs="Arial"/>
          <w:sz w:val="24"/>
          <w:szCs w:val="24"/>
        </w:rPr>
        <w:t>quirements apply</w:t>
      </w:r>
      <w:r w:rsidR="00974DEE" w:rsidRPr="00B61FF1">
        <w:rPr>
          <w:rFonts w:ascii="Arial" w:hAnsi="Arial" w:cs="Arial"/>
          <w:sz w:val="24"/>
          <w:szCs w:val="24"/>
        </w:rPr>
        <w:t xml:space="preserve"> </w:t>
      </w:r>
      <w:r w:rsidR="0058560F" w:rsidRPr="00B61FF1">
        <w:rPr>
          <w:rFonts w:ascii="Arial" w:hAnsi="Arial" w:cs="Arial"/>
          <w:sz w:val="24"/>
          <w:szCs w:val="24"/>
        </w:rPr>
        <w:t>as follows:</w:t>
      </w:r>
    </w:p>
    <w:p w14:paraId="0EC03A79" w14:textId="77777777" w:rsidR="00FE6B15"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Operators of Facilities.  The applicability threshold for a facility is 25,000 metric tons or more of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e per data year. </w:t>
      </w:r>
    </w:p>
    <w:p w14:paraId="7F8FDDB0" w14:textId="77777777" w:rsidR="00FE6B15"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First Deliverers of Electricity.  </w:t>
      </w:r>
    </w:p>
    <w:p w14:paraId="4D38AFCF" w14:textId="77777777" w:rsidR="00FE6B15" w:rsidRPr="00B61FF1" w:rsidRDefault="003F5040" w:rsidP="003F5040">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Electricity Generating Facilities.  The </w:t>
      </w:r>
      <w:r w:rsidR="00885895" w:rsidRPr="00B61FF1">
        <w:rPr>
          <w:rFonts w:ascii="Arial" w:hAnsi="Arial" w:cs="Arial"/>
          <w:sz w:val="24"/>
          <w:szCs w:val="24"/>
        </w:rPr>
        <w:t xml:space="preserve">applicability </w:t>
      </w:r>
      <w:r w:rsidR="00FE6B15" w:rsidRPr="00B61FF1">
        <w:rPr>
          <w:rFonts w:ascii="Arial" w:hAnsi="Arial" w:cs="Arial"/>
          <w:sz w:val="24"/>
          <w:szCs w:val="24"/>
        </w:rPr>
        <w:t>threshold for an electricity generating facility is based on the annual emissions from which the electricity originated.  The applicability threshold for an electricity generating facility is 25,000 metric tons or more of CO</w:t>
      </w:r>
      <w:r w:rsidR="00FE6B15" w:rsidRPr="00B61FF1">
        <w:rPr>
          <w:rFonts w:ascii="Arial" w:hAnsi="Arial" w:cs="Arial"/>
          <w:sz w:val="24"/>
          <w:szCs w:val="24"/>
          <w:vertAlign w:val="subscript"/>
        </w:rPr>
        <w:t>2</w:t>
      </w:r>
      <w:r w:rsidR="00FE6B15" w:rsidRPr="00B61FF1">
        <w:rPr>
          <w:rFonts w:ascii="Arial" w:hAnsi="Arial" w:cs="Arial"/>
          <w:sz w:val="24"/>
          <w:szCs w:val="24"/>
        </w:rPr>
        <w:t>e per data year.</w:t>
      </w:r>
    </w:p>
    <w:p w14:paraId="12BD703E" w14:textId="77777777" w:rsidR="0077771E" w:rsidRPr="00B61FF1" w:rsidRDefault="003F5040" w:rsidP="003F5040">
      <w:pPr>
        <w:spacing w:line="360" w:lineRule="auto"/>
        <w:ind w:left="1800" w:hanging="720"/>
        <w:rPr>
          <w:rFonts w:ascii="Arial" w:hAnsi="Arial" w:cs="Arial"/>
          <w:dstrike/>
        </w:rPr>
      </w:pPr>
      <w:r w:rsidRPr="00B61FF1">
        <w:rPr>
          <w:rFonts w:ascii="Arial" w:hAnsi="Arial" w:cs="Arial"/>
          <w:sz w:val="24"/>
          <w:szCs w:val="24"/>
        </w:rPr>
        <w:t>(B)</w:t>
      </w:r>
      <w:r w:rsidRPr="00B61FF1">
        <w:rPr>
          <w:rFonts w:ascii="Arial" w:hAnsi="Arial" w:cs="Arial"/>
          <w:sz w:val="24"/>
          <w:szCs w:val="24"/>
        </w:rPr>
        <w:tab/>
      </w:r>
      <w:r w:rsidR="0077771E" w:rsidRPr="00B61FF1">
        <w:rPr>
          <w:rFonts w:ascii="Arial" w:hAnsi="Arial" w:cs="Arial"/>
          <w:sz w:val="24"/>
          <w:szCs w:val="24"/>
        </w:rPr>
        <w:t>Electricity importers. The applicability threshold for an electricity importer is based on the annual emissions from each of the electricity importer’s sources of delivered electricity.</w:t>
      </w:r>
      <w:r w:rsidR="0077771E" w:rsidRPr="00B61FF1">
        <w:rPr>
          <w:rFonts w:ascii="Arial" w:hAnsi="Arial" w:cs="Arial"/>
          <w:dstrike/>
        </w:rPr>
        <w:t xml:space="preserve"> </w:t>
      </w:r>
    </w:p>
    <w:p w14:paraId="0887BE6A" w14:textId="77777777" w:rsidR="0068028F" w:rsidRPr="00B61FF1" w:rsidRDefault="00D26033">
      <w:pPr>
        <w:spacing w:line="360" w:lineRule="auto"/>
        <w:ind w:left="2160" w:hanging="720"/>
        <w:rPr>
          <w:rFonts w:ascii="Arial" w:hAnsi="Arial" w:cs="Arial"/>
          <w:sz w:val="24"/>
          <w:szCs w:val="24"/>
        </w:rPr>
      </w:pPr>
      <w:r w:rsidRPr="00B61FF1">
        <w:rPr>
          <w:rFonts w:ascii="Arial" w:hAnsi="Arial" w:cs="Arial"/>
          <w:sz w:val="24"/>
          <w:szCs w:val="24"/>
        </w:rPr>
        <w:t>1.</w:t>
      </w:r>
      <w:r w:rsidR="0077771E" w:rsidRPr="00B61FF1">
        <w:rPr>
          <w:rFonts w:ascii="Arial" w:hAnsi="Arial" w:cs="Arial"/>
          <w:sz w:val="24"/>
          <w:szCs w:val="24"/>
        </w:rPr>
        <w:tab/>
        <w:t>All emissions reported for imported electricity from specified sources of electricity that emit 25,000 metric tons or more of CO</w:t>
      </w:r>
      <w:r w:rsidR="0077771E" w:rsidRPr="00B61FF1">
        <w:rPr>
          <w:rFonts w:ascii="Arial" w:hAnsi="Arial" w:cs="Arial"/>
          <w:sz w:val="24"/>
          <w:szCs w:val="24"/>
          <w:vertAlign w:val="subscript"/>
        </w:rPr>
        <w:t>2</w:t>
      </w:r>
      <w:r w:rsidR="0077771E" w:rsidRPr="00B61FF1">
        <w:rPr>
          <w:rFonts w:ascii="Arial" w:hAnsi="Arial" w:cs="Arial"/>
          <w:sz w:val="24"/>
          <w:szCs w:val="24"/>
        </w:rPr>
        <w:t>e per year are considered to be above the threshold.</w:t>
      </w:r>
    </w:p>
    <w:p w14:paraId="5AA08B59" w14:textId="77777777" w:rsidR="0068028F" w:rsidRPr="00B61FF1" w:rsidRDefault="00D26033">
      <w:pPr>
        <w:spacing w:line="360" w:lineRule="auto"/>
        <w:ind w:left="2160" w:hanging="720"/>
        <w:rPr>
          <w:rFonts w:ascii="Arial" w:hAnsi="Arial" w:cs="Arial"/>
          <w:dstrike/>
          <w:sz w:val="24"/>
          <w:szCs w:val="24"/>
        </w:rPr>
      </w:pPr>
      <w:r w:rsidRPr="00B61FF1">
        <w:rPr>
          <w:rFonts w:ascii="Arial" w:hAnsi="Arial" w:cs="Arial"/>
          <w:sz w:val="24"/>
          <w:szCs w:val="24"/>
        </w:rPr>
        <w:t>2.</w:t>
      </w:r>
      <w:r w:rsidRPr="00B61FF1">
        <w:rPr>
          <w:rFonts w:ascii="Arial" w:hAnsi="Arial" w:cs="Arial"/>
          <w:sz w:val="24"/>
          <w:szCs w:val="24"/>
        </w:rPr>
        <w:tab/>
      </w:r>
      <w:r w:rsidR="0077771E" w:rsidRPr="00B61FF1">
        <w:rPr>
          <w:rFonts w:ascii="Arial" w:hAnsi="Arial" w:cs="Arial"/>
          <w:sz w:val="24"/>
          <w:szCs w:val="24"/>
        </w:rPr>
        <w:t>All emissions reported for imported electricity from unspecified sources are considered to be above the threshold.</w:t>
      </w:r>
      <w:r w:rsidR="00FE6B15" w:rsidRPr="00B61FF1">
        <w:rPr>
          <w:rFonts w:ascii="Arial" w:hAnsi="Arial" w:cs="Arial"/>
          <w:dstrike/>
          <w:sz w:val="24"/>
          <w:szCs w:val="24"/>
        </w:rPr>
        <w:t xml:space="preserve"> </w:t>
      </w:r>
    </w:p>
    <w:p w14:paraId="5C0EC0ED" w14:textId="77777777" w:rsidR="0058560F"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775AF1" w:rsidRPr="00B61FF1">
        <w:rPr>
          <w:rFonts w:ascii="Arial" w:hAnsi="Arial" w:cs="Arial"/>
          <w:sz w:val="24"/>
          <w:szCs w:val="24"/>
        </w:rPr>
        <w:t xml:space="preserve">Carbon Dioxide Suppliers.  </w:t>
      </w:r>
      <w:r w:rsidR="00506C7C" w:rsidRPr="00B61FF1">
        <w:rPr>
          <w:rFonts w:ascii="Arial" w:hAnsi="Arial" w:cs="Arial"/>
          <w:sz w:val="24"/>
          <w:szCs w:val="24"/>
        </w:rPr>
        <w:t>The applicability threshold for a carbon dioxide supplier is 25,000 metric tons or more of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e per year.  For purpose of comparison to this threshold, the supplier must </w:t>
      </w:r>
      <w:r w:rsidR="00210A7A" w:rsidRPr="00B61FF1">
        <w:rPr>
          <w:rFonts w:ascii="Arial" w:hAnsi="Arial" w:cs="Arial"/>
          <w:sz w:val="24"/>
          <w:szCs w:val="24"/>
        </w:rPr>
        <w:t>include</w:t>
      </w:r>
      <w:r w:rsidR="00506C7C" w:rsidRPr="00B61FF1">
        <w:rPr>
          <w:rFonts w:ascii="Arial" w:hAnsi="Arial" w:cs="Arial"/>
          <w:sz w:val="24"/>
          <w:szCs w:val="24"/>
        </w:rPr>
        <w:t xml:space="preserve"> the </w:t>
      </w:r>
      <w:r w:rsidR="00506C7C" w:rsidRPr="00B61FF1">
        <w:rPr>
          <w:rFonts w:ascii="Arial" w:hAnsi="Arial" w:cs="Arial"/>
          <w:sz w:val="24"/>
          <w:szCs w:val="24"/>
        </w:rPr>
        <w:lastRenderedPageBreak/>
        <w:t>sum of the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that it captures from its production process units for purposes of supplying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for commercial applications or that it captures from a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stream to utilize for geologic sequestration, and the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that it extracts or produces from a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production well for purposes of supplying for commercial applications or that it extracts or produces to utilize for geologic sequestration.</w:t>
      </w:r>
      <w:r w:rsidR="00506C7C" w:rsidRPr="00B61FF1">
        <w:rPr>
          <w:rFonts w:ascii="Arial" w:hAnsi="Arial" w:cs="Arial"/>
          <w:dstrike/>
        </w:rPr>
        <w:t xml:space="preserve">  </w:t>
      </w:r>
    </w:p>
    <w:p w14:paraId="3D0C3E02" w14:textId="77777777" w:rsidR="00775AF1"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D272E3" w:rsidRPr="00B61FF1">
        <w:rPr>
          <w:rFonts w:ascii="Arial" w:hAnsi="Arial" w:cs="Arial"/>
          <w:sz w:val="24"/>
          <w:szCs w:val="24"/>
        </w:rPr>
        <w:t xml:space="preserve">Petroleum </w:t>
      </w:r>
      <w:r w:rsidR="0058560F" w:rsidRPr="00B61FF1">
        <w:rPr>
          <w:rFonts w:ascii="Arial" w:hAnsi="Arial" w:cs="Arial"/>
          <w:sz w:val="24"/>
          <w:szCs w:val="24"/>
        </w:rPr>
        <w:t xml:space="preserve">and </w:t>
      </w:r>
      <w:r w:rsidR="00D272E3" w:rsidRPr="00B61FF1">
        <w:rPr>
          <w:rFonts w:ascii="Arial" w:hAnsi="Arial" w:cs="Arial"/>
          <w:sz w:val="24"/>
          <w:szCs w:val="24"/>
        </w:rPr>
        <w:t xml:space="preserve">Natural </w:t>
      </w:r>
      <w:r w:rsidR="0058560F" w:rsidRPr="00B61FF1">
        <w:rPr>
          <w:rFonts w:ascii="Arial" w:hAnsi="Arial" w:cs="Arial"/>
          <w:sz w:val="24"/>
          <w:szCs w:val="24"/>
        </w:rPr>
        <w:t xml:space="preserve">Gas </w:t>
      </w:r>
      <w:r w:rsidR="0007264E" w:rsidRPr="00B61FF1">
        <w:rPr>
          <w:rFonts w:ascii="Arial" w:hAnsi="Arial" w:cs="Arial"/>
          <w:sz w:val="24"/>
          <w:szCs w:val="24"/>
        </w:rPr>
        <w:t>Facilities</w:t>
      </w:r>
      <w:r w:rsidR="0058560F" w:rsidRPr="00B61FF1">
        <w:rPr>
          <w:rFonts w:ascii="Arial" w:hAnsi="Arial" w:cs="Arial"/>
          <w:sz w:val="24"/>
          <w:szCs w:val="24"/>
        </w:rPr>
        <w:t xml:space="preserve">.  </w:t>
      </w:r>
      <w:r w:rsidR="00EB0280" w:rsidRPr="00B61FF1">
        <w:rPr>
          <w:rFonts w:ascii="Arial" w:hAnsi="Arial" w:cs="Arial"/>
          <w:sz w:val="24"/>
          <w:szCs w:val="24"/>
        </w:rPr>
        <w:t xml:space="preserve">The applicability threshold for </w:t>
      </w:r>
      <w:r w:rsidR="00D272E3" w:rsidRPr="00B61FF1">
        <w:rPr>
          <w:rFonts w:ascii="Arial" w:hAnsi="Arial" w:cs="Arial"/>
          <w:sz w:val="24"/>
          <w:szCs w:val="24"/>
        </w:rPr>
        <w:t xml:space="preserve">a petroleum and natural </w:t>
      </w:r>
      <w:r w:rsidR="00885895" w:rsidRPr="00B61FF1">
        <w:rPr>
          <w:rFonts w:ascii="Arial" w:hAnsi="Arial" w:cs="Arial"/>
          <w:sz w:val="24"/>
          <w:szCs w:val="24"/>
        </w:rPr>
        <w:t xml:space="preserve">gas </w:t>
      </w:r>
      <w:r w:rsidR="0007264E" w:rsidRPr="00B61FF1">
        <w:rPr>
          <w:rFonts w:ascii="Arial" w:hAnsi="Arial" w:cs="Arial"/>
          <w:sz w:val="24"/>
          <w:szCs w:val="24"/>
        </w:rPr>
        <w:t>facilit</w:t>
      </w:r>
      <w:r w:rsidR="00D272E3" w:rsidRPr="00B61FF1">
        <w:rPr>
          <w:rFonts w:ascii="Arial" w:hAnsi="Arial" w:cs="Arial"/>
          <w:sz w:val="24"/>
          <w:szCs w:val="24"/>
        </w:rPr>
        <w:t>y</w:t>
      </w:r>
      <w:r w:rsidR="00885895" w:rsidRPr="00B61FF1">
        <w:rPr>
          <w:rFonts w:ascii="Arial" w:hAnsi="Arial" w:cs="Arial"/>
          <w:sz w:val="24"/>
          <w:szCs w:val="24"/>
        </w:rPr>
        <w:t xml:space="preserve"> 25,000 metric tons or more of CO</w:t>
      </w:r>
      <w:r w:rsidR="00885895" w:rsidRPr="00B61FF1">
        <w:rPr>
          <w:rFonts w:ascii="Arial" w:hAnsi="Arial" w:cs="Arial"/>
          <w:sz w:val="24"/>
          <w:szCs w:val="24"/>
          <w:vertAlign w:val="subscript"/>
        </w:rPr>
        <w:t>2</w:t>
      </w:r>
      <w:r w:rsidR="00885895" w:rsidRPr="00B61FF1">
        <w:rPr>
          <w:rFonts w:ascii="Arial" w:hAnsi="Arial" w:cs="Arial"/>
          <w:sz w:val="24"/>
          <w:szCs w:val="24"/>
        </w:rPr>
        <w:t>e per data year.</w:t>
      </w:r>
      <w:r w:rsidR="00F078F0" w:rsidRPr="00B61FF1">
        <w:rPr>
          <w:rFonts w:ascii="Arial" w:hAnsi="Arial" w:cs="Arial"/>
          <w:sz w:val="24"/>
          <w:szCs w:val="24"/>
        </w:rPr>
        <w:t xml:space="preserve">  This threshold is applied for each facility type specified in section 95852(h).</w:t>
      </w:r>
      <w:r w:rsidR="00F078F0" w:rsidRPr="00B61FF1">
        <w:rPr>
          <w:rFonts w:ascii="Arial" w:hAnsi="Arial" w:cs="Arial"/>
        </w:rPr>
        <w:t xml:space="preserve">   </w:t>
      </w:r>
    </w:p>
    <w:p w14:paraId="0AC52E9E" w14:textId="3EBEEFC4" w:rsidR="002A0F18" w:rsidRPr="00B61FF1" w:rsidRDefault="002A0F18" w:rsidP="002A0F18">
      <w:pPr>
        <w:spacing w:line="360" w:lineRule="auto"/>
        <w:ind w:left="720" w:hanging="720"/>
        <w:rPr>
          <w:rFonts w:ascii="Arial" w:hAnsi="Arial" w:cs="Arial"/>
          <w:sz w:val="24"/>
          <w:szCs w:val="24"/>
        </w:rPr>
      </w:pPr>
      <w:r w:rsidRPr="00B61FF1">
        <w:rPr>
          <w:rFonts w:ascii="Arial" w:hAnsi="Arial" w:cs="Arial"/>
          <w:sz w:val="24"/>
          <w:szCs w:val="24"/>
        </w:rPr>
        <w:t xml:space="preserve">(d) </w:t>
      </w:r>
      <w:r w:rsidR="00124F58" w:rsidRPr="00B61FF1">
        <w:rPr>
          <w:rFonts w:ascii="Arial" w:hAnsi="Arial" w:cs="Arial"/>
          <w:sz w:val="24"/>
          <w:szCs w:val="24"/>
        </w:rPr>
        <w:tab/>
      </w:r>
      <w:r w:rsidRPr="00B61FF1">
        <w:rPr>
          <w:rFonts w:ascii="Arial" w:hAnsi="Arial" w:cs="Arial"/>
          <w:sz w:val="24"/>
          <w:szCs w:val="24"/>
        </w:rPr>
        <w:t>If an entity’s annual, assigned, or reported and verified emissions from any data year between 2011-2014 equal or exceed the thresholds identified below from the categories specified in sections 95851(a)</w:t>
      </w:r>
      <w:r w:rsidRPr="00B61FF1">
        <w:rPr>
          <w:rFonts w:ascii="Arial" w:hAnsi="Arial" w:cs="Arial"/>
          <w:strike/>
          <w:sz w:val="24"/>
          <w:szCs w:val="24"/>
        </w:rPr>
        <w:t xml:space="preserve"> and </w:t>
      </w:r>
      <w:r w:rsidRPr="00B61FF1">
        <w:rPr>
          <w:rFonts w:ascii="Arial" w:hAnsi="Arial" w:cs="Arial"/>
          <w:sz w:val="24"/>
          <w:szCs w:val="24"/>
          <w:u w:val="single"/>
        </w:rPr>
        <w:t>,</w:t>
      </w:r>
      <w:r w:rsidRPr="00B61FF1">
        <w:rPr>
          <w:rFonts w:ascii="Arial" w:hAnsi="Arial" w:cs="Arial"/>
          <w:sz w:val="24"/>
          <w:szCs w:val="24"/>
        </w:rPr>
        <w:t>(b),</w:t>
      </w:r>
      <w:r w:rsidRPr="00B61FF1">
        <w:rPr>
          <w:rFonts w:ascii="Arial" w:hAnsi="Arial" w:cs="Arial"/>
          <w:sz w:val="24"/>
          <w:szCs w:val="24"/>
          <w:u w:val="single"/>
        </w:rPr>
        <w:t>(c), and (d)</w:t>
      </w:r>
      <w:r w:rsidRPr="00B61FF1">
        <w:rPr>
          <w:rFonts w:ascii="Arial" w:hAnsi="Arial" w:cs="Arial"/>
          <w:sz w:val="24"/>
          <w:szCs w:val="24"/>
        </w:rPr>
        <w:t xml:space="preserve"> then that entity is classified as a covered entity as of January 1, 2015, for the year in which the threshold is reached and for all future years until any requirement set forth in section 95812(e) is met.</w:t>
      </w:r>
    </w:p>
    <w:p w14:paraId="1A3B4785" w14:textId="377220CA" w:rsidR="00FE6B15" w:rsidRPr="00B61FF1" w:rsidRDefault="002A0F18" w:rsidP="002A0F18">
      <w:pPr>
        <w:spacing w:line="360" w:lineRule="auto"/>
        <w:ind w:left="1080" w:hanging="720"/>
        <w:rPr>
          <w:rFonts w:ascii="Arial" w:hAnsi="Arial" w:cs="Arial"/>
          <w:sz w:val="24"/>
          <w:szCs w:val="24"/>
        </w:rPr>
      </w:pPr>
      <w:r w:rsidRPr="00B61FF1">
        <w:rPr>
          <w:rFonts w:ascii="Arial" w:hAnsi="Arial" w:cs="Arial"/>
          <w:sz w:val="24"/>
          <w:szCs w:val="24"/>
        </w:rPr>
        <w:t xml:space="preserve"> </w:t>
      </w:r>
      <w:r w:rsidR="003F5040" w:rsidRPr="00B61FF1">
        <w:rPr>
          <w:rFonts w:ascii="Arial" w:hAnsi="Arial" w:cs="Arial"/>
          <w:sz w:val="24"/>
          <w:szCs w:val="24"/>
        </w:rPr>
        <w:t>(1)</w:t>
      </w:r>
      <w:r w:rsidR="003F5040" w:rsidRPr="00B61FF1">
        <w:rPr>
          <w:rFonts w:ascii="Arial" w:hAnsi="Arial" w:cs="Arial"/>
          <w:sz w:val="24"/>
          <w:szCs w:val="24"/>
        </w:rPr>
        <w:tab/>
      </w:r>
      <w:r w:rsidR="00FE6B15" w:rsidRPr="00B61FF1">
        <w:rPr>
          <w:rFonts w:ascii="Arial" w:hAnsi="Arial" w:cs="Arial"/>
          <w:sz w:val="24"/>
          <w:szCs w:val="24"/>
        </w:rPr>
        <w:t>Fuel Suppliers.  The threshold for a fuel supplier is 25,000 metric tons or more of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e annually from the emissions of GHG that would result from full combustion or oxidation of the quantities of the fuels, identified in section 95811(c) through (f), which are imported and/or delivered to California. </w:t>
      </w:r>
    </w:p>
    <w:p w14:paraId="6F336812" w14:textId="77777777" w:rsidR="00FE6B15"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Electricity importers.  The threshold for an electricity importer of specified source of electricity is zero </w:t>
      </w:r>
      <w:r w:rsidR="0016715C" w:rsidRPr="00B61FF1">
        <w:rPr>
          <w:rFonts w:ascii="Arial" w:hAnsi="Arial" w:cs="Arial"/>
          <w:sz w:val="24"/>
          <w:szCs w:val="24"/>
        </w:rPr>
        <w:t xml:space="preserve">metric tons of </w:t>
      </w:r>
      <w:r w:rsidR="00775AF1" w:rsidRPr="00B61FF1">
        <w:rPr>
          <w:rFonts w:ascii="Arial" w:hAnsi="Arial" w:cs="Arial"/>
          <w:sz w:val="24"/>
          <w:szCs w:val="24"/>
        </w:rPr>
        <w:t>CO</w:t>
      </w:r>
      <w:r w:rsidR="00775AF1" w:rsidRPr="00B61FF1">
        <w:rPr>
          <w:rFonts w:ascii="Arial" w:hAnsi="Arial" w:cs="Arial"/>
          <w:sz w:val="24"/>
          <w:szCs w:val="24"/>
          <w:vertAlign w:val="subscript"/>
        </w:rPr>
        <w:t>2</w:t>
      </w:r>
      <w:r w:rsidR="00775AF1" w:rsidRPr="00B61FF1">
        <w:rPr>
          <w:rFonts w:ascii="Arial" w:hAnsi="Arial" w:cs="Arial"/>
          <w:sz w:val="24"/>
          <w:szCs w:val="24"/>
        </w:rPr>
        <w:t>e</w:t>
      </w:r>
      <w:r w:rsidR="00CD0A1B" w:rsidRPr="00B61FF1">
        <w:rPr>
          <w:rFonts w:ascii="Arial" w:hAnsi="Arial" w:cs="Arial"/>
          <w:sz w:val="24"/>
          <w:szCs w:val="24"/>
        </w:rPr>
        <w:t xml:space="preserve"> per year and for unspecified sources is zero MWhs</w:t>
      </w:r>
      <w:r w:rsidR="00ED7536" w:rsidRPr="00B61FF1">
        <w:rPr>
          <w:rFonts w:ascii="Arial" w:hAnsi="Arial" w:cs="Arial"/>
          <w:sz w:val="24"/>
          <w:szCs w:val="24"/>
        </w:rPr>
        <w:t xml:space="preserve"> per year</w:t>
      </w:r>
      <w:r w:rsidR="00775AF1" w:rsidRPr="00B61FF1">
        <w:rPr>
          <w:rFonts w:ascii="Arial" w:hAnsi="Arial" w:cs="Arial"/>
          <w:sz w:val="24"/>
          <w:szCs w:val="24"/>
        </w:rPr>
        <w:t xml:space="preserve"> </w:t>
      </w:r>
      <w:r w:rsidR="00FE6B15" w:rsidRPr="00B61FF1">
        <w:rPr>
          <w:rFonts w:ascii="Arial" w:hAnsi="Arial" w:cs="Arial"/>
          <w:sz w:val="24"/>
          <w:szCs w:val="24"/>
        </w:rPr>
        <w:t xml:space="preserve">as of January 1, 2015.  </w:t>
      </w:r>
    </w:p>
    <w:p w14:paraId="222C6191" w14:textId="77777777" w:rsidR="00FE6B15" w:rsidRPr="00B61FF1" w:rsidRDefault="003F5040" w:rsidP="003F5040">
      <w:pPr>
        <w:autoSpaceDE/>
        <w:autoSpaceDN/>
        <w:adjustRightInd/>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r>
      <w:r w:rsidR="00FE6B15" w:rsidRPr="00B61FF1">
        <w:rPr>
          <w:rFonts w:ascii="Arial" w:hAnsi="Arial" w:cs="Arial"/>
          <w:sz w:val="24"/>
          <w:szCs w:val="24"/>
        </w:rPr>
        <w:t xml:space="preserve">Effect of Reduced Emissions on an Entity’s Compliance Obligation.  A covered entity continues to have a compliance obligation for each data year of a compliance period, until the </w:t>
      </w:r>
      <w:r w:rsidR="00ED7536" w:rsidRPr="00B61FF1">
        <w:rPr>
          <w:rFonts w:ascii="Arial" w:hAnsi="Arial" w:cs="Arial"/>
          <w:sz w:val="24"/>
          <w:szCs w:val="24"/>
        </w:rPr>
        <w:t xml:space="preserve">subsequent </w:t>
      </w:r>
      <w:r w:rsidR="00FE6B15" w:rsidRPr="00B61FF1">
        <w:rPr>
          <w:rFonts w:ascii="Arial" w:hAnsi="Arial" w:cs="Arial"/>
          <w:sz w:val="24"/>
          <w:szCs w:val="24"/>
        </w:rPr>
        <w:t>compliance period after one of the following conditions occurs:</w:t>
      </w:r>
    </w:p>
    <w:p w14:paraId="1BA7C83A" w14:textId="77777777" w:rsidR="00FE6B15"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Annual reports demonstrate GHG emissions less than 25,000 metric tons of CO</w:t>
      </w:r>
      <w:r w:rsidR="00FE6B15" w:rsidRPr="00B61FF1">
        <w:rPr>
          <w:rFonts w:ascii="Arial" w:hAnsi="Arial" w:cs="Arial"/>
          <w:sz w:val="24"/>
          <w:szCs w:val="24"/>
          <w:vertAlign w:val="subscript"/>
        </w:rPr>
        <w:t>2</w:t>
      </w:r>
      <w:r w:rsidR="00FE6B15" w:rsidRPr="00B61FF1">
        <w:rPr>
          <w:rFonts w:ascii="Arial" w:hAnsi="Arial" w:cs="Arial"/>
          <w:sz w:val="24"/>
          <w:szCs w:val="24"/>
        </w:rPr>
        <w:t>e per year during one entire compliance period; or</w:t>
      </w:r>
    </w:p>
    <w:p w14:paraId="0EB916AA" w14:textId="77777777" w:rsidR="00FE6B15" w:rsidRPr="00B61FF1" w:rsidRDefault="003F5040" w:rsidP="003F5040">
      <w:pPr>
        <w:spacing w:line="360" w:lineRule="auto"/>
        <w:ind w:left="1080" w:hanging="720"/>
        <w:rPr>
          <w:rFonts w:ascii="Arial" w:hAnsi="Arial" w:cs="Arial"/>
          <w:sz w:val="24"/>
          <w:szCs w:val="24"/>
        </w:rPr>
      </w:pPr>
      <w:r w:rsidRPr="00B61FF1">
        <w:rPr>
          <w:rFonts w:ascii="Arial" w:hAnsi="Arial" w:cs="Arial"/>
          <w:sz w:val="24"/>
          <w:szCs w:val="24"/>
        </w:rPr>
        <w:lastRenderedPageBreak/>
        <w:t>(2)</w:t>
      </w:r>
      <w:r w:rsidRPr="00B61FF1">
        <w:rPr>
          <w:rFonts w:ascii="Arial" w:hAnsi="Arial" w:cs="Arial"/>
          <w:sz w:val="24"/>
          <w:szCs w:val="24"/>
        </w:rPr>
        <w:tab/>
      </w:r>
      <w:r w:rsidR="00FE6B15" w:rsidRPr="00B61FF1">
        <w:rPr>
          <w:rFonts w:ascii="Arial" w:hAnsi="Arial" w:cs="Arial"/>
          <w:sz w:val="24"/>
          <w:szCs w:val="24"/>
        </w:rPr>
        <w:t xml:space="preserve">A covered entity </w:t>
      </w:r>
      <w:r w:rsidR="001524C9" w:rsidRPr="00B61FF1">
        <w:rPr>
          <w:rFonts w:ascii="Arial" w:hAnsi="Arial" w:cs="Arial"/>
          <w:sz w:val="24"/>
          <w:szCs w:val="24"/>
        </w:rPr>
        <w:t xml:space="preserve">has ceased reporting and </w:t>
      </w:r>
      <w:r w:rsidR="00FE6B15" w:rsidRPr="00B61FF1">
        <w:rPr>
          <w:rFonts w:ascii="Arial" w:hAnsi="Arial" w:cs="Arial"/>
          <w:sz w:val="24"/>
          <w:szCs w:val="24"/>
        </w:rPr>
        <w:t xml:space="preserve">shuts down all processes, units, and supply operations subject to reporting, </w:t>
      </w:r>
      <w:r w:rsidR="001524C9" w:rsidRPr="00B61FF1">
        <w:rPr>
          <w:rFonts w:ascii="Arial" w:hAnsi="Arial" w:cs="Arial"/>
          <w:sz w:val="24"/>
          <w:szCs w:val="24"/>
        </w:rPr>
        <w:t>and has followed the requirements of section 95101(h) of MRR.</w:t>
      </w:r>
    </w:p>
    <w:p w14:paraId="7BFC4B35" w14:textId="4F759B02" w:rsidR="000F2675" w:rsidRPr="00B61FF1" w:rsidRDefault="000F2675" w:rsidP="00054959">
      <w:pPr>
        <w:autoSpaceDE/>
        <w:autoSpaceDN/>
        <w:adjustRightInd/>
        <w:spacing w:line="360" w:lineRule="auto"/>
        <w:ind w:left="720" w:hanging="720"/>
        <w:rPr>
          <w:rFonts w:ascii="Arial" w:hAnsi="Arial" w:cs="Arial"/>
          <w:i/>
          <w:strike/>
          <w:sz w:val="24"/>
          <w:szCs w:val="24"/>
          <w:u w:val="single"/>
        </w:rPr>
      </w:pPr>
      <w:r w:rsidRPr="00B61FF1">
        <w:rPr>
          <w:rFonts w:ascii="Arial" w:hAnsi="Arial" w:cs="Arial"/>
          <w:sz w:val="24"/>
          <w:szCs w:val="24"/>
          <w:u w:val="single"/>
        </w:rPr>
        <w:t>(f)</w:t>
      </w:r>
      <w:r w:rsidRPr="00815366">
        <w:rPr>
          <w:rFonts w:ascii="Arial" w:hAnsi="Arial" w:cs="Arial"/>
          <w:sz w:val="24"/>
          <w:szCs w:val="24"/>
        </w:rPr>
        <w:tab/>
      </w:r>
      <w:r w:rsidRPr="00B61FF1">
        <w:rPr>
          <w:rFonts w:ascii="Arial" w:hAnsi="Arial" w:cs="Arial"/>
          <w:sz w:val="24"/>
          <w:szCs w:val="24"/>
          <w:u w:val="single"/>
        </w:rPr>
        <w:t xml:space="preserve">Facility Closure. </w:t>
      </w:r>
      <w:r w:rsidR="00054959" w:rsidRPr="00B61FF1">
        <w:rPr>
          <w:rFonts w:ascii="Arial" w:hAnsi="Arial" w:cs="Arial"/>
          <w:sz w:val="24"/>
          <w:szCs w:val="24"/>
          <w:u w:val="single"/>
        </w:rPr>
        <w:t xml:space="preserve"> </w:t>
      </w:r>
      <w:r w:rsidR="00671579" w:rsidRPr="00B61FF1">
        <w:rPr>
          <w:rFonts w:ascii="Arial" w:hAnsi="Arial" w:cs="Arial"/>
          <w:i/>
          <w:sz w:val="24"/>
          <w:szCs w:val="24"/>
          <w:u w:val="single"/>
        </w:rPr>
        <w:t>For discussion: what happens to free allowances provided for transition assistance if the entity is no longer a covered entity prior to the first annual surrender obligation or triennial surrender obligation and those free allowances are no longer needed by the entity under the Cap-and-Trade Program?</w:t>
      </w:r>
    </w:p>
    <w:p w14:paraId="6DA73712" w14:textId="77777777" w:rsidR="00FE6B15" w:rsidRPr="00B61FF1" w:rsidRDefault="00FE6B15" w:rsidP="00671579">
      <w:pPr>
        <w:spacing w:line="360" w:lineRule="auto"/>
        <w:rPr>
          <w:rFonts w:ascii="Arial" w:hAnsi="Arial" w:cs="Arial"/>
          <w:sz w:val="24"/>
          <w:szCs w:val="24"/>
        </w:rPr>
      </w:pPr>
    </w:p>
    <w:p w14:paraId="42F89A09" w14:textId="77777777" w:rsidR="00FE6B15" w:rsidRPr="00B61FF1" w:rsidRDefault="00FE6B15" w:rsidP="0045344A">
      <w:pPr>
        <w:rPr>
          <w:rFonts w:ascii="Arial" w:hAnsi="Arial" w:cs="Arial"/>
        </w:rPr>
      </w:pPr>
      <w:r w:rsidRPr="00B61FF1">
        <w:rPr>
          <w:rFonts w:ascii="Arial" w:hAnsi="Arial" w:cs="Arial"/>
        </w:rPr>
        <w:t>NOTE:  Authority cited:  Sections 38510, 38560, 38562, 38570, 38571, 38580, 39600 and 39601, Health and Safety Code.</w:t>
      </w:r>
    </w:p>
    <w:p w14:paraId="563A25B5" w14:textId="77777777" w:rsidR="00FE6B15" w:rsidRPr="00B61FF1" w:rsidRDefault="00FE6B15" w:rsidP="0045344A">
      <w:pPr>
        <w:rPr>
          <w:rFonts w:ascii="Arial" w:hAnsi="Arial" w:cs="Arial"/>
        </w:rPr>
      </w:pPr>
      <w:r w:rsidRPr="00B61FF1">
        <w:rPr>
          <w:rFonts w:ascii="Arial" w:hAnsi="Arial" w:cs="Arial"/>
        </w:rPr>
        <w:t>Reference:  Sections 38530, 38560.5, 38564, 38565, 38570 and 39600, Health and Safety Code.</w:t>
      </w:r>
    </w:p>
    <w:p w14:paraId="0FC573D0" w14:textId="77777777" w:rsidR="00944ECE" w:rsidRPr="00B61FF1" w:rsidRDefault="00944ECE">
      <w:pPr>
        <w:autoSpaceDE/>
        <w:autoSpaceDN/>
        <w:adjustRightInd/>
        <w:rPr>
          <w:rFonts w:ascii="Arial" w:hAnsi="Arial" w:cs="Arial"/>
          <w:b/>
          <w:bCs/>
          <w:iCs/>
          <w:sz w:val="24"/>
          <w:szCs w:val="24"/>
        </w:rPr>
      </w:pPr>
      <w:bookmarkStart w:id="80" w:name="_Toc268526194"/>
      <w:bookmarkStart w:id="81" w:name="_Toc269206213"/>
      <w:bookmarkStart w:id="82" w:name="_Toc299094911"/>
      <w:bookmarkStart w:id="83" w:name="_Toc302746764"/>
      <w:bookmarkStart w:id="84" w:name="_Toc352146226"/>
      <w:bookmarkStart w:id="85" w:name="_Toc265660893"/>
    </w:p>
    <w:p w14:paraId="24F8AAFC" w14:textId="77777777" w:rsidR="00FE6B15" w:rsidRPr="00B61FF1" w:rsidRDefault="00FE6B15" w:rsidP="004E3B67">
      <w:pPr>
        <w:pStyle w:val="Heading2"/>
        <w:keepNext w:val="0"/>
        <w:rPr>
          <w:i/>
          <w:szCs w:val="24"/>
        </w:rPr>
      </w:pPr>
      <w:bookmarkStart w:id="86" w:name="_Toc361659827"/>
      <w:r w:rsidRPr="00B61FF1">
        <w:rPr>
          <w:szCs w:val="24"/>
        </w:rPr>
        <w:t>§ 95813.  Opt-In Covered Entities</w:t>
      </w:r>
      <w:bookmarkEnd w:id="80"/>
      <w:bookmarkEnd w:id="81"/>
      <w:r w:rsidR="003E5A98" w:rsidRPr="00B61FF1">
        <w:rPr>
          <w:szCs w:val="24"/>
        </w:rPr>
        <w:t>.</w:t>
      </w:r>
      <w:bookmarkEnd w:id="82"/>
      <w:bookmarkEnd w:id="83"/>
      <w:bookmarkEnd w:id="84"/>
      <w:bookmarkEnd w:id="86"/>
    </w:p>
    <w:p w14:paraId="72C456C4" w14:textId="46877831" w:rsidR="00FE6B15" w:rsidRPr="00B61FF1" w:rsidRDefault="00E125CF" w:rsidP="00E125CF">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An entity that meets the requirements of section 95811, but does not exceed the inclusion thresholds set forth in section 95812 may elec</w:t>
      </w:r>
      <w:r w:rsidR="00B15764" w:rsidRPr="00B61FF1">
        <w:rPr>
          <w:rFonts w:ascii="Arial" w:hAnsi="Arial" w:cs="Arial"/>
          <w:sz w:val="24"/>
          <w:szCs w:val="24"/>
        </w:rPr>
        <w:t>t to voluntarily opt-in to the Cap-and-Trade P</w:t>
      </w:r>
      <w:r w:rsidR="00FE6B15" w:rsidRPr="00B61FF1">
        <w:rPr>
          <w:rFonts w:ascii="Arial" w:hAnsi="Arial" w:cs="Arial"/>
          <w:sz w:val="24"/>
          <w:szCs w:val="24"/>
        </w:rPr>
        <w:t xml:space="preserve">rogram. </w:t>
      </w:r>
    </w:p>
    <w:p w14:paraId="71419982" w14:textId="63EFD1C4" w:rsidR="00FE6B15" w:rsidRPr="00B61FF1" w:rsidRDefault="00E125CF" w:rsidP="00E125CF">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327354" w:rsidRPr="00B61FF1">
        <w:rPr>
          <w:rFonts w:ascii="Arial" w:hAnsi="Arial" w:cs="Arial"/>
          <w:sz w:val="24"/>
          <w:szCs w:val="24"/>
        </w:rPr>
        <w:t>An entity that voluntarily elects to participate in this program under this section must submit its request to the Executive Officer for approval pursuant to section 95830(c)</w:t>
      </w:r>
      <w:r w:rsidR="00327354" w:rsidRPr="00B61FF1">
        <w:rPr>
          <w:rFonts w:ascii="Arial" w:hAnsi="Arial" w:cs="Arial"/>
          <w:sz w:val="24"/>
          <w:szCs w:val="24"/>
          <w:u w:val="single"/>
        </w:rPr>
        <w:t xml:space="preserve"> by March 1</w:t>
      </w:r>
      <w:r w:rsidR="00327354" w:rsidRPr="00B61FF1">
        <w:rPr>
          <w:rFonts w:ascii="Arial" w:eastAsia="Calibri" w:hAnsi="Arial"/>
          <w:sz w:val="24"/>
          <w:szCs w:val="22"/>
          <w:u w:val="single"/>
        </w:rPr>
        <w:t xml:space="preserve"> </w:t>
      </w:r>
      <w:r w:rsidR="00327354" w:rsidRPr="00B61FF1">
        <w:rPr>
          <w:rFonts w:ascii="Arial" w:hAnsi="Arial" w:cs="Arial"/>
          <w:sz w:val="24"/>
          <w:szCs w:val="24"/>
          <w:u w:val="single"/>
        </w:rPr>
        <w:t>of the calendar year immediately preceding the first year in which it voluntarily elects to be subject to a compliance obligation pursuant to this section</w:t>
      </w:r>
      <w:r w:rsidR="00327354" w:rsidRPr="00B61FF1">
        <w:rPr>
          <w:rFonts w:ascii="Arial" w:hAnsi="Arial" w:cs="Arial"/>
          <w:sz w:val="24"/>
          <w:szCs w:val="24"/>
        </w:rPr>
        <w:t>.  The Executive Officer shall evaluate such applications and designate approved applicants as opt-in covered entities.</w:t>
      </w:r>
    </w:p>
    <w:p w14:paraId="68C8A1B6" w14:textId="6B7795F5" w:rsidR="00327354" w:rsidRPr="00B61FF1" w:rsidRDefault="00327354" w:rsidP="00E125CF">
      <w:pPr>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23891">
        <w:rPr>
          <w:rFonts w:ascii="Arial" w:hAnsi="Arial" w:cs="Arial"/>
          <w:sz w:val="24"/>
          <w:szCs w:val="24"/>
        </w:rPr>
        <w:tab/>
      </w:r>
      <w:r w:rsidRPr="00B61FF1">
        <w:rPr>
          <w:rFonts w:ascii="Arial" w:hAnsi="Arial" w:cs="Arial"/>
          <w:sz w:val="24"/>
          <w:szCs w:val="24"/>
          <w:u w:val="single"/>
        </w:rPr>
        <w:t>An entity that voluntarily elects to participate in this program under this section may rescind its request to opt in to the program by October 1 of the calendar year prior to the first year in which it voluntarily elects to be subject to a compliance obligation pursuant to section 95813.</w:t>
      </w:r>
    </w:p>
    <w:p w14:paraId="7CAAF740" w14:textId="2827C895" w:rsidR="00FE6B15" w:rsidRPr="00B61FF1" w:rsidRDefault="00E125CF" w:rsidP="00E125CF">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c</w:t>
      </w:r>
      <w:r w:rsidR="00327354" w:rsidRPr="00B61FF1">
        <w:rPr>
          <w:rFonts w:ascii="Arial" w:hAnsi="Arial" w:cs="Arial"/>
          <w:sz w:val="24"/>
          <w:szCs w:val="24"/>
          <w:u w:val="single"/>
        </w:rPr>
        <w:t>d</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 xml:space="preserve">An opt-in covered entity is subject to all reporting, verification, </w:t>
      </w:r>
      <w:r w:rsidR="0019470E" w:rsidRPr="00B61FF1">
        <w:rPr>
          <w:rFonts w:ascii="Arial" w:hAnsi="Arial" w:cs="Arial"/>
          <w:sz w:val="24"/>
          <w:szCs w:val="24"/>
        </w:rPr>
        <w:t xml:space="preserve">enforcement, </w:t>
      </w:r>
      <w:r w:rsidR="00FE6B15" w:rsidRPr="00B61FF1">
        <w:rPr>
          <w:rFonts w:ascii="Arial" w:hAnsi="Arial" w:cs="Arial"/>
          <w:sz w:val="24"/>
          <w:szCs w:val="24"/>
        </w:rPr>
        <w:t>and compliance obligations that apply to covered entities.</w:t>
      </w:r>
      <w:r w:rsidR="004364B5" w:rsidRPr="00B61FF1">
        <w:rPr>
          <w:rFonts w:ascii="Arial" w:hAnsi="Arial" w:cs="Arial"/>
          <w:sz w:val="24"/>
          <w:szCs w:val="24"/>
        </w:rPr>
        <w:t xml:space="preserve"> </w:t>
      </w:r>
      <w:r w:rsidR="004364B5" w:rsidRPr="00B61FF1">
        <w:rPr>
          <w:rFonts w:ascii="Arial" w:hAnsi="Arial" w:cs="Arial"/>
          <w:sz w:val="24"/>
          <w:szCs w:val="24"/>
          <w:u w:val="single"/>
        </w:rPr>
        <w:t xml:space="preserve">An opt-in covered entity’s first reporting and verification year shall be the </w:t>
      </w:r>
      <w:r w:rsidR="004364B5" w:rsidRPr="00B61FF1">
        <w:rPr>
          <w:rFonts w:ascii="Arial" w:hAnsi="Arial" w:cs="Arial"/>
          <w:sz w:val="24"/>
          <w:szCs w:val="24"/>
          <w:u w:val="single"/>
        </w:rPr>
        <w:lastRenderedPageBreak/>
        <w:t xml:space="preserve">calendar year immediately preceding the first year in which it </w:t>
      </w:r>
      <w:r w:rsidR="00103999" w:rsidRPr="00B61FF1">
        <w:rPr>
          <w:rFonts w:ascii="Arial" w:hAnsi="Arial" w:cs="Arial"/>
          <w:sz w:val="24"/>
          <w:szCs w:val="24"/>
          <w:u w:val="single"/>
        </w:rPr>
        <w:t>voluntarily elects to be subject to a compliance obligation pursuant to this section.</w:t>
      </w:r>
    </w:p>
    <w:p w14:paraId="45DC4929" w14:textId="321C3C09" w:rsidR="00FE6B15" w:rsidRPr="00B61FF1" w:rsidRDefault="00E125CF" w:rsidP="00E125CF">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d</w:t>
      </w:r>
      <w:r w:rsidR="00327354" w:rsidRPr="00B61FF1">
        <w:rPr>
          <w:rFonts w:ascii="Arial" w:hAnsi="Arial" w:cs="Arial"/>
          <w:sz w:val="24"/>
          <w:szCs w:val="24"/>
          <w:u w:val="single"/>
        </w:rPr>
        <w:t>e</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An opt-in covered entity may be eligible to receive freely allocated allowances subject to subarticles 8 and 9.</w:t>
      </w:r>
    </w:p>
    <w:p w14:paraId="2EEF8DED" w14:textId="0038003D" w:rsidR="00FE6B15" w:rsidRPr="00B61FF1" w:rsidRDefault="00E125CF" w:rsidP="00E125CF">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e</w:t>
      </w:r>
      <w:r w:rsidR="00327354" w:rsidRPr="00B61FF1">
        <w:rPr>
          <w:rFonts w:ascii="Arial" w:hAnsi="Arial" w:cs="Arial"/>
          <w:sz w:val="24"/>
          <w:szCs w:val="24"/>
          <w:u w:val="single"/>
        </w:rPr>
        <w:t>f</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 xml:space="preserve">Opt-in participation shall not affect the allowance budgets set forth in subarticle 6. </w:t>
      </w:r>
    </w:p>
    <w:p w14:paraId="37248362" w14:textId="7F6DC4E6" w:rsidR="00FE6B15" w:rsidRPr="00B61FF1" w:rsidRDefault="00E125CF" w:rsidP="00E125CF">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f</w:t>
      </w:r>
      <w:r w:rsidR="00327354" w:rsidRPr="00B61FF1">
        <w:rPr>
          <w:rFonts w:ascii="Arial" w:hAnsi="Arial" w:cs="Arial"/>
          <w:sz w:val="24"/>
          <w:szCs w:val="24"/>
          <w:u w:val="single"/>
        </w:rPr>
        <w:t>g</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 xml:space="preserve">Opting out.  After the end of any given compliance period an opt-in covered entity may choose to opt out of the program provided its annual emission levels for any data year remain below the inclusion thresholds set forth in section 95812.  An entity choosing to opt out of the program must either fulfill its compliance obligations as required pursuant to subarticle 7 or surrender allowances equivalent to all the directly allocated allowances it has received from the budget years for the compliance period in question.  An opt-in covered entity that wishes to opt-out of this program must apply to the Executive Officer.  </w:t>
      </w:r>
    </w:p>
    <w:p w14:paraId="0ED1089E" w14:textId="77777777" w:rsidR="00FE6B15" w:rsidRPr="00B61FF1" w:rsidRDefault="00FE6B15" w:rsidP="004E3B67">
      <w:pPr>
        <w:spacing w:line="360" w:lineRule="auto"/>
        <w:ind w:left="360"/>
        <w:rPr>
          <w:rFonts w:ascii="Arial" w:hAnsi="Arial" w:cs="Arial"/>
          <w:sz w:val="24"/>
          <w:szCs w:val="24"/>
        </w:rPr>
      </w:pPr>
    </w:p>
    <w:p w14:paraId="044449DA" w14:textId="77777777" w:rsidR="00FE6B15" w:rsidRPr="00B61FF1" w:rsidRDefault="00FE6B15" w:rsidP="0045344A">
      <w:pPr>
        <w:rPr>
          <w:rFonts w:ascii="Arial" w:hAnsi="Arial" w:cs="Arial"/>
        </w:rPr>
      </w:pPr>
      <w:r w:rsidRPr="00B61FF1">
        <w:rPr>
          <w:rFonts w:ascii="Arial" w:hAnsi="Arial" w:cs="Arial"/>
        </w:rPr>
        <w:t>NOTE:  Authority cited:  Sections 38510, 38560, 38562, 38570, 38571, 38580, 39600 and 39601, Health and Safety Code.</w:t>
      </w:r>
    </w:p>
    <w:p w14:paraId="4AD1E95E" w14:textId="77777777" w:rsidR="00FE6B15" w:rsidRPr="00B61FF1" w:rsidRDefault="00FE6B15" w:rsidP="0045344A">
      <w:pPr>
        <w:rPr>
          <w:rFonts w:ascii="Arial" w:hAnsi="Arial" w:cs="Arial"/>
        </w:rPr>
      </w:pPr>
      <w:r w:rsidRPr="00B61FF1">
        <w:rPr>
          <w:rFonts w:ascii="Arial" w:hAnsi="Arial" w:cs="Arial"/>
        </w:rPr>
        <w:t>Reference:  Sections 38530, 38560.5, 38564, 38565, 38570 and 39600, Health and Safety Code.</w:t>
      </w:r>
    </w:p>
    <w:p w14:paraId="71F28553" w14:textId="77777777" w:rsidR="00944ECE" w:rsidRPr="00B61FF1" w:rsidRDefault="00944ECE">
      <w:pPr>
        <w:autoSpaceDE/>
        <w:autoSpaceDN/>
        <w:adjustRightInd/>
        <w:rPr>
          <w:rFonts w:ascii="Arial" w:hAnsi="Arial" w:cs="Arial"/>
          <w:b/>
          <w:bCs/>
          <w:iCs/>
          <w:sz w:val="24"/>
          <w:szCs w:val="24"/>
        </w:rPr>
      </w:pPr>
      <w:bookmarkStart w:id="87" w:name="_Toc268526195"/>
      <w:bookmarkStart w:id="88" w:name="_Toc269206214"/>
      <w:bookmarkStart w:id="89" w:name="_Toc299094912"/>
      <w:bookmarkStart w:id="90" w:name="_Toc302746765"/>
      <w:bookmarkStart w:id="91" w:name="_Toc352146227"/>
    </w:p>
    <w:p w14:paraId="7FF1BA9C" w14:textId="77777777" w:rsidR="00FE6B15" w:rsidRPr="00B61FF1" w:rsidRDefault="00FE6B15" w:rsidP="004E3B67">
      <w:pPr>
        <w:pStyle w:val="Heading2"/>
        <w:keepNext w:val="0"/>
        <w:rPr>
          <w:i/>
          <w:szCs w:val="24"/>
        </w:rPr>
      </w:pPr>
      <w:bookmarkStart w:id="92" w:name="_Toc361659828"/>
      <w:r w:rsidRPr="00B61FF1">
        <w:rPr>
          <w:szCs w:val="24"/>
        </w:rPr>
        <w:t>§ 95814</w:t>
      </w:r>
      <w:bookmarkEnd w:id="85"/>
      <w:r w:rsidRPr="00B61FF1">
        <w:rPr>
          <w:szCs w:val="24"/>
        </w:rPr>
        <w:t>.  Voluntarily Associated Entities a</w:t>
      </w:r>
      <w:bookmarkEnd w:id="87"/>
      <w:bookmarkEnd w:id="88"/>
      <w:r w:rsidRPr="00B61FF1">
        <w:rPr>
          <w:szCs w:val="24"/>
        </w:rPr>
        <w:t>nd Other Registered Participants</w:t>
      </w:r>
      <w:r w:rsidR="00785433" w:rsidRPr="00B61FF1">
        <w:rPr>
          <w:szCs w:val="24"/>
        </w:rPr>
        <w:t>.</w:t>
      </w:r>
      <w:bookmarkEnd w:id="89"/>
      <w:bookmarkEnd w:id="90"/>
      <w:bookmarkEnd w:id="91"/>
      <w:bookmarkEnd w:id="92"/>
    </w:p>
    <w:p w14:paraId="7790DD71" w14:textId="77777777" w:rsidR="005E028A" w:rsidRPr="00B61FF1" w:rsidRDefault="001C5F40" w:rsidP="001C5F40">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5E028A" w:rsidRPr="00B61FF1">
        <w:rPr>
          <w:rFonts w:ascii="Arial" w:hAnsi="Arial" w:cs="Arial"/>
          <w:sz w:val="24"/>
          <w:szCs w:val="24"/>
        </w:rPr>
        <w:t xml:space="preserve">Voluntarily Associated Entities (VAE).  An entity not identified as a covered entity or opt-in covered entity that intends to hold California compliance instruments may apply to the Executive Officer pursuant to section 95830(c) for approval as a voluntarily associated entity.  </w:t>
      </w:r>
    </w:p>
    <w:p w14:paraId="0B8C321D" w14:textId="77777777" w:rsidR="00FE6B15" w:rsidRPr="00B61FF1" w:rsidRDefault="00003951" w:rsidP="00003951">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The following entities </w:t>
      </w:r>
      <w:r w:rsidR="00FA7B89" w:rsidRPr="00B61FF1">
        <w:rPr>
          <w:rFonts w:ascii="Arial" w:hAnsi="Arial" w:cs="Arial"/>
          <w:sz w:val="24"/>
          <w:szCs w:val="24"/>
        </w:rPr>
        <w:t>may</w:t>
      </w:r>
      <w:r w:rsidR="00FE6B15" w:rsidRPr="00B61FF1">
        <w:rPr>
          <w:rFonts w:ascii="Arial" w:hAnsi="Arial" w:cs="Arial"/>
          <w:sz w:val="24"/>
          <w:szCs w:val="24"/>
        </w:rPr>
        <w:t xml:space="preserve"> qualify </w:t>
      </w:r>
      <w:r w:rsidR="00FA7B89" w:rsidRPr="00B61FF1">
        <w:rPr>
          <w:rFonts w:ascii="Arial" w:hAnsi="Arial" w:cs="Arial"/>
          <w:sz w:val="24"/>
          <w:szCs w:val="24"/>
        </w:rPr>
        <w:t>as voluntarily associated entities</w:t>
      </w:r>
      <w:r w:rsidR="00FE6B15" w:rsidRPr="00B61FF1">
        <w:rPr>
          <w:rFonts w:ascii="Arial" w:hAnsi="Arial" w:cs="Arial"/>
          <w:sz w:val="24"/>
          <w:szCs w:val="24"/>
        </w:rPr>
        <w:t>:</w:t>
      </w:r>
    </w:p>
    <w:p w14:paraId="1C6B31F8" w14:textId="77777777" w:rsidR="00FE6B15" w:rsidRPr="00B61FF1" w:rsidRDefault="00003951" w:rsidP="00003951">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A</w:t>
      </w:r>
      <w:r w:rsidR="00785433" w:rsidRPr="00B61FF1">
        <w:rPr>
          <w:rFonts w:ascii="Arial" w:hAnsi="Arial" w:cs="Arial"/>
          <w:sz w:val="24"/>
          <w:szCs w:val="24"/>
        </w:rPr>
        <w:t xml:space="preserve">n </w:t>
      </w:r>
      <w:r w:rsidR="002E127C" w:rsidRPr="00B61FF1">
        <w:rPr>
          <w:rFonts w:ascii="Arial" w:hAnsi="Arial" w:cs="Arial"/>
          <w:sz w:val="24"/>
          <w:szCs w:val="24"/>
        </w:rPr>
        <w:t>individual, or an entity that does not meet the requirements of sections 95811 and 95813, that intends to purchase, hold, sell, or voluntarily retire compliance instruments</w:t>
      </w:r>
      <w:r w:rsidR="00FE6B15" w:rsidRPr="00B61FF1">
        <w:rPr>
          <w:rFonts w:ascii="Arial" w:hAnsi="Arial" w:cs="Arial"/>
          <w:sz w:val="24"/>
          <w:szCs w:val="24"/>
        </w:rPr>
        <w:t>;</w:t>
      </w:r>
    </w:p>
    <w:p w14:paraId="5768A9BF" w14:textId="77777777" w:rsidR="00FE6B15" w:rsidRPr="00B61FF1" w:rsidRDefault="00003951" w:rsidP="00003951">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A</w:t>
      </w:r>
      <w:r w:rsidR="002E127C" w:rsidRPr="00B61FF1">
        <w:rPr>
          <w:rFonts w:ascii="Arial" w:hAnsi="Arial" w:cs="Arial"/>
          <w:sz w:val="24"/>
          <w:szCs w:val="24"/>
        </w:rPr>
        <w:t>n entity operating an offset project or early action offset project that is registered with ARB pursuant to subarticles 13 or 14</w:t>
      </w:r>
      <w:r w:rsidR="00FE6B15" w:rsidRPr="00B61FF1">
        <w:rPr>
          <w:rFonts w:ascii="Arial" w:hAnsi="Arial" w:cs="Arial"/>
          <w:sz w:val="24"/>
          <w:szCs w:val="24"/>
        </w:rPr>
        <w:t>;</w:t>
      </w:r>
      <w:r w:rsidR="002E127C" w:rsidRPr="00B61FF1">
        <w:rPr>
          <w:rFonts w:ascii="Arial" w:hAnsi="Arial" w:cs="Arial"/>
          <w:sz w:val="24"/>
          <w:szCs w:val="24"/>
        </w:rPr>
        <w:t xml:space="preserve"> or</w:t>
      </w:r>
    </w:p>
    <w:p w14:paraId="6544D622" w14:textId="77777777" w:rsidR="00FE6B15" w:rsidRPr="00B61FF1" w:rsidRDefault="00003951" w:rsidP="00003951">
      <w:pPr>
        <w:spacing w:line="360" w:lineRule="auto"/>
        <w:ind w:left="1800" w:hanging="720"/>
        <w:rPr>
          <w:rFonts w:ascii="Arial" w:hAnsi="Arial" w:cs="Arial"/>
          <w:sz w:val="24"/>
          <w:szCs w:val="24"/>
        </w:rPr>
      </w:pPr>
      <w:r w:rsidRPr="00B61FF1">
        <w:rPr>
          <w:rFonts w:ascii="Arial" w:hAnsi="Arial" w:cs="Arial"/>
          <w:sz w:val="24"/>
          <w:szCs w:val="24"/>
        </w:rPr>
        <w:lastRenderedPageBreak/>
        <w:t>(C)</w:t>
      </w:r>
      <w:r w:rsidRPr="00B61FF1">
        <w:rPr>
          <w:rFonts w:ascii="Arial" w:hAnsi="Arial" w:cs="Arial"/>
          <w:sz w:val="24"/>
          <w:szCs w:val="24"/>
        </w:rPr>
        <w:tab/>
      </w:r>
      <w:r w:rsidR="002E127C" w:rsidRPr="00B61FF1">
        <w:rPr>
          <w:rFonts w:ascii="Arial" w:hAnsi="Arial" w:cs="Arial"/>
          <w:sz w:val="24"/>
          <w:szCs w:val="24"/>
        </w:rPr>
        <w:t>An entity providing clearing services in which it takes only temporary possession of compliance instruments for the purpose of clearing transactions between two entities registered with the Cap-and-Trade Program.  A qualified entity must be a derivatives clearing organization as defined in the Commodities Exchange Act (7 U.S.C § 1a(9)) that is registered with the U.S. Commodity Futures Trading Commission pursuant to the Commodities Exchange Act (7 U.S.C. § 7a-1(a)).</w:t>
      </w:r>
    </w:p>
    <w:p w14:paraId="1CD7B6B6" w14:textId="77777777" w:rsidR="002E127C" w:rsidRPr="00B61FF1" w:rsidRDefault="002E127C" w:rsidP="002E127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An individual registering as a voluntarily associated</w:t>
      </w:r>
      <w:r w:rsidR="00FE7941" w:rsidRPr="00B61FF1">
        <w:rPr>
          <w:rFonts w:ascii="Arial" w:hAnsi="Arial" w:cs="Arial"/>
          <w:sz w:val="24"/>
          <w:szCs w:val="24"/>
        </w:rPr>
        <w:t xml:space="preserve"> </w:t>
      </w:r>
      <w:r w:rsidR="00FE7941" w:rsidRPr="00B61FF1">
        <w:rPr>
          <w:rFonts w:ascii="Arial" w:hAnsi="Arial" w:cs="Arial"/>
          <w:sz w:val="24"/>
          <w:szCs w:val="24"/>
          <w:u w:val="single"/>
        </w:rPr>
        <w:t>entity</w:t>
      </w:r>
      <w:r w:rsidRPr="00B61FF1">
        <w:rPr>
          <w:rFonts w:ascii="Arial" w:hAnsi="Arial" w:cs="Arial"/>
          <w:sz w:val="24"/>
          <w:szCs w:val="24"/>
        </w:rPr>
        <w:t xml:space="preserve"> must have a primary residence in the United States.</w:t>
      </w:r>
    </w:p>
    <w:p w14:paraId="0078DD79" w14:textId="7508F8BE" w:rsidR="00C41273" w:rsidRPr="00B61FF1" w:rsidRDefault="00C41273" w:rsidP="00C41273">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815366">
        <w:rPr>
          <w:rFonts w:ascii="Arial" w:hAnsi="Arial" w:cs="Arial"/>
          <w:sz w:val="24"/>
          <w:szCs w:val="24"/>
        </w:rPr>
        <w:tab/>
      </w:r>
      <w:r w:rsidRPr="00B61FF1">
        <w:rPr>
          <w:rFonts w:ascii="Arial" w:hAnsi="Arial" w:cs="Arial"/>
          <w:sz w:val="24"/>
          <w:szCs w:val="24"/>
          <w:u w:val="single"/>
        </w:rPr>
        <w:t>An individual employed by an entity subject to the requirements of MRR, or employed by an entity subject to the Cap-and-Trade Regulation, or by an organization providing consulting services related to those Regulations who cho</w:t>
      </w:r>
      <w:r w:rsidR="001F3A12" w:rsidRPr="00B61FF1">
        <w:rPr>
          <w:rFonts w:ascii="Arial" w:hAnsi="Arial" w:cs="Arial"/>
          <w:sz w:val="24"/>
          <w:szCs w:val="24"/>
          <w:u w:val="single"/>
        </w:rPr>
        <w:t>o</w:t>
      </w:r>
      <w:r w:rsidRPr="00B61FF1">
        <w:rPr>
          <w:rFonts w:ascii="Arial" w:hAnsi="Arial" w:cs="Arial"/>
          <w:sz w:val="24"/>
          <w:szCs w:val="24"/>
          <w:u w:val="single"/>
        </w:rPr>
        <w:t>ses to register as a voluntarily associated entity in the tracking system, must provide a notarized letter from the individual’s employer stating the employer is aware of the employee’s plans to apply as a voluntarily associated entity in the Cap-and-Trade Program and that the employer has conflict of interest policies and procedures in place which prevent the employee from using information gained in the course of employment as an employee of the company and using it for personal gain in the Cap-and-Trade Program.</w:t>
      </w:r>
    </w:p>
    <w:p w14:paraId="1BBF0CD6" w14:textId="480B02BC" w:rsidR="00FE7941" w:rsidRPr="00B61FF1" w:rsidRDefault="00FE7941" w:rsidP="00FE7941">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23891">
        <w:rPr>
          <w:rFonts w:ascii="Arial" w:hAnsi="Arial" w:cs="Arial"/>
          <w:sz w:val="24"/>
          <w:szCs w:val="24"/>
        </w:rPr>
        <w:tab/>
      </w:r>
      <w:r w:rsidRPr="00B61FF1">
        <w:rPr>
          <w:rFonts w:ascii="Arial" w:hAnsi="Arial" w:cs="Arial"/>
          <w:sz w:val="24"/>
          <w:szCs w:val="24"/>
          <w:u w:val="single"/>
        </w:rPr>
        <w:t xml:space="preserve">An individual </w:t>
      </w:r>
      <w:r w:rsidR="001B6EB8" w:rsidRPr="00B61FF1">
        <w:rPr>
          <w:rFonts w:ascii="Arial" w:hAnsi="Arial" w:cs="Arial"/>
          <w:sz w:val="24"/>
          <w:szCs w:val="24"/>
          <w:u w:val="single"/>
        </w:rPr>
        <w:t>who meets the requirements of section</w:t>
      </w:r>
      <w:r w:rsidRPr="00B61FF1">
        <w:rPr>
          <w:rFonts w:ascii="Arial" w:hAnsi="Arial" w:cs="Arial"/>
          <w:sz w:val="24"/>
          <w:szCs w:val="24"/>
          <w:u w:val="single"/>
        </w:rPr>
        <w:t xml:space="preserve"> 95814</w:t>
      </w:r>
      <w:r w:rsidR="008C6C87" w:rsidRPr="00B61FF1">
        <w:rPr>
          <w:rFonts w:ascii="Arial" w:hAnsi="Arial" w:cs="Arial"/>
          <w:sz w:val="24"/>
          <w:szCs w:val="24"/>
          <w:u w:val="single"/>
        </w:rPr>
        <w:t>(a)</w:t>
      </w:r>
      <w:r w:rsidRPr="00B61FF1">
        <w:rPr>
          <w:rFonts w:ascii="Arial" w:hAnsi="Arial" w:cs="Arial"/>
          <w:sz w:val="24"/>
          <w:szCs w:val="24"/>
          <w:u w:val="single"/>
        </w:rPr>
        <w:t xml:space="preserve">(3) </w:t>
      </w:r>
      <w:r w:rsidR="001B6EB8" w:rsidRPr="00B61FF1">
        <w:rPr>
          <w:rFonts w:ascii="Arial" w:hAnsi="Arial" w:cs="Arial"/>
          <w:sz w:val="24"/>
          <w:szCs w:val="24"/>
          <w:u w:val="single"/>
        </w:rPr>
        <w:t>and</w:t>
      </w:r>
      <w:r w:rsidRPr="00B61FF1">
        <w:rPr>
          <w:rFonts w:ascii="Arial" w:hAnsi="Arial" w:cs="Arial"/>
          <w:sz w:val="24"/>
          <w:szCs w:val="24"/>
          <w:u w:val="single"/>
        </w:rPr>
        <w:t xml:space="preserve"> is already registered in the tracking system </w:t>
      </w:r>
      <w:r w:rsidR="00C22F6D" w:rsidRPr="00B61FF1">
        <w:rPr>
          <w:rFonts w:ascii="Arial" w:hAnsi="Arial" w:cs="Arial"/>
          <w:sz w:val="24"/>
          <w:szCs w:val="24"/>
          <w:u w:val="single"/>
        </w:rPr>
        <w:t xml:space="preserve">must provide the notarized letter from </w:t>
      </w:r>
      <w:r w:rsidR="00C41273" w:rsidRPr="00B61FF1">
        <w:rPr>
          <w:rFonts w:ascii="Arial" w:hAnsi="Arial" w:cs="Arial"/>
          <w:sz w:val="24"/>
          <w:szCs w:val="24"/>
          <w:u w:val="single"/>
        </w:rPr>
        <w:t>his/her</w:t>
      </w:r>
      <w:r w:rsidR="00C22F6D" w:rsidRPr="00B61FF1">
        <w:rPr>
          <w:rFonts w:ascii="Arial" w:hAnsi="Arial" w:cs="Arial"/>
          <w:sz w:val="24"/>
          <w:szCs w:val="24"/>
          <w:u w:val="single"/>
        </w:rPr>
        <w:t xml:space="preserve"> employer no later than</w:t>
      </w:r>
      <w:r w:rsidR="001B6EB8" w:rsidRPr="00B61FF1">
        <w:rPr>
          <w:rFonts w:ascii="Arial" w:hAnsi="Arial" w:cs="Arial"/>
          <w:sz w:val="24"/>
          <w:szCs w:val="24"/>
          <w:u w:val="single"/>
        </w:rPr>
        <w:t xml:space="preserve"> January 31, 201</w:t>
      </w:r>
      <w:r w:rsidR="00E72D4E" w:rsidRPr="00B61FF1">
        <w:rPr>
          <w:rFonts w:ascii="Arial" w:hAnsi="Arial" w:cs="Arial"/>
          <w:sz w:val="24"/>
          <w:szCs w:val="24"/>
          <w:u w:val="single"/>
        </w:rPr>
        <w:t>5</w:t>
      </w:r>
      <w:r w:rsidR="00C22F6D" w:rsidRPr="00B61FF1">
        <w:rPr>
          <w:rFonts w:ascii="Arial" w:hAnsi="Arial" w:cs="Arial"/>
          <w:sz w:val="24"/>
          <w:szCs w:val="24"/>
          <w:u w:val="single"/>
        </w:rPr>
        <w:t xml:space="preserve">. </w:t>
      </w:r>
      <w:r w:rsidRPr="00B61FF1">
        <w:rPr>
          <w:rFonts w:ascii="Arial" w:hAnsi="Arial" w:cs="Arial"/>
          <w:sz w:val="24"/>
          <w:szCs w:val="24"/>
          <w:u w:val="single"/>
        </w:rPr>
        <w:t xml:space="preserve"> </w:t>
      </w:r>
      <w:r w:rsidR="00C22F6D" w:rsidRPr="00B61FF1">
        <w:rPr>
          <w:rFonts w:ascii="Arial" w:hAnsi="Arial" w:cs="Arial"/>
          <w:sz w:val="24"/>
          <w:szCs w:val="24"/>
          <w:u w:val="single"/>
        </w:rPr>
        <w:t>Failure to provide such a letter by the dea</w:t>
      </w:r>
      <w:r w:rsidR="00C41273" w:rsidRPr="00B61FF1">
        <w:rPr>
          <w:rFonts w:ascii="Arial" w:hAnsi="Arial" w:cs="Arial"/>
          <w:sz w:val="24"/>
          <w:szCs w:val="24"/>
          <w:u w:val="single"/>
        </w:rPr>
        <w:t>d</w:t>
      </w:r>
      <w:r w:rsidR="00C22F6D" w:rsidRPr="00B61FF1">
        <w:rPr>
          <w:rFonts w:ascii="Arial" w:hAnsi="Arial" w:cs="Arial"/>
          <w:sz w:val="24"/>
          <w:szCs w:val="24"/>
          <w:u w:val="single"/>
        </w:rPr>
        <w:t>line will result in suspension, modification, or revocation of his/her tracking system account</w:t>
      </w:r>
      <w:r w:rsidRPr="00B61FF1">
        <w:rPr>
          <w:rFonts w:ascii="Arial" w:hAnsi="Arial" w:cs="Arial"/>
          <w:sz w:val="24"/>
          <w:szCs w:val="24"/>
          <w:u w:val="single"/>
        </w:rPr>
        <w:t>.</w:t>
      </w:r>
    </w:p>
    <w:p w14:paraId="0B5C3634" w14:textId="77777777" w:rsidR="002E127C" w:rsidRPr="00B61FF1" w:rsidRDefault="00FE7941" w:rsidP="002E127C">
      <w:pPr>
        <w:spacing w:line="360" w:lineRule="auto"/>
        <w:ind w:left="1080" w:hanging="720"/>
        <w:rPr>
          <w:rFonts w:ascii="Arial" w:hAnsi="Arial" w:cs="Arial"/>
          <w:sz w:val="24"/>
          <w:szCs w:val="24"/>
        </w:rPr>
      </w:pPr>
      <w:r w:rsidRPr="00B61FF1">
        <w:rPr>
          <w:rFonts w:ascii="Arial" w:hAnsi="Arial" w:cs="Arial"/>
          <w:sz w:val="24"/>
          <w:szCs w:val="24"/>
          <w:u w:val="single"/>
        </w:rPr>
        <w:t>(5)</w:t>
      </w:r>
      <w:r w:rsidR="002E127C" w:rsidRPr="00B61FF1">
        <w:rPr>
          <w:rFonts w:ascii="Arial" w:hAnsi="Arial" w:cs="Arial"/>
          <w:strike/>
          <w:sz w:val="24"/>
          <w:szCs w:val="24"/>
        </w:rPr>
        <w:t>(3)</w:t>
      </w:r>
      <w:r w:rsidR="002E127C" w:rsidRPr="00B61FF1">
        <w:rPr>
          <w:rFonts w:ascii="Arial" w:hAnsi="Arial" w:cs="Arial"/>
          <w:sz w:val="24"/>
          <w:szCs w:val="24"/>
        </w:rPr>
        <w:tab/>
        <w:t>An entity registering as a voluntarily associated entity must be located in the United States, according to the registration information reported pursuant to section 95830(c).</w:t>
      </w:r>
    </w:p>
    <w:p w14:paraId="6B980ECD" w14:textId="77777777" w:rsidR="00905316" w:rsidRPr="00B61FF1" w:rsidRDefault="00905316" w:rsidP="00905316">
      <w:pPr>
        <w:spacing w:line="360" w:lineRule="auto"/>
        <w:ind w:left="1080" w:hanging="720"/>
        <w:rPr>
          <w:rFonts w:ascii="Arial" w:hAnsi="Arial" w:cs="Arial"/>
          <w:sz w:val="24"/>
          <w:szCs w:val="24"/>
          <w:u w:val="single"/>
        </w:rPr>
      </w:pPr>
      <w:r w:rsidRPr="00B61FF1">
        <w:rPr>
          <w:rFonts w:ascii="Arial" w:hAnsi="Arial" w:cs="Arial"/>
          <w:sz w:val="24"/>
          <w:szCs w:val="24"/>
          <w:u w:val="single"/>
        </w:rPr>
        <w:lastRenderedPageBreak/>
        <w:t>(6)</w:t>
      </w:r>
      <w:r w:rsidRPr="00815366">
        <w:rPr>
          <w:rFonts w:ascii="Arial" w:hAnsi="Arial" w:cs="Arial"/>
          <w:sz w:val="24"/>
          <w:szCs w:val="24"/>
        </w:rPr>
        <w:tab/>
      </w:r>
      <w:r w:rsidRPr="00B61FF1">
        <w:rPr>
          <w:rFonts w:ascii="Arial" w:hAnsi="Arial" w:cs="Arial"/>
          <w:sz w:val="24"/>
          <w:szCs w:val="24"/>
          <w:u w:val="single"/>
        </w:rPr>
        <w:t>Individuals identified by registered entities pursuant t</w:t>
      </w:r>
      <w:r w:rsidR="00902BD5" w:rsidRPr="00B61FF1">
        <w:rPr>
          <w:rFonts w:ascii="Arial" w:hAnsi="Arial" w:cs="Arial"/>
          <w:sz w:val="24"/>
          <w:szCs w:val="24"/>
          <w:u w:val="single"/>
        </w:rPr>
        <w:t>o sections 95830(c)(1)(B),(C),(I), and (J</w:t>
      </w:r>
      <w:r w:rsidRPr="00B61FF1">
        <w:rPr>
          <w:rFonts w:ascii="Arial" w:hAnsi="Arial" w:cs="Arial"/>
          <w:sz w:val="24"/>
          <w:szCs w:val="24"/>
          <w:u w:val="single"/>
        </w:rPr>
        <w:t>) are not eligible to register as voluntarily associated entities.</w:t>
      </w:r>
    </w:p>
    <w:p w14:paraId="437CCB3A" w14:textId="77777777" w:rsidR="00C82986" w:rsidRPr="00B61FF1" w:rsidRDefault="00C82986" w:rsidP="00C82986">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1B6EB8" w:rsidRPr="00B61FF1">
        <w:rPr>
          <w:rFonts w:ascii="Arial" w:hAnsi="Arial" w:cs="Arial"/>
          <w:sz w:val="24"/>
          <w:szCs w:val="24"/>
          <w:u w:val="single"/>
        </w:rPr>
        <w:t xml:space="preserve">Restrictions on </w:t>
      </w:r>
      <w:r w:rsidRPr="00B61FF1">
        <w:rPr>
          <w:rFonts w:ascii="Arial" w:hAnsi="Arial" w:cs="Arial"/>
          <w:sz w:val="24"/>
          <w:szCs w:val="24"/>
        </w:rPr>
        <w:t xml:space="preserve">Other Registered Participants.  </w:t>
      </w:r>
    </w:p>
    <w:p w14:paraId="258D5A8C" w14:textId="77777777" w:rsidR="00C82986" w:rsidRPr="00B61FF1" w:rsidRDefault="00C82986" w:rsidP="00C82986">
      <w:pPr>
        <w:spacing w:line="360" w:lineRule="auto"/>
        <w:ind w:left="1080" w:hanging="720"/>
        <w:rPr>
          <w:rFonts w:ascii="Arial" w:hAnsi="Arial" w:cs="Arial"/>
          <w:sz w:val="24"/>
          <w:szCs w:val="24"/>
        </w:rPr>
      </w:pPr>
      <w:r w:rsidRPr="00B61FF1">
        <w:rPr>
          <w:rFonts w:ascii="Arial" w:hAnsi="Arial" w:cs="Arial"/>
          <w:strike/>
          <w:sz w:val="24"/>
          <w:szCs w:val="24"/>
        </w:rPr>
        <w:t>(1)</w:t>
      </w:r>
      <w:r w:rsidRPr="00B61FF1">
        <w:rPr>
          <w:rFonts w:ascii="Arial" w:hAnsi="Arial" w:cs="Arial"/>
          <w:sz w:val="24"/>
          <w:szCs w:val="24"/>
        </w:rPr>
        <w:tab/>
        <w:t xml:space="preserve">The following entities do not qualify to hold compliance instruments </w:t>
      </w:r>
      <w:r w:rsidR="00153E71" w:rsidRPr="00B61FF1">
        <w:rPr>
          <w:rFonts w:ascii="Arial" w:hAnsi="Arial" w:cs="Arial"/>
          <w:sz w:val="24"/>
          <w:szCs w:val="24"/>
          <w:u w:val="single"/>
        </w:rPr>
        <w:t>and do not</w:t>
      </w:r>
      <w:r w:rsidRPr="00B61FF1">
        <w:rPr>
          <w:rFonts w:ascii="Arial" w:hAnsi="Arial" w:cs="Arial"/>
          <w:strike/>
          <w:sz w:val="24"/>
          <w:szCs w:val="24"/>
        </w:rPr>
        <w:t>but may</w:t>
      </w:r>
      <w:r w:rsidRPr="00B61FF1">
        <w:rPr>
          <w:rFonts w:ascii="Arial" w:hAnsi="Arial" w:cs="Arial"/>
          <w:sz w:val="24"/>
          <w:szCs w:val="24"/>
        </w:rPr>
        <w:t xml:space="preserve"> qualify as a Registered Participant:</w:t>
      </w:r>
    </w:p>
    <w:p w14:paraId="3AD7649B" w14:textId="08B312CB" w:rsidR="00C82986" w:rsidRPr="00B61FF1" w:rsidRDefault="00C82986" w:rsidP="00C22F6D">
      <w:pPr>
        <w:spacing w:line="360" w:lineRule="auto"/>
        <w:ind w:left="1080" w:hanging="720"/>
        <w:rPr>
          <w:rFonts w:ascii="Arial" w:hAnsi="Arial" w:cs="Arial"/>
          <w:sz w:val="24"/>
          <w:szCs w:val="24"/>
        </w:rPr>
      </w:pPr>
      <w:r w:rsidRPr="00B61FF1">
        <w:rPr>
          <w:rFonts w:ascii="Arial" w:hAnsi="Arial" w:cs="Arial"/>
          <w:sz w:val="24"/>
          <w:szCs w:val="24"/>
        </w:rPr>
        <w:t>(</w:t>
      </w:r>
      <w:r w:rsidR="00C22F6D" w:rsidRPr="00B61FF1">
        <w:rPr>
          <w:rFonts w:ascii="Arial" w:hAnsi="Arial" w:cs="Arial"/>
          <w:sz w:val="24"/>
          <w:szCs w:val="24"/>
          <w:u w:val="single"/>
        </w:rPr>
        <w:t>1</w:t>
      </w:r>
      <w:r w:rsidR="00C22F6D" w:rsidRPr="00B61FF1">
        <w:rPr>
          <w:rFonts w:ascii="Arial" w:hAnsi="Arial" w:cs="Arial"/>
          <w:strike/>
          <w:sz w:val="24"/>
          <w:szCs w:val="24"/>
          <w:u w:val="single"/>
        </w:rPr>
        <w:t>A</w:t>
      </w:r>
      <w:r w:rsidRPr="00B61FF1">
        <w:rPr>
          <w:rFonts w:ascii="Arial" w:hAnsi="Arial" w:cs="Arial"/>
          <w:sz w:val="24"/>
          <w:szCs w:val="24"/>
        </w:rPr>
        <w:t>)</w:t>
      </w:r>
      <w:r w:rsidRPr="00B61FF1">
        <w:rPr>
          <w:rFonts w:ascii="Arial" w:hAnsi="Arial" w:cs="Arial"/>
          <w:sz w:val="24"/>
          <w:szCs w:val="24"/>
        </w:rPr>
        <w:tab/>
        <w:t>An offset verifier accredited pursuant to section 95978;</w:t>
      </w:r>
    </w:p>
    <w:p w14:paraId="743B6D8A" w14:textId="58E4B7AF" w:rsidR="00C82986" w:rsidRPr="00B61FF1" w:rsidRDefault="00C82986" w:rsidP="00C22F6D">
      <w:pPr>
        <w:spacing w:line="360" w:lineRule="auto"/>
        <w:ind w:left="1080" w:hanging="720"/>
        <w:rPr>
          <w:rFonts w:ascii="Arial" w:hAnsi="Arial" w:cs="Arial"/>
          <w:sz w:val="24"/>
          <w:szCs w:val="24"/>
        </w:rPr>
      </w:pPr>
      <w:r w:rsidRPr="00B61FF1">
        <w:rPr>
          <w:rFonts w:ascii="Arial" w:hAnsi="Arial" w:cs="Arial"/>
          <w:sz w:val="24"/>
          <w:szCs w:val="24"/>
        </w:rPr>
        <w:t>(</w:t>
      </w:r>
      <w:r w:rsidR="00C22F6D" w:rsidRPr="00B61FF1">
        <w:rPr>
          <w:rFonts w:ascii="Arial" w:hAnsi="Arial" w:cs="Arial"/>
          <w:sz w:val="24"/>
          <w:szCs w:val="24"/>
          <w:u w:val="single"/>
        </w:rPr>
        <w:t>2</w:t>
      </w:r>
      <w:r w:rsidRPr="00B61FF1">
        <w:rPr>
          <w:rFonts w:ascii="Arial" w:hAnsi="Arial" w:cs="Arial"/>
          <w:strike/>
          <w:sz w:val="24"/>
          <w:szCs w:val="24"/>
        </w:rPr>
        <w:t>B</w:t>
      </w:r>
      <w:r w:rsidRPr="00B61FF1">
        <w:rPr>
          <w:rFonts w:ascii="Arial" w:hAnsi="Arial" w:cs="Arial"/>
          <w:sz w:val="24"/>
          <w:szCs w:val="24"/>
        </w:rPr>
        <w:t>)</w:t>
      </w:r>
      <w:r w:rsidRPr="00B61FF1">
        <w:rPr>
          <w:rFonts w:ascii="Arial" w:hAnsi="Arial" w:cs="Arial"/>
          <w:sz w:val="24"/>
          <w:szCs w:val="24"/>
        </w:rPr>
        <w:tab/>
        <w:t>A verification body accredited pursuant to section 95978;</w:t>
      </w:r>
    </w:p>
    <w:p w14:paraId="26E6422B" w14:textId="5967886B" w:rsidR="00C82986" w:rsidRPr="00B61FF1" w:rsidRDefault="00C82986" w:rsidP="00C22F6D">
      <w:pPr>
        <w:spacing w:line="360" w:lineRule="auto"/>
        <w:ind w:left="1080" w:hanging="720"/>
        <w:rPr>
          <w:rFonts w:ascii="Arial" w:hAnsi="Arial" w:cs="Arial"/>
          <w:sz w:val="24"/>
          <w:szCs w:val="24"/>
        </w:rPr>
      </w:pPr>
      <w:r w:rsidRPr="00B61FF1">
        <w:rPr>
          <w:rFonts w:ascii="Arial" w:hAnsi="Arial" w:cs="Arial"/>
          <w:sz w:val="24"/>
          <w:szCs w:val="24"/>
        </w:rPr>
        <w:t>(</w:t>
      </w:r>
      <w:r w:rsidR="00C22F6D" w:rsidRPr="00B61FF1">
        <w:rPr>
          <w:rFonts w:ascii="Arial" w:hAnsi="Arial" w:cs="Arial"/>
          <w:sz w:val="24"/>
          <w:szCs w:val="24"/>
          <w:u w:val="single"/>
        </w:rPr>
        <w:t>3</w:t>
      </w:r>
      <w:r w:rsidRPr="00B61FF1">
        <w:rPr>
          <w:rFonts w:ascii="Arial" w:hAnsi="Arial" w:cs="Arial"/>
          <w:strike/>
          <w:sz w:val="24"/>
          <w:szCs w:val="24"/>
        </w:rPr>
        <w:t>C</w:t>
      </w:r>
      <w:r w:rsidRPr="00B61FF1">
        <w:rPr>
          <w:rFonts w:ascii="Arial" w:hAnsi="Arial" w:cs="Arial"/>
          <w:sz w:val="24"/>
          <w:szCs w:val="24"/>
        </w:rPr>
        <w:t>)</w:t>
      </w:r>
      <w:r w:rsidRPr="00B61FF1">
        <w:rPr>
          <w:rFonts w:ascii="Arial" w:hAnsi="Arial" w:cs="Arial"/>
          <w:sz w:val="24"/>
          <w:szCs w:val="24"/>
        </w:rPr>
        <w:tab/>
        <w:t xml:space="preserve">Offset Project Registries; </w:t>
      </w:r>
      <w:r w:rsidRPr="00B61FF1">
        <w:rPr>
          <w:rFonts w:ascii="Arial" w:hAnsi="Arial" w:cs="Arial"/>
          <w:strike/>
          <w:sz w:val="24"/>
          <w:szCs w:val="24"/>
        </w:rPr>
        <w:t>or</w:t>
      </w:r>
    </w:p>
    <w:p w14:paraId="6A8528FC" w14:textId="73E95486" w:rsidR="00C82986" w:rsidRPr="00B61FF1" w:rsidRDefault="00C82986" w:rsidP="00C22F6D">
      <w:pPr>
        <w:spacing w:line="360" w:lineRule="auto"/>
        <w:ind w:left="1080" w:hanging="720"/>
        <w:rPr>
          <w:rFonts w:ascii="Arial" w:hAnsi="Arial" w:cs="Arial"/>
          <w:sz w:val="24"/>
          <w:szCs w:val="24"/>
          <w:u w:val="single"/>
        </w:rPr>
      </w:pPr>
      <w:r w:rsidRPr="00B61FF1">
        <w:rPr>
          <w:rFonts w:ascii="Arial" w:hAnsi="Arial" w:cs="Arial"/>
          <w:sz w:val="24"/>
          <w:szCs w:val="24"/>
        </w:rPr>
        <w:t>(</w:t>
      </w:r>
      <w:r w:rsidR="00C22F6D" w:rsidRPr="00B61FF1">
        <w:rPr>
          <w:rFonts w:ascii="Arial" w:hAnsi="Arial" w:cs="Arial"/>
          <w:sz w:val="24"/>
          <w:szCs w:val="24"/>
          <w:u w:val="single"/>
        </w:rPr>
        <w:t>4</w:t>
      </w:r>
      <w:r w:rsidRPr="00B61FF1">
        <w:rPr>
          <w:rFonts w:ascii="Arial" w:hAnsi="Arial" w:cs="Arial"/>
          <w:strike/>
          <w:sz w:val="24"/>
          <w:szCs w:val="24"/>
        </w:rPr>
        <w:t>D</w:t>
      </w:r>
      <w:r w:rsidRPr="00B61FF1">
        <w:rPr>
          <w:rFonts w:ascii="Arial" w:hAnsi="Arial" w:cs="Arial"/>
          <w:sz w:val="24"/>
          <w:szCs w:val="24"/>
        </w:rPr>
        <w:t>)</w:t>
      </w:r>
      <w:r w:rsidRPr="00B61FF1">
        <w:rPr>
          <w:rFonts w:ascii="Arial" w:hAnsi="Arial" w:cs="Arial"/>
          <w:sz w:val="24"/>
          <w:szCs w:val="24"/>
        </w:rPr>
        <w:tab/>
        <w:t>Early Action Offset Programs approved pursuant to subarticle 14</w:t>
      </w:r>
      <w:r w:rsidRPr="00B61FF1">
        <w:rPr>
          <w:rFonts w:ascii="Arial" w:hAnsi="Arial" w:cs="Arial"/>
          <w:strike/>
          <w:sz w:val="24"/>
          <w:szCs w:val="24"/>
        </w:rPr>
        <w:t>.</w:t>
      </w:r>
      <w:r w:rsidR="00153E71" w:rsidRPr="00B61FF1">
        <w:rPr>
          <w:rFonts w:ascii="Arial" w:hAnsi="Arial" w:cs="Arial"/>
          <w:sz w:val="24"/>
          <w:szCs w:val="24"/>
          <w:u w:val="single"/>
        </w:rPr>
        <w:t>;</w:t>
      </w:r>
    </w:p>
    <w:p w14:paraId="118242B0" w14:textId="4DFAC386" w:rsidR="00153E71" w:rsidRPr="00B61FF1" w:rsidRDefault="00153E71" w:rsidP="00C22F6D">
      <w:pPr>
        <w:spacing w:line="360" w:lineRule="auto"/>
        <w:ind w:left="1080" w:hanging="720"/>
        <w:rPr>
          <w:rFonts w:ascii="Arial" w:hAnsi="Arial" w:cs="Arial"/>
          <w:strike/>
          <w:sz w:val="24"/>
          <w:szCs w:val="24"/>
          <w:u w:val="single"/>
        </w:rPr>
      </w:pPr>
      <w:r w:rsidRPr="00B61FF1">
        <w:rPr>
          <w:rFonts w:ascii="Arial" w:hAnsi="Arial" w:cs="Arial"/>
          <w:sz w:val="24"/>
          <w:szCs w:val="24"/>
          <w:u w:val="single"/>
        </w:rPr>
        <w:t>(</w:t>
      </w:r>
      <w:r w:rsidR="00C22F6D" w:rsidRPr="00B61FF1">
        <w:rPr>
          <w:rFonts w:ascii="Arial" w:hAnsi="Arial" w:cs="Arial"/>
          <w:sz w:val="24"/>
          <w:szCs w:val="24"/>
          <w:u w:val="single"/>
        </w:rPr>
        <w:t>5</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A MRR verifier accredited pursuant to the MRR.</w:t>
      </w:r>
    </w:p>
    <w:p w14:paraId="4D450612" w14:textId="77777777" w:rsidR="00C82986" w:rsidRPr="00B61FF1" w:rsidRDefault="00C82986" w:rsidP="00C82986">
      <w:pPr>
        <w:spacing w:line="360" w:lineRule="auto"/>
        <w:ind w:left="1080" w:hanging="720"/>
        <w:rPr>
          <w:rFonts w:ascii="Arial" w:hAnsi="Arial" w:cs="Arial"/>
          <w:strike/>
          <w:sz w:val="24"/>
          <w:szCs w:val="24"/>
        </w:rPr>
      </w:pPr>
      <w:r w:rsidRPr="00B61FF1">
        <w:rPr>
          <w:rFonts w:ascii="Arial" w:hAnsi="Arial" w:cs="Arial"/>
          <w:strike/>
          <w:sz w:val="24"/>
          <w:szCs w:val="24"/>
        </w:rPr>
        <w:t>(2)</w:t>
      </w:r>
      <w:r w:rsidRPr="00B61FF1">
        <w:rPr>
          <w:rFonts w:ascii="Arial" w:hAnsi="Arial" w:cs="Arial"/>
          <w:strike/>
          <w:sz w:val="24"/>
          <w:szCs w:val="24"/>
        </w:rPr>
        <w:tab/>
        <w:t>To qualify as a Registered Participant the entity must obtain registration approval from the Executive Officer pursuant to section 95830(c).</w:t>
      </w:r>
    </w:p>
    <w:p w14:paraId="6C06B9DA" w14:textId="77777777" w:rsidR="00FE6B15" w:rsidRPr="00B61FF1" w:rsidRDefault="002E127C" w:rsidP="00003951">
      <w:pPr>
        <w:spacing w:line="360" w:lineRule="auto"/>
        <w:ind w:left="720" w:hanging="720"/>
        <w:rPr>
          <w:rFonts w:ascii="Arial" w:hAnsi="Arial" w:cs="Arial"/>
          <w:sz w:val="24"/>
          <w:szCs w:val="24"/>
        </w:rPr>
      </w:pPr>
      <w:r w:rsidRPr="00B61FF1">
        <w:rPr>
          <w:rFonts w:ascii="Arial" w:hAnsi="Arial" w:cs="Arial"/>
          <w:sz w:val="24"/>
          <w:szCs w:val="24"/>
        </w:rPr>
        <w:t xml:space="preserve"> </w:t>
      </w:r>
      <w:r w:rsidR="00003951" w:rsidRPr="00B61FF1">
        <w:rPr>
          <w:rFonts w:ascii="Arial" w:hAnsi="Arial" w:cs="Arial"/>
          <w:sz w:val="24"/>
          <w:szCs w:val="24"/>
        </w:rPr>
        <w:t>(c)</w:t>
      </w:r>
      <w:r w:rsidR="00003951" w:rsidRPr="00B61FF1">
        <w:rPr>
          <w:rFonts w:ascii="Arial" w:hAnsi="Arial" w:cs="Arial"/>
          <w:sz w:val="24"/>
          <w:szCs w:val="24"/>
        </w:rPr>
        <w:tab/>
      </w:r>
      <w:r w:rsidR="00FE6B15" w:rsidRPr="00B61FF1">
        <w:rPr>
          <w:rFonts w:ascii="Arial" w:hAnsi="Arial" w:cs="Arial"/>
          <w:sz w:val="24"/>
          <w:szCs w:val="24"/>
        </w:rPr>
        <w:t xml:space="preserve">A registered entity that has had its holding account revoked pursuant to section </w:t>
      </w:r>
      <w:r w:rsidR="00785433" w:rsidRPr="00B61FF1">
        <w:rPr>
          <w:rFonts w:ascii="Arial" w:hAnsi="Arial" w:cs="Arial"/>
          <w:sz w:val="24"/>
          <w:szCs w:val="24"/>
        </w:rPr>
        <w:t>95921(</w:t>
      </w:r>
      <w:r w:rsidRPr="00B61FF1">
        <w:rPr>
          <w:rFonts w:ascii="Arial" w:hAnsi="Arial" w:cs="Arial"/>
          <w:sz w:val="24"/>
          <w:szCs w:val="24"/>
        </w:rPr>
        <w:t>g</w:t>
      </w:r>
      <w:r w:rsidR="00785433" w:rsidRPr="00B61FF1">
        <w:rPr>
          <w:rFonts w:ascii="Arial" w:hAnsi="Arial" w:cs="Arial"/>
          <w:sz w:val="24"/>
          <w:szCs w:val="24"/>
        </w:rPr>
        <w:t xml:space="preserve">)(3) </w:t>
      </w:r>
      <w:r w:rsidR="00FE6B15" w:rsidRPr="00B61FF1">
        <w:rPr>
          <w:rFonts w:ascii="Arial" w:hAnsi="Arial" w:cs="Arial"/>
          <w:sz w:val="24"/>
          <w:szCs w:val="24"/>
        </w:rPr>
        <w:t>may not hold compliance instruments or register with the</w:t>
      </w:r>
      <w:r w:rsidR="00B15764" w:rsidRPr="00B61FF1">
        <w:rPr>
          <w:rFonts w:ascii="Arial" w:hAnsi="Arial" w:cs="Arial"/>
          <w:sz w:val="24"/>
          <w:szCs w:val="24"/>
        </w:rPr>
        <w:t xml:space="preserve"> accounts administrator in the Cap-and-Trade P</w:t>
      </w:r>
      <w:r w:rsidR="00FE6B15" w:rsidRPr="00B61FF1">
        <w:rPr>
          <w:rFonts w:ascii="Arial" w:hAnsi="Arial" w:cs="Arial"/>
          <w:sz w:val="24"/>
          <w:szCs w:val="24"/>
        </w:rPr>
        <w:t>rogram in any capacity.</w:t>
      </w:r>
    </w:p>
    <w:p w14:paraId="5914CDD0" w14:textId="77777777" w:rsidR="00FE6B15" w:rsidRPr="00B61FF1" w:rsidRDefault="00FE6B15" w:rsidP="004E3B67">
      <w:pPr>
        <w:spacing w:line="360" w:lineRule="auto"/>
        <w:ind w:left="360"/>
        <w:rPr>
          <w:rFonts w:ascii="Arial" w:hAnsi="Arial" w:cs="Arial"/>
          <w:sz w:val="24"/>
          <w:szCs w:val="24"/>
        </w:rPr>
      </w:pPr>
    </w:p>
    <w:p w14:paraId="0E289AE1"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46CA55F2"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5B500532" w14:textId="77777777" w:rsidR="00BD1FA4" w:rsidRPr="00B61FF1" w:rsidRDefault="00BD1FA4" w:rsidP="00EC7AFC">
      <w:pPr>
        <w:rPr>
          <w:rFonts w:ascii="Arial" w:hAnsi="Arial" w:cs="Arial"/>
        </w:rPr>
      </w:pPr>
    </w:p>
    <w:p w14:paraId="27E438AA" w14:textId="77777777" w:rsidR="00FE6B15" w:rsidRPr="00B61FF1" w:rsidRDefault="00FE6B15" w:rsidP="00CC193F">
      <w:pPr>
        <w:pStyle w:val="Heading1"/>
      </w:pPr>
      <w:bookmarkStart w:id="93" w:name="_Toc269798056"/>
      <w:bookmarkStart w:id="94" w:name="_Toc299094913"/>
      <w:bookmarkStart w:id="95" w:name="_Toc302746766"/>
      <w:bookmarkStart w:id="96" w:name="_Toc352146228"/>
      <w:bookmarkStart w:id="97" w:name="_Toc361659829"/>
      <w:r w:rsidRPr="00B61FF1">
        <w:t>Subarticle 4: Compliance Instruments</w:t>
      </w:r>
      <w:bookmarkEnd w:id="93"/>
      <w:bookmarkEnd w:id="94"/>
      <w:bookmarkEnd w:id="95"/>
      <w:bookmarkEnd w:id="96"/>
      <w:bookmarkEnd w:id="97"/>
    </w:p>
    <w:p w14:paraId="795EA201" w14:textId="77777777" w:rsidR="00FE6B15" w:rsidRPr="00B61FF1" w:rsidRDefault="00FE6B15" w:rsidP="004E3B67">
      <w:pPr>
        <w:pStyle w:val="Heading2"/>
        <w:keepNext w:val="0"/>
        <w:rPr>
          <w:i/>
          <w:szCs w:val="24"/>
        </w:rPr>
      </w:pPr>
      <w:bookmarkStart w:id="98" w:name="_Toc246820577"/>
      <w:bookmarkStart w:id="99" w:name="_Toc269798057"/>
      <w:bookmarkStart w:id="100" w:name="_Toc299094914"/>
      <w:bookmarkStart w:id="101" w:name="_Toc302746767"/>
      <w:bookmarkStart w:id="102" w:name="_Toc352146229"/>
      <w:bookmarkStart w:id="103" w:name="_Toc361659830"/>
      <w:r w:rsidRPr="00B61FF1">
        <w:rPr>
          <w:szCs w:val="24"/>
        </w:rPr>
        <w:t>§ 95820.  Compliance</w:t>
      </w:r>
      <w:bookmarkStart w:id="104" w:name="_Toc242082522"/>
      <w:r w:rsidRPr="00B61FF1">
        <w:rPr>
          <w:szCs w:val="24"/>
        </w:rPr>
        <w:t xml:space="preserve"> Instruments Issued by the Air Resources Board</w:t>
      </w:r>
      <w:bookmarkEnd w:id="98"/>
      <w:bookmarkEnd w:id="99"/>
      <w:bookmarkEnd w:id="104"/>
      <w:r w:rsidR="00785433" w:rsidRPr="00B61FF1">
        <w:rPr>
          <w:szCs w:val="24"/>
        </w:rPr>
        <w:t>.</w:t>
      </w:r>
      <w:bookmarkEnd w:id="100"/>
      <w:bookmarkEnd w:id="101"/>
      <w:bookmarkEnd w:id="102"/>
      <w:bookmarkEnd w:id="103"/>
    </w:p>
    <w:p w14:paraId="3E79EECF" w14:textId="77777777" w:rsidR="00FE6B15" w:rsidRPr="00B61FF1" w:rsidRDefault="00FE6B15" w:rsidP="00FE6A4C">
      <w:pPr>
        <w:numPr>
          <w:ilvl w:val="0"/>
          <w:numId w:val="8"/>
        </w:numPr>
        <w:spacing w:line="360" w:lineRule="auto"/>
        <w:rPr>
          <w:rFonts w:ascii="Arial" w:hAnsi="Arial" w:cs="Arial"/>
          <w:sz w:val="24"/>
          <w:szCs w:val="24"/>
        </w:rPr>
      </w:pPr>
      <w:bookmarkStart w:id="105" w:name="_Toc242082523"/>
      <w:r w:rsidRPr="00B61FF1">
        <w:rPr>
          <w:rFonts w:ascii="Arial" w:hAnsi="Arial" w:cs="Arial"/>
          <w:sz w:val="24"/>
          <w:szCs w:val="24"/>
        </w:rPr>
        <w:t>California Greenhouse Gas Emissions Allowances.</w:t>
      </w:r>
      <w:r w:rsidRPr="00B61FF1">
        <w:rPr>
          <w:rFonts w:ascii="Arial" w:hAnsi="Arial" w:cs="Arial"/>
          <w:sz w:val="24"/>
          <w:szCs w:val="24"/>
        </w:rPr>
        <w:tab/>
      </w:r>
    </w:p>
    <w:p w14:paraId="66CB4B25" w14:textId="77777777" w:rsidR="00FE6B15" w:rsidRPr="00B61FF1" w:rsidRDefault="00FE6B15" w:rsidP="00FE6A4C">
      <w:pPr>
        <w:numPr>
          <w:ilvl w:val="1"/>
          <w:numId w:val="8"/>
        </w:numPr>
        <w:spacing w:line="360" w:lineRule="auto"/>
        <w:rPr>
          <w:rFonts w:ascii="Arial" w:hAnsi="Arial" w:cs="Arial"/>
          <w:sz w:val="24"/>
          <w:szCs w:val="24"/>
        </w:rPr>
      </w:pPr>
      <w:r w:rsidRPr="00B61FF1">
        <w:rPr>
          <w:rFonts w:ascii="Arial" w:hAnsi="Arial" w:cs="Arial"/>
          <w:sz w:val="24"/>
          <w:szCs w:val="24"/>
        </w:rPr>
        <w:t>The Executive Officer shall create California GHG allowances pursuant to the schedule set forth in subarticle 6.</w:t>
      </w:r>
    </w:p>
    <w:p w14:paraId="200EC361" w14:textId="77777777" w:rsidR="00FE6B15" w:rsidRPr="00B61FF1" w:rsidRDefault="00FE6B15" w:rsidP="00FE6A4C">
      <w:pPr>
        <w:numPr>
          <w:ilvl w:val="1"/>
          <w:numId w:val="8"/>
        </w:numPr>
        <w:spacing w:line="360" w:lineRule="auto"/>
        <w:rPr>
          <w:rFonts w:ascii="Arial" w:hAnsi="Arial" w:cs="Arial"/>
          <w:sz w:val="24"/>
          <w:szCs w:val="24"/>
        </w:rPr>
      </w:pPr>
      <w:r w:rsidRPr="00B61FF1">
        <w:rPr>
          <w:rFonts w:ascii="Arial" w:hAnsi="Arial" w:cs="Arial"/>
          <w:sz w:val="24"/>
          <w:szCs w:val="24"/>
        </w:rPr>
        <w:t>The Executive Officer shall assign each California GHG allowance a unique serial number that indicates the annual allowance budget from which the allowance originates.</w:t>
      </w:r>
    </w:p>
    <w:p w14:paraId="716A1A28" w14:textId="77777777" w:rsidR="009E4E8F" w:rsidRPr="00B61FF1" w:rsidRDefault="009E4E8F" w:rsidP="00FE6A4C">
      <w:pPr>
        <w:numPr>
          <w:ilvl w:val="1"/>
          <w:numId w:val="8"/>
        </w:numPr>
        <w:adjustRightInd/>
        <w:spacing w:line="360" w:lineRule="auto"/>
        <w:rPr>
          <w:rFonts w:ascii="Arial" w:hAnsi="Arial" w:cs="Arial"/>
          <w:sz w:val="24"/>
          <w:szCs w:val="24"/>
        </w:rPr>
      </w:pPr>
      <w:r w:rsidRPr="00B61FF1">
        <w:rPr>
          <w:rFonts w:ascii="Arial" w:hAnsi="Arial" w:cs="Arial"/>
          <w:sz w:val="24"/>
          <w:szCs w:val="24"/>
        </w:rPr>
        <w:lastRenderedPageBreak/>
        <w:t>The Executive Officer shall place these allowances into a holding account under the control of the Executive Officer pursuant to section 95831</w:t>
      </w:r>
      <w:r w:rsidR="00785433" w:rsidRPr="00B61FF1">
        <w:rPr>
          <w:rFonts w:ascii="Arial" w:hAnsi="Arial" w:cs="Arial"/>
          <w:sz w:val="24"/>
          <w:szCs w:val="24"/>
        </w:rPr>
        <w:t>(b)</w:t>
      </w:r>
      <w:r w:rsidRPr="00B61FF1">
        <w:rPr>
          <w:rFonts w:ascii="Arial" w:hAnsi="Arial" w:cs="Arial"/>
          <w:sz w:val="24"/>
          <w:szCs w:val="24"/>
        </w:rPr>
        <w:t>.</w:t>
      </w:r>
    </w:p>
    <w:p w14:paraId="0E7A5A09" w14:textId="77777777" w:rsidR="00FE6B15" w:rsidRPr="00B61FF1" w:rsidRDefault="00FE6B15" w:rsidP="00FE6A4C">
      <w:pPr>
        <w:numPr>
          <w:ilvl w:val="0"/>
          <w:numId w:val="8"/>
        </w:numPr>
        <w:spacing w:line="360" w:lineRule="auto"/>
        <w:rPr>
          <w:rFonts w:ascii="Arial" w:hAnsi="Arial" w:cs="Arial"/>
          <w:sz w:val="24"/>
          <w:szCs w:val="24"/>
        </w:rPr>
      </w:pPr>
      <w:r w:rsidRPr="00B61FF1">
        <w:rPr>
          <w:rFonts w:ascii="Arial" w:hAnsi="Arial" w:cs="Arial"/>
          <w:sz w:val="24"/>
          <w:szCs w:val="24"/>
        </w:rPr>
        <w:t xml:space="preserve">Offset Credits Issued by ARB. </w:t>
      </w:r>
    </w:p>
    <w:p w14:paraId="06DCB529" w14:textId="77777777" w:rsidR="00FE6B15" w:rsidRPr="00B61FF1" w:rsidRDefault="00FE6B15" w:rsidP="00FE6A4C">
      <w:pPr>
        <w:numPr>
          <w:ilvl w:val="1"/>
          <w:numId w:val="8"/>
        </w:numPr>
        <w:spacing w:line="360" w:lineRule="auto"/>
        <w:rPr>
          <w:rFonts w:ascii="Arial" w:hAnsi="Arial" w:cs="Arial"/>
          <w:sz w:val="24"/>
          <w:szCs w:val="24"/>
        </w:rPr>
      </w:pPr>
      <w:r w:rsidRPr="00B61FF1">
        <w:rPr>
          <w:rFonts w:ascii="Arial" w:hAnsi="Arial" w:cs="Arial"/>
          <w:sz w:val="24"/>
          <w:szCs w:val="24"/>
        </w:rPr>
        <w:t xml:space="preserve">The Executive Officer shall issue and register </w:t>
      </w:r>
      <w:r w:rsidR="00974DEE" w:rsidRPr="00B61FF1">
        <w:rPr>
          <w:rFonts w:ascii="Arial" w:hAnsi="Arial" w:cs="Arial"/>
          <w:sz w:val="24"/>
          <w:szCs w:val="24"/>
        </w:rPr>
        <w:t xml:space="preserve">ARB </w:t>
      </w:r>
      <w:r w:rsidRPr="00B61FF1">
        <w:rPr>
          <w:rFonts w:ascii="Arial" w:hAnsi="Arial" w:cs="Arial"/>
          <w:sz w:val="24"/>
          <w:szCs w:val="24"/>
        </w:rPr>
        <w:t>offset credits pursuant to the requirements of subarticle</w:t>
      </w:r>
      <w:r w:rsidR="00407489" w:rsidRPr="00B61FF1">
        <w:rPr>
          <w:rFonts w:ascii="Arial" w:hAnsi="Arial" w:cs="Arial"/>
          <w:sz w:val="24"/>
          <w:szCs w:val="24"/>
        </w:rPr>
        <w:t>s</w:t>
      </w:r>
      <w:r w:rsidRPr="00B61FF1">
        <w:rPr>
          <w:rFonts w:ascii="Arial" w:hAnsi="Arial" w:cs="Arial"/>
          <w:sz w:val="24"/>
          <w:szCs w:val="24"/>
        </w:rPr>
        <w:t xml:space="preserve"> 13</w:t>
      </w:r>
      <w:r w:rsidR="00407489" w:rsidRPr="00B61FF1">
        <w:rPr>
          <w:rFonts w:ascii="Arial" w:hAnsi="Arial" w:cs="Arial"/>
          <w:sz w:val="24"/>
          <w:szCs w:val="24"/>
        </w:rPr>
        <w:t xml:space="preserve"> and 14</w:t>
      </w:r>
      <w:r w:rsidRPr="00B61FF1">
        <w:rPr>
          <w:rFonts w:ascii="Arial" w:hAnsi="Arial" w:cs="Arial"/>
          <w:sz w:val="24"/>
          <w:szCs w:val="24"/>
        </w:rPr>
        <w:t xml:space="preserve">. </w:t>
      </w:r>
    </w:p>
    <w:p w14:paraId="5C1E879C" w14:textId="77777777" w:rsidR="00FE6B15" w:rsidRPr="00B61FF1" w:rsidRDefault="00FE6B15" w:rsidP="00FE6A4C">
      <w:pPr>
        <w:numPr>
          <w:ilvl w:val="1"/>
          <w:numId w:val="8"/>
        </w:numPr>
        <w:spacing w:line="360" w:lineRule="auto"/>
        <w:rPr>
          <w:rFonts w:ascii="Arial" w:hAnsi="Arial" w:cs="Arial"/>
          <w:sz w:val="24"/>
          <w:szCs w:val="24"/>
        </w:rPr>
      </w:pPr>
      <w:r w:rsidRPr="00B61FF1">
        <w:rPr>
          <w:rFonts w:ascii="Arial" w:hAnsi="Arial" w:cs="Arial"/>
          <w:sz w:val="24"/>
          <w:szCs w:val="24"/>
        </w:rPr>
        <w:t xml:space="preserve">Surrender of </w:t>
      </w:r>
      <w:r w:rsidR="00974DEE" w:rsidRPr="00B61FF1">
        <w:rPr>
          <w:rFonts w:ascii="Arial" w:hAnsi="Arial" w:cs="Arial"/>
          <w:sz w:val="24"/>
          <w:szCs w:val="24"/>
        </w:rPr>
        <w:t xml:space="preserve">ARB </w:t>
      </w:r>
      <w:r w:rsidRPr="00B61FF1">
        <w:rPr>
          <w:rFonts w:ascii="Arial" w:hAnsi="Arial" w:cs="Arial"/>
          <w:sz w:val="24"/>
          <w:szCs w:val="24"/>
        </w:rPr>
        <w:t>offset credits shall be subject to the quantitative usage limit set forth in section 95854.</w:t>
      </w:r>
    </w:p>
    <w:p w14:paraId="1A4561D6" w14:textId="77777777" w:rsidR="00FE6B15" w:rsidRPr="00B61FF1" w:rsidRDefault="00FE6B15" w:rsidP="00FE6A4C">
      <w:pPr>
        <w:numPr>
          <w:ilvl w:val="0"/>
          <w:numId w:val="8"/>
        </w:numPr>
        <w:spacing w:line="360" w:lineRule="auto"/>
        <w:rPr>
          <w:rFonts w:ascii="Arial" w:hAnsi="Arial" w:cs="Arial"/>
          <w:sz w:val="24"/>
          <w:szCs w:val="24"/>
        </w:rPr>
      </w:pPr>
      <w:r w:rsidRPr="00B61FF1">
        <w:rPr>
          <w:rFonts w:ascii="Arial" w:hAnsi="Arial" w:cs="Arial"/>
          <w:sz w:val="24"/>
          <w:szCs w:val="24"/>
        </w:rPr>
        <w:t>Each compliance instrument issued by the Executive Officer represents a limited authorization to emit up to one metric ton in CO</w:t>
      </w:r>
      <w:r w:rsidRPr="00B61FF1">
        <w:rPr>
          <w:rFonts w:ascii="Arial" w:hAnsi="Arial" w:cs="Arial"/>
          <w:sz w:val="24"/>
          <w:szCs w:val="24"/>
          <w:vertAlign w:val="subscript"/>
        </w:rPr>
        <w:t>2</w:t>
      </w:r>
      <w:r w:rsidRPr="00B61FF1">
        <w:rPr>
          <w:rFonts w:ascii="Arial" w:hAnsi="Arial" w:cs="Arial"/>
          <w:sz w:val="24"/>
          <w:szCs w:val="24"/>
        </w:rPr>
        <w:t xml:space="preserve">e of any greenhouse gas specified in section 95810, subject to all applicable limitations specified in this article.  No provision of this article may be construed to limit the authority of the Executive Officer to terminate or limit such authorization to emit.  A compliance instrument issued by the Executive Officer does not constitute property or a property right. </w:t>
      </w:r>
    </w:p>
    <w:p w14:paraId="72C71360" w14:textId="77777777" w:rsidR="00FE6B15" w:rsidRPr="00B61FF1" w:rsidRDefault="00FE6B15" w:rsidP="004E3B67">
      <w:pPr>
        <w:spacing w:line="360" w:lineRule="auto"/>
        <w:rPr>
          <w:rFonts w:ascii="Arial" w:hAnsi="Arial" w:cs="Arial"/>
          <w:sz w:val="24"/>
          <w:szCs w:val="24"/>
        </w:rPr>
      </w:pPr>
    </w:p>
    <w:p w14:paraId="5A3F3266"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457D5BE1"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753AA4FF" w14:textId="77777777" w:rsidR="00DB5D54" w:rsidRPr="00B61FF1" w:rsidRDefault="00DB5D54">
      <w:pPr>
        <w:autoSpaceDE/>
        <w:autoSpaceDN/>
        <w:adjustRightInd/>
        <w:rPr>
          <w:rFonts w:ascii="Arial" w:hAnsi="Arial" w:cs="Arial"/>
          <w:b/>
          <w:bCs/>
          <w:iCs/>
          <w:sz w:val="24"/>
          <w:szCs w:val="24"/>
        </w:rPr>
      </w:pPr>
      <w:bookmarkStart w:id="106" w:name="_Toc246820578"/>
      <w:bookmarkStart w:id="107" w:name="_Toc269798058"/>
    </w:p>
    <w:p w14:paraId="65D8B7CE" w14:textId="77777777" w:rsidR="00FE6B15" w:rsidRPr="00B61FF1" w:rsidRDefault="00FE6B15" w:rsidP="004E3B67">
      <w:pPr>
        <w:pStyle w:val="Heading2"/>
        <w:keepNext w:val="0"/>
        <w:rPr>
          <w:i/>
          <w:szCs w:val="24"/>
        </w:rPr>
      </w:pPr>
      <w:bookmarkStart w:id="108" w:name="_Toc299094915"/>
      <w:bookmarkStart w:id="109" w:name="_Toc302746768"/>
      <w:bookmarkStart w:id="110" w:name="_Toc352146230"/>
      <w:bookmarkStart w:id="111" w:name="_Toc361659831"/>
      <w:r w:rsidRPr="00B61FF1">
        <w:rPr>
          <w:szCs w:val="24"/>
        </w:rPr>
        <w:t xml:space="preserve">§ 95821.  Compliance Instruments Issued by Approved </w:t>
      </w:r>
      <w:bookmarkEnd w:id="105"/>
      <w:bookmarkEnd w:id="106"/>
      <w:r w:rsidRPr="00B61FF1">
        <w:rPr>
          <w:szCs w:val="24"/>
        </w:rPr>
        <w:t>Programs</w:t>
      </w:r>
      <w:bookmarkEnd w:id="107"/>
      <w:r w:rsidR="00785433" w:rsidRPr="00B61FF1">
        <w:rPr>
          <w:szCs w:val="24"/>
        </w:rPr>
        <w:t>.</w:t>
      </w:r>
      <w:bookmarkEnd w:id="108"/>
      <w:bookmarkEnd w:id="109"/>
      <w:bookmarkEnd w:id="110"/>
      <w:bookmarkEnd w:id="111"/>
    </w:p>
    <w:p w14:paraId="46104CB3"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The following compliance instruments may be used to meet a compliance obligation under this article:</w:t>
      </w:r>
    </w:p>
    <w:p w14:paraId="7A5B5A52" w14:textId="77777777" w:rsidR="00FE6B15" w:rsidRPr="00B61FF1" w:rsidRDefault="00FE6B15" w:rsidP="00FE6A4C">
      <w:pPr>
        <w:numPr>
          <w:ilvl w:val="0"/>
          <w:numId w:val="23"/>
        </w:numPr>
        <w:spacing w:line="360" w:lineRule="auto"/>
        <w:rPr>
          <w:rFonts w:ascii="Arial" w:hAnsi="Arial" w:cs="Arial"/>
          <w:sz w:val="24"/>
          <w:szCs w:val="24"/>
        </w:rPr>
      </w:pPr>
      <w:r w:rsidRPr="00B61FF1">
        <w:rPr>
          <w:rFonts w:ascii="Arial" w:hAnsi="Arial" w:cs="Arial"/>
          <w:sz w:val="24"/>
          <w:szCs w:val="24"/>
        </w:rPr>
        <w:t>Allowances specified in section 95942(b) and issued by a program approved by ARB pursuant to section 95941;</w:t>
      </w:r>
    </w:p>
    <w:p w14:paraId="1DA50031" w14:textId="77777777" w:rsidR="00FE6B15" w:rsidRPr="00B61FF1" w:rsidRDefault="00FE6B15" w:rsidP="00FE6A4C">
      <w:pPr>
        <w:numPr>
          <w:ilvl w:val="0"/>
          <w:numId w:val="23"/>
        </w:numPr>
        <w:spacing w:line="360" w:lineRule="auto"/>
        <w:rPr>
          <w:rFonts w:ascii="Arial" w:hAnsi="Arial" w:cs="Arial"/>
          <w:sz w:val="24"/>
          <w:szCs w:val="24"/>
        </w:rPr>
      </w:pPr>
      <w:r w:rsidRPr="00B61FF1">
        <w:rPr>
          <w:rFonts w:ascii="Arial" w:hAnsi="Arial" w:cs="Arial"/>
          <w:sz w:val="24"/>
          <w:szCs w:val="24"/>
        </w:rPr>
        <w:t>Offset credits specified in section 95942(c) and issued by a program approved by ARB pursuant to section 95941;</w:t>
      </w:r>
    </w:p>
    <w:p w14:paraId="5E0509C7" w14:textId="77777777" w:rsidR="00FE6B15" w:rsidRPr="00B61FF1" w:rsidRDefault="00342954" w:rsidP="00FE6A4C">
      <w:pPr>
        <w:numPr>
          <w:ilvl w:val="0"/>
          <w:numId w:val="23"/>
        </w:numPr>
        <w:spacing w:line="360" w:lineRule="auto"/>
        <w:rPr>
          <w:rFonts w:ascii="Arial" w:hAnsi="Arial" w:cs="Arial"/>
          <w:sz w:val="24"/>
          <w:szCs w:val="24"/>
        </w:rPr>
      </w:pPr>
      <w:r w:rsidRPr="00B61FF1">
        <w:rPr>
          <w:rFonts w:ascii="Arial" w:hAnsi="Arial" w:cs="Arial"/>
          <w:sz w:val="24"/>
          <w:szCs w:val="24"/>
        </w:rPr>
        <w:t xml:space="preserve">ARB offset </w:t>
      </w:r>
      <w:r w:rsidR="00FE6B15" w:rsidRPr="00B61FF1">
        <w:rPr>
          <w:rFonts w:ascii="Arial" w:hAnsi="Arial" w:cs="Arial"/>
          <w:sz w:val="24"/>
          <w:szCs w:val="24"/>
        </w:rPr>
        <w:t xml:space="preserve">credits </w:t>
      </w:r>
      <w:r w:rsidRPr="00B61FF1">
        <w:rPr>
          <w:rFonts w:ascii="Arial" w:hAnsi="Arial" w:cs="Arial"/>
          <w:sz w:val="24"/>
          <w:szCs w:val="24"/>
        </w:rPr>
        <w:t>issued</w:t>
      </w:r>
      <w:r w:rsidR="00FE6B15" w:rsidRPr="00B61FF1">
        <w:rPr>
          <w:rFonts w:ascii="Arial" w:hAnsi="Arial" w:cs="Arial"/>
          <w:sz w:val="24"/>
          <w:szCs w:val="24"/>
        </w:rPr>
        <w:t xml:space="preserve"> for purposes of early action pursuant to section 95990; </w:t>
      </w:r>
    </w:p>
    <w:p w14:paraId="0254F70E" w14:textId="77777777" w:rsidR="00FE6B15" w:rsidRPr="00B61FF1" w:rsidRDefault="00FE6B15" w:rsidP="00FE6A4C">
      <w:pPr>
        <w:numPr>
          <w:ilvl w:val="0"/>
          <w:numId w:val="23"/>
        </w:numPr>
        <w:spacing w:line="360" w:lineRule="auto"/>
        <w:rPr>
          <w:rFonts w:ascii="Arial" w:hAnsi="Arial" w:cs="Arial"/>
          <w:sz w:val="24"/>
          <w:szCs w:val="24"/>
        </w:rPr>
      </w:pPr>
      <w:r w:rsidRPr="00B61FF1">
        <w:rPr>
          <w:rFonts w:ascii="Arial" w:hAnsi="Arial" w:cs="Arial"/>
          <w:sz w:val="24"/>
          <w:szCs w:val="24"/>
        </w:rPr>
        <w:t>Sector-based offset credits recognized pursuant to subarticle 14; and</w:t>
      </w:r>
    </w:p>
    <w:p w14:paraId="10968CCF" w14:textId="77777777" w:rsidR="00FE6B15" w:rsidRPr="00B61FF1" w:rsidRDefault="00FE6B15" w:rsidP="00FE6A4C">
      <w:pPr>
        <w:numPr>
          <w:ilvl w:val="0"/>
          <w:numId w:val="23"/>
        </w:numPr>
        <w:spacing w:line="360" w:lineRule="auto"/>
        <w:rPr>
          <w:rFonts w:ascii="Arial" w:hAnsi="Arial" w:cs="Arial"/>
          <w:sz w:val="24"/>
          <w:szCs w:val="24"/>
        </w:rPr>
      </w:pPr>
      <w:r w:rsidRPr="00B61FF1">
        <w:rPr>
          <w:rFonts w:ascii="Arial" w:hAnsi="Arial" w:cs="Arial"/>
          <w:sz w:val="24"/>
          <w:szCs w:val="24"/>
        </w:rPr>
        <w:t>Compliance instruments specified in section</w:t>
      </w:r>
      <w:r w:rsidR="00F6465D" w:rsidRPr="00B61FF1">
        <w:rPr>
          <w:rFonts w:ascii="Arial" w:hAnsi="Arial" w:cs="Arial"/>
          <w:sz w:val="24"/>
          <w:szCs w:val="24"/>
        </w:rPr>
        <w:t>s</w:t>
      </w:r>
      <w:r w:rsidRPr="00B61FF1">
        <w:rPr>
          <w:rFonts w:ascii="Arial" w:hAnsi="Arial" w:cs="Arial"/>
          <w:sz w:val="24"/>
          <w:szCs w:val="24"/>
        </w:rPr>
        <w:t xml:space="preserve"> 95821(b) through (d) are subject to the quantitative usage limit set forth in section 95854.</w:t>
      </w:r>
    </w:p>
    <w:p w14:paraId="7AA4A7EE" w14:textId="77777777" w:rsidR="00FE6B15" w:rsidRPr="00B61FF1" w:rsidRDefault="00FE6B15" w:rsidP="004E3B67">
      <w:pPr>
        <w:spacing w:line="360" w:lineRule="auto"/>
        <w:rPr>
          <w:rFonts w:ascii="Arial" w:hAnsi="Arial" w:cs="Arial"/>
          <w:sz w:val="24"/>
          <w:szCs w:val="24"/>
        </w:rPr>
      </w:pPr>
    </w:p>
    <w:p w14:paraId="19CB584A"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2906C80E"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04358B45" w14:textId="77777777" w:rsidR="00773FFB" w:rsidRPr="00B61FF1" w:rsidRDefault="00773FFB" w:rsidP="00EC7AFC">
      <w:pPr>
        <w:rPr>
          <w:rFonts w:ascii="Arial" w:hAnsi="Arial" w:cs="Arial"/>
        </w:rPr>
      </w:pPr>
    </w:p>
    <w:p w14:paraId="152C82CD" w14:textId="77777777" w:rsidR="00FE6B15" w:rsidRPr="00B61FF1" w:rsidRDefault="00FE6B15" w:rsidP="00CC193F">
      <w:pPr>
        <w:pStyle w:val="Heading1"/>
      </w:pPr>
      <w:bookmarkStart w:id="112" w:name="_Toc299094916"/>
      <w:bookmarkStart w:id="113" w:name="_Toc302746769"/>
      <w:bookmarkStart w:id="114" w:name="_Toc352146231"/>
      <w:bookmarkStart w:id="115" w:name="_Toc361659832"/>
      <w:r w:rsidRPr="00B61FF1">
        <w:t>Subarticle 5: Registration and Accounts</w:t>
      </w:r>
      <w:bookmarkEnd w:id="112"/>
      <w:bookmarkEnd w:id="113"/>
      <w:bookmarkEnd w:id="114"/>
      <w:bookmarkEnd w:id="115"/>
    </w:p>
    <w:p w14:paraId="67A2B6CE" w14:textId="77777777" w:rsidR="00FE6B15" w:rsidRPr="00B61FF1" w:rsidRDefault="00FE6B15" w:rsidP="00103999">
      <w:pPr>
        <w:pStyle w:val="Heading2"/>
      </w:pPr>
      <w:bookmarkStart w:id="116" w:name="_Toc268526200"/>
      <w:bookmarkStart w:id="117" w:name="_Toc269798060"/>
      <w:bookmarkStart w:id="118" w:name="_Toc299094917"/>
      <w:bookmarkStart w:id="119" w:name="_Toc302746770"/>
      <w:bookmarkStart w:id="120" w:name="_Toc352146232"/>
      <w:bookmarkStart w:id="121" w:name="_Toc361659833"/>
      <w:bookmarkStart w:id="122" w:name="_Toc259776420"/>
      <w:bookmarkStart w:id="123" w:name="_Toc245446855"/>
      <w:bookmarkStart w:id="124" w:name="_Toc245446853"/>
      <w:bookmarkStart w:id="125" w:name="_Toc245899486"/>
      <w:bookmarkStart w:id="126" w:name="_Toc246820581"/>
      <w:r w:rsidRPr="00B61FF1">
        <w:t>§ 95830.  Registration with ARB</w:t>
      </w:r>
      <w:bookmarkEnd w:id="116"/>
      <w:bookmarkEnd w:id="117"/>
      <w:r w:rsidR="00785433" w:rsidRPr="00B61FF1">
        <w:t>.</w:t>
      </w:r>
      <w:bookmarkEnd w:id="118"/>
      <w:bookmarkEnd w:id="119"/>
      <w:bookmarkEnd w:id="120"/>
      <w:bookmarkEnd w:id="121"/>
      <w:r w:rsidRPr="00B61FF1">
        <w:t xml:space="preserve"> </w:t>
      </w:r>
      <w:bookmarkEnd w:id="122"/>
      <w:r w:rsidRPr="00B61FF1">
        <w:t xml:space="preserve"> </w:t>
      </w:r>
    </w:p>
    <w:p w14:paraId="684BEFD9" w14:textId="77777777" w:rsidR="00FE6B15" w:rsidRPr="00B61FF1" w:rsidRDefault="00FE6B15" w:rsidP="00FE6A4C">
      <w:pPr>
        <w:numPr>
          <w:ilvl w:val="0"/>
          <w:numId w:val="11"/>
        </w:numPr>
        <w:spacing w:line="360" w:lineRule="auto"/>
        <w:rPr>
          <w:rFonts w:ascii="Arial" w:hAnsi="Arial" w:cs="Arial"/>
          <w:sz w:val="24"/>
          <w:szCs w:val="24"/>
        </w:rPr>
      </w:pPr>
      <w:r w:rsidRPr="00B61FF1">
        <w:rPr>
          <w:rFonts w:ascii="Arial" w:hAnsi="Arial" w:cs="Arial"/>
          <w:sz w:val="24"/>
          <w:szCs w:val="24"/>
        </w:rPr>
        <w:t>The Executive Officer shall serve as accounts administrator or may contract with an entity to serve as accounts administrator.</w:t>
      </w:r>
    </w:p>
    <w:p w14:paraId="443D5111" w14:textId="77777777" w:rsidR="00FE6B15" w:rsidRPr="00B61FF1" w:rsidRDefault="00DE6102" w:rsidP="00FE6A4C">
      <w:pPr>
        <w:numPr>
          <w:ilvl w:val="0"/>
          <w:numId w:val="11"/>
        </w:numPr>
        <w:spacing w:line="360" w:lineRule="auto"/>
        <w:rPr>
          <w:rFonts w:ascii="Arial" w:hAnsi="Arial" w:cs="Arial"/>
          <w:sz w:val="24"/>
          <w:szCs w:val="24"/>
        </w:rPr>
      </w:pPr>
      <w:r w:rsidRPr="00B61FF1">
        <w:rPr>
          <w:rFonts w:ascii="Arial" w:hAnsi="Arial" w:cs="Arial"/>
          <w:sz w:val="24"/>
          <w:szCs w:val="24"/>
        </w:rPr>
        <w:t xml:space="preserve">Eligibility and Restrictions:  </w:t>
      </w:r>
    </w:p>
    <w:p w14:paraId="7F5BCEF7" w14:textId="67BD6291" w:rsidR="00DE6102" w:rsidRPr="00B61FF1" w:rsidRDefault="00DE6102" w:rsidP="00CA0A79">
      <w:pPr>
        <w:tabs>
          <w:tab w:val="left" w:pos="108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An entity must qualify for registration </w:t>
      </w:r>
      <w:r w:rsidR="00CA0A79" w:rsidRPr="00B61FF1">
        <w:rPr>
          <w:rFonts w:ascii="Arial" w:hAnsi="Arial" w:cs="Arial"/>
          <w:sz w:val="24"/>
          <w:szCs w:val="24"/>
          <w:u w:val="single"/>
        </w:rPr>
        <w:t xml:space="preserve">in </w:t>
      </w:r>
      <w:r w:rsidR="006302B2" w:rsidRPr="00B61FF1">
        <w:rPr>
          <w:rFonts w:ascii="Arial" w:hAnsi="Arial" w:cs="Arial"/>
          <w:sz w:val="24"/>
          <w:szCs w:val="24"/>
          <w:u w:val="single"/>
        </w:rPr>
        <w:t>the tracking system</w:t>
      </w:r>
      <w:r w:rsidR="00CA0A79" w:rsidRPr="00B61FF1">
        <w:rPr>
          <w:rFonts w:ascii="Arial" w:hAnsi="Arial" w:cs="Arial"/>
          <w:sz w:val="24"/>
          <w:szCs w:val="24"/>
        </w:rPr>
        <w:t xml:space="preserve"> </w:t>
      </w:r>
      <w:r w:rsidRPr="00B61FF1">
        <w:rPr>
          <w:rFonts w:ascii="Arial" w:hAnsi="Arial" w:cs="Arial"/>
          <w:sz w:val="24"/>
          <w:szCs w:val="24"/>
        </w:rPr>
        <w:t>pursuant to section 95811, 95813, or 95814.</w:t>
      </w:r>
      <w:r w:rsidR="00333B16" w:rsidRPr="00B61FF1">
        <w:rPr>
          <w:rFonts w:ascii="Arial" w:hAnsi="Arial" w:cs="Arial"/>
          <w:sz w:val="24"/>
          <w:szCs w:val="24"/>
        </w:rPr>
        <w:t xml:space="preserve"> </w:t>
      </w:r>
      <w:r w:rsidR="00333B16" w:rsidRPr="00B61FF1">
        <w:rPr>
          <w:rFonts w:ascii="Arial" w:hAnsi="Arial" w:cs="Arial"/>
          <w:sz w:val="24"/>
          <w:szCs w:val="24"/>
          <w:u w:val="single"/>
        </w:rPr>
        <w:t xml:space="preserve">If an entity is registering pursuant to section 95811 or 95813, the facility operator identified in section 95101(a)(3) of MRR must register pursuant to this section and meet all applicable requirements of this </w:t>
      </w:r>
      <w:r w:rsidR="00B80CC5" w:rsidRPr="00B61FF1">
        <w:rPr>
          <w:rFonts w:ascii="Arial" w:hAnsi="Arial" w:cs="Arial"/>
          <w:sz w:val="24"/>
          <w:szCs w:val="24"/>
          <w:u w:val="single"/>
        </w:rPr>
        <w:t>article.</w:t>
      </w:r>
      <w:r w:rsidR="00671579" w:rsidRPr="00B61FF1">
        <w:rPr>
          <w:rFonts w:ascii="Arial" w:hAnsi="Arial" w:cs="Arial"/>
          <w:sz w:val="24"/>
          <w:szCs w:val="24"/>
          <w:u w:val="single"/>
        </w:rPr>
        <w:t xml:space="preserve">  If the facility operators choose to consolidate accounts pursuant to Section 95833, then at least one </w:t>
      </w:r>
      <w:r w:rsidR="00C742DD" w:rsidRPr="00B61FF1">
        <w:rPr>
          <w:rFonts w:ascii="Arial" w:hAnsi="Arial" w:cs="Arial"/>
          <w:sz w:val="24"/>
          <w:szCs w:val="24"/>
          <w:u w:val="single"/>
        </w:rPr>
        <w:t>facility operator of the facilities in the direct corporate association</w:t>
      </w:r>
      <w:r w:rsidR="00671579" w:rsidRPr="00B61FF1">
        <w:rPr>
          <w:rFonts w:ascii="Arial" w:hAnsi="Arial" w:cs="Arial"/>
          <w:sz w:val="24"/>
          <w:szCs w:val="24"/>
          <w:u w:val="single"/>
        </w:rPr>
        <w:t xml:space="preserve"> must be identifie</w:t>
      </w:r>
      <w:r w:rsidR="00C742DD" w:rsidRPr="00B61FF1">
        <w:rPr>
          <w:rFonts w:ascii="Arial" w:hAnsi="Arial" w:cs="Arial"/>
          <w:sz w:val="24"/>
          <w:szCs w:val="24"/>
          <w:u w:val="single"/>
        </w:rPr>
        <w:t>d must register pursuant to this section and meet all applicable requirements of this article for all facilities included in the consolidated account.</w:t>
      </w:r>
    </w:p>
    <w:p w14:paraId="001FD91D" w14:textId="77777777" w:rsidR="00DE6102" w:rsidRPr="00B61FF1" w:rsidRDefault="00DE6102" w:rsidP="00CA0A79">
      <w:pPr>
        <w:tabs>
          <w:tab w:val="left" w:pos="1080"/>
          <w:tab w:val="left" w:pos="1170"/>
        </w:tabs>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An entity qualified to register cannot apply for more than one </w:t>
      </w:r>
      <w:r w:rsidR="00CA0A79" w:rsidRPr="00B61FF1">
        <w:rPr>
          <w:rFonts w:ascii="Arial" w:hAnsi="Arial" w:cs="Arial"/>
          <w:sz w:val="24"/>
          <w:szCs w:val="24"/>
        </w:rPr>
        <w:t>R</w:t>
      </w:r>
      <w:r w:rsidRPr="00B61FF1">
        <w:rPr>
          <w:rFonts w:ascii="Arial" w:hAnsi="Arial" w:cs="Arial"/>
          <w:sz w:val="24"/>
          <w:szCs w:val="24"/>
        </w:rPr>
        <w:t>egistration</w:t>
      </w:r>
      <w:r w:rsidR="00CA0A79" w:rsidRPr="00B61FF1">
        <w:rPr>
          <w:rFonts w:ascii="Arial" w:hAnsi="Arial" w:cs="Arial"/>
          <w:sz w:val="24"/>
          <w:szCs w:val="24"/>
        </w:rPr>
        <w:t xml:space="preserve"> </w:t>
      </w:r>
      <w:r w:rsidR="00CA0A79" w:rsidRPr="00B61FF1">
        <w:rPr>
          <w:rFonts w:ascii="Arial" w:hAnsi="Arial" w:cs="Arial"/>
          <w:sz w:val="24"/>
          <w:szCs w:val="24"/>
          <w:u w:val="single"/>
        </w:rPr>
        <w:t xml:space="preserve">in </w:t>
      </w:r>
      <w:r w:rsidR="006302B2" w:rsidRPr="00B61FF1">
        <w:rPr>
          <w:rFonts w:ascii="Arial" w:hAnsi="Arial" w:cs="Arial"/>
          <w:sz w:val="24"/>
          <w:szCs w:val="24"/>
          <w:u w:val="single"/>
        </w:rPr>
        <w:t>the tracking system</w:t>
      </w:r>
      <w:r w:rsidRPr="00B61FF1">
        <w:rPr>
          <w:rFonts w:ascii="Arial" w:hAnsi="Arial" w:cs="Arial"/>
          <w:sz w:val="24"/>
          <w:szCs w:val="24"/>
        </w:rPr>
        <w:t>.</w:t>
      </w:r>
    </w:p>
    <w:p w14:paraId="60D8D8EB" w14:textId="77777777" w:rsidR="00DE6102" w:rsidRPr="00B61FF1" w:rsidRDefault="00DE6102" w:rsidP="00CA0A79">
      <w:pPr>
        <w:tabs>
          <w:tab w:val="left" w:pos="1080"/>
          <w:tab w:val="left" w:pos="1170"/>
        </w:tabs>
        <w:spacing w:line="360" w:lineRule="auto"/>
        <w:ind w:left="1170" w:hanging="81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An entity cannot hold a compliance </w:t>
      </w:r>
      <w:r w:rsidR="00CA0A79" w:rsidRPr="00B61FF1">
        <w:rPr>
          <w:rFonts w:ascii="Arial" w:hAnsi="Arial" w:cs="Arial"/>
          <w:sz w:val="24"/>
          <w:szCs w:val="24"/>
        </w:rPr>
        <w:t xml:space="preserve">instrument until the Executive </w:t>
      </w:r>
      <w:r w:rsidRPr="00B61FF1">
        <w:rPr>
          <w:rFonts w:ascii="Arial" w:hAnsi="Arial" w:cs="Arial"/>
          <w:sz w:val="24"/>
          <w:szCs w:val="24"/>
        </w:rPr>
        <w:t>Officer approves the entity’s registration</w:t>
      </w:r>
      <w:r w:rsidR="00CA0A79" w:rsidRPr="00B61FF1">
        <w:rPr>
          <w:rFonts w:ascii="Arial" w:hAnsi="Arial" w:cs="Arial"/>
          <w:sz w:val="24"/>
          <w:szCs w:val="24"/>
        </w:rPr>
        <w:t xml:space="preserve"> </w:t>
      </w:r>
      <w:r w:rsidRPr="00B61FF1">
        <w:rPr>
          <w:rFonts w:ascii="Arial" w:hAnsi="Arial" w:cs="Arial"/>
          <w:sz w:val="24"/>
          <w:szCs w:val="24"/>
        </w:rPr>
        <w:t>with ARB</w:t>
      </w:r>
      <w:r w:rsidR="00D63A19" w:rsidRPr="00B61FF1">
        <w:rPr>
          <w:rFonts w:ascii="Arial" w:hAnsi="Arial" w:cs="Arial"/>
          <w:sz w:val="24"/>
          <w:szCs w:val="24"/>
        </w:rPr>
        <w:t xml:space="preserve"> and an account </w:t>
      </w:r>
      <w:r w:rsidR="00D63A19" w:rsidRPr="00B61FF1">
        <w:rPr>
          <w:rFonts w:ascii="Arial" w:hAnsi="Arial" w:cs="Arial"/>
          <w:sz w:val="24"/>
          <w:szCs w:val="24"/>
          <w:u w:val="single"/>
        </w:rPr>
        <w:t xml:space="preserve">in </w:t>
      </w:r>
      <w:r w:rsidR="006302B2" w:rsidRPr="00B61FF1">
        <w:rPr>
          <w:rFonts w:ascii="Arial" w:hAnsi="Arial" w:cs="Arial"/>
          <w:sz w:val="24"/>
          <w:szCs w:val="24"/>
          <w:u w:val="single"/>
        </w:rPr>
        <w:t>the tracking system</w:t>
      </w:r>
      <w:r w:rsidR="00D63A19" w:rsidRPr="00B61FF1">
        <w:rPr>
          <w:rFonts w:ascii="Arial" w:hAnsi="Arial" w:cs="Arial"/>
          <w:sz w:val="24"/>
          <w:szCs w:val="24"/>
        </w:rPr>
        <w:t>.</w:t>
      </w:r>
    </w:p>
    <w:p w14:paraId="1808E2CA" w14:textId="0F9B106B" w:rsidR="00B80CC5" w:rsidRPr="00B61FF1" w:rsidRDefault="00B80CC5" w:rsidP="00B23891">
      <w:pPr>
        <w:tabs>
          <w:tab w:val="left" w:pos="1080"/>
        </w:tabs>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An entity seeking to list an offset project located on the categories of land in section 95973(d) must demonstrate the existence of a limited waiver of sovereign immunity entered into pursuant to section 95975(l) prior to registering pursuant to this section.</w:t>
      </w:r>
    </w:p>
    <w:p w14:paraId="7A068FBA" w14:textId="77777777" w:rsidR="00FE6B15" w:rsidRPr="00B61FF1" w:rsidRDefault="00FE6B15" w:rsidP="00FE6A4C">
      <w:pPr>
        <w:numPr>
          <w:ilvl w:val="0"/>
          <w:numId w:val="11"/>
        </w:numPr>
        <w:spacing w:line="360" w:lineRule="auto"/>
        <w:rPr>
          <w:rFonts w:ascii="Arial" w:hAnsi="Arial" w:cs="Arial"/>
          <w:sz w:val="24"/>
          <w:szCs w:val="24"/>
        </w:rPr>
      </w:pPr>
      <w:r w:rsidRPr="00B61FF1">
        <w:rPr>
          <w:rFonts w:ascii="Arial" w:hAnsi="Arial" w:cs="Arial"/>
          <w:sz w:val="24"/>
          <w:szCs w:val="24"/>
        </w:rPr>
        <w:t xml:space="preserve">Requirements for Registration. </w:t>
      </w:r>
    </w:p>
    <w:p w14:paraId="68C4D16C" w14:textId="77777777" w:rsidR="00FE6B15" w:rsidRPr="00B61FF1" w:rsidRDefault="00FE6B15" w:rsidP="00FE6A4C">
      <w:pPr>
        <w:numPr>
          <w:ilvl w:val="1"/>
          <w:numId w:val="11"/>
        </w:numPr>
        <w:spacing w:line="360" w:lineRule="auto"/>
        <w:rPr>
          <w:rFonts w:ascii="Arial" w:hAnsi="Arial" w:cs="Arial"/>
          <w:sz w:val="24"/>
          <w:szCs w:val="24"/>
        </w:rPr>
      </w:pPr>
      <w:r w:rsidRPr="00B61FF1">
        <w:rPr>
          <w:rFonts w:ascii="Arial" w:hAnsi="Arial" w:cs="Arial"/>
          <w:sz w:val="24"/>
          <w:szCs w:val="24"/>
        </w:rPr>
        <w:lastRenderedPageBreak/>
        <w:t xml:space="preserve">An entity must complete an application </w:t>
      </w:r>
      <w:r w:rsidR="006302B2" w:rsidRPr="00B61FF1">
        <w:rPr>
          <w:rFonts w:ascii="Arial" w:hAnsi="Arial" w:cs="Arial"/>
          <w:sz w:val="24"/>
          <w:szCs w:val="24"/>
          <w:u w:val="single"/>
        </w:rPr>
        <w:t xml:space="preserve">to register with ARB and for an account in the tracking system </w:t>
      </w:r>
      <w:r w:rsidRPr="00B61FF1">
        <w:rPr>
          <w:rFonts w:ascii="Arial" w:hAnsi="Arial" w:cs="Arial"/>
          <w:sz w:val="24"/>
          <w:szCs w:val="24"/>
        </w:rPr>
        <w:t xml:space="preserve">that contains the following information: </w:t>
      </w:r>
    </w:p>
    <w:p w14:paraId="61A30A01" w14:textId="77777777" w:rsidR="00FE6B15" w:rsidRPr="00B61FF1" w:rsidRDefault="00FE6B15" w:rsidP="00FE6A4C">
      <w:pPr>
        <w:numPr>
          <w:ilvl w:val="2"/>
          <w:numId w:val="11"/>
        </w:numPr>
        <w:spacing w:line="360" w:lineRule="auto"/>
        <w:rPr>
          <w:rFonts w:ascii="Arial" w:hAnsi="Arial" w:cs="Arial"/>
          <w:sz w:val="24"/>
          <w:szCs w:val="24"/>
        </w:rPr>
      </w:pPr>
      <w:r w:rsidRPr="00B61FF1">
        <w:rPr>
          <w:rFonts w:ascii="Arial" w:hAnsi="Arial" w:cs="Arial"/>
          <w:sz w:val="24"/>
          <w:szCs w:val="24"/>
        </w:rPr>
        <w:t>Name</w:t>
      </w:r>
      <w:r w:rsidR="002E127C" w:rsidRPr="00B61FF1">
        <w:rPr>
          <w:rFonts w:ascii="Arial" w:hAnsi="Arial" w:cs="Arial"/>
          <w:sz w:val="24"/>
          <w:szCs w:val="24"/>
        </w:rPr>
        <w:t>, physical and mailing addresses, and contact information,</w:t>
      </w:r>
      <w:r w:rsidRPr="00B61FF1">
        <w:rPr>
          <w:rFonts w:ascii="Arial" w:hAnsi="Arial" w:cs="Arial"/>
          <w:sz w:val="24"/>
          <w:szCs w:val="24"/>
        </w:rPr>
        <w:t xml:space="preserve"> </w:t>
      </w:r>
      <w:r w:rsidR="002E127C" w:rsidRPr="00B61FF1">
        <w:rPr>
          <w:rFonts w:ascii="Arial" w:hAnsi="Arial" w:cs="Arial"/>
          <w:sz w:val="24"/>
          <w:szCs w:val="24"/>
        </w:rPr>
        <w:t>type of organization, date and place of incorporation;</w:t>
      </w:r>
    </w:p>
    <w:p w14:paraId="46C3A62C" w14:textId="77777777" w:rsidR="00FE6B15" w:rsidRPr="00B61FF1" w:rsidRDefault="002E127C" w:rsidP="00FE6A4C">
      <w:pPr>
        <w:numPr>
          <w:ilvl w:val="2"/>
          <w:numId w:val="11"/>
        </w:numPr>
        <w:spacing w:line="360" w:lineRule="auto"/>
        <w:rPr>
          <w:rFonts w:ascii="Arial" w:hAnsi="Arial" w:cs="Arial"/>
          <w:sz w:val="24"/>
          <w:szCs w:val="24"/>
        </w:rPr>
      </w:pPr>
      <w:r w:rsidRPr="00B61FF1">
        <w:rPr>
          <w:rFonts w:ascii="Arial" w:hAnsi="Arial" w:cs="Arial"/>
          <w:sz w:val="24"/>
          <w:szCs w:val="24"/>
        </w:rPr>
        <w:t>Names and addresses of the entity’s directors and officers</w:t>
      </w:r>
      <w:r w:rsidR="00FE6B15" w:rsidRPr="00B61FF1">
        <w:rPr>
          <w:rFonts w:ascii="Arial" w:hAnsi="Arial" w:cs="Arial"/>
          <w:sz w:val="24"/>
          <w:szCs w:val="24"/>
        </w:rPr>
        <w:t>;</w:t>
      </w:r>
    </w:p>
    <w:p w14:paraId="5ACACFB5" w14:textId="77777777" w:rsidR="00FE6B15" w:rsidRPr="00B61FF1" w:rsidRDefault="002E127C" w:rsidP="00FE6A4C">
      <w:pPr>
        <w:numPr>
          <w:ilvl w:val="2"/>
          <w:numId w:val="11"/>
        </w:numPr>
        <w:spacing w:line="360" w:lineRule="auto"/>
        <w:rPr>
          <w:rFonts w:ascii="Arial" w:hAnsi="Arial" w:cs="Arial"/>
          <w:sz w:val="24"/>
          <w:szCs w:val="24"/>
        </w:rPr>
      </w:pPr>
      <w:r w:rsidRPr="00B61FF1">
        <w:rPr>
          <w:rFonts w:ascii="Arial" w:hAnsi="Arial" w:cs="Arial"/>
          <w:sz w:val="24"/>
          <w:szCs w:val="24"/>
        </w:rPr>
        <w:t>Names and contact information for persons controlling over 10 percent of the voting rights attached to all the outstanding voting securities of the entity</w:t>
      </w:r>
      <w:r w:rsidR="00FE6B15" w:rsidRPr="00B61FF1">
        <w:rPr>
          <w:rFonts w:ascii="Arial" w:hAnsi="Arial" w:cs="Arial"/>
          <w:sz w:val="24"/>
          <w:szCs w:val="24"/>
        </w:rPr>
        <w:t>;</w:t>
      </w:r>
    </w:p>
    <w:p w14:paraId="318F37E9" w14:textId="77777777" w:rsidR="00C75D8B" w:rsidRPr="00B61FF1" w:rsidRDefault="00C75D8B" w:rsidP="00FE6A4C">
      <w:pPr>
        <w:numPr>
          <w:ilvl w:val="2"/>
          <w:numId w:val="11"/>
        </w:numPr>
        <w:spacing w:line="360" w:lineRule="auto"/>
        <w:rPr>
          <w:rFonts w:ascii="Arial" w:hAnsi="Arial" w:cs="Arial"/>
          <w:sz w:val="24"/>
          <w:szCs w:val="24"/>
        </w:rPr>
      </w:pPr>
      <w:r w:rsidRPr="00B61FF1">
        <w:rPr>
          <w:rFonts w:ascii="Arial" w:hAnsi="Arial" w:cs="Arial"/>
          <w:sz w:val="24"/>
          <w:szCs w:val="24"/>
        </w:rPr>
        <w:t>A business number, if one has been assigned to the entity by a California state agency;</w:t>
      </w:r>
    </w:p>
    <w:p w14:paraId="5E60A15C" w14:textId="77777777" w:rsidR="0036628E" w:rsidRPr="00B61FF1" w:rsidRDefault="00C75D8B" w:rsidP="00FE6A4C">
      <w:pPr>
        <w:numPr>
          <w:ilvl w:val="2"/>
          <w:numId w:val="11"/>
        </w:numPr>
        <w:spacing w:line="360" w:lineRule="auto"/>
        <w:rPr>
          <w:rFonts w:ascii="Arial" w:hAnsi="Arial" w:cs="Arial"/>
          <w:sz w:val="24"/>
          <w:szCs w:val="24"/>
        </w:rPr>
      </w:pPr>
      <w:r w:rsidRPr="00B61FF1">
        <w:rPr>
          <w:rFonts w:ascii="Arial" w:hAnsi="Arial" w:cs="Arial"/>
          <w:sz w:val="24"/>
          <w:szCs w:val="24"/>
        </w:rPr>
        <w:t>A U.S. Federal Tax Employer Identification Number, if assigned;</w:t>
      </w:r>
    </w:p>
    <w:p w14:paraId="3C1B3DB5" w14:textId="77777777" w:rsidR="00C75D8B" w:rsidRPr="00B61FF1" w:rsidRDefault="00C75D8B" w:rsidP="00FE6A4C">
      <w:pPr>
        <w:numPr>
          <w:ilvl w:val="2"/>
          <w:numId w:val="11"/>
        </w:numPr>
        <w:spacing w:line="360" w:lineRule="auto"/>
        <w:rPr>
          <w:rFonts w:ascii="Arial" w:hAnsi="Arial" w:cs="Arial"/>
          <w:sz w:val="24"/>
          <w:szCs w:val="24"/>
        </w:rPr>
      </w:pPr>
      <w:r w:rsidRPr="00B61FF1">
        <w:rPr>
          <w:rFonts w:ascii="Arial" w:hAnsi="Arial" w:cs="Arial"/>
          <w:sz w:val="24"/>
          <w:szCs w:val="24"/>
        </w:rPr>
        <w:t>Data Universal Numbering System number, if assigned;</w:t>
      </w:r>
    </w:p>
    <w:p w14:paraId="7C1B292F" w14:textId="77777777" w:rsidR="00C75D8B" w:rsidRPr="00B61FF1" w:rsidRDefault="00C75D8B" w:rsidP="00FE6A4C">
      <w:pPr>
        <w:numPr>
          <w:ilvl w:val="2"/>
          <w:numId w:val="11"/>
        </w:numPr>
        <w:spacing w:line="360" w:lineRule="auto"/>
        <w:rPr>
          <w:rFonts w:ascii="Arial" w:hAnsi="Arial" w:cs="Arial"/>
          <w:sz w:val="24"/>
          <w:szCs w:val="24"/>
        </w:rPr>
      </w:pPr>
      <w:r w:rsidRPr="00B61FF1">
        <w:rPr>
          <w:rFonts w:ascii="Arial" w:hAnsi="Arial" w:cs="Arial"/>
          <w:sz w:val="24"/>
          <w:szCs w:val="24"/>
        </w:rPr>
        <w:t>Statement of basis for qualifying for registration pursuant to sections 95811, 95813, or 95814; and</w:t>
      </w:r>
    </w:p>
    <w:p w14:paraId="3907E783" w14:textId="77777777" w:rsidR="00C75D8B" w:rsidRPr="00B61FF1" w:rsidRDefault="00C75D8B" w:rsidP="00FE6A4C">
      <w:pPr>
        <w:numPr>
          <w:ilvl w:val="2"/>
          <w:numId w:val="11"/>
        </w:numPr>
        <w:spacing w:line="360" w:lineRule="auto"/>
        <w:rPr>
          <w:rFonts w:ascii="Arial" w:hAnsi="Arial" w:cs="Arial"/>
          <w:sz w:val="24"/>
          <w:szCs w:val="24"/>
        </w:rPr>
      </w:pPr>
      <w:r w:rsidRPr="00B61FF1">
        <w:rPr>
          <w:rFonts w:ascii="Arial" w:hAnsi="Arial" w:cs="Arial"/>
          <w:sz w:val="24"/>
          <w:szCs w:val="24"/>
        </w:rPr>
        <w:t xml:space="preserve">Identification of all other entities </w:t>
      </w:r>
      <w:r w:rsidRPr="00B61FF1">
        <w:rPr>
          <w:rFonts w:ascii="Arial" w:hAnsi="Arial" w:cs="Arial"/>
          <w:strike/>
          <w:sz w:val="24"/>
          <w:szCs w:val="24"/>
        </w:rPr>
        <w:t>registered</w:t>
      </w:r>
      <w:r w:rsidRPr="00B61FF1">
        <w:rPr>
          <w:rFonts w:ascii="Arial" w:hAnsi="Arial" w:cs="Arial"/>
          <w:sz w:val="24"/>
          <w:szCs w:val="24"/>
        </w:rPr>
        <w:t xml:space="preserve"> pursuant to this article with whom the entity has a corporate association, direct corporate association, or indirect corporate association pursuant to section 95833, and a brief description of the association.</w:t>
      </w:r>
    </w:p>
    <w:p w14:paraId="7F4954BE" w14:textId="65782F5B" w:rsidR="00E85CFC" w:rsidRPr="00B61FF1" w:rsidRDefault="005427CC" w:rsidP="005427CC">
      <w:pPr>
        <w:spacing w:line="360" w:lineRule="auto"/>
        <w:ind w:left="1800" w:hanging="720"/>
        <w:rPr>
          <w:rFonts w:ascii="Arial" w:hAnsi="Arial" w:cs="Arial"/>
          <w:sz w:val="24"/>
          <w:szCs w:val="24"/>
        </w:rPr>
      </w:pPr>
      <w:r>
        <w:rPr>
          <w:rFonts w:ascii="Arial" w:hAnsi="Arial" w:cs="Arial"/>
          <w:sz w:val="24"/>
          <w:szCs w:val="24"/>
          <w:u w:val="single"/>
        </w:rPr>
        <w:t>(I)</w:t>
      </w:r>
      <w:r w:rsidRPr="005427CC">
        <w:rPr>
          <w:rFonts w:ascii="Arial" w:hAnsi="Arial" w:cs="Arial"/>
          <w:sz w:val="24"/>
          <w:szCs w:val="24"/>
        </w:rPr>
        <w:tab/>
      </w:r>
      <w:r w:rsidR="004A1E5F" w:rsidRPr="00B61FF1">
        <w:rPr>
          <w:rFonts w:ascii="Arial" w:hAnsi="Arial" w:cs="Arial"/>
          <w:sz w:val="24"/>
          <w:szCs w:val="24"/>
          <w:u w:val="single"/>
        </w:rPr>
        <w:t xml:space="preserve">Names and contact information for all persons employed by the entity that will either have access to any information regarding compliance instruments, transactions, or holdings; or  be involved in decisions regarding transactions or holding of compliance instruments; or both. </w:t>
      </w:r>
      <w:r w:rsidR="00D472A2" w:rsidRPr="00B61FF1">
        <w:rPr>
          <w:rFonts w:ascii="Arial" w:hAnsi="Arial" w:cs="Arial"/>
          <w:sz w:val="24"/>
          <w:szCs w:val="24"/>
          <w:u w:val="single"/>
        </w:rPr>
        <w:t>An entity already registered in the tracking system must provide the notarized letter from their employer no later than January 31, 2015.  Failure to provide such a letter by the dea</w:t>
      </w:r>
      <w:r w:rsidR="001F3A12" w:rsidRPr="00B61FF1">
        <w:rPr>
          <w:rFonts w:ascii="Arial" w:hAnsi="Arial" w:cs="Arial"/>
          <w:sz w:val="24"/>
          <w:szCs w:val="24"/>
          <w:u w:val="single"/>
        </w:rPr>
        <w:t>d</w:t>
      </w:r>
      <w:r w:rsidR="00D472A2" w:rsidRPr="00B61FF1">
        <w:rPr>
          <w:rFonts w:ascii="Arial" w:hAnsi="Arial" w:cs="Arial"/>
          <w:sz w:val="24"/>
          <w:szCs w:val="24"/>
          <w:u w:val="single"/>
        </w:rPr>
        <w:t>line will result in suspension, modification, or revocation of his/her tracking system account.</w:t>
      </w:r>
      <w:r w:rsidR="00E85CFC" w:rsidRPr="00B61FF1">
        <w:rPr>
          <w:rFonts w:ascii="Arial" w:hAnsi="Arial" w:cs="Arial"/>
          <w:sz w:val="24"/>
          <w:szCs w:val="24"/>
          <w:u w:val="single"/>
        </w:rPr>
        <w:t xml:space="preserve"> </w:t>
      </w:r>
    </w:p>
    <w:p w14:paraId="3B44FA28" w14:textId="2C44EF8F" w:rsidR="00E85CFC" w:rsidRPr="00B61FF1" w:rsidRDefault="00D472A2" w:rsidP="00D472A2">
      <w:pPr>
        <w:tabs>
          <w:tab w:val="left" w:pos="-2430"/>
        </w:tabs>
        <w:spacing w:line="360" w:lineRule="auto"/>
        <w:ind w:left="1800" w:hanging="720"/>
        <w:rPr>
          <w:rFonts w:ascii="Arial" w:hAnsi="Arial" w:cs="Arial"/>
          <w:sz w:val="24"/>
          <w:szCs w:val="24"/>
        </w:rPr>
      </w:pPr>
      <w:r w:rsidRPr="00B61FF1">
        <w:rPr>
          <w:rFonts w:ascii="Arial" w:hAnsi="Arial" w:cs="Arial"/>
          <w:sz w:val="24"/>
          <w:szCs w:val="24"/>
          <w:u w:val="single"/>
        </w:rPr>
        <w:t>(J)</w:t>
      </w:r>
      <w:r w:rsidRPr="00B23891">
        <w:rPr>
          <w:rFonts w:ascii="Arial" w:hAnsi="Arial" w:cs="Arial"/>
          <w:sz w:val="24"/>
          <w:szCs w:val="24"/>
        </w:rPr>
        <w:tab/>
      </w:r>
      <w:r w:rsidR="00E85CFC" w:rsidRPr="00B61FF1">
        <w:rPr>
          <w:rFonts w:ascii="Arial" w:hAnsi="Arial" w:cs="Arial"/>
          <w:sz w:val="24"/>
          <w:szCs w:val="24"/>
          <w:u w:val="single"/>
        </w:rPr>
        <w:t>Information required under section 95923 for individuals serving as consultants and bid advisors for entities participating in the Cap-and-Trade Program.</w:t>
      </w:r>
      <w:r w:rsidRPr="00B61FF1">
        <w:rPr>
          <w:rFonts w:ascii="Arial" w:hAnsi="Arial" w:cs="Arial"/>
          <w:sz w:val="24"/>
          <w:szCs w:val="24"/>
          <w:u w:val="single"/>
        </w:rPr>
        <w:t xml:space="preserve"> An entity already registered in the tracking system must provide the notarized letter from their </w:t>
      </w:r>
      <w:r w:rsidRPr="00B61FF1">
        <w:rPr>
          <w:rFonts w:ascii="Arial" w:hAnsi="Arial" w:cs="Arial"/>
          <w:sz w:val="24"/>
          <w:szCs w:val="24"/>
          <w:u w:val="single"/>
        </w:rPr>
        <w:lastRenderedPageBreak/>
        <w:t>employer no later than January 31, 2015.  Failure to provide such a letter by the dea</w:t>
      </w:r>
      <w:r w:rsidR="001F3A12" w:rsidRPr="00B61FF1">
        <w:rPr>
          <w:rFonts w:ascii="Arial" w:hAnsi="Arial" w:cs="Arial"/>
          <w:sz w:val="24"/>
          <w:szCs w:val="24"/>
          <w:u w:val="single"/>
        </w:rPr>
        <w:t>d</w:t>
      </w:r>
      <w:r w:rsidRPr="00B61FF1">
        <w:rPr>
          <w:rFonts w:ascii="Arial" w:hAnsi="Arial" w:cs="Arial"/>
          <w:sz w:val="24"/>
          <w:szCs w:val="24"/>
          <w:u w:val="single"/>
        </w:rPr>
        <w:t>line will result in suspension, modification, or revocation of his/her tracking system account.</w:t>
      </w:r>
    </w:p>
    <w:p w14:paraId="603D9131" w14:textId="77777777" w:rsidR="005630EA" w:rsidRPr="00B61FF1" w:rsidRDefault="00A4155F" w:rsidP="005630EA">
      <w:pPr>
        <w:spacing w:line="360" w:lineRule="auto"/>
        <w:ind w:left="1080" w:hanging="720"/>
        <w:rPr>
          <w:rFonts w:ascii="Arial" w:hAnsi="Arial" w:cs="Arial"/>
          <w:sz w:val="24"/>
          <w:szCs w:val="24"/>
          <w:u w:val="single"/>
        </w:rPr>
      </w:pPr>
      <w:r w:rsidRPr="00B61FF1">
        <w:rPr>
          <w:rFonts w:ascii="Arial" w:hAnsi="Arial" w:cs="Arial"/>
          <w:sz w:val="24"/>
          <w:szCs w:val="24"/>
        </w:rPr>
        <w:t>(2</w:t>
      </w:r>
      <w:r w:rsidR="00003951" w:rsidRPr="00B61FF1">
        <w:rPr>
          <w:rFonts w:ascii="Arial" w:hAnsi="Arial" w:cs="Arial"/>
          <w:sz w:val="24"/>
          <w:szCs w:val="24"/>
        </w:rPr>
        <w:t>)</w:t>
      </w:r>
      <w:r w:rsidR="00003951" w:rsidRPr="00B61FF1">
        <w:rPr>
          <w:rFonts w:ascii="Arial" w:hAnsi="Arial" w:cs="Arial"/>
          <w:color w:val="FF0000"/>
          <w:sz w:val="24"/>
          <w:szCs w:val="24"/>
        </w:rPr>
        <w:tab/>
      </w:r>
      <w:r w:rsidR="00C77897" w:rsidRPr="00B61FF1">
        <w:rPr>
          <w:rFonts w:ascii="Arial" w:hAnsi="Arial" w:cs="Arial"/>
          <w:sz w:val="24"/>
          <w:szCs w:val="24"/>
        </w:rPr>
        <w:t>Applicants may be denied registration</w:t>
      </w:r>
      <w:r w:rsidR="00CA0A79" w:rsidRPr="00B61FF1">
        <w:rPr>
          <w:rFonts w:ascii="Arial" w:hAnsi="Arial" w:cs="Arial"/>
          <w:sz w:val="24"/>
          <w:szCs w:val="24"/>
        </w:rPr>
        <w:t xml:space="preserve"> </w:t>
      </w:r>
      <w:r w:rsidR="00CA0A79" w:rsidRPr="00B61FF1">
        <w:rPr>
          <w:rFonts w:ascii="Arial" w:hAnsi="Arial" w:cs="Arial"/>
          <w:sz w:val="24"/>
          <w:szCs w:val="24"/>
          <w:u w:val="single"/>
        </w:rPr>
        <w:t xml:space="preserve">in </w:t>
      </w:r>
      <w:r w:rsidR="008E7D4B" w:rsidRPr="00B61FF1">
        <w:rPr>
          <w:rFonts w:ascii="Arial" w:hAnsi="Arial" w:cs="Arial"/>
          <w:sz w:val="24"/>
          <w:szCs w:val="24"/>
          <w:u w:val="single"/>
        </w:rPr>
        <w:t>the tracking system</w:t>
      </w:r>
      <w:r w:rsidR="00C77897" w:rsidRPr="00B61FF1">
        <w:rPr>
          <w:rFonts w:ascii="Arial" w:hAnsi="Arial" w:cs="Arial"/>
          <w:sz w:val="24"/>
          <w:szCs w:val="24"/>
        </w:rPr>
        <w:t xml:space="preserve">:  1. </w:t>
      </w:r>
      <w:r w:rsidR="002D3A8D" w:rsidRPr="00B61FF1">
        <w:rPr>
          <w:rFonts w:ascii="Arial" w:hAnsi="Arial" w:cs="Arial"/>
          <w:sz w:val="24"/>
          <w:szCs w:val="24"/>
        </w:rPr>
        <w:t>b</w:t>
      </w:r>
      <w:r w:rsidR="00C77897" w:rsidRPr="00B61FF1">
        <w:rPr>
          <w:rFonts w:ascii="Arial" w:hAnsi="Arial" w:cs="Arial"/>
          <w:sz w:val="24"/>
          <w:szCs w:val="24"/>
        </w:rPr>
        <w:t xml:space="preserve">ased on information provided; or 2. if the Executive Officer determines the applicant has provided false or misleading information; </w:t>
      </w:r>
      <w:r w:rsidR="00276CB0" w:rsidRPr="00B61FF1">
        <w:rPr>
          <w:rFonts w:ascii="Arial" w:hAnsi="Arial" w:cs="Arial"/>
          <w:sz w:val="24"/>
          <w:szCs w:val="24"/>
        </w:rPr>
        <w:t xml:space="preserve">or </w:t>
      </w:r>
      <w:r w:rsidR="00C77897" w:rsidRPr="00B61FF1">
        <w:rPr>
          <w:rFonts w:ascii="Arial" w:hAnsi="Arial" w:cs="Arial"/>
          <w:sz w:val="24"/>
          <w:szCs w:val="24"/>
        </w:rPr>
        <w:t>3. if the Executive Officer determines the applicant has withheld informat</w:t>
      </w:r>
      <w:r w:rsidR="005630EA" w:rsidRPr="00B61FF1">
        <w:rPr>
          <w:rFonts w:ascii="Arial" w:hAnsi="Arial" w:cs="Arial"/>
          <w:sz w:val="24"/>
          <w:szCs w:val="24"/>
        </w:rPr>
        <w:t>ion material to its application</w:t>
      </w:r>
      <w:r w:rsidR="00276CB0" w:rsidRPr="00B61FF1">
        <w:rPr>
          <w:rFonts w:ascii="Arial" w:hAnsi="Arial" w:cs="Arial"/>
          <w:sz w:val="24"/>
          <w:szCs w:val="24"/>
        </w:rPr>
        <w:t>.</w:t>
      </w:r>
    </w:p>
    <w:p w14:paraId="34F7FBA3" w14:textId="77777777" w:rsidR="00FE6B15" w:rsidRPr="00B61FF1" w:rsidRDefault="005630EA" w:rsidP="00C77897">
      <w:pPr>
        <w:spacing w:line="360" w:lineRule="auto"/>
        <w:ind w:left="1080" w:hanging="720"/>
        <w:rPr>
          <w:rFonts w:ascii="Arial" w:hAnsi="Arial" w:cs="Arial"/>
          <w:sz w:val="24"/>
          <w:szCs w:val="24"/>
        </w:rPr>
      </w:pPr>
      <w:r w:rsidRPr="00B61FF1">
        <w:rPr>
          <w:rFonts w:ascii="Arial" w:hAnsi="Arial" w:cs="Arial"/>
          <w:sz w:val="24"/>
          <w:szCs w:val="24"/>
        </w:rPr>
        <w:t xml:space="preserve"> </w:t>
      </w:r>
      <w:r w:rsidR="00A4155F" w:rsidRPr="00B61FF1">
        <w:rPr>
          <w:rFonts w:ascii="Arial" w:hAnsi="Arial" w:cs="Arial"/>
          <w:sz w:val="24"/>
          <w:szCs w:val="24"/>
        </w:rPr>
        <w:t>(3)</w:t>
      </w:r>
      <w:r w:rsidR="00A4155F" w:rsidRPr="00B61FF1">
        <w:rPr>
          <w:rFonts w:ascii="Arial" w:hAnsi="Arial" w:cs="Arial"/>
          <w:sz w:val="24"/>
          <w:szCs w:val="24"/>
        </w:rPr>
        <w:tab/>
      </w:r>
      <w:r w:rsidR="00C77897" w:rsidRPr="00B61FF1">
        <w:rPr>
          <w:rFonts w:ascii="Arial" w:hAnsi="Arial" w:cs="Arial"/>
          <w:sz w:val="24"/>
          <w:szCs w:val="24"/>
        </w:rPr>
        <w:t>Any individual listed by the registering entity in its registration application in a capacity requiring access to the tracking system</w:t>
      </w:r>
      <w:r w:rsidR="008E7D4B" w:rsidRPr="00B61FF1">
        <w:rPr>
          <w:rFonts w:ascii="Arial" w:hAnsi="Arial" w:cs="Arial"/>
          <w:sz w:val="24"/>
          <w:szCs w:val="24"/>
        </w:rPr>
        <w:t xml:space="preserve"> </w:t>
      </w:r>
      <w:r w:rsidR="00C77897" w:rsidRPr="00B61FF1">
        <w:rPr>
          <w:rFonts w:ascii="Arial" w:hAnsi="Arial" w:cs="Arial"/>
          <w:sz w:val="24"/>
          <w:szCs w:val="24"/>
        </w:rPr>
        <w:t>must comply with the Know-Your-Customer requirements pursuant to section 95834 before access to the tracking system will be granted.</w:t>
      </w:r>
    </w:p>
    <w:p w14:paraId="287D7934" w14:textId="77777777" w:rsidR="00C77897" w:rsidRPr="00B61FF1" w:rsidRDefault="00C77897" w:rsidP="00C77897">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An entity must designate a primary account representative, at least one and up to four alternate account representatives pursuant to section 95832.  An individual registering as a voluntarily associated entity may elect to serve as both primary and alternate account representatives or designate additional persons.</w:t>
      </w:r>
    </w:p>
    <w:p w14:paraId="709F8353" w14:textId="77777777" w:rsidR="00C77897" w:rsidRPr="00B61FF1" w:rsidRDefault="00C77897" w:rsidP="00C77897">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An individual registering as a voluntarily associated entity and having a primary residence in the United States, but not located in California, must designate an agent for service of process in California.  The agent may be an individual who resides in California, or a corporation, that has previously filed a certificate pursuant to California Corporations Code section 1505.</w:t>
      </w:r>
    </w:p>
    <w:p w14:paraId="327DF346" w14:textId="77777777" w:rsidR="00C77897" w:rsidRPr="00B61FF1" w:rsidRDefault="00C77897" w:rsidP="00C77897">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An entity applying for registration that is not an individual or an entity supplying exchange clearing services pursuant to section 95814(a)(1)(C) must designate, pursuant to section 95832, either:</w:t>
      </w:r>
    </w:p>
    <w:p w14:paraId="24EAA277" w14:textId="77777777" w:rsidR="00C77897" w:rsidRPr="00B61FF1" w:rsidRDefault="00C77897" w:rsidP="00FE6A4C">
      <w:pPr>
        <w:pStyle w:val="ListParagraph"/>
        <w:numPr>
          <w:ilvl w:val="0"/>
          <w:numId w:val="42"/>
        </w:numPr>
        <w:tabs>
          <w:tab w:val="left" w:pos="1800"/>
        </w:tabs>
        <w:spacing w:line="360" w:lineRule="auto"/>
        <w:ind w:hanging="720"/>
        <w:rPr>
          <w:rFonts w:ascii="Arial" w:hAnsi="Arial" w:cs="Arial"/>
          <w:sz w:val="24"/>
          <w:szCs w:val="24"/>
        </w:rPr>
      </w:pPr>
      <w:r w:rsidRPr="00B61FF1">
        <w:rPr>
          <w:rFonts w:ascii="Arial" w:hAnsi="Arial" w:cs="Arial"/>
          <w:sz w:val="24"/>
          <w:szCs w:val="24"/>
        </w:rPr>
        <w:t>A primary account representative or at least one alternate account representative with a primary residence in California; or</w:t>
      </w:r>
    </w:p>
    <w:p w14:paraId="5867877F" w14:textId="6BA71923" w:rsidR="00C77897" w:rsidRPr="00B61FF1" w:rsidRDefault="00A7485D" w:rsidP="00FE6A4C">
      <w:pPr>
        <w:pStyle w:val="ListParagraph"/>
        <w:numPr>
          <w:ilvl w:val="0"/>
          <w:numId w:val="42"/>
        </w:numPr>
        <w:tabs>
          <w:tab w:val="left" w:pos="1800"/>
        </w:tabs>
        <w:spacing w:line="360" w:lineRule="auto"/>
        <w:ind w:hanging="720"/>
        <w:rPr>
          <w:rFonts w:ascii="Arial" w:hAnsi="Arial" w:cs="Arial"/>
          <w:sz w:val="24"/>
          <w:szCs w:val="24"/>
        </w:rPr>
      </w:pPr>
      <w:r w:rsidRPr="00B61FF1">
        <w:rPr>
          <w:rFonts w:ascii="Arial" w:hAnsi="Arial" w:cs="Arial"/>
          <w:sz w:val="24"/>
          <w:szCs w:val="24"/>
        </w:rPr>
        <w:t>An agent for service of process in California.  For entit</w:t>
      </w:r>
      <w:r w:rsidR="001F3A12" w:rsidRPr="00B61FF1">
        <w:rPr>
          <w:rFonts w:ascii="Arial" w:hAnsi="Arial" w:cs="Arial"/>
          <w:sz w:val="24"/>
          <w:szCs w:val="24"/>
          <w:u w:val="single"/>
        </w:rPr>
        <w:t>i</w:t>
      </w:r>
      <w:r w:rsidRPr="00B61FF1">
        <w:rPr>
          <w:rFonts w:ascii="Arial" w:hAnsi="Arial" w:cs="Arial"/>
          <w:sz w:val="24"/>
          <w:szCs w:val="24"/>
        </w:rPr>
        <w:t xml:space="preserve">es registering into California, the agent may be an individual who resides in California, or a corporation, that has previously filed a </w:t>
      </w:r>
      <w:r w:rsidRPr="00B61FF1">
        <w:rPr>
          <w:rFonts w:ascii="Arial" w:hAnsi="Arial" w:cs="Arial"/>
          <w:sz w:val="24"/>
          <w:szCs w:val="24"/>
        </w:rPr>
        <w:lastRenderedPageBreak/>
        <w:t>certificate pursuant to California Corporations Code section 1505.</w:t>
      </w:r>
    </w:p>
    <w:p w14:paraId="16C5EBEE" w14:textId="5B8E5885" w:rsidR="00276CB0" w:rsidRPr="00B61FF1" w:rsidRDefault="00276CB0" w:rsidP="00276CB0">
      <w:pPr>
        <w:spacing w:line="360" w:lineRule="auto"/>
        <w:ind w:left="1080" w:hanging="720"/>
        <w:rPr>
          <w:rFonts w:ascii="Arial" w:hAnsi="Arial" w:cs="Arial"/>
          <w:sz w:val="24"/>
          <w:szCs w:val="24"/>
          <w:u w:val="single"/>
        </w:rPr>
      </w:pPr>
      <w:r w:rsidRPr="00B61FF1">
        <w:rPr>
          <w:rFonts w:ascii="Arial" w:hAnsi="Arial" w:cs="Arial"/>
          <w:sz w:val="24"/>
          <w:szCs w:val="24"/>
          <w:u w:val="single"/>
        </w:rPr>
        <w:t>(7)</w:t>
      </w:r>
      <w:r w:rsidRPr="005427CC">
        <w:rPr>
          <w:rFonts w:ascii="Arial" w:hAnsi="Arial" w:cs="Arial"/>
          <w:sz w:val="24"/>
          <w:szCs w:val="24"/>
        </w:rPr>
        <w:tab/>
      </w:r>
      <w:r w:rsidRPr="00B61FF1">
        <w:rPr>
          <w:rFonts w:ascii="Arial" w:hAnsi="Arial" w:cs="Arial"/>
          <w:sz w:val="24"/>
          <w:szCs w:val="24"/>
          <w:u w:val="single"/>
        </w:rPr>
        <w:t xml:space="preserve">Any individual </w:t>
      </w:r>
      <w:r w:rsidR="005F41F2" w:rsidRPr="00B61FF1">
        <w:rPr>
          <w:rFonts w:ascii="Arial" w:hAnsi="Arial" w:cs="Arial"/>
          <w:sz w:val="24"/>
          <w:szCs w:val="24"/>
          <w:u w:val="single"/>
        </w:rPr>
        <w:t>who requires</w:t>
      </w:r>
      <w:r w:rsidRPr="00B61FF1">
        <w:rPr>
          <w:rFonts w:ascii="Arial" w:hAnsi="Arial" w:cs="Arial"/>
          <w:sz w:val="24"/>
          <w:szCs w:val="24"/>
          <w:u w:val="single"/>
        </w:rPr>
        <w:t xml:space="preserve"> access to the tracking system, including </w:t>
      </w:r>
      <w:r w:rsidR="005F41F2" w:rsidRPr="00B61FF1">
        <w:rPr>
          <w:rFonts w:ascii="Arial" w:hAnsi="Arial" w:cs="Arial"/>
          <w:sz w:val="24"/>
          <w:szCs w:val="24"/>
          <w:u w:val="single"/>
        </w:rPr>
        <w:t xml:space="preserve">the </w:t>
      </w:r>
      <w:r w:rsidRPr="00B61FF1">
        <w:rPr>
          <w:rFonts w:ascii="Arial" w:hAnsi="Arial" w:cs="Arial"/>
          <w:sz w:val="24"/>
          <w:szCs w:val="24"/>
          <w:u w:val="single"/>
        </w:rPr>
        <w:t>primary account representative, alternate account representative</w:t>
      </w:r>
      <w:r w:rsidR="00646CE1" w:rsidRPr="00B61FF1">
        <w:rPr>
          <w:rFonts w:ascii="Arial" w:hAnsi="Arial" w:cs="Arial"/>
          <w:sz w:val="24"/>
          <w:szCs w:val="24"/>
          <w:u w:val="single"/>
        </w:rPr>
        <w:t>s</w:t>
      </w:r>
      <w:r w:rsidRPr="00B61FF1">
        <w:rPr>
          <w:rFonts w:ascii="Arial" w:hAnsi="Arial" w:cs="Arial"/>
          <w:sz w:val="24"/>
          <w:szCs w:val="24"/>
          <w:u w:val="single"/>
        </w:rPr>
        <w:t>, or account viewing agent</w:t>
      </w:r>
      <w:r w:rsidR="00646CE1" w:rsidRPr="00B61FF1">
        <w:rPr>
          <w:rFonts w:ascii="Arial" w:hAnsi="Arial" w:cs="Arial"/>
          <w:sz w:val="24"/>
          <w:szCs w:val="24"/>
          <w:u w:val="single"/>
        </w:rPr>
        <w:t>s</w:t>
      </w:r>
      <w:r w:rsidRPr="00B61FF1">
        <w:rPr>
          <w:rFonts w:ascii="Arial" w:hAnsi="Arial" w:cs="Arial"/>
          <w:sz w:val="24"/>
          <w:szCs w:val="24"/>
          <w:u w:val="single"/>
        </w:rPr>
        <w:t xml:space="preserve"> must first register as a user in the tracking system.</w:t>
      </w:r>
    </w:p>
    <w:p w14:paraId="41F8C64E" w14:textId="77777777"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5427CC">
        <w:rPr>
          <w:rFonts w:ascii="Arial" w:hAnsi="Arial" w:cs="Arial"/>
          <w:sz w:val="24"/>
          <w:szCs w:val="24"/>
        </w:rPr>
        <w:tab/>
      </w:r>
      <w:r w:rsidRPr="00B61FF1">
        <w:rPr>
          <w:rFonts w:ascii="Arial" w:hAnsi="Arial" w:cs="Arial"/>
          <w:sz w:val="24"/>
          <w:szCs w:val="24"/>
          <w:u w:val="single"/>
        </w:rPr>
        <w:t>An individual qualified to register as a user in the tracking system cannot apply for more than one user registration.</w:t>
      </w:r>
    </w:p>
    <w:p w14:paraId="7FDC64B1" w14:textId="697EF312"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5427CC">
        <w:rPr>
          <w:rFonts w:ascii="Arial" w:hAnsi="Arial" w:cs="Arial"/>
          <w:sz w:val="24"/>
          <w:szCs w:val="24"/>
        </w:rPr>
        <w:tab/>
      </w:r>
      <w:r w:rsidRPr="00B61FF1">
        <w:rPr>
          <w:rFonts w:ascii="Arial" w:hAnsi="Arial" w:cs="Arial"/>
          <w:sz w:val="24"/>
          <w:szCs w:val="24"/>
          <w:u w:val="single"/>
        </w:rPr>
        <w:t>An individual cannot be designated in a capacity requiring</w:t>
      </w:r>
      <w:r w:rsidR="005F41F2" w:rsidRPr="00B61FF1">
        <w:rPr>
          <w:rFonts w:ascii="Arial" w:hAnsi="Arial" w:cs="Arial"/>
          <w:sz w:val="24"/>
          <w:szCs w:val="24"/>
          <w:u w:val="single"/>
        </w:rPr>
        <w:t xml:space="preserve"> access to the tracking system </w:t>
      </w:r>
      <w:r w:rsidRPr="00B61FF1">
        <w:rPr>
          <w:rFonts w:ascii="Arial" w:hAnsi="Arial" w:cs="Arial"/>
          <w:sz w:val="24"/>
          <w:szCs w:val="24"/>
          <w:u w:val="single"/>
        </w:rPr>
        <w:t>until the Executive Officer approves the user’s registration in the tracking system.</w:t>
      </w:r>
      <w:r w:rsidR="005F41F2" w:rsidRPr="00B61FF1">
        <w:rPr>
          <w:rFonts w:ascii="Arial" w:hAnsi="Arial" w:cs="Arial"/>
          <w:sz w:val="24"/>
          <w:szCs w:val="24"/>
          <w:u w:val="single"/>
        </w:rPr>
        <w:t xml:space="preserve"> This prohibition includes all primary account representatives, alternate account representatives, or account viewing agents.</w:t>
      </w:r>
    </w:p>
    <w:p w14:paraId="450FC9A5" w14:textId="175F3550"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5427CC">
        <w:rPr>
          <w:rFonts w:ascii="Arial" w:hAnsi="Arial" w:cs="Arial"/>
          <w:sz w:val="24"/>
          <w:szCs w:val="24"/>
        </w:rPr>
        <w:tab/>
      </w:r>
      <w:r w:rsidRPr="00B61FF1">
        <w:rPr>
          <w:rFonts w:ascii="Arial" w:hAnsi="Arial" w:cs="Arial"/>
          <w:sz w:val="24"/>
          <w:szCs w:val="24"/>
          <w:u w:val="single"/>
        </w:rPr>
        <w:t xml:space="preserve">An individual registering in the tracking system must provide all </w:t>
      </w:r>
      <w:r w:rsidR="009D00DE" w:rsidRPr="00B61FF1">
        <w:rPr>
          <w:rFonts w:ascii="Arial" w:hAnsi="Arial" w:cs="Arial"/>
          <w:sz w:val="24"/>
          <w:szCs w:val="24"/>
          <w:u w:val="single"/>
        </w:rPr>
        <w:t xml:space="preserve">applicable </w:t>
      </w:r>
      <w:r w:rsidRPr="00B61FF1">
        <w:rPr>
          <w:rFonts w:ascii="Arial" w:hAnsi="Arial" w:cs="Arial"/>
          <w:sz w:val="24"/>
          <w:szCs w:val="24"/>
          <w:u w:val="single"/>
        </w:rPr>
        <w:t>information req</w:t>
      </w:r>
      <w:r w:rsidR="009D00DE" w:rsidRPr="00B61FF1">
        <w:rPr>
          <w:rFonts w:ascii="Arial" w:hAnsi="Arial" w:cs="Arial"/>
          <w:sz w:val="24"/>
          <w:szCs w:val="24"/>
          <w:u w:val="single"/>
        </w:rPr>
        <w:t xml:space="preserve">uired </w:t>
      </w:r>
      <w:r w:rsidR="005F41F2" w:rsidRPr="00B61FF1">
        <w:rPr>
          <w:rFonts w:ascii="Arial" w:hAnsi="Arial" w:cs="Arial"/>
          <w:sz w:val="24"/>
          <w:szCs w:val="24"/>
          <w:u w:val="single"/>
        </w:rPr>
        <w:t>by</w:t>
      </w:r>
      <w:r w:rsidR="009D00DE" w:rsidRPr="00B61FF1">
        <w:rPr>
          <w:rFonts w:ascii="Arial" w:hAnsi="Arial" w:cs="Arial"/>
          <w:sz w:val="24"/>
          <w:szCs w:val="24"/>
          <w:u w:val="single"/>
        </w:rPr>
        <w:t xml:space="preserve"> sections 95832,</w:t>
      </w:r>
      <w:r w:rsidRPr="00B61FF1">
        <w:rPr>
          <w:rFonts w:ascii="Arial" w:hAnsi="Arial" w:cs="Arial"/>
          <w:sz w:val="24"/>
          <w:szCs w:val="24"/>
          <w:u w:val="single"/>
        </w:rPr>
        <w:t xml:space="preserve"> </w:t>
      </w:r>
      <w:r w:rsidR="009D00DE" w:rsidRPr="00B61FF1">
        <w:rPr>
          <w:rFonts w:ascii="Arial" w:hAnsi="Arial" w:cs="Arial"/>
          <w:sz w:val="24"/>
          <w:szCs w:val="24"/>
          <w:u w:val="single"/>
        </w:rPr>
        <w:t>95833, and 95834</w:t>
      </w:r>
      <w:r w:rsidRPr="00B61FF1">
        <w:rPr>
          <w:rFonts w:ascii="Arial" w:hAnsi="Arial" w:cs="Arial"/>
          <w:sz w:val="24"/>
          <w:szCs w:val="24"/>
          <w:u w:val="single"/>
        </w:rPr>
        <w:t>.</w:t>
      </w:r>
    </w:p>
    <w:p w14:paraId="09B795C9" w14:textId="3A8CF7AF"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5427CC">
        <w:rPr>
          <w:rFonts w:ascii="Arial" w:hAnsi="Arial" w:cs="Arial"/>
          <w:sz w:val="24"/>
          <w:szCs w:val="24"/>
        </w:rPr>
        <w:tab/>
      </w:r>
      <w:r w:rsidRPr="00B61FF1">
        <w:rPr>
          <w:rFonts w:ascii="Arial" w:hAnsi="Arial" w:cs="Arial"/>
          <w:sz w:val="24"/>
          <w:szCs w:val="24"/>
          <w:u w:val="single"/>
        </w:rPr>
        <w:t xml:space="preserve">An individual registering in the tracking system must agree to the terms and conditions contained in Appendix B of this article. </w:t>
      </w:r>
    </w:p>
    <w:p w14:paraId="62FA0780" w14:textId="77777777" w:rsidR="00276CB0" w:rsidRPr="00B61FF1" w:rsidRDefault="00276CB0" w:rsidP="00276CB0">
      <w:pPr>
        <w:tabs>
          <w:tab w:val="left" w:pos="1800"/>
        </w:tabs>
        <w:spacing w:line="360" w:lineRule="auto"/>
        <w:ind w:left="1080" w:hanging="720"/>
        <w:rPr>
          <w:rFonts w:ascii="Arial" w:hAnsi="Arial" w:cs="Arial"/>
          <w:sz w:val="24"/>
          <w:szCs w:val="24"/>
          <w:u w:val="single"/>
        </w:rPr>
      </w:pPr>
      <w:r w:rsidRPr="00B61FF1">
        <w:rPr>
          <w:rFonts w:ascii="Arial" w:hAnsi="Arial" w:cs="Arial"/>
          <w:sz w:val="24"/>
          <w:szCs w:val="24"/>
          <w:u w:val="single"/>
        </w:rPr>
        <w:t>(8)</w:t>
      </w:r>
      <w:r w:rsidRPr="005427CC">
        <w:rPr>
          <w:rFonts w:ascii="Arial" w:hAnsi="Arial" w:cs="Arial"/>
          <w:sz w:val="24"/>
          <w:szCs w:val="24"/>
        </w:rPr>
        <w:tab/>
      </w:r>
      <w:r w:rsidRPr="00B61FF1">
        <w:rPr>
          <w:rFonts w:ascii="Arial" w:hAnsi="Arial" w:cs="Arial"/>
          <w:sz w:val="24"/>
          <w:szCs w:val="24"/>
          <w:u w:val="single"/>
        </w:rPr>
        <w:t>An individual may be denied registration:</w:t>
      </w:r>
    </w:p>
    <w:p w14:paraId="2CFE9E48" w14:textId="77777777"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5427CC">
        <w:rPr>
          <w:rFonts w:ascii="Arial" w:hAnsi="Arial" w:cs="Arial"/>
          <w:sz w:val="24"/>
          <w:szCs w:val="24"/>
        </w:rPr>
        <w:tab/>
      </w:r>
      <w:r w:rsidRPr="00B61FF1">
        <w:rPr>
          <w:rFonts w:ascii="Arial" w:hAnsi="Arial" w:cs="Arial"/>
          <w:sz w:val="24"/>
          <w:szCs w:val="24"/>
          <w:u w:val="single"/>
        </w:rPr>
        <w:t>Based on the information provided;</w:t>
      </w:r>
    </w:p>
    <w:p w14:paraId="3F0AEF65" w14:textId="77777777"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5427CC">
        <w:rPr>
          <w:rFonts w:ascii="Arial" w:hAnsi="Arial" w:cs="Arial"/>
          <w:sz w:val="24"/>
          <w:szCs w:val="24"/>
        </w:rPr>
        <w:tab/>
      </w:r>
      <w:r w:rsidRPr="00B61FF1">
        <w:rPr>
          <w:rFonts w:ascii="Arial" w:hAnsi="Arial" w:cs="Arial"/>
          <w:sz w:val="24"/>
          <w:szCs w:val="24"/>
          <w:u w:val="single"/>
        </w:rPr>
        <w:t>If the Executive Officer determines the individual has provided false or misleading information;</w:t>
      </w:r>
    </w:p>
    <w:p w14:paraId="218EDB39" w14:textId="32D173EC"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5427CC">
        <w:rPr>
          <w:rFonts w:ascii="Arial" w:hAnsi="Arial" w:cs="Arial"/>
          <w:sz w:val="24"/>
          <w:szCs w:val="24"/>
        </w:rPr>
        <w:tab/>
      </w:r>
      <w:r w:rsidRPr="00B61FF1">
        <w:rPr>
          <w:rFonts w:ascii="Arial" w:hAnsi="Arial" w:cs="Arial"/>
          <w:sz w:val="24"/>
          <w:szCs w:val="24"/>
          <w:u w:val="single"/>
        </w:rPr>
        <w:t xml:space="preserve">If the Executive Officer determines the individual has withheld information material to </w:t>
      </w:r>
      <w:r w:rsidR="005F41F2" w:rsidRPr="00B61FF1">
        <w:rPr>
          <w:rFonts w:ascii="Arial" w:hAnsi="Arial" w:cs="Arial"/>
          <w:sz w:val="24"/>
          <w:szCs w:val="24"/>
          <w:u w:val="single"/>
        </w:rPr>
        <w:t>his/her</w:t>
      </w:r>
      <w:r w:rsidRPr="00B61FF1">
        <w:rPr>
          <w:rFonts w:ascii="Arial" w:hAnsi="Arial" w:cs="Arial"/>
          <w:sz w:val="24"/>
          <w:szCs w:val="24"/>
          <w:u w:val="single"/>
        </w:rPr>
        <w:t xml:space="preserve"> registration;</w:t>
      </w:r>
    </w:p>
    <w:p w14:paraId="007CD1E8" w14:textId="77777777" w:rsidR="00276CB0" w:rsidRPr="00B61FF1" w:rsidRDefault="00276CB0" w:rsidP="00276CB0">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5427CC">
        <w:rPr>
          <w:rFonts w:ascii="Arial" w:hAnsi="Arial" w:cs="Arial"/>
          <w:sz w:val="24"/>
          <w:szCs w:val="24"/>
        </w:rPr>
        <w:tab/>
      </w:r>
      <w:r w:rsidRPr="00B61FF1">
        <w:rPr>
          <w:rFonts w:ascii="Arial" w:hAnsi="Arial" w:cs="Arial"/>
          <w:sz w:val="24"/>
          <w:szCs w:val="24"/>
          <w:u w:val="single"/>
        </w:rPr>
        <w:t>If an individual fails to comply with section 95834 Know-Your-Customer Requirements; or</w:t>
      </w:r>
    </w:p>
    <w:p w14:paraId="4F8D6D99" w14:textId="00B8A9AF" w:rsidR="00276CB0" w:rsidRPr="00B61FF1" w:rsidRDefault="00276CB0" w:rsidP="00276CB0">
      <w:pPr>
        <w:tabs>
          <w:tab w:val="left" w:pos="1800"/>
        </w:tabs>
        <w:spacing w:line="360" w:lineRule="auto"/>
        <w:ind w:left="1800" w:hanging="720"/>
        <w:rPr>
          <w:rFonts w:ascii="Arial" w:hAnsi="Arial" w:cs="Arial"/>
          <w:sz w:val="24"/>
          <w:szCs w:val="24"/>
        </w:rPr>
      </w:pPr>
      <w:r w:rsidRPr="00B61FF1">
        <w:rPr>
          <w:rFonts w:ascii="Arial" w:hAnsi="Arial" w:cs="Arial"/>
          <w:sz w:val="24"/>
          <w:szCs w:val="24"/>
          <w:u w:val="single"/>
        </w:rPr>
        <w:t>(E)</w:t>
      </w:r>
      <w:r w:rsidRPr="005427CC">
        <w:rPr>
          <w:rFonts w:ascii="Arial" w:hAnsi="Arial" w:cs="Arial"/>
          <w:sz w:val="24"/>
          <w:szCs w:val="24"/>
        </w:rPr>
        <w:tab/>
      </w:r>
      <w:r w:rsidRPr="00B61FF1">
        <w:rPr>
          <w:rFonts w:ascii="Arial" w:hAnsi="Arial" w:cs="Arial"/>
          <w:sz w:val="24"/>
          <w:szCs w:val="24"/>
          <w:u w:val="single"/>
        </w:rPr>
        <w:t>If the individual is already registered and has a user account und</w:t>
      </w:r>
      <w:r w:rsidR="005F41F2" w:rsidRPr="00B61FF1">
        <w:rPr>
          <w:rFonts w:ascii="Arial" w:hAnsi="Arial" w:cs="Arial"/>
          <w:sz w:val="24"/>
          <w:szCs w:val="24"/>
          <w:u w:val="single"/>
        </w:rPr>
        <w:t xml:space="preserve">er the same or a different name. This provision applies to </w:t>
      </w:r>
      <w:r w:rsidRPr="00B61FF1">
        <w:rPr>
          <w:rFonts w:ascii="Arial" w:hAnsi="Arial" w:cs="Arial"/>
          <w:sz w:val="24"/>
          <w:szCs w:val="24"/>
          <w:u w:val="single"/>
        </w:rPr>
        <w:t xml:space="preserve"> individual</w:t>
      </w:r>
      <w:r w:rsidR="005F41F2" w:rsidRPr="00B61FF1">
        <w:rPr>
          <w:rFonts w:ascii="Arial" w:hAnsi="Arial" w:cs="Arial"/>
          <w:sz w:val="24"/>
          <w:szCs w:val="24"/>
          <w:u w:val="single"/>
        </w:rPr>
        <w:t>s</w:t>
      </w:r>
      <w:r w:rsidRPr="00B61FF1">
        <w:rPr>
          <w:rFonts w:ascii="Arial" w:hAnsi="Arial" w:cs="Arial"/>
          <w:sz w:val="24"/>
          <w:szCs w:val="24"/>
          <w:u w:val="single"/>
        </w:rPr>
        <w:t xml:space="preserve"> registered </w:t>
      </w:r>
      <w:r w:rsidR="005F41F2" w:rsidRPr="00B61FF1">
        <w:rPr>
          <w:rFonts w:ascii="Arial" w:hAnsi="Arial" w:cs="Arial"/>
          <w:sz w:val="24"/>
          <w:szCs w:val="24"/>
          <w:u w:val="single"/>
        </w:rPr>
        <w:t>in</w:t>
      </w:r>
      <w:r w:rsidRPr="00B61FF1">
        <w:rPr>
          <w:rFonts w:ascii="Arial" w:hAnsi="Arial" w:cs="Arial"/>
          <w:sz w:val="24"/>
          <w:szCs w:val="24"/>
          <w:u w:val="single"/>
        </w:rPr>
        <w:t xml:space="preserve"> an approved external </w:t>
      </w:r>
      <w:r w:rsidR="005F41F2" w:rsidRPr="00B61FF1">
        <w:rPr>
          <w:rFonts w:ascii="Arial" w:hAnsi="Arial" w:cs="Arial"/>
          <w:sz w:val="24"/>
          <w:szCs w:val="24"/>
          <w:u w:val="single"/>
        </w:rPr>
        <w:t xml:space="preserve">linked </w:t>
      </w:r>
      <w:r w:rsidRPr="00B61FF1">
        <w:rPr>
          <w:rFonts w:ascii="Arial" w:hAnsi="Arial" w:cs="Arial"/>
          <w:sz w:val="24"/>
          <w:szCs w:val="24"/>
          <w:u w:val="single"/>
        </w:rPr>
        <w:t xml:space="preserve">GHG emissions trading system. </w:t>
      </w:r>
    </w:p>
    <w:p w14:paraId="7FB268E3" w14:textId="77777777" w:rsidR="00FE6B15" w:rsidRPr="00B61FF1" w:rsidRDefault="00FE6B15" w:rsidP="00FE6A4C">
      <w:pPr>
        <w:numPr>
          <w:ilvl w:val="0"/>
          <w:numId w:val="11"/>
        </w:numPr>
        <w:spacing w:line="360" w:lineRule="auto"/>
        <w:rPr>
          <w:rFonts w:ascii="Arial" w:hAnsi="Arial" w:cs="Arial"/>
          <w:sz w:val="24"/>
          <w:szCs w:val="24"/>
        </w:rPr>
      </w:pPr>
      <w:r w:rsidRPr="00B61FF1">
        <w:rPr>
          <w:rFonts w:ascii="Arial" w:hAnsi="Arial" w:cs="Arial"/>
          <w:sz w:val="24"/>
          <w:szCs w:val="24"/>
        </w:rPr>
        <w:t>Registration Deadlines.</w:t>
      </w:r>
    </w:p>
    <w:p w14:paraId="7A6EBDC1" w14:textId="0ECE6766" w:rsidR="00FE6B15" w:rsidRPr="00B61FF1" w:rsidRDefault="00FE6B15" w:rsidP="00FE6A4C">
      <w:pPr>
        <w:numPr>
          <w:ilvl w:val="1"/>
          <w:numId w:val="11"/>
        </w:numPr>
        <w:spacing w:line="360" w:lineRule="auto"/>
        <w:rPr>
          <w:rFonts w:ascii="Arial" w:hAnsi="Arial" w:cs="Arial"/>
          <w:sz w:val="24"/>
          <w:szCs w:val="24"/>
        </w:rPr>
      </w:pPr>
      <w:r w:rsidRPr="00B61FF1">
        <w:rPr>
          <w:rFonts w:ascii="Arial" w:hAnsi="Arial" w:cs="Arial"/>
          <w:sz w:val="24"/>
          <w:szCs w:val="24"/>
        </w:rPr>
        <w:lastRenderedPageBreak/>
        <w:t>An entity that meets or exceeds the inclusion thresholds in section 95812</w:t>
      </w:r>
      <w:r w:rsidR="00327354" w:rsidRPr="00B61FF1">
        <w:rPr>
          <w:rFonts w:ascii="Arial" w:hAnsi="Arial" w:cs="Arial"/>
          <w:bCs/>
          <w:iCs/>
          <w:sz w:val="24"/>
          <w:szCs w:val="24"/>
          <w:u w:val="single"/>
        </w:rPr>
        <w:t xml:space="preserve"> or an opt-in covered entity</w:t>
      </w:r>
      <w:r w:rsidRPr="00B61FF1">
        <w:rPr>
          <w:rFonts w:ascii="Arial" w:hAnsi="Arial" w:cs="Arial"/>
          <w:sz w:val="24"/>
          <w:szCs w:val="24"/>
        </w:rPr>
        <w:t xml:space="preserve"> must register with the accounts administrator pursuant to this section: </w:t>
      </w:r>
    </w:p>
    <w:p w14:paraId="05728788" w14:textId="77777777" w:rsidR="00FE6B15" w:rsidRPr="00B61FF1" w:rsidRDefault="00FE6B15" w:rsidP="00FE6A4C">
      <w:pPr>
        <w:numPr>
          <w:ilvl w:val="2"/>
          <w:numId w:val="11"/>
        </w:numPr>
        <w:spacing w:line="360" w:lineRule="auto"/>
        <w:rPr>
          <w:rFonts w:ascii="Arial" w:hAnsi="Arial" w:cs="Arial"/>
          <w:sz w:val="24"/>
          <w:szCs w:val="24"/>
        </w:rPr>
      </w:pPr>
      <w:r w:rsidRPr="00B61FF1">
        <w:rPr>
          <w:rFonts w:ascii="Arial" w:hAnsi="Arial" w:cs="Arial"/>
          <w:sz w:val="24"/>
          <w:szCs w:val="24"/>
        </w:rPr>
        <w:t xml:space="preserve">Within </w:t>
      </w:r>
      <w:r w:rsidR="000F018E" w:rsidRPr="00B61FF1">
        <w:rPr>
          <w:rFonts w:ascii="Arial" w:hAnsi="Arial" w:cs="Arial"/>
          <w:sz w:val="24"/>
          <w:szCs w:val="24"/>
        </w:rPr>
        <w:t>30</w:t>
      </w:r>
      <w:r w:rsidRPr="00B61FF1">
        <w:rPr>
          <w:rFonts w:ascii="Arial" w:hAnsi="Arial" w:cs="Arial"/>
          <w:sz w:val="24"/>
          <w:szCs w:val="24"/>
        </w:rPr>
        <w:t xml:space="preserve"> calendar days of the reporting deadline contained in MRR if the entity is not a covered entity as of January 1, 201</w:t>
      </w:r>
      <w:r w:rsidR="00785433" w:rsidRPr="00B61FF1">
        <w:rPr>
          <w:rFonts w:ascii="Arial" w:hAnsi="Arial" w:cs="Arial"/>
          <w:sz w:val="24"/>
          <w:szCs w:val="24"/>
        </w:rPr>
        <w:t>3</w:t>
      </w:r>
      <w:r w:rsidRPr="00B61FF1">
        <w:rPr>
          <w:rFonts w:ascii="Arial" w:hAnsi="Arial" w:cs="Arial"/>
          <w:sz w:val="24"/>
          <w:szCs w:val="24"/>
        </w:rPr>
        <w:t>; or</w:t>
      </w:r>
    </w:p>
    <w:p w14:paraId="15C62DF9" w14:textId="77777777" w:rsidR="00FE6B15" w:rsidRPr="00B61FF1" w:rsidRDefault="008F0BED" w:rsidP="00FE6A4C">
      <w:pPr>
        <w:numPr>
          <w:ilvl w:val="2"/>
          <w:numId w:val="11"/>
        </w:numPr>
        <w:spacing w:line="360" w:lineRule="auto"/>
        <w:rPr>
          <w:rFonts w:ascii="Arial" w:hAnsi="Arial" w:cs="Arial"/>
          <w:sz w:val="24"/>
          <w:szCs w:val="24"/>
        </w:rPr>
      </w:pPr>
      <w:r w:rsidRPr="00B61FF1">
        <w:rPr>
          <w:rFonts w:ascii="Arial" w:hAnsi="Arial" w:cs="Arial"/>
          <w:sz w:val="24"/>
          <w:szCs w:val="24"/>
        </w:rPr>
        <w:t xml:space="preserve">By January 31, 2012 or </w:t>
      </w:r>
      <w:r w:rsidR="00785433" w:rsidRPr="00B61FF1">
        <w:rPr>
          <w:rFonts w:ascii="Arial" w:hAnsi="Arial" w:cs="Arial"/>
          <w:sz w:val="24"/>
          <w:szCs w:val="24"/>
        </w:rPr>
        <w:t>w</w:t>
      </w:r>
      <w:r w:rsidR="00FE6B15" w:rsidRPr="00B61FF1">
        <w:rPr>
          <w:rFonts w:ascii="Arial" w:hAnsi="Arial" w:cs="Arial"/>
          <w:sz w:val="24"/>
          <w:szCs w:val="24"/>
        </w:rPr>
        <w:t>ithin 30 calendar days of the effective date of this regulation</w:t>
      </w:r>
      <w:r w:rsidRPr="00B61FF1">
        <w:rPr>
          <w:rFonts w:ascii="Arial" w:hAnsi="Arial" w:cs="Arial"/>
          <w:sz w:val="24"/>
          <w:szCs w:val="24"/>
        </w:rPr>
        <w:t xml:space="preserve">, whichever is later, </w:t>
      </w:r>
      <w:r w:rsidR="00FE6B15" w:rsidRPr="00B61FF1">
        <w:rPr>
          <w:rFonts w:ascii="Arial" w:hAnsi="Arial" w:cs="Arial"/>
          <w:sz w:val="24"/>
          <w:szCs w:val="24"/>
        </w:rPr>
        <w:t xml:space="preserve"> for an entity that exceeds the inclusion thresholds in section 95812 for any data year 2008 through 201</w:t>
      </w:r>
      <w:r w:rsidR="00785433" w:rsidRPr="00B61FF1">
        <w:rPr>
          <w:rFonts w:ascii="Arial" w:hAnsi="Arial" w:cs="Arial"/>
          <w:sz w:val="24"/>
          <w:szCs w:val="24"/>
        </w:rPr>
        <w:t>1</w:t>
      </w:r>
      <w:r w:rsidR="00FE6B15" w:rsidRPr="00B61FF1">
        <w:rPr>
          <w:rFonts w:ascii="Arial" w:hAnsi="Arial" w:cs="Arial"/>
          <w:sz w:val="24"/>
          <w:szCs w:val="24"/>
        </w:rPr>
        <w:t xml:space="preserve">. </w:t>
      </w:r>
    </w:p>
    <w:p w14:paraId="6EDE5A75" w14:textId="36DA187E" w:rsidR="00FE6B15" w:rsidRPr="00B61FF1" w:rsidRDefault="002E5C40" w:rsidP="002E5C40">
      <w:pPr>
        <w:tabs>
          <w:tab w:val="right" w:pos="-3600"/>
          <w:tab w:val="right" w:pos="-3150"/>
        </w:tabs>
        <w:spacing w:line="360" w:lineRule="auto"/>
        <w:ind w:left="1080" w:hanging="720"/>
        <w:rPr>
          <w:rFonts w:ascii="Arial" w:hAnsi="Arial" w:cs="Arial"/>
          <w:strike/>
          <w:sz w:val="24"/>
          <w:szCs w:val="24"/>
        </w:rPr>
      </w:pPr>
      <w:r w:rsidRPr="00B61FF1">
        <w:rPr>
          <w:rFonts w:ascii="Arial" w:hAnsi="Arial" w:cs="Arial"/>
          <w:strike/>
          <w:sz w:val="24"/>
          <w:szCs w:val="24"/>
        </w:rPr>
        <w:t>(2)</w:t>
      </w:r>
      <w:r w:rsidRPr="00B61FF1">
        <w:rPr>
          <w:rFonts w:ascii="Arial" w:hAnsi="Arial" w:cs="Arial"/>
          <w:strike/>
          <w:sz w:val="24"/>
          <w:szCs w:val="24"/>
        </w:rPr>
        <w:tab/>
      </w:r>
      <w:r w:rsidR="00FE6B15" w:rsidRPr="00B61FF1">
        <w:rPr>
          <w:rFonts w:ascii="Arial" w:hAnsi="Arial" w:cs="Arial"/>
          <w:strike/>
          <w:sz w:val="24"/>
          <w:szCs w:val="24"/>
        </w:rPr>
        <w:t xml:space="preserve">An opt-in covered entity must register with the accounts administrator </w:t>
      </w:r>
      <w:r w:rsidR="009E6D67" w:rsidRPr="00B61FF1">
        <w:rPr>
          <w:rFonts w:ascii="Arial" w:hAnsi="Arial" w:cs="Arial"/>
          <w:strike/>
          <w:sz w:val="24"/>
          <w:szCs w:val="24"/>
        </w:rPr>
        <w:t xml:space="preserve">by November 30 of the calendar year prior to the first year in which it voluntarily elects to be subject to a compliance obligation </w:t>
      </w:r>
      <w:r w:rsidR="00FE6B15" w:rsidRPr="00B61FF1">
        <w:rPr>
          <w:rFonts w:ascii="Arial" w:hAnsi="Arial" w:cs="Arial"/>
          <w:strike/>
          <w:sz w:val="24"/>
          <w:szCs w:val="24"/>
        </w:rPr>
        <w:t>pursuant to section 958</w:t>
      </w:r>
      <w:r w:rsidR="009E6D67" w:rsidRPr="00B61FF1">
        <w:rPr>
          <w:rFonts w:ascii="Arial" w:hAnsi="Arial" w:cs="Arial"/>
          <w:strike/>
          <w:sz w:val="24"/>
          <w:szCs w:val="24"/>
        </w:rPr>
        <w:t>13.</w:t>
      </w:r>
      <w:r w:rsidR="00FE6B15" w:rsidRPr="00B61FF1">
        <w:rPr>
          <w:rFonts w:ascii="Arial" w:hAnsi="Arial" w:cs="Arial"/>
          <w:strike/>
          <w:sz w:val="24"/>
          <w:szCs w:val="24"/>
        </w:rPr>
        <w:t xml:space="preserve"> </w:t>
      </w:r>
    </w:p>
    <w:p w14:paraId="634132C3" w14:textId="1303594F" w:rsidR="0036628E" w:rsidRPr="00B61FF1" w:rsidRDefault="002E5C40" w:rsidP="002E5C40">
      <w:pPr>
        <w:tabs>
          <w:tab w:val="right" w:pos="-3600"/>
          <w:tab w:val="right" w:pos="-3150"/>
        </w:tabs>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3</w:t>
      </w:r>
      <w:r w:rsidRPr="00B61FF1">
        <w:rPr>
          <w:rFonts w:ascii="Arial" w:hAnsi="Arial" w:cs="Arial"/>
          <w:sz w:val="24"/>
          <w:szCs w:val="24"/>
          <w:u w:val="single"/>
        </w:rPr>
        <w:t>2</w:t>
      </w:r>
      <w:r w:rsidRPr="00B61FF1">
        <w:rPr>
          <w:rFonts w:ascii="Arial" w:hAnsi="Arial" w:cs="Arial"/>
          <w:sz w:val="24"/>
          <w:szCs w:val="24"/>
        </w:rPr>
        <w:t>)</w:t>
      </w:r>
      <w:r w:rsidRPr="00B61FF1">
        <w:rPr>
          <w:rFonts w:ascii="Arial" w:hAnsi="Arial" w:cs="Arial"/>
          <w:sz w:val="24"/>
          <w:szCs w:val="24"/>
        </w:rPr>
        <w:tab/>
      </w:r>
      <w:r w:rsidR="0036628E" w:rsidRPr="00B61FF1">
        <w:rPr>
          <w:rFonts w:ascii="Arial" w:hAnsi="Arial" w:cs="Arial"/>
          <w:sz w:val="24"/>
          <w:szCs w:val="24"/>
        </w:rPr>
        <w:t>An</w:t>
      </w:r>
      <w:r w:rsidR="004D4336" w:rsidRPr="00B61FF1">
        <w:rPr>
          <w:rFonts w:ascii="Arial" w:hAnsi="Arial" w:cs="Arial"/>
          <w:sz w:val="24"/>
          <w:szCs w:val="24"/>
        </w:rPr>
        <w:t>y</w:t>
      </w:r>
      <w:r w:rsidR="0036628E" w:rsidRPr="00B61FF1">
        <w:rPr>
          <w:rFonts w:ascii="Arial" w:hAnsi="Arial" w:cs="Arial"/>
          <w:sz w:val="24"/>
          <w:szCs w:val="24"/>
        </w:rPr>
        <w:t xml:space="preserve"> voluntarily associated </w:t>
      </w:r>
      <w:r w:rsidR="004D4336" w:rsidRPr="00B61FF1">
        <w:rPr>
          <w:rFonts w:ascii="Arial" w:hAnsi="Arial" w:cs="Arial"/>
          <w:sz w:val="24"/>
          <w:szCs w:val="24"/>
        </w:rPr>
        <w:t xml:space="preserve">entity </w:t>
      </w:r>
      <w:r w:rsidR="0036628E" w:rsidRPr="00B61FF1">
        <w:rPr>
          <w:rFonts w:ascii="Arial" w:hAnsi="Arial" w:cs="Arial"/>
          <w:sz w:val="24"/>
          <w:szCs w:val="24"/>
        </w:rPr>
        <w:t>that intends to hold an ARB-issued compliance instrument must register with the accounts administrator prior to acquiring such compliance instruments.</w:t>
      </w:r>
    </w:p>
    <w:p w14:paraId="57455135" w14:textId="77777777" w:rsidR="0036628E" w:rsidRPr="00B61FF1" w:rsidRDefault="0036628E" w:rsidP="00FE6A4C">
      <w:pPr>
        <w:numPr>
          <w:ilvl w:val="0"/>
          <w:numId w:val="11"/>
        </w:numPr>
        <w:spacing w:line="360" w:lineRule="auto"/>
        <w:rPr>
          <w:rFonts w:ascii="Arial" w:hAnsi="Arial" w:cs="Arial"/>
          <w:sz w:val="24"/>
          <w:szCs w:val="24"/>
        </w:rPr>
      </w:pPr>
      <w:r w:rsidRPr="00B61FF1">
        <w:rPr>
          <w:rFonts w:ascii="Arial" w:hAnsi="Arial" w:cs="Arial"/>
          <w:sz w:val="24"/>
          <w:szCs w:val="24"/>
        </w:rPr>
        <w:t>Completion of Registration.  Registration is completed when the Executive Officer approves the registration and informs the entity and the accounts administrator of the approval.</w:t>
      </w:r>
    </w:p>
    <w:p w14:paraId="19494D73" w14:textId="77777777" w:rsidR="0036628E" w:rsidRPr="00B61FF1" w:rsidRDefault="00003951" w:rsidP="00003951">
      <w:pPr>
        <w:pStyle w:val="ListParagraph"/>
        <w:spacing w:line="360" w:lineRule="auto"/>
        <w:ind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r>
      <w:r w:rsidR="0036628E" w:rsidRPr="00B61FF1">
        <w:rPr>
          <w:rFonts w:ascii="Arial" w:hAnsi="Arial" w:cs="Arial"/>
          <w:sz w:val="24"/>
          <w:szCs w:val="24"/>
        </w:rPr>
        <w:t>Updating Registration Information</w:t>
      </w:r>
      <w:r w:rsidR="00A4155F" w:rsidRPr="00B61FF1">
        <w:rPr>
          <w:rFonts w:ascii="Arial" w:hAnsi="Arial" w:cs="Arial"/>
          <w:sz w:val="24"/>
          <w:szCs w:val="24"/>
        </w:rPr>
        <w:t>.</w:t>
      </w:r>
    </w:p>
    <w:p w14:paraId="2C2CFD89" w14:textId="77777777" w:rsidR="0036628E" w:rsidRPr="00B61FF1" w:rsidRDefault="00003951" w:rsidP="00003951">
      <w:pPr>
        <w:pStyle w:val="ListParagraph"/>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36628E" w:rsidRPr="00B61FF1">
        <w:rPr>
          <w:rFonts w:ascii="Arial" w:hAnsi="Arial" w:cs="Arial"/>
          <w:sz w:val="24"/>
          <w:szCs w:val="24"/>
        </w:rPr>
        <w:t xml:space="preserve">Registrants must update their registration information within </w:t>
      </w:r>
      <w:r w:rsidR="004224EA" w:rsidRPr="00B61FF1">
        <w:rPr>
          <w:rFonts w:ascii="Arial" w:hAnsi="Arial" w:cs="Arial"/>
          <w:sz w:val="24"/>
          <w:szCs w:val="24"/>
        </w:rPr>
        <w:t>10</w:t>
      </w:r>
      <w:r w:rsidR="0036628E" w:rsidRPr="00B61FF1">
        <w:rPr>
          <w:rFonts w:ascii="Arial" w:hAnsi="Arial" w:cs="Arial"/>
          <w:sz w:val="24"/>
          <w:szCs w:val="24"/>
        </w:rPr>
        <w:t xml:space="preserve"> working days of change</w:t>
      </w:r>
      <w:r w:rsidR="00A4155F" w:rsidRPr="00B61FF1">
        <w:rPr>
          <w:rFonts w:ascii="Arial" w:hAnsi="Arial" w:cs="Arial"/>
          <w:sz w:val="24"/>
          <w:szCs w:val="24"/>
        </w:rPr>
        <w:t>s</w:t>
      </w:r>
      <w:r w:rsidR="0036628E" w:rsidRPr="00B61FF1">
        <w:rPr>
          <w:rFonts w:ascii="Arial" w:hAnsi="Arial" w:cs="Arial"/>
          <w:sz w:val="24"/>
          <w:szCs w:val="24"/>
        </w:rPr>
        <w:t xml:space="preserve"> </w:t>
      </w:r>
      <w:r w:rsidRPr="00B61FF1">
        <w:rPr>
          <w:rFonts w:ascii="Arial" w:hAnsi="Arial" w:cs="Arial"/>
          <w:sz w:val="24"/>
          <w:szCs w:val="24"/>
        </w:rPr>
        <w:t xml:space="preserve">to </w:t>
      </w:r>
      <w:r w:rsidR="00A4155F" w:rsidRPr="00B61FF1">
        <w:rPr>
          <w:rFonts w:ascii="Arial" w:hAnsi="Arial" w:cs="Arial"/>
          <w:sz w:val="24"/>
          <w:szCs w:val="24"/>
        </w:rPr>
        <w:t>the</w:t>
      </w:r>
      <w:r w:rsidRPr="00B61FF1">
        <w:rPr>
          <w:rFonts w:ascii="Arial" w:hAnsi="Arial" w:cs="Arial"/>
          <w:sz w:val="24"/>
          <w:szCs w:val="24"/>
        </w:rPr>
        <w:t xml:space="preserve"> information listed in section 95830(c)</w:t>
      </w:r>
      <w:r w:rsidR="0036628E" w:rsidRPr="00B61FF1">
        <w:rPr>
          <w:rFonts w:ascii="Arial" w:hAnsi="Arial" w:cs="Arial"/>
          <w:sz w:val="24"/>
          <w:szCs w:val="24"/>
        </w:rPr>
        <w:t>.</w:t>
      </w:r>
    </w:p>
    <w:p w14:paraId="5507328E" w14:textId="77777777" w:rsidR="0036628E" w:rsidRPr="00B61FF1" w:rsidRDefault="00003951" w:rsidP="00003951">
      <w:pPr>
        <w:pStyle w:val="ListParagraph"/>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36628E" w:rsidRPr="00B61FF1">
        <w:rPr>
          <w:rFonts w:ascii="Arial" w:hAnsi="Arial" w:cs="Arial"/>
          <w:sz w:val="24"/>
          <w:szCs w:val="24"/>
        </w:rPr>
        <w:t>Information may be directly entered into the tracking system operate</w:t>
      </w:r>
      <w:r w:rsidR="00890F7D" w:rsidRPr="00B61FF1">
        <w:rPr>
          <w:rFonts w:ascii="Arial" w:hAnsi="Arial" w:cs="Arial"/>
          <w:sz w:val="24"/>
          <w:szCs w:val="24"/>
        </w:rPr>
        <w:t xml:space="preserve">d by the accounts administrator </w:t>
      </w:r>
      <w:r w:rsidR="0036628E" w:rsidRPr="00B61FF1">
        <w:rPr>
          <w:rFonts w:ascii="Arial" w:hAnsi="Arial" w:cs="Arial"/>
          <w:sz w:val="24"/>
          <w:szCs w:val="24"/>
        </w:rPr>
        <w:t>or</w:t>
      </w:r>
      <w:r w:rsidR="00890F7D" w:rsidRPr="00B61FF1">
        <w:rPr>
          <w:rFonts w:ascii="Arial" w:hAnsi="Arial" w:cs="Arial"/>
          <w:sz w:val="24"/>
          <w:szCs w:val="24"/>
        </w:rPr>
        <w:t>,</w:t>
      </w:r>
      <w:r w:rsidR="0036628E" w:rsidRPr="00B61FF1">
        <w:rPr>
          <w:rFonts w:ascii="Arial" w:hAnsi="Arial" w:cs="Arial"/>
          <w:sz w:val="24"/>
          <w:szCs w:val="24"/>
        </w:rPr>
        <w:t xml:space="preserve"> if that is not available, </w:t>
      </w:r>
      <w:r w:rsidR="00A4155F" w:rsidRPr="00B61FF1">
        <w:rPr>
          <w:rFonts w:ascii="Arial" w:hAnsi="Arial" w:cs="Arial"/>
          <w:sz w:val="24"/>
          <w:szCs w:val="24"/>
        </w:rPr>
        <w:t>submitted to the accounts administrator by the entity</w:t>
      </w:r>
      <w:r w:rsidR="0036628E" w:rsidRPr="00B61FF1">
        <w:rPr>
          <w:rFonts w:ascii="Arial" w:hAnsi="Arial" w:cs="Arial"/>
          <w:sz w:val="24"/>
          <w:szCs w:val="24"/>
        </w:rPr>
        <w:t>.</w:t>
      </w:r>
    </w:p>
    <w:p w14:paraId="102B5DDC" w14:textId="77777777" w:rsidR="0036628E" w:rsidRPr="00B61FF1" w:rsidRDefault="00003951" w:rsidP="00B83D22">
      <w:pPr>
        <w:pStyle w:val="ListParagraph"/>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36628E" w:rsidRPr="00B61FF1">
        <w:rPr>
          <w:rFonts w:ascii="Arial" w:hAnsi="Arial" w:cs="Arial"/>
          <w:sz w:val="24"/>
          <w:szCs w:val="24"/>
        </w:rPr>
        <w:t>Registration may be revoked, suspended, or restricted</w:t>
      </w:r>
      <w:r w:rsidR="00A4155F" w:rsidRPr="00B61FF1">
        <w:rPr>
          <w:rFonts w:ascii="Arial" w:hAnsi="Arial" w:cs="Arial"/>
          <w:sz w:val="24"/>
          <w:szCs w:val="24"/>
        </w:rPr>
        <w:t xml:space="preserve"> </w:t>
      </w:r>
      <w:r w:rsidR="0036628E" w:rsidRPr="00B61FF1">
        <w:rPr>
          <w:rFonts w:ascii="Arial" w:hAnsi="Arial" w:cs="Arial"/>
          <w:sz w:val="24"/>
          <w:szCs w:val="24"/>
        </w:rPr>
        <w:t>if an</w:t>
      </w:r>
      <w:r w:rsidR="006375B0" w:rsidRPr="00B61FF1">
        <w:rPr>
          <w:rFonts w:ascii="Arial" w:hAnsi="Arial" w:cs="Arial"/>
          <w:sz w:val="24"/>
          <w:szCs w:val="24"/>
        </w:rPr>
        <w:t xml:space="preserve"> </w:t>
      </w:r>
      <w:r w:rsidR="0036628E" w:rsidRPr="00B61FF1">
        <w:rPr>
          <w:rFonts w:ascii="Arial" w:hAnsi="Arial" w:cs="Arial"/>
          <w:sz w:val="24"/>
          <w:szCs w:val="24"/>
        </w:rPr>
        <w:t>entity does not update its registrati</w:t>
      </w:r>
      <w:r w:rsidR="00A4155F" w:rsidRPr="00B61FF1">
        <w:rPr>
          <w:rFonts w:ascii="Arial" w:hAnsi="Arial" w:cs="Arial"/>
          <w:sz w:val="24"/>
          <w:szCs w:val="24"/>
        </w:rPr>
        <w:t xml:space="preserve">on within 10 days of a </w:t>
      </w:r>
      <w:r w:rsidR="0036628E" w:rsidRPr="00B61FF1">
        <w:rPr>
          <w:rFonts w:ascii="Arial" w:hAnsi="Arial" w:cs="Arial"/>
          <w:sz w:val="24"/>
          <w:szCs w:val="24"/>
        </w:rPr>
        <w:t>change</w:t>
      </w:r>
      <w:r w:rsidR="004224EA" w:rsidRPr="00B61FF1">
        <w:rPr>
          <w:rFonts w:ascii="Arial" w:hAnsi="Arial" w:cs="Arial"/>
          <w:sz w:val="24"/>
          <w:szCs w:val="24"/>
        </w:rPr>
        <w:t xml:space="preserve"> pursuant to section 95921(</w:t>
      </w:r>
      <w:r w:rsidR="00A7485D" w:rsidRPr="00B61FF1">
        <w:rPr>
          <w:rFonts w:ascii="Arial" w:hAnsi="Arial" w:cs="Arial"/>
          <w:sz w:val="24"/>
          <w:szCs w:val="24"/>
        </w:rPr>
        <w:t>g</w:t>
      </w:r>
      <w:r w:rsidR="004224EA" w:rsidRPr="00B61FF1">
        <w:rPr>
          <w:rFonts w:ascii="Arial" w:hAnsi="Arial" w:cs="Arial"/>
          <w:sz w:val="24"/>
          <w:szCs w:val="24"/>
        </w:rPr>
        <w:t>)(3)</w:t>
      </w:r>
      <w:r w:rsidR="0036628E" w:rsidRPr="00B61FF1">
        <w:rPr>
          <w:rFonts w:ascii="Arial" w:hAnsi="Arial" w:cs="Arial"/>
          <w:sz w:val="24"/>
          <w:szCs w:val="24"/>
        </w:rPr>
        <w:t>.</w:t>
      </w:r>
    </w:p>
    <w:p w14:paraId="6ABC8674" w14:textId="77777777" w:rsidR="0036628E" w:rsidRPr="00B61FF1" w:rsidRDefault="00003951" w:rsidP="00003951">
      <w:pPr>
        <w:pStyle w:val="ListParagraph"/>
        <w:spacing w:line="360" w:lineRule="auto"/>
        <w:ind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r>
      <w:r w:rsidR="0036628E" w:rsidRPr="00B61FF1">
        <w:rPr>
          <w:rFonts w:ascii="Arial" w:hAnsi="Arial" w:cs="Arial"/>
          <w:sz w:val="24"/>
          <w:szCs w:val="24"/>
        </w:rPr>
        <w:t>Information Confidentiality</w:t>
      </w:r>
      <w:r w:rsidR="004224EA" w:rsidRPr="00B61FF1">
        <w:rPr>
          <w:rFonts w:ascii="Arial" w:hAnsi="Arial" w:cs="Arial"/>
          <w:sz w:val="24"/>
          <w:szCs w:val="24"/>
        </w:rPr>
        <w:t>.</w:t>
      </w:r>
      <w:r w:rsidR="00A7485D" w:rsidRPr="00B61FF1">
        <w:rPr>
          <w:rFonts w:ascii="Arial" w:hAnsi="Arial" w:cs="Arial"/>
          <w:sz w:val="24"/>
          <w:szCs w:val="24"/>
        </w:rPr>
        <w:t xml:space="preserve">  The following information collected about individuals during the registration process will be treated as confidential by </w:t>
      </w:r>
      <w:r w:rsidR="00A7485D" w:rsidRPr="00B61FF1">
        <w:rPr>
          <w:rFonts w:ascii="Arial" w:hAnsi="Arial" w:cs="Arial"/>
          <w:sz w:val="24"/>
          <w:szCs w:val="24"/>
        </w:rPr>
        <w:lastRenderedPageBreak/>
        <w:t>the Executive Officer and the accounts administrator to the extent possible, and except as needed in the course of oversight, investigation, enforcement and prosecution:</w:t>
      </w:r>
    </w:p>
    <w:p w14:paraId="5D7EFF8F" w14:textId="77777777" w:rsidR="0036628E" w:rsidRPr="00B61FF1" w:rsidRDefault="00003951" w:rsidP="00A7485D">
      <w:pPr>
        <w:pStyle w:val="ListParagraph"/>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A7485D" w:rsidRPr="00B61FF1">
        <w:rPr>
          <w:rFonts w:ascii="Arial" w:hAnsi="Arial" w:cs="Arial"/>
          <w:sz w:val="24"/>
          <w:szCs w:val="24"/>
        </w:rPr>
        <w:t>Information collected pursuant to section 95830(c)(1)(B)</w:t>
      </w:r>
      <w:r w:rsidR="002D3A8D" w:rsidRPr="00B61FF1">
        <w:rPr>
          <w:rFonts w:ascii="Arial" w:hAnsi="Arial" w:cs="Arial"/>
          <w:sz w:val="24"/>
          <w:szCs w:val="24"/>
        </w:rPr>
        <w:t xml:space="preserve"> and (C);</w:t>
      </w:r>
    </w:p>
    <w:p w14:paraId="6C1EEE9B" w14:textId="77777777" w:rsidR="0036628E" w:rsidRPr="00B61FF1" w:rsidRDefault="00003951" w:rsidP="00003951">
      <w:pPr>
        <w:pStyle w:val="ListParagraph"/>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A7485D" w:rsidRPr="00B61FF1">
        <w:rPr>
          <w:rFonts w:ascii="Arial" w:hAnsi="Arial" w:cs="Arial"/>
          <w:sz w:val="24"/>
          <w:szCs w:val="24"/>
        </w:rPr>
        <w:t>Information collected about individuals pursuant to section 95834; and</w:t>
      </w:r>
    </w:p>
    <w:p w14:paraId="79B4B275" w14:textId="77777777" w:rsidR="00A7485D" w:rsidRPr="00B61FF1" w:rsidRDefault="00A7485D" w:rsidP="00003951">
      <w:pPr>
        <w:pStyle w:val="ListParagraph"/>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Information collected about individuals pursuant to section 95832.</w:t>
      </w:r>
    </w:p>
    <w:p w14:paraId="242F1FFA" w14:textId="77777777" w:rsidR="00F51335" w:rsidRPr="00B61FF1" w:rsidRDefault="00A734E1" w:rsidP="007340D6">
      <w:pPr>
        <w:spacing w:line="360" w:lineRule="auto"/>
        <w:ind w:left="720" w:hanging="720"/>
        <w:rPr>
          <w:rFonts w:ascii="Arial" w:hAnsi="Arial" w:cs="Arial"/>
          <w:sz w:val="24"/>
          <w:szCs w:val="24"/>
        </w:rPr>
      </w:pPr>
      <w:r w:rsidRPr="00B61FF1">
        <w:rPr>
          <w:rFonts w:ascii="Arial" w:hAnsi="Arial" w:cs="Arial"/>
          <w:sz w:val="24"/>
          <w:szCs w:val="24"/>
        </w:rPr>
        <w:t>(</w:t>
      </w:r>
      <w:r w:rsidR="005E44B3" w:rsidRPr="00B61FF1">
        <w:rPr>
          <w:rFonts w:ascii="Arial" w:hAnsi="Arial" w:cs="Arial"/>
          <w:sz w:val="24"/>
          <w:szCs w:val="24"/>
        </w:rPr>
        <w:t>h</w:t>
      </w:r>
      <w:r w:rsidRPr="00B61FF1">
        <w:rPr>
          <w:rFonts w:ascii="Arial" w:hAnsi="Arial" w:cs="Arial"/>
          <w:sz w:val="24"/>
          <w:szCs w:val="24"/>
        </w:rPr>
        <w:t>)</w:t>
      </w:r>
      <w:r w:rsidRPr="00B61FF1">
        <w:rPr>
          <w:rFonts w:ascii="Arial" w:hAnsi="Arial" w:cs="Arial"/>
          <w:sz w:val="24"/>
          <w:szCs w:val="24"/>
        </w:rPr>
        <w:tab/>
      </w:r>
      <w:r w:rsidR="00F51335" w:rsidRPr="00B61FF1">
        <w:rPr>
          <w:rFonts w:ascii="Arial" w:hAnsi="Arial" w:cs="Arial"/>
          <w:sz w:val="24"/>
          <w:szCs w:val="24"/>
        </w:rPr>
        <w:t>Linking. When California links to an External GHG ETS, each entity must</w:t>
      </w:r>
    </w:p>
    <w:p w14:paraId="3EEA7BD5" w14:textId="77777777" w:rsidR="00FE6B15" w:rsidRPr="00B61FF1" w:rsidRDefault="00F51335" w:rsidP="007340D6">
      <w:pPr>
        <w:spacing w:line="360" w:lineRule="auto"/>
        <w:ind w:left="720"/>
        <w:rPr>
          <w:rFonts w:ascii="Arial" w:hAnsi="Arial" w:cs="Arial"/>
          <w:sz w:val="24"/>
          <w:szCs w:val="24"/>
        </w:rPr>
      </w:pPr>
      <w:r w:rsidRPr="00B61FF1">
        <w:rPr>
          <w:rFonts w:ascii="Arial" w:hAnsi="Arial" w:cs="Arial"/>
          <w:sz w:val="24"/>
          <w:szCs w:val="24"/>
        </w:rPr>
        <w:t>register into a jurisdiction based on the physical location information the entity must provide pursuant to section 95830(c)(1)(A).</w:t>
      </w:r>
    </w:p>
    <w:p w14:paraId="449D7531" w14:textId="77777777" w:rsidR="00A734E1" w:rsidRPr="00B61FF1" w:rsidRDefault="00A734E1" w:rsidP="00F51335">
      <w:pPr>
        <w:spacing w:line="360" w:lineRule="auto"/>
        <w:ind w:left="1080" w:hanging="720"/>
        <w:rPr>
          <w:rFonts w:ascii="Arial" w:hAnsi="Arial" w:cs="Arial"/>
          <w:sz w:val="24"/>
          <w:szCs w:val="24"/>
        </w:rPr>
      </w:pPr>
      <w:r w:rsidRPr="00B61FF1">
        <w:rPr>
          <w:rFonts w:ascii="Arial" w:hAnsi="Arial" w:cs="Arial"/>
          <w:sz w:val="24"/>
          <w:szCs w:val="24"/>
        </w:rPr>
        <w:t>(</w:t>
      </w:r>
      <w:r w:rsidR="00F51335" w:rsidRPr="00B61FF1">
        <w:rPr>
          <w:rFonts w:ascii="Arial" w:hAnsi="Arial" w:cs="Arial"/>
          <w:sz w:val="24"/>
          <w:szCs w:val="24"/>
        </w:rPr>
        <w:t>1</w:t>
      </w:r>
      <w:r w:rsidRPr="00B61FF1">
        <w:rPr>
          <w:rFonts w:ascii="Arial" w:hAnsi="Arial" w:cs="Arial"/>
          <w:sz w:val="24"/>
          <w:szCs w:val="24"/>
        </w:rPr>
        <w:t>)</w:t>
      </w:r>
      <w:r w:rsidRPr="00B61FF1">
        <w:rPr>
          <w:rFonts w:ascii="Arial" w:hAnsi="Arial" w:cs="Arial"/>
          <w:sz w:val="24"/>
          <w:szCs w:val="24"/>
        </w:rPr>
        <w:tab/>
      </w:r>
      <w:r w:rsidR="00F51335" w:rsidRPr="00B61FF1">
        <w:rPr>
          <w:rFonts w:ascii="Arial" w:hAnsi="Arial" w:cs="Arial"/>
          <w:sz w:val="24"/>
          <w:szCs w:val="24"/>
        </w:rPr>
        <w:t>An entity located in California or in a jurisdiction operating an External GHG ETS to which California has linked pursuant to subarticle 12 must register with the jurisdiction in which they are located.</w:t>
      </w:r>
    </w:p>
    <w:p w14:paraId="67A5B855" w14:textId="77777777" w:rsidR="00F51335" w:rsidRPr="00B61FF1" w:rsidRDefault="00F51335" w:rsidP="00F51335">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An entity located in the United States may only register with California to participate in its Cap-and-Trade Program.</w:t>
      </w:r>
    </w:p>
    <w:p w14:paraId="5B9D856B" w14:textId="77777777" w:rsidR="00F51335" w:rsidRPr="00B61FF1" w:rsidRDefault="00F51335" w:rsidP="00F51335">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California will recognize the registration of an entity that registers into an External GHG ETS to which California has linked pursuant to subarticle 12 and allow that entity to participate in the California Cap-and-Trade Program.</w:t>
      </w:r>
    </w:p>
    <w:p w14:paraId="45145354" w14:textId="40352583" w:rsidR="00A0141B" w:rsidRPr="00B61FF1" w:rsidRDefault="00A0141B" w:rsidP="007340D6">
      <w:pPr>
        <w:spacing w:line="360" w:lineRule="auto"/>
        <w:ind w:left="720" w:hanging="720"/>
        <w:rPr>
          <w:rFonts w:ascii="Arial" w:hAnsi="Arial" w:cs="Arial"/>
          <w:sz w:val="24"/>
          <w:szCs w:val="24"/>
          <w:u w:val="single"/>
        </w:rPr>
      </w:pPr>
      <w:r w:rsidRPr="00B61FF1">
        <w:rPr>
          <w:rFonts w:ascii="Arial" w:hAnsi="Arial" w:cs="Arial"/>
          <w:sz w:val="24"/>
          <w:szCs w:val="24"/>
          <w:u w:val="single"/>
        </w:rPr>
        <w:t>(i)</w:t>
      </w:r>
      <w:r w:rsidRPr="005427CC">
        <w:rPr>
          <w:rFonts w:ascii="Arial" w:hAnsi="Arial" w:cs="Arial"/>
          <w:sz w:val="24"/>
          <w:szCs w:val="24"/>
        </w:rPr>
        <w:tab/>
      </w:r>
      <w:r w:rsidRPr="00B61FF1">
        <w:rPr>
          <w:rFonts w:ascii="Arial" w:hAnsi="Arial" w:cs="Arial"/>
          <w:sz w:val="24"/>
          <w:szCs w:val="24"/>
          <w:u w:val="single"/>
        </w:rPr>
        <w:t xml:space="preserve">Change of ownership. When the ownership </w:t>
      </w:r>
      <w:r w:rsidR="007340D6" w:rsidRPr="00B61FF1">
        <w:rPr>
          <w:rFonts w:ascii="Arial" w:hAnsi="Arial" w:cs="Arial"/>
          <w:sz w:val="24"/>
          <w:szCs w:val="24"/>
          <w:u w:val="single"/>
        </w:rPr>
        <w:t xml:space="preserve">of </w:t>
      </w:r>
      <w:r w:rsidRPr="00B61FF1">
        <w:rPr>
          <w:rFonts w:ascii="Arial" w:hAnsi="Arial" w:cs="Arial"/>
          <w:sz w:val="24"/>
          <w:szCs w:val="24"/>
          <w:u w:val="single"/>
        </w:rPr>
        <w:t>a facilit</w:t>
      </w:r>
      <w:r w:rsidR="007340D6" w:rsidRPr="00B61FF1">
        <w:rPr>
          <w:rFonts w:ascii="Arial" w:hAnsi="Arial" w:cs="Arial"/>
          <w:sz w:val="24"/>
          <w:szCs w:val="24"/>
          <w:u w:val="single"/>
        </w:rPr>
        <w:t>y</w:t>
      </w:r>
      <w:r w:rsidRPr="00B61FF1">
        <w:rPr>
          <w:rFonts w:ascii="Arial" w:hAnsi="Arial" w:cs="Arial"/>
          <w:sz w:val="24"/>
          <w:szCs w:val="24"/>
          <w:u w:val="single"/>
        </w:rPr>
        <w:t xml:space="preserve"> changes</w:t>
      </w:r>
      <w:r w:rsidR="004A1E5F" w:rsidRPr="00B61FF1">
        <w:rPr>
          <w:rFonts w:ascii="Arial" w:hAnsi="Arial" w:cs="Arial"/>
          <w:sz w:val="24"/>
          <w:szCs w:val="24"/>
          <w:u w:val="single"/>
        </w:rPr>
        <w:t>,</w:t>
      </w:r>
      <w:r w:rsidRPr="00B61FF1">
        <w:rPr>
          <w:rFonts w:ascii="Arial" w:hAnsi="Arial" w:cs="Arial"/>
          <w:sz w:val="24"/>
          <w:szCs w:val="24"/>
          <w:u w:val="single"/>
        </w:rPr>
        <w:t xml:space="preserve"> the following</w:t>
      </w:r>
      <w:r w:rsidR="007340D6" w:rsidRPr="00B61FF1">
        <w:rPr>
          <w:rFonts w:ascii="Arial" w:hAnsi="Arial" w:cs="Arial"/>
          <w:sz w:val="24"/>
          <w:szCs w:val="24"/>
          <w:u w:val="single"/>
        </w:rPr>
        <w:t xml:space="preserve"> information must be submitted</w:t>
      </w:r>
      <w:r w:rsidR="00256F04" w:rsidRPr="00B61FF1">
        <w:rPr>
          <w:rFonts w:ascii="Arial" w:hAnsi="Arial" w:cs="Arial"/>
          <w:sz w:val="24"/>
          <w:szCs w:val="24"/>
          <w:u w:val="single"/>
        </w:rPr>
        <w:t xml:space="preserve"> within 30 days of</w:t>
      </w:r>
      <w:r w:rsidR="004A1E5F" w:rsidRPr="00B61FF1">
        <w:rPr>
          <w:rFonts w:ascii="Arial" w:hAnsi="Arial" w:cs="Arial"/>
          <w:sz w:val="24"/>
          <w:szCs w:val="24"/>
          <w:u w:val="single"/>
        </w:rPr>
        <w:t xml:space="preserve"> finalization of</w:t>
      </w:r>
      <w:r w:rsidR="00256F04" w:rsidRPr="00B61FF1">
        <w:rPr>
          <w:rFonts w:ascii="Arial" w:hAnsi="Arial" w:cs="Arial"/>
          <w:sz w:val="24"/>
          <w:szCs w:val="24"/>
          <w:u w:val="single"/>
        </w:rPr>
        <w:t xml:space="preserve"> ownership change</w:t>
      </w:r>
      <w:r w:rsidR="007340D6" w:rsidRPr="00B61FF1">
        <w:rPr>
          <w:rFonts w:ascii="Arial" w:hAnsi="Arial" w:cs="Arial"/>
          <w:sz w:val="24"/>
          <w:szCs w:val="24"/>
          <w:u w:val="single"/>
        </w:rPr>
        <w:t>:</w:t>
      </w:r>
    </w:p>
    <w:p w14:paraId="37CDA837" w14:textId="77777777" w:rsidR="00A0141B" w:rsidRPr="00B61FF1" w:rsidRDefault="00A0141B" w:rsidP="00A0141B">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5427CC">
        <w:rPr>
          <w:rFonts w:ascii="Arial" w:hAnsi="Arial" w:cs="Arial"/>
          <w:sz w:val="24"/>
          <w:szCs w:val="24"/>
        </w:rPr>
        <w:tab/>
      </w:r>
      <w:r w:rsidRPr="00B61FF1">
        <w:rPr>
          <w:rFonts w:ascii="Arial" w:hAnsi="Arial" w:cs="Arial"/>
          <w:sz w:val="24"/>
          <w:szCs w:val="24"/>
          <w:u w:val="single"/>
        </w:rPr>
        <w:t>A description of the acquisition and the effective date of the change of ownership;</w:t>
      </w:r>
    </w:p>
    <w:p w14:paraId="67BB12A1" w14:textId="77777777" w:rsidR="00A0141B" w:rsidRPr="00B61FF1" w:rsidRDefault="00A0141B" w:rsidP="00A0141B">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5427CC">
        <w:rPr>
          <w:rFonts w:ascii="Arial" w:hAnsi="Arial" w:cs="Arial"/>
          <w:sz w:val="24"/>
          <w:szCs w:val="24"/>
        </w:rPr>
        <w:tab/>
      </w:r>
      <w:r w:rsidRPr="00B61FF1">
        <w:rPr>
          <w:rFonts w:ascii="Arial" w:hAnsi="Arial" w:cs="Arial"/>
          <w:sz w:val="24"/>
          <w:szCs w:val="24"/>
          <w:u w:val="single"/>
        </w:rPr>
        <w:t xml:space="preserve">Both the legal and operating names and the </w:t>
      </w:r>
      <w:r w:rsidR="009D00DE" w:rsidRPr="00B61FF1">
        <w:rPr>
          <w:rFonts w:ascii="Arial" w:hAnsi="Arial" w:cs="Arial"/>
          <w:sz w:val="24"/>
          <w:szCs w:val="24"/>
          <w:u w:val="single"/>
        </w:rPr>
        <w:t>tracking system e</w:t>
      </w:r>
      <w:r w:rsidRPr="00B61FF1">
        <w:rPr>
          <w:rFonts w:ascii="Arial" w:hAnsi="Arial" w:cs="Arial"/>
          <w:sz w:val="24"/>
          <w:szCs w:val="24"/>
          <w:u w:val="single"/>
        </w:rPr>
        <w:t>ntity IDs of the entities being purchased;</w:t>
      </w:r>
    </w:p>
    <w:p w14:paraId="0EC6A3BA" w14:textId="684B0152" w:rsidR="00A0141B" w:rsidRPr="00B61FF1" w:rsidRDefault="00A0141B" w:rsidP="00A0141B">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5427CC">
        <w:rPr>
          <w:rFonts w:ascii="Arial" w:hAnsi="Arial" w:cs="Arial"/>
          <w:sz w:val="24"/>
          <w:szCs w:val="24"/>
        </w:rPr>
        <w:tab/>
      </w:r>
      <w:r w:rsidRPr="00B61FF1">
        <w:rPr>
          <w:rFonts w:ascii="Arial" w:hAnsi="Arial" w:cs="Arial"/>
          <w:sz w:val="24"/>
          <w:szCs w:val="24"/>
          <w:u w:val="single"/>
        </w:rPr>
        <w:t xml:space="preserve">Both the legal and operating names and the </w:t>
      </w:r>
      <w:r w:rsidR="009D00DE" w:rsidRPr="00B61FF1">
        <w:rPr>
          <w:rFonts w:ascii="Arial" w:hAnsi="Arial" w:cs="Arial"/>
          <w:sz w:val="24"/>
          <w:szCs w:val="24"/>
          <w:u w:val="single"/>
        </w:rPr>
        <w:t>tracking system e</w:t>
      </w:r>
      <w:r w:rsidRPr="00B61FF1">
        <w:rPr>
          <w:rFonts w:ascii="Arial" w:hAnsi="Arial" w:cs="Arial"/>
          <w:sz w:val="24"/>
          <w:szCs w:val="24"/>
          <w:u w:val="single"/>
        </w:rPr>
        <w:t>ntity ID of the purchasing entity</w:t>
      </w:r>
      <w:r w:rsidR="00256F04" w:rsidRPr="00B61FF1">
        <w:rPr>
          <w:rFonts w:ascii="Arial" w:hAnsi="Arial" w:cs="Arial"/>
          <w:sz w:val="24"/>
          <w:szCs w:val="24"/>
          <w:u w:val="single"/>
        </w:rPr>
        <w:t>, if any</w:t>
      </w:r>
      <w:r w:rsidRPr="00B61FF1">
        <w:rPr>
          <w:rFonts w:ascii="Arial" w:hAnsi="Arial" w:cs="Arial"/>
          <w:sz w:val="24"/>
          <w:szCs w:val="24"/>
          <w:u w:val="single"/>
        </w:rPr>
        <w:t>;</w:t>
      </w:r>
    </w:p>
    <w:p w14:paraId="7583C5FF" w14:textId="627BA138" w:rsidR="00A0141B" w:rsidRPr="00B61FF1" w:rsidRDefault="00A0141B" w:rsidP="00A0141B">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5427CC">
        <w:rPr>
          <w:rFonts w:ascii="Arial" w:hAnsi="Arial" w:cs="Arial"/>
          <w:sz w:val="24"/>
          <w:szCs w:val="24"/>
        </w:rPr>
        <w:tab/>
      </w:r>
      <w:r w:rsidR="00256F04" w:rsidRPr="00B61FF1">
        <w:rPr>
          <w:rFonts w:ascii="Arial" w:hAnsi="Arial" w:cs="Arial"/>
          <w:sz w:val="24"/>
          <w:szCs w:val="24"/>
          <w:u w:val="single"/>
        </w:rPr>
        <w:t>Written d</w:t>
      </w:r>
      <w:r w:rsidRPr="00B61FF1">
        <w:rPr>
          <w:rFonts w:ascii="Arial" w:hAnsi="Arial" w:cs="Arial"/>
          <w:sz w:val="24"/>
          <w:szCs w:val="24"/>
          <w:u w:val="single"/>
        </w:rPr>
        <w:t>irection whether the purchas</w:t>
      </w:r>
      <w:r w:rsidR="009D00DE" w:rsidRPr="00B61FF1">
        <w:rPr>
          <w:rFonts w:ascii="Arial" w:hAnsi="Arial" w:cs="Arial"/>
          <w:sz w:val="24"/>
          <w:szCs w:val="24"/>
          <w:u w:val="single"/>
        </w:rPr>
        <w:t>ed entities will be added to a consolidated entity a</w:t>
      </w:r>
      <w:r w:rsidRPr="00B61FF1">
        <w:rPr>
          <w:rFonts w:ascii="Arial" w:hAnsi="Arial" w:cs="Arial"/>
          <w:sz w:val="24"/>
          <w:szCs w:val="24"/>
          <w:u w:val="single"/>
        </w:rPr>
        <w:t xml:space="preserve">ccount or whether the purchased entities will </w:t>
      </w:r>
      <w:r w:rsidR="00E65009" w:rsidRPr="00B61FF1">
        <w:rPr>
          <w:rFonts w:ascii="Arial" w:hAnsi="Arial" w:cs="Arial"/>
          <w:sz w:val="24"/>
          <w:szCs w:val="24"/>
          <w:u w:val="single"/>
        </w:rPr>
        <w:t xml:space="preserve">opt-out of </w:t>
      </w:r>
      <w:r w:rsidR="00B57789" w:rsidRPr="00B61FF1">
        <w:rPr>
          <w:rFonts w:ascii="Arial" w:hAnsi="Arial" w:cs="Arial"/>
          <w:sz w:val="24"/>
          <w:szCs w:val="24"/>
          <w:u w:val="single"/>
        </w:rPr>
        <w:t xml:space="preserve">account </w:t>
      </w:r>
      <w:r w:rsidR="00E65009" w:rsidRPr="00B61FF1">
        <w:rPr>
          <w:rFonts w:ascii="Arial" w:hAnsi="Arial" w:cs="Arial"/>
          <w:sz w:val="24"/>
          <w:szCs w:val="24"/>
          <w:u w:val="single"/>
        </w:rPr>
        <w:t>consolidation</w:t>
      </w:r>
      <w:r w:rsidRPr="00B61FF1">
        <w:rPr>
          <w:rFonts w:ascii="Arial" w:hAnsi="Arial" w:cs="Arial"/>
          <w:sz w:val="24"/>
          <w:szCs w:val="24"/>
          <w:u w:val="single"/>
        </w:rPr>
        <w:t xml:space="preserve"> </w:t>
      </w:r>
      <w:r w:rsidR="009D00DE" w:rsidRPr="00B61FF1">
        <w:rPr>
          <w:rFonts w:ascii="Arial" w:hAnsi="Arial" w:cs="Arial"/>
          <w:sz w:val="24"/>
          <w:szCs w:val="24"/>
          <w:u w:val="single"/>
        </w:rPr>
        <w:t>pursuant to section 958</w:t>
      </w:r>
      <w:r w:rsidR="00E65009" w:rsidRPr="00B61FF1">
        <w:rPr>
          <w:rFonts w:ascii="Arial" w:hAnsi="Arial" w:cs="Arial"/>
          <w:sz w:val="24"/>
          <w:szCs w:val="24"/>
          <w:u w:val="single"/>
        </w:rPr>
        <w:t>33(f)</w:t>
      </w:r>
      <w:r w:rsidRPr="00B61FF1">
        <w:rPr>
          <w:rFonts w:ascii="Arial" w:hAnsi="Arial" w:cs="Arial"/>
          <w:sz w:val="24"/>
          <w:szCs w:val="24"/>
          <w:u w:val="single"/>
        </w:rPr>
        <w:t>;</w:t>
      </w:r>
    </w:p>
    <w:p w14:paraId="5B4FC703" w14:textId="77777777" w:rsidR="00A0141B" w:rsidRPr="00B61FF1" w:rsidRDefault="00A0141B" w:rsidP="00A0141B">
      <w:pPr>
        <w:spacing w:line="360" w:lineRule="auto"/>
        <w:ind w:left="1080" w:hanging="720"/>
        <w:rPr>
          <w:rFonts w:ascii="Arial" w:hAnsi="Arial" w:cs="Arial"/>
          <w:sz w:val="24"/>
          <w:szCs w:val="24"/>
          <w:u w:val="single"/>
        </w:rPr>
      </w:pPr>
      <w:r w:rsidRPr="00B61FF1">
        <w:rPr>
          <w:rFonts w:ascii="Arial" w:hAnsi="Arial" w:cs="Arial"/>
          <w:sz w:val="24"/>
          <w:szCs w:val="24"/>
          <w:u w:val="single"/>
        </w:rPr>
        <w:lastRenderedPageBreak/>
        <w:t>(5)</w:t>
      </w:r>
      <w:r w:rsidRPr="005427CC">
        <w:rPr>
          <w:rFonts w:ascii="Arial" w:hAnsi="Arial" w:cs="Arial"/>
          <w:sz w:val="24"/>
          <w:szCs w:val="24"/>
        </w:rPr>
        <w:tab/>
      </w:r>
      <w:r w:rsidRPr="00B61FF1">
        <w:rPr>
          <w:rFonts w:ascii="Arial" w:hAnsi="Arial" w:cs="Arial"/>
          <w:sz w:val="24"/>
          <w:szCs w:val="24"/>
          <w:u w:val="single"/>
        </w:rPr>
        <w:t>Original signatures by a Director or Officer from the entities being purchased and the purchasing entity, authorizing the change of   ownership.</w:t>
      </w:r>
    </w:p>
    <w:p w14:paraId="1E92B634" w14:textId="77777777" w:rsidR="00A0141B" w:rsidRPr="00B61FF1" w:rsidRDefault="00A0141B" w:rsidP="00A0141B">
      <w:pPr>
        <w:spacing w:line="360" w:lineRule="auto"/>
        <w:ind w:left="1080" w:hanging="720"/>
        <w:rPr>
          <w:rFonts w:ascii="Arial" w:hAnsi="Arial" w:cs="Arial"/>
          <w:sz w:val="24"/>
          <w:szCs w:val="24"/>
          <w:u w:val="single"/>
        </w:rPr>
      </w:pPr>
      <w:r w:rsidRPr="00B61FF1">
        <w:rPr>
          <w:rFonts w:ascii="Arial" w:hAnsi="Arial" w:cs="Arial"/>
          <w:sz w:val="24"/>
          <w:szCs w:val="24"/>
          <w:u w:val="single"/>
        </w:rPr>
        <w:t>(6)</w:t>
      </w:r>
      <w:r w:rsidRPr="005427CC">
        <w:rPr>
          <w:rFonts w:ascii="Arial" w:hAnsi="Arial" w:cs="Arial"/>
          <w:sz w:val="24"/>
          <w:szCs w:val="24"/>
        </w:rPr>
        <w:tab/>
      </w:r>
      <w:r w:rsidRPr="00B61FF1">
        <w:rPr>
          <w:rFonts w:ascii="Arial" w:hAnsi="Arial" w:cs="Arial"/>
          <w:sz w:val="24"/>
          <w:szCs w:val="24"/>
          <w:u w:val="single"/>
        </w:rPr>
        <w:t>A</w:t>
      </w:r>
      <w:r w:rsidR="00B57789" w:rsidRPr="00B61FF1">
        <w:rPr>
          <w:rFonts w:ascii="Arial" w:hAnsi="Arial" w:cs="Arial"/>
          <w:sz w:val="24"/>
          <w:szCs w:val="24"/>
          <w:u w:val="single"/>
        </w:rPr>
        <w:t>ny changes or new information pursuant to section 95833</w:t>
      </w:r>
      <w:r w:rsidRPr="00B61FF1">
        <w:rPr>
          <w:rFonts w:ascii="Arial" w:hAnsi="Arial" w:cs="Arial"/>
          <w:sz w:val="24"/>
          <w:szCs w:val="24"/>
          <w:u w:val="single"/>
        </w:rPr>
        <w:t>.</w:t>
      </w:r>
    </w:p>
    <w:p w14:paraId="7D64A2E2" w14:textId="77777777" w:rsidR="00A0141B" w:rsidRPr="00B61FF1" w:rsidRDefault="00A0141B" w:rsidP="00F51335">
      <w:pPr>
        <w:spacing w:line="360" w:lineRule="auto"/>
        <w:ind w:left="1080" w:hanging="720"/>
        <w:rPr>
          <w:rFonts w:ascii="Arial" w:hAnsi="Arial" w:cs="Arial"/>
          <w:sz w:val="24"/>
          <w:szCs w:val="24"/>
        </w:rPr>
      </w:pPr>
    </w:p>
    <w:p w14:paraId="18C9A892"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B54B53F"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4BB9DAF2" w14:textId="77777777" w:rsidR="00BD1FA4" w:rsidRPr="00B61FF1" w:rsidRDefault="00BD1FA4" w:rsidP="00EC7AFC">
      <w:pPr>
        <w:rPr>
          <w:rFonts w:ascii="Arial" w:hAnsi="Arial" w:cs="Arial"/>
        </w:rPr>
      </w:pPr>
    </w:p>
    <w:p w14:paraId="3411646F" w14:textId="77777777" w:rsidR="00FE6B15" w:rsidRPr="00B61FF1" w:rsidRDefault="00FE6B15" w:rsidP="004E3B67">
      <w:pPr>
        <w:pStyle w:val="Heading2"/>
        <w:keepNext w:val="0"/>
        <w:rPr>
          <w:i/>
          <w:szCs w:val="24"/>
        </w:rPr>
      </w:pPr>
      <w:bookmarkStart w:id="127" w:name="_Toc268526201"/>
      <w:bookmarkStart w:id="128" w:name="_Toc269798061"/>
      <w:bookmarkStart w:id="129" w:name="_Toc299094918"/>
      <w:bookmarkStart w:id="130" w:name="_Toc302746771"/>
      <w:bookmarkStart w:id="131" w:name="_Toc352146233"/>
      <w:bookmarkStart w:id="132" w:name="_Toc361659834"/>
      <w:r w:rsidRPr="00B61FF1">
        <w:rPr>
          <w:szCs w:val="24"/>
        </w:rPr>
        <w:t>§ 95831.  Account Types</w:t>
      </w:r>
      <w:bookmarkEnd w:id="127"/>
      <w:bookmarkEnd w:id="128"/>
      <w:r w:rsidR="004224EA" w:rsidRPr="00B61FF1">
        <w:rPr>
          <w:szCs w:val="24"/>
        </w:rPr>
        <w:t>.</w:t>
      </w:r>
      <w:bookmarkEnd w:id="129"/>
      <w:bookmarkEnd w:id="130"/>
      <w:bookmarkEnd w:id="131"/>
      <w:bookmarkEnd w:id="132"/>
    </w:p>
    <w:p w14:paraId="1A46CD18" w14:textId="77777777" w:rsidR="00FE6B15" w:rsidRPr="00B61FF1" w:rsidRDefault="00CE1396" w:rsidP="00FE6A4C">
      <w:pPr>
        <w:numPr>
          <w:ilvl w:val="0"/>
          <w:numId w:val="19"/>
        </w:numPr>
        <w:spacing w:line="360" w:lineRule="auto"/>
        <w:rPr>
          <w:rFonts w:ascii="Arial" w:hAnsi="Arial" w:cs="Arial"/>
          <w:sz w:val="24"/>
          <w:szCs w:val="24"/>
        </w:rPr>
      </w:pPr>
      <w:r w:rsidRPr="00B61FF1">
        <w:rPr>
          <w:rFonts w:ascii="Arial" w:hAnsi="Arial" w:cs="Arial"/>
          <w:sz w:val="24"/>
          <w:szCs w:val="24"/>
        </w:rPr>
        <w:t>Accounts C</w:t>
      </w:r>
      <w:r w:rsidR="0091598C" w:rsidRPr="00B61FF1">
        <w:rPr>
          <w:rFonts w:ascii="Arial" w:hAnsi="Arial" w:cs="Arial"/>
          <w:sz w:val="24"/>
          <w:szCs w:val="24"/>
        </w:rPr>
        <w:t>reated for Registered Entities.</w:t>
      </w:r>
    </w:p>
    <w:p w14:paraId="2936D23C" w14:textId="77777777" w:rsidR="0045394E" w:rsidRPr="00B61FF1" w:rsidRDefault="0045394E" w:rsidP="00FE6A4C">
      <w:pPr>
        <w:numPr>
          <w:ilvl w:val="1"/>
          <w:numId w:val="19"/>
        </w:numPr>
        <w:spacing w:line="360" w:lineRule="auto"/>
        <w:rPr>
          <w:rFonts w:ascii="Arial" w:hAnsi="Arial" w:cs="Arial"/>
          <w:dstrike/>
          <w:sz w:val="24"/>
          <w:szCs w:val="24"/>
        </w:rPr>
      </w:pPr>
      <w:r w:rsidRPr="00B61FF1">
        <w:rPr>
          <w:rFonts w:ascii="Arial" w:hAnsi="Arial" w:cs="Arial"/>
          <w:sz w:val="24"/>
          <w:szCs w:val="24"/>
        </w:rPr>
        <w:t xml:space="preserve">The Executive Officer shall not create more than one holding account,  </w:t>
      </w:r>
      <w:r w:rsidR="002924F1" w:rsidRPr="00B61FF1">
        <w:rPr>
          <w:rFonts w:ascii="Arial" w:hAnsi="Arial" w:cs="Arial"/>
          <w:sz w:val="24"/>
          <w:szCs w:val="24"/>
        </w:rPr>
        <w:t xml:space="preserve">one </w:t>
      </w:r>
      <w:r w:rsidRPr="00B61FF1">
        <w:rPr>
          <w:rFonts w:ascii="Arial" w:hAnsi="Arial" w:cs="Arial"/>
          <w:sz w:val="24"/>
          <w:szCs w:val="24"/>
        </w:rPr>
        <w:t xml:space="preserve">limited use holding account, </w:t>
      </w:r>
      <w:r w:rsidR="00CE1396" w:rsidRPr="00B61FF1">
        <w:rPr>
          <w:rFonts w:ascii="Arial" w:hAnsi="Arial" w:cs="Arial"/>
          <w:sz w:val="24"/>
          <w:szCs w:val="24"/>
        </w:rPr>
        <w:t xml:space="preserve">one compliance account, </w:t>
      </w:r>
      <w:r w:rsidRPr="00B61FF1">
        <w:rPr>
          <w:rFonts w:ascii="Arial" w:hAnsi="Arial" w:cs="Arial"/>
          <w:sz w:val="24"/>
          <w:szCs w:val="24"/>
        </w:rPr>
        <w:t xml:space="preserve">or </w:t>
      </w:r>
      <w:r w:rsidR="002924F1" w:rsidRPr="00B61FF1">
        <w:rPr>
          <w:rFonts w:ascii="Arial" w:hAnsi="Arial" w:cs="Arial"/>
          <w:sz w:val="24"/>
          <w:szCs w:val="24"/>
        </w:rPr>
        <w:t xml:space="preserve">one </w:t>
      </w:r>
      <w:r w:rsidRPr="00B61FF1">
        <w:rPr>
          <w:rFonts w:ascii="Arial" w:hAnsi="Arial" w:cs="Arial"/>
          <w:sz w:val="24"/>
          <w:szCs w:val="24"/>
        </w:rPr>
        <w:t>exchange clearing holding account for each entity registered pursuant to 95830.</w:t>
      </w:r>
    </w:p>
    <w:p w14:paraId="372C0A56" w14:textId="77777777" w:rsidR="00FE6B15" w:rsidRPr="00B61FF1" w:rsidRDefault="00FE6B15" w:rsidP="00FE6A4C">
      <w:pPr>
        <w:numPr>
          <w:ilvl w:val="1"/>
          <w:numId w:val="19"/>
        </w:numPr>
        <w:spacing w:line="360" w:lineRule="auto"/>
        <w:rPr>
          <w:rFonts w:ascii="Arial" w:hAnsi="Arial" w:cs="Arial"/>
          <w:sz w:val="24"/>
          <w:szCs w:val="24"/>
        </w:rPr>
      </w:pPr>
      <w:r w:rsidRPr="00B61FF1">
        <w:rPr>
          <w:rFonts w:ascii="Arial" w:hAnsi="Arial" w:cs="Arial"/>
          <w:sz w:val="24"/>
          <w:szCs w:val="24"/>
        </w:rPr>
        <w:t>Holding Accounts.  When the Executive Officer approves a registration for a covered entity, an opt-in covered entity, or a voluntarily associated entity, the accounts administrator will create a holding account for the registrant.</w:t>
      </w:r>
    </w:p>
    <w:p w14:paraId="2F95441C" w14:textId="77777777" w:rsidR="00FE6B15" w:rsidRPr="00B61FF1" w:rsidRDefault="00FE6B15" w:rsidP="00FE6A4C">
      <w:pPr>
        <w:numPr>
          <w:ilvl w:val="1"/>
          <w:numId w:val="19"/>
        </w:numPr>
        <w:spacing w:line="360" w:lineRule="auto"/>
        <w:rPr>
          <w:rFonts w:ascii="Arial" w:hAnsi="Arial" w:cs="Arial"/>
          <w:sz w:val="24"/>
          <w:szCs w:val="24"/>
        </w:rPr>
      </w:pPr>
      <w:r w:rsidRPr="00B61FF1">
        <w:rPr>
          <w:rFonts w:ascii="Arial" w:hAnsi="Arial" w:cs="Arial"/>
          <w:sz w:val="24"/>
          <w:szCs w:val="24"/>
        </w:rPr>
        <w:t xml:space="preserve">Limited Use Holding Accounts.  When an entity qualifies for a direct allocation under section </w:t>
      </w:r>
      <w:r w:rsidR="00C63A46" w:rsidRPr="00B61FF1">
        <w:rPr>
          <w:rFonts w:ascii="Arial" w:hAnsi="Arial" w:cs="Arial"/>
          <w:sz w:val="24"/>
          <w:szCs w:val="24"/>
        </w:rPr>
        <w:t>95890</w:t>
      </w:r>
      <w:r w:rsidR="004224EA" w:rsidRPr="00B61FF1">
        <w:rPr>
          <w:rFonts w:ascii="Arial" w:hAnsi="Arial" w:cs="Arial"/>
          <w:sz w:val="24"/>
          <w:szCs w:val="24"/>
        </w:rPr>
        <w:t>(b)</w:t>
      </w:r>
      <w:r w:rsidR="00C63A46" w:rsidRPr="00B61FF1">
        <w:rPr>
          <w:rFonts w:ascii="Arial" w:hAnsi="Arial" w:cs="Arial"/>
          <w:sz w:val="24"/>
          <w:szCs w:val="24"/>
        </w:rPr>
        <w:t xml:space="preserve"> </w:t>
      </w:r>
      <w:r w:rsidRPr="00B61FF1">
        <w:rPr>
          <w:rFonts w:ascii="Arial" w:hAnsi="Arial" w:cs="Arial"/>
          <w:sz w:val="24"/>
          <w:szCs w:val="24"/>
        </w:rPr>
        <w:t xml:space="preserve">the accounts administrator will create a limited use holding account for the entity that shall be subject to the following restrictions: </w:t>
      </w:r>
    </w:p>
    <w:p w14:paraId="0C62A8DD" w14:textId="77777777" w:rsidR="00FE6B15" w:rsidRPr="00B61FF1" w:rsidRDefault="00FE6B15" w:rsidP="00FE6A4C">
      <w:pPr>
        <w:numPr>
          <w:ilvl w:val="2"/>
          <w:numId w:val="19"/>
        </w:numPr>
        <w:spacing w:line="360" w:lineRule="auto"/>
        <w:rPr>
          <w:rFonts w:ascii="Arial" w:hAnsi="Arial" w:cs="Arial"/>
          <w:sz w:val="24"/>
          <w:szCs w:val="24"/>
        </w:rPr>
      </w:pPr>
      <w:r w:rsidRPr="00B61FF1">
        <w:rPr>
          <w:rFonts w:ascii="Arial" w:hAnsi="Arial" w:cs="Arial"/>
          <w:sz w:val="24"/>
          <w:szCs w:val="24"/>
        </w:rPr>
        <w:t>The entity may not transfer compliance instruments from other accounts into the limited use holding account; and</w:t>
      </w:r>
    </w:p>
    <w:p w14:paraId="3FF4CCB9" w14:textId="77777777" w:rsidR="00FE6B15" w:rsidRPr="00B61FF1" w:rsidRDefault="00FE6B15" w:rsidP="00FE6A4C">
      <w:pPr>
        <w:numPr>
          <w:ilvl w:val="2"/>
          <w:numId w:val="19"/>
        </w:numPr>
        <w:spacing w:line="360" w:lineRule="auto"/>
        <w:rPr>
          <w:rFonts w:ascii="Arial" w:hAnsi="Arial" w:cs="Arial"/>
          <w:sz w:val="24"/>
          <w:szCs w:val="24"/>
        </w:rPr>
      </w:pPr>
      <w:r w:rsidRPr="00B61FF1">
        <w:rPr>
          <w:rFonts w:ascii="Arial" w:hAnsi="Arial" w:cs="Arial"/>
          <w:sz w:val="24"/>
          <w:szCs w:val="24"/>
        </w:rPr>
        <w:t xml:space="preserve">The entity may not transfer compliance instruments from the limited use holding account to any account other than the Auction Holding Account. </w:t>
      </w:r>
    </w:p>
    <w:p w14:paraId="2D5EB604" w14:textId="77777777" w:rsidR="00FE6B15" w:rsidRPr="00B61FF1" w:rsidRDefault="00FE6B15" w:rsidP="00FE6A4C">
      <w:pPr>
        <w:numPr>
          <w:ilvl w:val="1"/>
          <w:numId w:val="19"/>
        </w:numPr>
        <w:spacing w:line="360" w:lineRule="auto"/>
        <w:rPr>
          <w:rFonts w:ascii="Arial" w:hAnsi="Arial" w:cs="Arial"/>
          <w:sz w:val="24"/>
          <w:szCs w:val="24"/>
        </w:rPr>
      </w:pPr>
      <w:r w:rsidRPr="00B61FF1">
        <w:rPr>
          <w:rFonts w:ascii="Arial" w:hAnsi="Arial" w:cs="Arial"/>
          <w:sz w:val="24"/>
          <w:szCs w:val="24"/>
        </w:rPr>
        <w:t xml:space="preserve">Compliance Accounts.  When </w:t>
      </w:r>
      <w:r w:rsidR="00C63A46" w:rsidRPr="00B61FF1">
        <w:rPr>
          <w:rFonts w:ascii="Arial" w:hAnsi="Arial" w:cs="Arial"/>
          <w:sz w:val="24"/>
          <w:szCs w:val="24"/>
        </w:rPr>
        <w:t xml:space="preserve">the Executive Officer approves a registration for </w:t>
      </w:r>
      <w:r w:rsidRPr="00B61FF1">
        <w:rPr>
          <w:rFonts w:ascii="Arial" w:hAnsi="Arial" w:cs="Arial"/>
          <w:sz w:val="24"/>
          <w:szCs w:val="24"/>
        </w:rPr>
        <w:t>a covered entity or opt-in covered entity, the account</w:t>
      </w:r>
      <w:r w:rsidR="00C63A46" w:rsidRPr="00B61FF1">
        <w:rPr>
          <w:rFonts w:ascii="Arial" w:hAnsi="Arial" w:cs="Arial"/>
          <w:sz w:val="24"/>
          <w:szCs w:val="24"/>
        </w:rPr>
        <w:t>s</w:t>
      </w:r>
      <w:r w:rsidRPr="00B61FF1">
        <w:rPr>
          <w:rFonts w:ascii="Arial" w:hAnsi="Arial" w:cs="Arial"/>
          <w:sz w:val="24"/>
          <w:szCs w:val="24"/>
        </w:rPr>
        <w:t xml:space="preserve"> administrator will create a compliance account for the entity.</w:t>
      </w:r>
    </w:p>
    <w:p w14:paraId="25798501" w14:textId="77777777" w:rsidR="00FE6B15" w:rsidRPr="00B61FF1" w:rsidRDefault="00FE6B15" w:rsidP="00FE6A4C">
      <w:pPr>
        <w:numPr>
          <w:ilvl w:val="2"/>
          <w:numId w:val="19"/>
        </w:numPr>
        <w:spacing w:line="360" w:lineRule="auto"/>
        <w:rPr>
          <w:rFonts w:ascii="Arial" w:hAnsi="Arial" w:cs="Arial"/>
          <w:sz w:val="24"/>
          <w:szCs w:val="24"/>
        </w:rPr>
      </w:pPr>
      <w:r w:rsidRPr="00B61FF1">
        <w:rPr>
          <w:rFonts w:ascii="Arial" w:hAnsi="Arial" w:cs="Arial"/>
          <w:sz w:val="24"/>
          <w:szCs w:val="24"/>
        </w:rPr>
        <w:lastRenderedPageBreak/>
        <w:t>A covered entity or opt-in covered entity may transfer compliance instruments to its compliance account at any time.</w:t>
      </w:r>
    </w:p>
    <w:p w14:paraId="41F05121" w14:textId="77777777" w:rsidR="00B755C1" w:rsidRPr="00B61FF1" w:rsidRDefault="00B755C1" w:rsidP="008F0BED">
      <w:pPr>
        <w:spacing w:line="360" w:lineRule="auto"/>
        <w:ind w:left="1800" w:hanging="720"/>
        <w:rPr>
          <w:rFonts w:ascii="Arial" w:hAnsi="Arial" w:cs="Arial"/>
          <w:sz w:val="24"/>
          <w:szCs w:val="24"/>
        </w:rPr>
      </w:pPr>
      <w:r w:rsidRPr="00B61FF1">
        <w:rPr>
          <w:rFonts w:ascii="Arial" w:hAnsi="Arial" w:cs="Arial"/>
          <w:sz w:val="24"/>
          <w:szCs w:val="24"/>
        </w:rPr>
        <w:t>(B)</w:t>
      </w:r>
      <w:r w:rsidR="00706AB3" w:rsidRPr="00B61FF1">
        <w:rPr>
          <w:rFonts w:ascii="Arial" w:hAnsi="Arial" w:cs="Arial"/>
          <w:sz w:val="24"/>
          <w:szCs w:val="24"/>
        </w:rPr>
        <w:tab/>
      </w:r>
      <w:r w:rsidRPr="00B61FF1">
        <w:rPr>
          <w:rFonts w:ascii="Arial" w:hAnsi="Arial" w:cs="Arial"/>
          <w:sz w:val="24"/>
          <w:szCs w:val="24"/>
        </w:rPr>
        <w:t>A compliance instrument transferred into a compliance account may not be removed by the entity.</w:t>
      </w:r>
    </w:p>
    <w:p w14:paraId="3B6529B1" w14:textId="77777777" w:rsidR="0045394E" w:rsidRPr="00B61FF1" w:rsidRDefault="0045394E" w:rsidP="008F0BED">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Executive Officer may transfer compliance instruments into a compliance account</w:t>
      </w:r>
      <w:r w:rsidR="002924F1" w:rsidRPr="00B61FF1">
        <w:rPr>
          <w:rFonts w:ascii="Arial" w:hAnsi="Arial" w:cs="Arial"/>
          <w:sz w:val="24"/>
          <w:szCs w:val="24"/>
        </w:rPr>
        <w:t>.</w:t>
      </w:r>
      <w:r w:rsidRPr="00B61FF1">
        <w:rPr>
          <w:rFonts w:ascii="Arial" w:hAnsi="Arial" w:cs="Arial"/>
          <w:sz w:val="24"/>
          <w:szCs w:val="24"/>
        </w:rPr>
        <w:t xml:space="preserve"> </w:t>
      </w:r>
      <w:r w:rsidR="002924F1" w:rsidRPr="00B61FF1">
        <w:rPr>
          <w:rFonts w:ascii="Arial" w:hAnsi="Arial" w:cs="Arial"/>
          <w:sz w:val="24"/>
          <w:szCs w:val="24"/>
        </w:rPr>
        <w:t>The Executive Officer</w:t>
      </w:r>
      <w:r w:rsidRPr="00B61FF1">
        <w:rPr>
          <w:rFonts w:ascii="Arial" w:hAnsi="Arial" w:cs="Arial"/>
          <w:sz w:val="24"/>
          <w:szCs w:val="24"/>
        </w:rPr>
        <w:t xml:space="preserve"> may remove </w:t>
      </w:r>
      <w:r w:rsidR="002924F1" w:rsidRPr="00B61FF1">
        <w:rPr>
          <w:rFonts w:ascii="Arial" w:hAnsi="Arial" w:cs="Arial"/>
          <w:sz w:val="24"/>
          <w:szCs w:val="24"/>
        </w:rPr>
        <w:t>compliance instruments</w:t>
      </w:r>
      <w:r w:rsidRPr="00B61FF1">
        <w:rPr>
          <w:rFonts w:ascii="Arial" w:hAnsi="Arial" w:cs="Arial"/>
          <w:sz w:val="24"/>
          <w:szCs w:val="24"/>
        </w:rPr>
        <w:t xml:space="preserve"> to satisfy a compliance obligation, or when closing an account.</w:t>
      </w:r>
    </w:p>
    <w:p w14:paraId="32FD48D0" w14:textId="59A13BF5" w:rsidR="00C63A46" w:rsidRPr="00B61FF1" w:rsidRDefault="00731763" w:rsidP="00731763">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C63A46" w:rsidRPr="00B61FF1">
        <w:rPr>
          <w:rFonts w:ascii="Arial" w:hAnsi="Arial" w:cs="Arial"/>
          <w:sz w:val="24"/>
          <w:szCs w:val="24"/>
        </w:rPr>
        <w:t xml:space="preserve">Exchange Clearing Holding Accounts.  When the Executive Officer approves registration for an entity </w:t>
      </w:r>
      <w:r w:rsidR="004224EA" w:rsidRPr="00B61FF1">
        <w:rPr>
          <w:rFonts w:ascii="Arial" w:hAnsi="Arial" w:cs="Arial"/>
          <w:sz w:val="24"/>
          <w:szCs w:val="24"/>
        </w:rPr>
        <w:t xml:space="preserve">identified </w:t>
      </w:r>
      <w:r w:rsidR="00C63A46" w:rsidRPr="00B61FF1">
        <w:rPr>
          <w:rFonts w:ascii="Arial" w:hAnsi="Arial" w:cs="Arial"/>
          <w:sz w:val="24"/>
          <w:szCs w:val="24"/>
        </w:rPr>
        <w:t xml:space="preserve">as a voluntarily associated entity pursuant to </w:t>
      </w:r>
      <w:r w:rsidR="00F44474" w:rsidRPr="00B61FF1">
        <w:rPr>
          <w:rFonts w:ascii="Arial" w:hAnsi="Arial" w:cs="Arial"/>
          <w:sz w:val="24"/>
          <w:szCs w:val="24"/>
        </w:rPr>
        <w:t xml:space="preserve">section </w:t>
      </w:r>
      <w:r w:rsidR="004224EA" w:rsidRPr="00B61FF1">
        <w:rPr>
          <w:rFonts w:ascii="Arial" w:hAnsi="Arial" w:cs="Arial"/>
          <w:sz w:val="24"/>
          <w:szCs w:val="24"/>
        </w:rPr>
        <w:t>95814(a)(</w:t>
      </w:r>
      <w:r w:rsidR="007F66AD" w:rsidRPr="00B61FF1">
        <w:rPr>
          <w:rFonts w:ascii="Arial" w:hAnsi="Arial" w:cs="Arial"/>
          <w:sz w:val="24"/>
          <w:szCs w:val="24"/>
        </w:rPr>
        <w:t>1</w:t>
      </w:r>
      <w:r w:rsidR="004224EA" w:rsidRPr="00B61FF1">
        <w:rPr>
          <w:rFonts w:ascii="Arial" w:hAnsi="Arial" w:cs="Arial"/>
          <w:sz w:val="24"/>
          <w:szCs w:val="24"/>
        </w:rPr>
        <w:t>)</w:t>
      </w:r>
      <w:r w:rsidR="00D472A2" w:rsidRPr="00B61FF1">
        <w:rPr>
          <w:rFonts w:ascii="Arial" w:hAnsi="Arial" w:cs="Arial"/>
          <w:sz w:val="24"/>
          <w:szCs w:val="24"/>
          <w:u w:val="single"/>
        </w:rPr>
        <w:t>(C)</w:t>
      </w:r>
      <w:r w:rsidR="00C63A46" w:rsidRPr="00B61FF1">
        <w:rPr>
          <w:rFonts w:ascii="Arial" w:hAnsi="Arial" w:cs="Arial"/>
          <w:sz w:val="24"/>
          <w:szCs w:val="24"/>
        </w:rPr>
        <w:t>, then the accounts administrator will create an exchange clearing holding account for the entity.</w:t>
      </w:r>
    </w:p>
    <w:p w14:paraId="39DF216A" w14:textId="77777777" w:rsidR="00C63A46" w:rsidRPr="00B61FF1" w:rsidRDefault="00731763" w:rsidP="0073176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C63A46" w:rsidRPr="00B61FF1">
        <w:rPr>
          <w:rFonts w:ascii="Arial" w:hAnsi="Arial" w:cs="Arial"/>
          <w:sz w:val="24"/>
          <w:szCs w:val="24"/>
        </w:rPr>
        <w:t>Entities may transfer compliance instruments to exchange clearing accounts only for the purpose of transferring control of the instruments to the entity performing the clearing function.</w:t>
      </w:r>
    </w:p>
    <w:p w14:paraId="4011AEC8" w14:textId="77777777" w:rsidR="00C63A46" w:rsidRPr="00B61FF1" w:rsidRDefault="00731763" w:rsidP="00731763">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C63A46" w:rsidRPr="00B61FF1">
        <w:rPr>
          <w:rFonts w:ascii="Arial" w:hAnsi="Arial" w:cs="Arial"/>
          <w:sz w:val="24"/>
          <w:szCs w:val="24"/>
        </w:rPr>
        <w:t xml:space="preserve">The clearing entity may only transfer the compliance instruments in its exchange clearing holding account to the </w:t>
      </w:r>
      <w:r w:rsidR="00CE52F3" w:rsidRPr="00B61FF1">
        <w:rPr>
          <w:rFonts w:ascii="Arial" w:hAnsi="Arial" w:cs="Arial"/>
          <w:sz w:val="24"/>
          <w:szCs w:val="24"/>
        </w:rPr>
        <w:t xml:space="preserve">account </w:t>
      </w:r>
      <w:r w:rsidR="00205CF2" w:rsidRPr="00B61FF1">
        <w:rPr>
          <w:rFonts w:ascii="Arial" w:hAnsi="Arial" w:cs="Arial"/>
          <w:sz w:val="24"/>
          <w:szCs w:val="24"/>
        </w:rPr>
        <w:t xml:space="preserve">designated by the </w:t>
      </w:r>
      <w:r w:rsidR="00C63A46" w:rsidRPr="00B61FF1">
        <w:rPr>
          <w:rFonts w:ascii="Arial" w:hAnsi="Arial" w:cs="Arial"/>
          <w:sz w:val="24"/>
          <w:szCs w:val="24"/>
        </w:rPr>
        <w:t>entity receiving the allowances under the transaction being cleared.</w:t>
      </w:r>
    </w:p>
    <w:p w14:paraId="016B0F3E" w14:textId="77777777" w:rsidR="00FE6B15" w:rsidRPr="00B61FF1" w:rsidRDefault="00C63A46" w:rsidP="00C63A46">
      <w:pPr>
        <w:keepNext/>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Accounts under the Control of the Executive Officer.  The accounts administrator will create and maintain the following accounts under the control of the Executive Officer:</w:t>
      </w:r>
    </w:p>
    <w:p w14:paraId="0334762C" w14:textId="77777777" w:rsidR="00FE6B15" w:rsidRPr="00B61FF1" w:rsidRDefault="00FE6B15" w:rsidP="00FE6A4C">
      <w:pPr>
        <w:numPr>
          <w:ilvl w:val="1"/>
          <w:numId w:val="33"/>
        </w:numPr>
        <w:spacing w:line="360" w:lineRule="auto"/>
        <w:rPr>
          <w:rFonts w:ascii="Arial" w:hAnsi="Arial" w:cs="Arial"/>
          <w:sz w:val="24"/>
          <w:szCs w:val="24"/>
        </w:rPr>
      </w:pPr>
      <w:r w:rsidRPr="00B61FF1">
        <w:rPr>
          <w:rFonts w:ascii="Arial" w:hAnsi="Arial" w:cs="Arial"/>
          <w:sz w:val="24"/>
          <w:szCs w:val="24"/>
        </w:rPr>
        <w:t xml:space="preserve">A holding account to be known as the Allocation Holding Account into which the serial numbers of compliance instruments will be registered when the compliance instruments are created. </w:t>
      </w:r>
    </w:p>
    <w:p w14:paraId="0EA635C1" w14:textId="77777777" w:rsidR="00FE6B15" w:rsidRPr="00B61FF1" w:rsidRDefault="00FE6B15" w:rsidP="00FE6A4C">
      <w:pPr>
        <w:numPr>
          <w:ilvl w:val="1"/>
          <w:numId w:val="33"/>
        </w:numPr>
        <w:spacing w:line="360" w:lineRule="auto"/>
        <w:rPr>
          <w:rFonts w:ascii="Arial" w:hAnsi="Arial" w:cs="Arial"/>
          <w:sz w:val="24"/>
          <w:szCs w:val="24"/>
        </w:rPr>
      </w:pPr>
      <w:r w:rsidRPr="00B61FF1">
        <w:rPr>
          <w:rFonts w:ascii="Arial" w:hAnsi="Arial" w:cs="Arial"/>
          <w:sz w:val="24"/>
          <w:szCs w:val="24"/>
        </w:rPr>
        <w:t xml:space="preserve">A holding account </w:t>
      </w:r>
      <w:r w:rsidR="00C63A46" w:rsidRPr="00B61FF1">
        <w:rPr>
          <w:rFonts w:ascii="Arial" w:hAnsi="Arial" w:cs="Arial"/>
          <w:sz w:val="24"/>
          <w:szCs w:val="24"/>
        </w:rPr>
        <w:t xml:space="preserve">to be </w:t>
      </w:r>
      <w:r w:rsidRPr="00B61FF1">
        <w:rPr>
          <w:rFonts w:ascii="Arial" w:hAnsi="Arial" w:cs="Arial"/>
          <w:sz w:val="24"/>
          <w:szCs w:val="24"/>
        </w:rPr>
        <w:t>known as the Auction Holding Account into which allowances are transferred to be sold at auction from:</w:t>
      </w:r>
    </w:p>
    <w:p w14:paraId="1968DBD5" w14:textId="77777777" w:rsidR="00FE6B15" w:rsidRPr="00B61FF1" w:rsidRDefault="00FE6B15" w:rsidP="00FE6A4C">
      <w:pPr>
        <w:numPr>
          <w:ilvl w:val="2"/>
          <w:numId w:val="33"/>
        </w:numPr>
        <w:spacing w:line="360" w:lineRule="auto"/>
        <w:rPr>
          <w:rFonts w:ascii="Arial" w:hAnsi="Arial" w:cs="Arial"/>
          <w:sz w:val="24"/>
          <w:szCs w:val="24"/>
        </w:rPr>
      </w:pPr>
      <w:r w:rsidRPr="00B61FF1">
        <w:rPr>
          <w:rFonts w:ascii="Arial" w:hAnsi="Arial" w:cs="Arial"/>
          <w:sz w:val="24"/>
          <w:szCs w:val="24"/>
        </w:rPr>
        <w:t xml:space="preserve">The Allocation Holding Account; </w:t>
      </w:r>
    </w:p>
    <w:p w14:paraId="66C633BC" w14:textId="77777777" w:rsidR="00FE6B15" w:rsidRPr="00B61FF1" w:rsidRDefault="004224EA" w:rsidP="00FE6A4C">
      <w:pPr>
        <w:numPr>
          <w:ilvl w:val="2"/>
          <w:numId w:val="33"/>
        </w:numPr>
        <w:spacing w:line="360" w:lineRule="auto"/>
        <w:rPr>
          <w:rFonts w:ascii="Arial" w:hAnsi="Arial" w:cs="Arial"/>
          <w:sz w:val="24"/>
          <w:szCs w:val="24"/>
        </w:rPr>
      </w:pPr>
      <w:r w:rsidRPr="00B61FF1">
        <w:rPr>
          <w:rFonts w:ascii="Arial" w:hAnsi="Arial" w:cs="Arial"/>
          <w:sz w:val="24"/>
          <w:szCs w:val="24"/>
        </w:rPr>
        <w:lastRenderedPageBreak/>
        <w:t>T</w:t>
      </w:r>
      <w:r w:rsidR="00FE6B15" w:rsidRPr="00B61FF1">
        <w:rPr>
          <w:rFonts w:ascii="Arial" w:hAnsi="Arial" w:cs="Arial"/>
          <w:sz w:val="24"/>
          <w:szCs w:val="24"/>
        </w:rPr>
        <w:t xml:space="preserve">he holding accounts of those entities for which allowances are being auctioned on consignment pursuant to </w:t>
      </w:r>
      <w:r w:rsidR="00EE0044" w:rsidRPr="00B61FF1">
        <w:rPr>
          <w:rFonts w:ascii="Arial" w:hAnsi="Arial" w:cs="Arial"/>
          <w:sz w:val="24"/>
          <w:szCs w:val="24"/>
        </w:rPr>
        <w:t xml:space="preserve">section </w:t>
      </w:r>
      <w:r w:rsidRPr="00B61FF1">
        <w:rPr>
          <w:rFonts w:ascii="Arial" w:hAnsi="Arial" w:cs="Arial"/>
          <w:sz w:val="24"/>
          <w:szCs w:val="24"/>
        </w:rPr>
        <w:t>959</w:t>
      </w:r>
      <w:r w:rsidR="009139BD" w:rsidRPr="00B61FF1">
        <w:rPr>
          <w:rFonts w:ascii="Arial" w:hAnsi="Arial" w:cs="Arial"/>
          <w:sz w:val="24"/>
          <w:szCs w:val="24"/>
        </w:rPr>
        <w:t>21</w:t>
      </w:r>
      <w:r w:rsidRPr="00B61FF1">
        <w:rPr>
          <w:rFonts w:ascii="Arial" w:hAnsi="Arial" w:cs="Arial"/>
          <w:sz w:val="24"/>
          <w:szCs w:val="24"/>
        </w:rPr>
        <w:t>(</w:t>
      </w:r>
      <w:r w:rsidR="007F66AD" w:rsidRPr="00B61FF1">
        <w:rPr>
          <w:rFonts w:ascii="Arial" w:hAnsi="Arial" w:cs="Arial"/>
          <w:sz w:val="24"/>
          <w:szCs w:val="24"/>
        </w:rPr>
        <w:t>g</w:t>
      </w:r>
      <w:r w:rsidRPr="00B61FF1">
        <w:rPr>
          <w:rFonts w:ascii="Arial" w:hAnsi="Arial" w:cs="Arial"/>
          <w:sz w:val="24"/>
          <w:szCs w:val="24"/>
        </w:rPr>
        <w:t>)</w:t>
      </w:r>
      <w:r w:rsidR="009139BD" w:rsidRPr="00B61FF1">
        <w:rPr>
          <w:rFonts w:ascii="Arial" w:hAnsi="Arial" w:cs="Arial"/>
          <w:sz w:val="24"/>
          <w:szCs w:val="24"/>
        </w:rPr>
        <w:t>(3)</w:t>
      </w:r>
      <w:r w:rsidR="00FE6B15" w:rsidRPr="00B61FF1">
        <w:rPr>
          <w:rFonts w:ascii="Arial" w:hAnsi="Arial" w:cs="Arial"/>
          <w:sz w:val="24"/>
          <w:szCs w:val="24"/>
        </w:rPr>
        <w:t xml:space="preserve">;  </w:t>
      </w:r>
    </w:p>
    <w:p w14:paraId="5CBBA214" w14:textId="77777777" w:rsidR="00FE6B15" w:rsidRPr="00B61FF1" w:rsidRDefault="00FE6B15" w:rsidP="00FE6A4C">
      <w:pPr>
        <w:numPr>
          <w:ilvl w:val="2"/>
          <w:numId w:val="33"/>
        </w:numPr>
        <w:spacing w:line="360" w:lineRule="auto"/>
        <w:rPr>
          <w:rFonts w:ascii="Arial" w:hAnsi="Arial" w:cs="Arial"/>
          <w:sz w:val="24"/>
          <w:szCs w:val="24"/>
        </w:rPr>
      </w:pPr>
      <w:r w:rsidRPr="00B61FF1">
        <w:rPr>
          <w:rFonts w:ascii="Arial" w:hAnsi="Arial" w:cs="Arial"/>
          <w:sz w:val="24"/>
          <w:szCs w:val="24"/>
        </w:rPr>
        <w:t xml:space="preserve">The limited use holding accounts of those entities consigning allowances to auction pursuant to </w:t>
      </w:r>
      <w:r w:rsidR="00EE0044" w:rsidRPr="00B61FF1">
        <w:rPr>
          <w:rFonts w:ascii="Arial" w:hAnsi="Arial" w:cs="Arial"/>
          <w:sz w:val="24"/>
          <w:szCs w:val="24"/>
        </w:rPr>
        <w:t xml:space="preserve">section </w:t>
      </w:r>
      <w:r w:rsidR="00C63A46" w:rsidRPr="00B61FF1">
        <w:rPr>
          <w:rFonts w:ascii="Arial" w:hAnsi="Arial" w:cs="Arial"/>
          <w:sz w:val="24"/>
          <w:szCs w:val="24"/>
        </w:rPr>
        <w:t>95910</w:t>
      </w:r>
      <w:r w:rsidR="00CD703D" w:rsidRPr="00B61FF1">
        <w:rPr>
          <w:rFonts w:ascii="Arial" w:hAnsi="Arial" w:cs="Arial"/>
          <w:sz w:val="24"/>
          <w:szCs w:val="24"/>
        </w:rPr>
        <w:t>;</w:t>
      </w:r>
      <w:r w:rsidR="009E6327" w:rsidRPr="00B61FF1">
        <w:rPr>
          <w:rFonts w:ascii="Arial" w:hAnsi="Arial" w:cs="Arial"/>
          <w:sz w:val="24"/>
          <w:szCs w:val="24"/>
        </w:rPr>
        <w:t xml:space="preserve"> </w:t>
      </w:r>
      <w:r w:rsidR="00CD703D" w:rsidRPr="00B61FF1">
        <w:rPr>
          <w:rFonts w:ascii="Arial" w:hAnsi="Arial" w:cs="Arial"/>
          <w:sz w:val="24"/>
          <w:szCs w:val="24"/>
        </w:rPr>
        <w:t>and</w:t>
      </w:r>
    </w:p>
    <w:p w14:paraId="2545B548" w14:textId="77777777" w:rsidR="00CD703D" w:rsidRPr="00B61FF1" w:rsidRDefault="00CD703D" w:rsidP="00CD703D">
      <w:pPr>
        <w:spacing w:line="360" w:lineRule="auto"/>
        <w:ind w:left="1800" w:hanging="720"/>
        <w:rPr>
          <w:rFonts w:ascii="Arial" w:hAnsi="Arial" w:cs="Arial"/>
          <w:sz w:val="24"/>
          <w:szCs w:val="24"/>
        </w:rPr>
      </w:pPr>
      <w:r w:rsidRPr="00B61FF1">
        <w:rPr>
          <w:rFonts w:ascii="Arial" w:hAnsi="Arial" w:cs="Arial"/>
          <w:sz w:val="24"/>
          <w:szCs w:val="24"/>
        </w:rPr>
        <w:t>(D)</w:t>
      </w:r>
      <w:r w:rsidR="000C162C" w:rsidRPr="00B61FF1">
        <w:rPr>
          <w:rFonts w:ascii="Arial" w:hAnsi="Arial" w:cs="Arial"/>
          <w:sz w:val="24"/>
          <w:szCs w:val="24"/>
        </w:rPr>
        <w:tab/>
      </w:r>
      <w:r w:rsidR="0045394E" w:rsidRPr="00B61FF1">
        <w:rPr>
          <w:rFonts w:ascii="Arial" w:hAnsi="Arial" w:cs="Arial"/>
          <w:sz w:val="24"/>
          <w:szCs w:val="24"/>
        </w:rPr>
        <w:t>The compliance accounts of entities fulfilling an untimely surrender obligation pursuant to section 95857</w:t>
      </w:r>
      <w:r w:rsidR="00890F7D" w:rsidRPr="00B61FF1">
        <w:rPr>
          <w:rFonts w:ascii="Arial" w:hAnsi="Arial" w:cs="Arial"/>
          <w:sz w:val="24"/>
          <w:szCs w:val="24"/>
        </w:rPr>
        <w:t>(d)(1</w:t>
      </w:r>
      <w:r w:rsidR="002924F1" w:rsidRPr="00B61FF1">
        <w:rPr>
          <w:rFonts w:ascii="Arial" w:hAnsi="Arial" w:cs="Arial"/>
          <w:sz w:val="24"/>
          <w:szCs w:val="24"/>
        </w:rPr>
        <w:t>)(A)</w:t>
      </w:r>
      <w:r w:rsidR="0045394E" w:rsidRPr="00B61FF1">
        <w:rPr>
          <w:rFonts w:ascii="Arial" w:hAnsi="Arial" w:cs="Arial"/>
          <w:sz w:val="24"/>
          <w:szCs w:val="24"/>
        </w:rPr>
        <w:t>.</w:t>
      </w:r>
      <w:r w:rsidRPr="00B61FF1">
        <w:rPr>
          <w:rFonts w:ascii="Arial" w:hAnsi="Arial" w:cs="Arial"/>
          <w:sz w:val="24"/>
          <w:szCs w:val="24"/>
        </w:rPr>
        <w:t xml:space="preserve"> </w:t>
      </w:r>
    </w:p>
    <w:p w14:paraId="7E4840BA" w14:textId="77777777" w:rsidR="00FE6B15" w:rsidRPr="00B61FF1" w:rsidRDefault="00FE6B15" w:rsidP="00FE6A4C">
      <w:pPr>
        <w:numPr>
          <w:ilvl w:val="1"/>
          <w:numId w:val="33"/>
        </w:numPr>
        <w:spacing w:line="360" w:lineRule="auto"/>
        <w:rPr>
          <w:rFonts w:ascii="Arial" w:hAnsi="Arial" w:cs="Arial"/>
          <w:color w:val="000000"/>
          <w:sz w:val="24"/>
          <w:szCs w:val="24"/>
        </w:rPr>
      </w:pPr>
      <w:r w:rsidRPr="00B61FF1">
        <w:rPr>
          <w:rFonts w:ascii="Arial" w:hAnsi="Arial" w:cs="Arial"/>
          <w:sz w:val="24"/>
          <w:szCs w:val="24"/>
        </w:rPr>
        <w:t>A holding account to be known as the Retirement Account to which the Executive Officer will transfer compliance instruments from compliance accounts</w:t>
      </w:r>
      <w:r w:rsidR="00C63A46" w:rsidRPr="00B61FF1">
        <w:rPr>
          <w:rFonts w:ascii="Arial" w:hAnsi="Arial" w:cs="Arial"/>
          <w:sz w:val="24"/>
          <w:szCs w:val="24"/>
        </w:rPr>
        <w:t xml:space="preserve"> or from holding accounts under the control of the Executive Officer for the purpose of permanently retiring them</w:t>
      </w:r>
      <w:r w:rsidRPr="00B61FF1">
        <w:rPr>
          <w:rFonts w:ascii="Arial" w:hAnsi="Arial" w:cs="Arial"/>
          <w:sz w:val="24"/>
          <w:szCs w:val="24"/>
        </w:rPr>
        <w:t xml:space="preserve">.  Alternatively, </w:t>
      </w:r>
      <w:r w:rsidRPr="00B61FF1">
        <w:rPr>
          <w:rFonts w:ascii="Arial" w:hAnsi="Arial" w:cs="Arial"/>
          <w:color w:val="000000"/>
          <w:sz w:val="24"/>
          <w:szCs w:val="24"/>
        </w:rPr>
        <w:t xml:space="preserve">entities may voluntarily retire compliance instruments by transferring the </w:t>
      </w:r>
      <w:r w:rsidRPr="00B61FF1">
        <w:rPr>
          <w:rFonts w:ascii="Arial" w:hAnsi="Arial" w:cs="Arial"/>
          <w:strike/>
          <w:color w:val="000000"/>
          <w:sz w:val="24"/>
          <w:szCs w:val="24"/>
        </w:rPr>
        <w:t>serial numbers of</w:t>
      </w:r>
      <w:r w:rsidRPr="00B61FF1">
        <w:rPr>
          <w:rFonts w:ascii="Arial" w:hAnsi="Arial" w:cs="Arial"/>
          <w:color w:val="000000"/>
          <w:sz w:val="24"/>
          <w:szCs w:val="24"/>
        </w:rPr>
        <w:t xml:space="preserve"> </w:t>
      </w:r>
      <w:r w:rsidR="001D0D00" w:rsidRPr="00B61FF1">
        <w:rPr>
          <w:rFonts w:ascii="Arial" w:hAnsi="Arial" w:cs="Arial"/>
          <w:color w:val="000000"/>
          <w:sz w:val="24"/>
          <w:szCs w:val="24"/>
        </w:rPr>
        <w:t xml:space="preserve">compliance </w:t>
      </w:r>
      <w:r w:rsidRPr="00B61FF1">
        <w:rPr>
          <w:rFonts w:ascii="Arial" w:hAnsi="Arial" w:cs="Arial"/>
          <w:color w:val="000000"/>
          <w:sz w:val="24"/>
          <w:szCs w:val="24"/>
        </w:rPr>
        <w:t xml:space="preserve">instruments </w:t>
      </w:r>
      <w:r w:rsidRPr="00B61FF1">
        <w:rPr>
          <w:rFonts w:ascii="Arial" w:hAnsi="Arial" w:cs="Arial"/>
          <w:strike/>
          <w:color w:val="000000"/>
          <w:sz w:val="24"/>
          <w:szCs w:val="24"/>
        </w:rPr>
        <w:t>they are retiring</w:t>
      </w:r>
      <w:r w:rsidRPr="00B61FF1">
        <w:rPr>
          <w:rFonts w:ascii="Arial" w:hAnsi="Arial" w:cs="Arial"/>
          <w:color w:val="000000"/>
          <w:sz w:val="24"/>
          <w:szCs w:val="24"/>
        </w:rPr>
        <w:t xml:space="preserve"> to the Retirement Account.</w:t>
      </w:r>
    </w:p>
    <w:p w14:paraId="34E81AE7" w14:textId="77777777" w:rsidR="00FE6B15" w:rsidRPr="00B61FF1" w:rsidRDefault="00FE6B15" w:rsidP="00FE6A4C">
      <w:pPr>
        <w:numPr>
          <w:ilvl w:val="2"/>
          <w:numId w:val="33"/>
        </w:numPr>
        <w:spacing w:line="360" w:lineRule="auto"/>
        <w:rPr>
          <w:rFonts w:ascii="Arial" w:hAnsi="Arial" w:cs="Arial"/>
          <w:sz w:val="24"/>
          <w:szCs w:val="24"/>
        </w:rPr>
      </w:pPr>
      <w:r w:rsidRPr="00B61FF1">
        <w:rPr>
          <w:rFonts w:ascii="Arial" w:hAnsi="Arial" w:cs="Arial"/>
          <w:sz w:val="24"/>
          <w:szCs w:val="24"/>
        </w:rPr>
        <w:t>When compliance instruments are registered into the Retirement Account, these compliance instruments cannot be returned to any other holding or compliance account.</w:t>
      </w:r>
    </w:p>
    <w:p w14:paraId="475CE928" w14:textId="77777777" w:rsidR="00FE6B15" w:rsidRPr="00B61FF1" w:rsidRDefault="00FE6B15" w:rsidP="00FE6A4C">
      <w:pPr>
        <w:numPr>
          <w:ilvl w:val="2"/>
          <w:numId w:val="33"/>
        </w:numPr>
        <w:spacing w:line="360" w:lineRule="auto"/>
        <w:rPr>
          <w:rFonts w:ascii="Arial" w:hAnsi="Arial" w:cs="Arial"/>
          <w:sz w:val="24"/>
          <w:szCs w:val="24"/>
        </w:rPr>
      </w:pPr>
      <w:r w:rsidRPr="00B61FF1">
        <w:rPr>
          <w:rFonts w:ascii="Arial" w:hAnsi="Arial" w:cs="Arial"/>
          <w:sz w:val="24"/>
          <w:szCs w:val="24"/>
        </w:rPr>
        <w:t xml:space="preserve">When compliance instruments are registered into the Retirement Account, any </w:t>
      </w:r>
      <w:r w:rsidR="007F66AD" w:rsidRPr="00B61FF1">
        <w:rPr>
          <w:rFonts w:ascii="Arial" w:hAnsi="Arial" w:cs="Arial"/>
          <w:sz w:val="24"/>
          <w:szCs w:val="24"/>
        </w:rPr>
        <w:t>E</w:t>
      </w:r>
      <w:r w:rsidRPr="00B61FF1">
        <w:rPr>
          <w:rFonts w:ascii="Arial" w:hAnsi="Arial" w:cs="Arial"/>
          <w:sz w:val="24"/>
          <w:szCs w:val="24"/>
        </w:rPr>
        <w:t xml:space="preserve">xternal </w:t>
      </w:r>
      <w:r w:rsidR="007F66AD" w:rsidRPr="00B61FF1">
        <w:rPr>
          <w:rFonts w:ascii="Arial" w:hAnsi="Arial" w:cs="Arial"/>
          <w:sz w:val="24"/>
          <w:szCs w:val="24"/>
        </w:rPr>
        <w:t xml:space="preserve">GHG </w:t>
      </w:r>
      <w:r w:rsidRPr="00B61FF1">
        <w:rPr>
          <w:rFonts w:ascii="Arial" w:hAnsi="Arial" w:cs="Arial"/>
          <w:sz w:val="24"/>
          <w:szCs w:val="24"/>
        </w:rPr>
        <w:t>ETS to which California links</w:t>
      </w:r>
      <w:r w:rsidR="001D0D00" w:rsidRPr="00B61FF1">
        <w:rPr>
          <w:rFonts w:ascii="Arial" w:hAnsi="Arial" w:cs="Arial"/>
          <w:sz w:val="24"/>
          <w:szCs w:val="24"/>
        </w:rPr>
        <w:t xml:space="preserve"> pursuant to subarticle 12 </w:t>
      </w:r>
      <w:r w:rsidRPr="00B61FF1">
        <w:rPr>
          <w:rFonts w:ascii="Arial" w:hAnsi="Arial" w:cs="Arial"/>
          <w:sz w:val="24"/>
          <w:szCs w:val="24"/>
        </w:rPr>
        <w:t xml:space="preserve">will be informed of the retirements. </w:t>
      </w:r>
    </w:p>
    <w:p w14:paraId="52698A2F" w14:textId="77777777" w:rsidR="00FE6B15" w:rsidRPr="00B61FF1" w:rsidRDefault="00FE6B15" w:rsidP="00FE6A4C">
      <w:pPr>
        <w:numPr>
          <w:ilvl w:val="2"/>
          <w:numId w:val="33"/>
        </w:numPr>
        <w:spacing w:line="360" w:lineRule="auto"/>
        <w:rPr>
          <w:rFonts w:ascii="Arial" w:hAnsi="Arial" w:cs="Arial"/>
          <w:sz w:val="24"/>
          <w:szCs w:val="24"/>
        </w:rPr>
      </w:pPr>
      <w:r w:rsidRPr="00B61FF1">
        <w:rPr>
          <w:rFonts w:ascii="Arial" w:hAnsi="Arial" w:cs="Arial"/>
          <w:sz w:val="24"/>
          <w:szCs w:val="24"/>
        </w:rPr>
        <w:t xml:space="preserve">The Executive Officer will record </w:t>
      </w:r>
      <w:r w:rsidRPr="00B61FF1">
        <w:rPr>
          <w:rFonts w:ascii="Arial" w:hAnsi="Arial" w:cs="Arial"/>
          <w:strike/>
          <w:sz w:val="24"/>
          <w:szCs w:val="24"/>
        </w:rPr>
        <w:t>the serial numbers of</w:t>
      </w:r>
      <w:r w:rsidRPr="00B61FF1">
        <w:rPr>
          <w:rFonts w:ascii="Arial" w:hAnsi="Arial" w:cs="Arial"/>
          <w:sz w:val="24"/>
          <w:szCs w:val="24"/>
        </w:rPr>
        <w:t xml:space="preserve"> the retired instruments to a publicly available Permanent Retirement Registry.</w:t>
      </w:r>
    </w:p>
    <w:p w14:paraId="35E70112" w14:textId="77777777" w:rsidR="00FE6B15" w:rsidRPr="00B61FF1" w:rsidRDefault="00FE6B15" w:rsidP="00FE6A4C">
      <w:pPr>
        <w:numPr>
          <w:ilvl w:val="1"/>
          <w:numId w:val="33"/>
        </w:numPr>
        <w:spacing w:line="360" w:lineRule="auto"/>
        <w:rPr>
          <w:rFonts w:ascii="Arial" w:hAnsi="Arial" w:cs="Arial"/>
          <w:sz w:val="24"/>
          <w:szCs w:val="24"/>
        </w:rPr>
      </w:pPr>
      <w:r w:rsidRPr="00B61FF1">
        <w:rPr>
          <w:rFonts w:ascii="Arial" w:hAnsi="Arial" w:cs="Arial"/>
          <w:sz w:val="24"/>
          <w:szCs w:val="24"/>
        </w:rPr>
        <w:t>A holding account to be known as the Allowance Price Containment Reserve Account:</w:t>
      </w:r>
    </w:p>
    <w:p w14:paraId="7A20DAC4" w14:textId="77777777" w:rsidR="0045394E" w:rsidRPr="00B61FF1" w:rsidRDefault="0045394E" w:rsidP="0045394E">
      <w:pPr>
        <w:tabs>
          <w:tab w:val="left" w:pos="1800"/>
        </w:tabs>
        <w:spacing w:line="360" w:lineRule="auto"/>
        <w:ind w:left="108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Into which the serial numbers of allowances directly allocated to </w:t>
      </w:r>
    </w:p>
    <w:p w14:paraId="59757921" w14:textId="77777777" w:rsidR="00FE6B15" w:rsidRPr="00B61FF1" w:rsidRDefault="00FE6B15" w:rsidP="0045394E">
      <w:pPr>
        <w:tabs>
          <w:tab w:val="left" w:pos="1800"/>
        </w:tabs>
        <w:spacing w:line="360" w:lineRule="auto"/>
        <w:ind w:left="1800"/>
        <w:rPr>
          <w:rFonts w:ascii="Arial" w:hAnsi="Arial" w:cs="Arial"/>
          <w:sz w:val="24"/>
          <w:szCs w:val="24"/>
        </w:rPr>
      </w:pPr>
      <w:r w:rsidRPr="00B61FF1">
        <w:rPr>
          <w:rFonts w:ascii="Arial" w:hAnsi="Arial" w:cs="Arial"/>
          <w:sz w:val="24"/>
          <w:szCs w:val="24"/>
        </w:rPr>
        <w:t xml:space="preserve">the Allowance Price Containment Reserve </w:t>
      </w:r>
      <w:r w:rsidR="00C63A46" w:rsidRPr="00B61FF1">
        <w:rPr>
          <w:rFonts w:ascii="Arial" w:hAnsi="Arial" w:cs="Arial"/>
          <w:sz w:val="24"/>
          <w:szCs w:val="24"/>
        </w:rPr>
        <w:t xml:space="preserve">pursuant to </w:t>
      </w:r>
      <w:r w:rsidR="000E236B" w:rsidRPr="00B61FF1">
        <w:rPr>
          <w:rFonts w:ascii="Arial" w:hAnsi="Arial" w:cs="Arial"/>
          <w:sz w:val="24"/>
          <w:szCs w:val="24"/>
        </w:rPr>
        <w:t xml:space="preserve">section </w:t>
      </w:r>
      <w:r w:rsidR="00C63A46" w:rsidRPr="00B61FF1">
        <w:rPr>
          <w:rFonts w:ascii="Arial" w:hAnsi="Arial" w:cs="Arial"/>
          <w:sz w:val="24"/>
          <w:szCs w:val="24"/>
        </w:rPr>
        <w:t>95870</w:t>
      </w:r>
      <w:r w:rsidR="00F44474" w:rsidRPr="00B61FF1">
        <w:rPr>
          <w:rFonts w:ascii="Arial" w:hAnsi="Arial" w:cs="Arial"/>
          <w:sz w:val="24"/>
          <w:szCs w:val="24"/>
        </w:rPr>
        <w:t xml:space="preserve">(a) </w:t>
      </w:r>
      <w:r w:rsidRPr="00B61FF1">
        <w:rPr>
          <w:rFonts w:ascii="Arial" w:hAnsi="Arial" w:cs="Arial"/>
          <w:sz w:val="24"/>
          <w:szCs w:val="24"/>
        </w:rPr>
        <w:t>will be transferred</w:t>
      </w:r>
      <w:bookmarkEnd w:id="123"/>
      <w:bookmarkEnd w:id="124"/>
      <w:bookmarkEnd w:id="125"/>
      <w:bookmarkEnd w:id="126"/>
      <w:r w:rsidR="001D0D00" w:rsidRPr="00B61FF1">
        <w:rPr>
          <w:rFonts w:ascii="Arial" w:hAnsi="Arial" w:cs="Arial"/>
          <w:sz w:val="24"/>
          <w:szCs w:val="24"/>
        </w:rPr>
        <w:t>;</w:t>
      </w:r>
      <w:r w:rsidR="00D26033" w:rsidRPr="00B61FF1">
        <w:rPr>
          <w:rFonts w:ascii="Arial" w:hAnsi="Arial" w:cs="Arial"/>
          <w:sz w:val="24"/>
          <w:szCs w:val="24"/>
        </w:rPr>
        <w:t xml:space="preserve"> </w:t>
      </w:r>
      <w:r w:rsidR="000C162C" w:rsidRPr="00B61FF1">
        <w:rPr>
          <w:rFonts w:ascii="Arial" w:hAnsi="Arial" w:cs="Arial"/>
          <w:sz w:val="24"/>
          <w:szCs w:val="24"/>
        </w:rPr>
        <w:t>and</w:t>
      </w:r>
    </w:p>
    <w:p w14:paraId="0AB4BE6F" w14:textId="77777777" w:rsidR="00FE6B15" w:rsidRPr="00B61FF1" w:rsidRDefault="000A7861" w:rsidP="000C162C">
      <w:pPr>
        <w:spacing w:line="360" w:lineRule="auto"/>
        <w:ind w:left="1800" w:hanging="720"/>
        <w:rPr>
          <w:rFonts w:ascii="Arial" w:hAnsi="Arial" w:cs="Arial"/>
          <w:sz w:val="24"/>
          <w:szCs w:val="24"/>
        </w:rPr>
      </w:pPr>
      <w:r w:rsidRPr="00B61FF1">
        <w:rPr>
          <w:rFonts w:ascii="Arial" w:hAnsi="Arial" w:cs="Arial"/>
          <w:sz w:val="24"/>
          <w:szCs w:val="24"/>
        </w:rPr>
        <w:lastRenderedPageBreak/>
        <w:t>(</w:t>
      </w:r>
      <w:r w:rsidR="0045394E" w:rsidRPr="00B61FF1">
        <w:rPr>
          <w:rFonts w:ascii="Arial" w:hAnsi="Arial" w:cs="Arial"/>
          <w:sz w:val="24"/>
          <w:szCs w:val="24"/>
        </w:rPr>
        <w:t>B</w:t>
      </w:r>
      <w:r w:rsidR="000C162C" w:rsidRPr="00B61FF1">
        <w:rPr>
          <w:rFonts w:ascii="Arial" w:hAnsi="Arial" w:cs="Arial"/>
          <w:sz w:val="24"/>
          <w:szCs w:val="24"/>
        </w:rPr>
        <w:t xml:space="preserve">) </w:t>
      </w:r>
      <w:r w:rsidR="005B61C9" w:rsidRPr="00B61FF1">
        <w:rPr>
          <w:rFonts w:ascii="Arial" w:hAnsi="Arial" w:cs="Arial"/>
          <w:sz w:val="24"/>
          <w:szCs w:val="24"/>
        </w:rPr>
        <w:tab/>
      </w:r>
      <w:r w:rsidR="00FE6B15" w:rsidRPr="00B61FF1">
        <w:rPr>
          <w:rFonts w:ascii="Arial" w:hAnsi="Arial" w:cs="Arial"/>
          <w:sz w:val="24"/>
          <w:szCs w:val="24"/>
        </w:rPr>
        <w:t xml:space="preserve">From which the Executive Officer will </w:t>
      </w:r>
      <w:r w:rsidR="000E236B" w:rsidRPr="00B61FF1">
        <w:rPr>
          <w:rFonts w:ascii="Arial" w:hAnsi="Arial" w:cs="Arial"/>
          <w:sz w:val="24"/>
          <w:szCs w:val="24"/>
        </w:rPr>
        <w:t xml:space="preserve">authorize the </w:t>
      </w:r>
      <w:r w:rsidR="00FE6B15" w:rsidRPr="00B61FF1">
        <w:rPr>
          <w:rFonts w:ascii="Arial" w:hAnsi="Arial" w:cs="Arial"/>
          <w:sz w:val="24"/>
          <w:szCs w:val="24"/>
        </w:rPr>
        <w:t>withdraw</w:t>
      </w:r>
      <w:r w:rsidR="00F44474" w:rsidRPr="00B61FF1">
        <w:rPr>
          <w:rFonts w:ascii="Arial" w:hAnsi="Arial" w:cs="Arial"/>
          <w:sz w:val="24"/>
          <w:szCs w:val="24"/>
        </w:rPr>
        <w:t>al</w:t>
      </w:r>
      <w:r w:rsidR="00FE6B15" w:rsidRPr="00B61FF1">
        <w:rPr>
          <w:rFonts w:ascii="Arial" w:hAnsi="Arial" w:cs="Arial"/>
          <w:sz w:val="24"/>
          <w:szCs w:val="24"/>
        </w:rPr>
        <w:t xml:space="preserve"> </w:t>
      </w:r>
      <w:r w:rsidR="000E236B" w:rsidRPr="00B61FF1">
        <w:rPr>
          <w:rFonts w:ascii="Arial" w:hAnsi="Arial" w:cs="Arial"/>
          <w:sz w:val="24"/>
          <w:szCs w:val="24"/>
        </w:rPr>
        <w:t xml:space="preserve">of </w:t>
      </w:r>
      <w:r w:rsidR="00FE6B15" w:rsidRPr="00B61FF1">
        <w:rPr>
          <w:rFonts w:ascii="Arial" w:hAnsi="Arial" w:cs="Arial"/>
          <w:sz w:val="24"/>
          <w:szCs w:val="24"/>
        </w:rPr>
        <w:t xml:space="preserve">allowances </w:t>
      </w:r>
      <w:r w:rsidR="000E236B" w:rsidRPr="00B61FF1">
        <w:rPr>
          <w:rFonts w:ascii="Arial" w:hAnsi="Arial" w:cs="Arial"/>
          <w:sz w:val="24"/>
          <w:szCs w:val="24"/>
        </w:rPr>
        <w:t>for sale</w:t>
      </w:r>
      <w:r w:rsidR="00FE6B15" w:rsidRPr="00B61FF1">
        <w:rPr>
          <w:rFonts w:ascii="Arial" w:hAnsi="Arial" w:cs="Arial"/>
          <w:sz w:val="24"/>
          <w:szCs w:val="24"/>
        </w:rPr>
        <w:t xml:space="preserve"> to covered entities pursuant to section 95913. </w:t>
      </w:r>
    </w:p>
    <w:p w14:paraId="52FA5AD3" w14:textId="77777777" w:rsidR="00FE6B15" w:rsidRPr="00B61FF1" w:rsidRDefault="00FE6B15" w:rsidP="00FE6A4C">
      <w:pPr>
        <w:numPr>
          <w:ilvl w:val="1"/>
          <w:numId w:val="33"/>
        </w:numPr>
        <w:spacing w:line="360" w:lineRule="auto"/>
        <w:rPr>
          <w:rFonts w:ascii="Arial" w:hAnsi="Arial" w:cs="Arial"/>
          <w:sz w:val="24"/>
          <w:szCs w:val="24"/>
        </w:rPr>
      </w:pPr>
      <w:r w:rsidRPr="00B61FF1">
        <w:rPr>
          <w:rFonts w:ascii="Arial" w:hAnsi="Arial" w:cs="Arial"/>
          <w:sz w:val="24"/>
          <w:szCs w:val="24"/>
        </w:rPr>
        <w:t>A holding account to be known as the Forest Buffer Account:</w:t>
      </w:r>
    </w:p>
    <w:p w14:paraId="697B3AD3" w14:textId="77777777" w:rsidR="00DC7A82" w:rsidRPr="00B61FF1" w:rsidRDefault="00DC7A82" w:rsidP="00FE6A4C">
      <w:pPr>
        <w:numPr>
          <w:ilvl w:val="2"/>
          <w:numId w:val="33"/>
        </w:numPr>
        <w:adjustRightInd/>
        <w:spacing w:line="360" w:lineRule="auto"/>
        <w:rPr>
          <w:rFonts w:ascii="Arial" w:hAnsi="Arial" w:cs="Arial"/>
          <w:sz w:val="24"/>
          <w:szCs w:val="24"/>
        </w:rPr>
      </w:pPr>
      <w:r w:rsidRPr="00B61FF1">
        <w:rPr>
          <w:rFonts w:ascii="Arial" w:hAnsi="Arial" w:cs="Arial"/>
          <w:sz w:val="24"/>
          <w:szCs w:val="24"/>
        </w:rPr>
        <w:t xml:space="preserve">Into which ARB will place </w:t>
      </w:r>
      <w:r w:rsidR="00327518" w:rsidRPr="00B61FF1">
        <w:rPr>
          <w:rFonts w:ascii="Arial" w:hAnsi="Arial" w:cs="Arial"/>
          <w:sz w:val="24"/>
          <w:szCs w:val="24"/>
        </w:rPr>
        <w:t xml:space="preserve">ARB </w:t>
      </w:r>
      <w:r w:rsidRPr="00B61FF1">
        <w:rPr>
          <w:rFonts w:ascii="Arial" w:hAnsi="Arial" w:cs="Arial"/>
          <w:sz w:val="24"/>
          <w:szCs w:val="24"/>
        </w:rPr>
        <w:t>offset credits pursuant to section 95983(a); and</w:t>
      </w:r>
    </w:p>
    <w:p w14:paraId="378C9941" w14:textId="77777777" w:rsidR="00DC7A82" w:rsidRPr="00B61FF1" w:rsidRDefault="00DC7A82" w:rsidP="00FE6A4C">
      <w:pPr>
        <w:numPr>
          <w:ilvl w:val="2"/>
          <w:numId w:val="33"/>
        </w:numPr>
        <w:adjustRightInd/>
        <w:spacing w:line="360" w:lineRule="auto"/>
        <w:rPr>
          <w:rFonts w:ascii="Arial" w:hAnsi="Arial" w:cs="Arial"/>
          <w:sz w:val="24"/>
          <w:szCs w:val="24"/>
        </w:rPr>
      </w:pPr>
      <w:r w:rsidRPr="00B61FF1">
        <w:rPr>
          <w:rFonts w:ascii="Arial" w:hAnsi="Arial" w:cs="Arial"/>
          <w:sz w:val="24"/>
          <w:szCs w:val="24"/>
        </w:rPr>
        <w:t>From which ARB may retire</w:t>
      </w:r>
      <w:r w:rsidR="001D0D00" w:rsidRPr="00B61FF1">
        <w:rPr>
          <w:rFonts w:ascii="Arial" w:hAnsi="Arial" w:cs="Arial"/>
          <w:sz w:val="24"/>
          <w:szCs w:val="24"/>
        </w:rPr>
        <w:t xml:space="preserve"> ARB</w:t>
      </w:r>
      <w:r w:rsidRPr="00B61FF1">
        <w:rPr>
          <w:rFonts w:ascii="Arial" w:hAnsi="Arial" w:cs="Arial"/>
          <w:sz w:val="24"/>
          <w:szCs w:val="24"/>
        </w:rPr>
        <w:t xml:space="preserve"> offset credits pursuant to section</w:t>
      </w:r>
      <w:r w:rsidR="00EE0044" w:rsidRPr="00B61FF1">
        <w:rPr>
          <w:rFonts w:ascii="Arial" w:hAnsi="Arial" w:cs="Arial"/>
          <w:sz w:val="24"/>
          <w:szCs w:val="24"/>
        </w:rPr>
        <w:t>s</w:t>
      </w:r>
      <w:r w:rsidRPr="00B61FF1">
        <w:rPr>
          <w:rFonts w:ascii="Arial" w:hAnsi="Arial" w:cs="Arial"/>
          <w:sz w:val="24"/>
          <w:szCs w:val="24"/>
        </w:rPr>
        <w:t xml:space="preserve"> 95983(b)(2)</w:t>
      </w:r>
      <w:r w:rsidR="0098341F" w:rsidRPr="00B61FF1">
        <w:rPr>
          <w:rFonts w:ascii="Arial" w:hAnsi="Arial" w:cs="Arial"/>
          <w:sz w:val="24"/>
          <w:szCs w:val="24"/>
        </w:rPr>
        <w:t>, (c)(3), and (c)(4)</w:t>
      </w:r>
      <w:r w:rsidRPr="00B61FF1">
        <w:rPr>
          <w:rFonts w:ascii="Arial" w:hAnsi="Arial" w:cs="Arial"/>
          <w:sz w:val="24"/>
          <w:szCs w:val="24"/>
        </w:rPr>
        <w:t xml:space="preserve"> and place them into to the Retirement Holding Account.</w:t>
      </w:r>
    </w:p>
    <w:p w14:paraId="27E01BF8" w14:textId="77777777" w:rsidR="003C3E61" w:rsidRPr="00B61FF1" w:rsidRDefault="003C3E61" w:rsidP="00FE6A4C">
      <w:pPr>
        <w:numPr>
          <w:ilvl w:val="1"/>
          <w:numId w:val="32"/>
        </w:numPr>
        <w:adjustRightInd/>
        <w:spacing w:line="360" w:lineRule="auto"/>
        <w:rPr>
          <w:rFonts w:ascii="Arial" w:hAnsi="Arial" w:cs="Arial"/>
          <w:sz w:val="24"/>
          <w:szCs w:val="24"/>
        </w:rPr>
      </w:pPr>
      <w:r w:rsidRPr="00B61FF1">
        <w:rPr>
          <w:rFonts w:ascii="Arial" w:hAnsi="Arial" w:cs="Arial"/>
          <w:sz w:val="24"/>
          <w:szCs w:val="24"/>
        </w:rPr>
        <w:t>A holding account to be known as the Voluntary Renewable Electricity Reserve Account</w:t>
      </w:r>
      <w:r w:rsidR="00F44474" w:rsidRPr="00B61FF1">
        <w:rPr>
          <w:rFonts w:ascii="Arial" w:hAnsi="Arial" w:cs="Arial"/>
          <w:sz w:val="24"/>
          <w:szCs w:val="24"/>
        </w:rPr>
        <w:t>, which will be closed when it is depleted of the following originally allocated allowances:</w:t>
      </w:r>
    </w:p>
    <w:p w14:paraId="5B9DCC43" w14:textId="77777777" w:rsidR="003C3E61" w:rsidRPr="00B61FF1" w:rsidRDefault="004623EE" w:rsidP="004623EE">
      <w:pPr>
        <w:adjustRightInd/>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3C3E61" w:rsidRPr="00B61FF1">
        <w:rPr>
          <w:rFonts w:ascii="Arial" w:hAnsi="Arial" w:cs="Arial"/>
          <w:sz w:val="24"/>
          <w:szCs w:val="24"/>
        </w:rPr>
        <w:t>Into which the Executive Officer will transfer allowances allocated pursuant to section 95870(c);</w:t>
      </w:r>
      <w:r w:rsidR="00F44474" w:rsidRPr="00B61FF1">
        <w:rPr>
          <w:rFonts w:ascii="Arial" w:hAnsi="Arial" w:cs="Arial"/>
          <w:sz w:val="24"/>
          <w:szCs w:val="24"/>
        </w:rPr>
        <w:t xml:space="preserve"> and</w:t>
      </w:r>
    </w:p>
    <w:p w14:paraId="4FB21801" w14:textId="77777777" w:rsidR="003C3E61" w:rsidRPr="00B61FF1" w:rsidRDefault="004623EE" w:rsidP="004623EE">
      <w:pPr>
        <w:adjustRightInd/>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3C3E61" w:rsidRPr="00B61FF1">
        <w:rPr>
          <w:rFonts w:ascii="Arial" w:hAnsi="Arial" w:cs="Arial"/>
          <w:sz w:val="24"/>
          <w:szCs w:val="24"/>
        </w:rPr>
        <w:t xml:space="preserve">From which the Executive Officer may retire allowances </w:t>
      </w:r>
      <w:r w:rsidR="00F44474" w:rsidRPr="00B61FF1">
        <w:rPr>
          <w:rFonts w:ascii="Arial" w:hAnsi="Arial" w:cs="Arial"/>
          <w:sz w:val="24"/>
          <w:szCs w:val="24"/>
        </w:rPr>
        <w:t>pursuant to section 95841.1.</w:t>
      </w:r>
    </w:p>
    <w:p w14:paraId="7E4FCD41" w14:textId="77777777" w:rsidR="00053D51" w:rsidRPr="00B61FF1" w:rsidRDefault="00053D51" w:rsidP="00053D51">
      <w:pPr>
        <w:adjustRightInd/>
        <w:spacing w:line="360" w:lineRule="auto"/>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Account Closure</w:t>
      </w:r>
      <w:r w:rsidR="006343BE" w:rsidRPr="00B61FF1">
        <w:rPr>
          <w:rFonts w:ascii="Arial" w:hAnsi="Arial" w:cs="Arial"/>
          <w:sz w:val="24"/>
          <w:szCs w:val="24"/>
        </w:rPr>
        <w:t>.</w:t>
      </w:r>
    </w:p>
    <w:p w14:paraId="56823039" w14:textId="77777777" w:rsidR="00053D51" w:rsidRPr="00B61FF1" w:rsidRDefault="00053D51" w:rsidP="000A7861">
      <w:pPr>
        <w:tabs>
          <w:tab w:val="left" w:pos="810"/>
          <w:tab w:val="left" w:pos="1800"/>
        </w:tabs>
        <w:adjustRightInd/>
        <w:spacing w:line="360" w:lineRule="auto"/>
        <w:ind w:left="180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A registered entity’s accounts will be closed after the Executive Officer receives a report that an entity has ceased operation pursuant to </w:t>
      </w:r>
      <w:r w:rsidR="00C652FA" w:rsidRPr="00B61FF1">
        <w:rPr>
          <w:rFonts w:ascii="Arial" w:hAnsi="Arial" w:cs="Arial"/>
          <w:sz w:val="24"/>
          <w:szCs w:val="24"/>
        </w:rPr>
        <w:t xml:space="preserve">MRR section </w:t>
      </w:r>
      <w:r w:rsidRPr="00B61FF1">
        <w:rPr>
          <w:rFonts w:ascii="Arial" w:hAnsi="Arial" w:cs="Arial"/>
          <w:sz w:val="24"/>
          <w:szCs w:val="24"/>
        </w:rPr>
        <w:t>95101(h).</w:t>
      </w:r>
    </w:p>
    <w:p w14:paraId="5B80CD0D" w14:textId="77777777" w:rsidR="00053D51" w:rsidRPr="00B61FF1" w:rsidRDefault="00053D51" w:rsidP="000A7861">
      <w:pPr>
        <w:tabs>
          <w:tab w:val="left" w:pos="810"/>
          <w:tab w:val="left" w:pos="1800"/>
        </w:tabs>
        <w:adjustRightInd/>
        <w:spacing w:line="360" w:lineRule="auto"/>
        <w:ind w:left="180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 voluntarily associated entity’s accounts may be closed if no compliance instruments are transferred into or out of the accounts for a period of three years.</w:t>
      </w:r>
    </w:p>
    <w:p w14:paraId="77475D76" w14:textId="141ECF25" w:rsidR="00101BCF" w:rsidRPr="00B61FF1" w:rsidRDefault="00101BCF" w:rsidP="00101BCF">
      <w:pPr>
        <w:tabs>
          <w:tab w:val="left" w:pos="810"/>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(3)</w:t>
      </w:r>
      <w:r w:rsidRPr="005427CC">
        <w:rPr>
          <w:rFonts w:ascii="Arial" w:hAnsi="Arial" w:cs="Arial"/>
          <w:sz w:val="24"/>
          <w:szCs w:val="24"/>
        </w:rPr>
        <w:tab/>
      </w:r>
      <w:r w:rsidRPr="00B61FF1">
        <w:rPr>
          <w:rFonts w:ascii="Arial" w:hAnsi="Arial" w:cs="Arial"/>
          <w:sz w:val="24"/>
          <w:szCs w:val="24"/>
          <w:u w:val="single"/>
        </w:rPr>
        <w:t>Compliance instruments needed to fulfill the entity’s compliance obligation will be drawn first from the entity’s Compliance Account and then from the entity’s Holding Account</w:t>
      </w:r>
      <w:r w:rsidR="00C73CCF" w:rsidRPr="00B61FF1">
        <w:rPr>
          <w:rFonts w:ascii="Arial" w:hAnsi="Arial" w:cs="Arial"/>
          <w:sz w:val="24"/>
          <w:szCs w:val="24"/>
          <w:u w:val="single"/>
        </w:rPr>
        <w:t xml:space="preserve"> if the Compliance Account does not contain sufficient compliance instruments to meet the compliance obligation</w:t>
      </w:r>
      <w:r w:rsidRPr="00B61FF1">
        <w:rPr>
          <w:rFonts w:ascii="Arial" w:hAnsi="Arial" w:cs="Arial"/>
          <w:sz w:val="24"/>
          <w:szCs w:val="24"/>
          <w:u w:val="single"/>
        </w:rPr>
        <w:t xml:space="preserve">. </w:t>
      </w:r>
    </w:p>
    <w:p w14:paraId="07D96DBC" w14:textId="77777777" w:rsidR="00053D51" w:rsidRPr="00B61FF1" w:rsidRDefault="00053D51" w:rsidP="000A7861">
      <w:pPr>
        <w:tabs>
          <w:tab w:val="left" w:pos="810"/>
          <w:tab w:val="left" w:pos="1800"/>
        </w:tabs>
        <w:adjustRightInd/>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3</w:t>
      </w:r>
      <w:r w:rsidR="00101BCF" w:rsidRPr="00B61FF1">
        <w:rPr>
          <w:rFonts w:ascii="Arial" w:hAnsi="Arial" w:cs="Arial"/>
          <w:sz w:val="24"/>
          <w:szCs w:val="24"/>
          <w:u w:val="single"/>
        </w:rPr>
        <w:t>4</w:t>
      </w:r>
      <w:r w:rsidRPr="00B61FF1">
        <w:rPr>
          <w:rFonts w:ascii="Arial" w:hAnsi="Arial" w:cs="Arial"/>
          <w:sz w:val="24"/>
          <w:szCs w:val="24"/>
        </w:rPr>
        <w:t>)</w:t>
      </w:r>
      <w:r w:rsidRPr="00B61FF1">
        <w:rPr>
          <w:rFonts w:ascii="Arial" w:hAnsi="Arial" w:cs="Arial"/>
          <w:sz w:val="24"/>
          <w:szCs w:val="24"/>
        </w:rPr>
        <w:tab/>
        <w:t xml:space="preserve">Compliance instruments remaining in accounts closed by the Executive Officer and not needed to fulfill a compliance </w:t>
      </w:r>
      <w:r w:rsidRPr="00B61FF1">
        <w:rPr>
          <w:rFonts w:ascii="Arial" w:hAnsi="Arial" w:cs="Arial"/>
          <w:sz w:val="24"/>
          <w:szCs w:val="24"/>
        </w:rPr>
        <w:lastRenderedPageBreak/>
        <w:t xml:space="preserve">obligation will be consigned to auction pursuant to </w:t>
      </w:r>
      <w:r w:rsidR="00D3368F" w:rsidRPr="00B61FF1">
        <w:rPr>
          <w:rFonts w:ascii="Arial" w:hAnsi="Arial" w:cs="Arial"/>
          <w:sz w:val="24"/>
          <w:szCs w:val="24"/>
        </w:rPr>
        <w:t xml:space="preserve">section </w:t>
      </w:r>
      <w:r w:rsidRPr="00B61FF1">
        <w:rPr>
          <w:rFonts w:ascii="Arial" w:hAnsi="Arial" w:cs="Arial"/>
          <w:sz w:val="24"/>
          <w:szCs w:val="24"/>
        </w:rPr>
        <w:t>95910(d) on behalf of the registered entity.</w:t>
      </w:r>
    </w:p>
    <w:p w14:paraId="3B536E22" w14:textId="77777777" w:rsidR="007F66AD" w:rsidRPr="00B61FF1" w:rsidRDefault="007F66AD" w:rsidP="007F66AD">
      <w:pPr>
        <w:tabs>
          <w:tab w:val="left" w:pos="810"/>
          <w:tab w:val="left" w:pos="1800"/>
        </w:tabs>
        <w:adjustRightInd/>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Additional accounts may be created by the Executive Officer to implement the Cap-and-Trade Program</w:t>
      </w:r>
      <w:r w:rsidR="002D3A8D" w:rsidRPr="00B61FF1">
        <w:rPr>
          <w:rFonts w:ascii="Arial" w:hAnsi="Arial" w:cs="Arial"/>
          <w:sz w:val="24"/>
          <w:szCs w:val="24"/>
        </w:rPr>
        <w:t>.</w:t>
      </w:r>
    </w:p>
    <w:p w14:paraId="0AB4E7F8" w14:textId="77777777" w:rsidR="00FE6B15" w:rsidRPr="00B61FF1" w:rsidRDefault="00FE6B15" w:rsidP="004E3B67">
      <w:pPr>
        <w:spacing w:line="360" w:lineRule="auto"/>
        <w:ind w:left="1080"/>
        <w:rPr>
          <w:rFonts w:ascii="Arial" w:hAnsi="Arial" w:cs="Arial"/>
          <w:sz w:val="24"/>
          <w:szCs w:val="24"/>
        </w:rPr>
      </w:pPr>
    </w:p>
    <w:p w14:paraId="5933D1DC"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3406CAAD"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039A1BF4" w14:textId="77777777" w:rsidR="00FE6B15" w:rsidRPr="00B61FF1" w:rsidRDefault="00FE6B15" w:rsidP="004E3B67">
      <w:pPr>
        <w:spacing w:line="360" w:lineRule="auto"/>
        <w:ind w:left="1080"/>
        <w:rPr>
          <w:rFonts w:ascii="Arial" w:hAnsi="Arial" w:cs="Arial"/>
          <w:sz w:val="24"/>
          <w:szCs w:val="24"/>
        </w:rPr>
      </w:pPr>
    </w:p>
    <w:p w14:paraId="4A2F0F98" w14:textId="77777777" w:rsidR="00FE6B15" w:rsidRPr="00B61FF1" w:rsidRDefault="00FE6B15" w:rsidP="004E3B67">
      <w:pPr>
        <w:pStyle w:val="Heading2"/>
        <w:rPr>
          <w:i/>
          <w:szCs w:val="24"/>
        </w:rPr>
      </w:pPr>
      <w:bookmarkStart w:id="133" w:name="_Toc299094919"/>
      <w:bookmarkStart w:id="134" w:name="_Toc302746772"/>
      <w:bookmarkStart w:id="135" w:name="_Toc352146234"/>
      <w:bookmarkStart w:id="136" w:name="_Toc361659835"/>
      <w:r w:rsidRPr="00B61FF1">
        <w:rPr>
          <w:szCs w:val="24"/>
        </w:rPr>
        <w:t>§ 95832.  Designation of Representative</w:t>
      </w:r>
      <w:r w:rsidR="007F66AD" w:rsidRPr="00B61FF1">
        <w:rPr>
          <w:szCs w:val="24"/>
        </w:rPr>
        <w:t>s and Agents</w:t>
      </w:r>
      <w:r w:rsidR="00DC39C3" w:rsidRPr="00B61FF1">
        <w:rPr>
          <w:szCs w:val="24"/>
        </w:rPr>
        <w:t>.</w:t>
      </w:r>
      <w:bookmarkEnd w:id="133"/>
      <w:bookmarkEnd w:id="134"/>
      <w:bookmarkEnd w:id="135"/>
      <w:bookmarkEnd w:id="136"/>
    </w:p>
    <w:p w14:paraId="0A761DA7"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An application </w:t>
      </w:r>
      <w:r w:rsidR="007F66AD" w:rsidRPr="00B61FF1">
        <w:rPr>
          <w:rFonts w:ascii="Arial" w:hAnsi="Arial" w:cs="Arial"/>
          <w:sz w:val="24"/>
          <w:szCs w:val="24"/>
        </w:rPr>
        <w:t>for registration into the California Cap-and</w:t>
      </w:r>
      <w:r w:rsidR="00D71246" w:rsidRPr="00B61FF1">
        <w:rPr>
          <w:rFonts w:ascii="Arial" w:hAnsi="Arial" w:cs="Arial"/>
          <w:sz w:val="24"/>
          <w:szCs w:val="24"/>
        </w:rPr>
        <w:t>-Trade Program</w:t>
      </w:r>
      <w:r w:rsidR="007F66AD" w:rsidRPr="00B61FF1">
        <w:rPr>
          <w:rFonts w:ascii="Arial" w:hAnsi="Arial" w:cs="Arial"/>
          <w:sz w:val="24"/>
          <w:szCs w:val="24"/>
        </w:rPr>
        <w:t xml:space="preserve"> </w:t>
      </w:r>
      <w:r w:rsidRPr="00B61FF1">
        <w:rPr>
          <w:rFonts w:ascii="Arial" w:hAnsi="Arial" w:cs="Arial"/>
          <w:sz w:val="24"/>
          <w:szCs w:val="24"/>
        </w:rPr>
        <w:t xml:space="preserve">for an account must designate a single </w:t>
      </w:r>
      <w:r w:rsidR="00D71246" w:rsidRPr="00B61FF1">
        <w:rPr>
          <w:rFonts w:ascii="Arial" w:hAnsi="Arial" w:cs="Arial"/>
          <w:sz w:val="24"/>
          <w:szCs w:val="24"/>
        </w:rPr>
        <w:t>primary</w:t>
      </w:r>
      <w:r w:rsidRPr="00B61FF1">
        <w:rPr>
          <w:rFonts w:ascii="Arial" w:hAnsi="Arial" w:cs="Arial"/>
          <w:sz w:val="24"/>
          <w:szCs w:val="24"/>
        </w:rPr>
        <w:t xml:space="preserve"> account representative and </w:t>
      </w:r>
      <w:r w:rsidR="00D71246" w:rsidRPr="00B61FF1">
        <w:rPr>
          <w:rFonts w:ascii="Arial" w:hAnsi="Arial" w:cs="Arial"/>
          <w:sz w:val="24"/>
          <w:szCs w:val="24"/>
        </w:rPr>
        <w:t>at least one but no more than four</w:t>
      </w:r>
      <w:r w:rsidRPr="00B61FF1">
        <w:rPr>
          <w:rFonts w:ascii="Arial" w:hAnsi="Arial" w:cs="Arial"/>
          <w:sz w:val="24"/>
          <w:szCs w:val="24"/>
        </w:rPr>
        <w:t xml:space="preserve"> alternate account representative</w:t>
      </w:r>
      <w:r w:rsidR="00D71246" w:rsidRPr="00B61FF1">
        <w:rPr>
          <w:rFonts w:ascii="Arial" w:hAnsi="Arial" w:cs="Arial"/>
          <w:sz w:val="24"/>
          <w:szCs w:val="24"/>
        </w:rPr>
        <w:t>s</w:t>
      </w:r>
      <w:r w:rsidRPr="00B61FF1">
        <w:rPr>
          <w:rFonts w:ascii="Arial" w:hAnsi="Arial" w:cs="Arial"/>
          <w:sz w:val="24"/>
          <w:szCs w:val="24"/>
        </w:rPr>
        <w:t xml:space="preserve">.  </w:t>
      </w:r>
      <w:r w:rsidR="00D71246" w:rsidRPr="00B61FF1">
        <w:rPr>
          <w:rFonts w:ascii="Arial" w:hAnsi="Arial" w:cs="Arial"/>
          <w:sz w:val="24"/>
          <w:szCs w:val="24"/>
        </w:rPr>
        <w:t>Any communication between the accounts administrator and an alternate account representative must also be addressed to the primary account representative</w:t>
      </w:r>
      <w:r w:rsidRPr="00B61FF1">
        <w:rPr>
          <w:rFonts w:ascii="Arial" w:hAnsi="Arial" w:cs="Arial"/>
          <w:sz w:val="24"/>
          <w:szCs w:val="24"/>
        </w:rPr>
        <w:t xml:space="preserve">.  A complete application for an account shall be submitted to the accounts administrator and shall include the following elements:  </w:t>
      </w:r>
    </w:p>
    <w:p w14:paraId="705C4491"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Name, </w:t>
      </w:r>
      <w:r w:rsidR="00D71246" w:rsidRPr="00B61FF1">
        <w:rPr>
          <w:rFonts w:ascii="Arial" w:hAnsi="Arial" w:cs="Arial"/>
          <w:sz w:val="24"/>
          <w:szCs w:val="24"/>
        </w:rPr>
        <w:t>business and primary residence addresses, email addresses, and phone numbers,</w:t>
      </w:r>
      <w:r w:rsidRPr="00B61FF1">
        <w:rPr>
          <w:rFonts w:ascii="Arial" w:hAnsi="Arial" w:cs="Arial"/>
          <w:sz w:val="24"/>
          <w:szCs w:val="24"/>
        </w:rPr>
        <w:t xml:space="preserve"> of the </w:t>
      </w:r>
      <w:r w:rsidR="00D71246" w:rsidRPr="00B61FF1">
        <w:rPr>
          <w:rFonts w:ascii="Arial" w:hAnsi="Arial" w:cs="Arial"/>
          <w:sz w:val="24"/>
          <w:szCs w:val="24"/>
        </w:rPr>
        <w:t>primary</w:t>
      </w:r>
      <w:r w:rsidRPr="00B61FF1">
        <w:rPr>
          <w:rFonts w:ascii="Arial" w:hAnsi="Arial" w:cs="Arial"/>
          <w:sz w:val="24"/>
          <w:szCs w:val="24"/>
        </w:rPr>
        <w:t xml:space="preserve"> account representative and any alternate account representative</w:t>
      </w:r>
      <w:r w:rsidR="00D71246" w:rsidRPr="00B61FF1">
        <w:rPr>
          <w:rFonts w:ascii="Arial" w:hAnsi="Arial" w:cs="Arial"/>
          <w:sz w:val="24"/>
          <w:szCs w:val="24"/>
        </w:rPr>
        <w:t>s and account viewing agents</w:t>
      </w:r>
      <w:r w:rsidRPr="00B61FF1">
        <w:rPr>
          <w:rFonts w:ascii="Arial" w:hAnsi="Arial" w:cs="Arial"/>
          <w:sz w:val="24"/>
          <w:szCs w:val="24"/>
        </w:rPr>
        <w:t>;</w:t>
      </w:r>
    </w:p>
    <w:p w14:paraId="1EBF51A9" w14:textId="77777777" w:rsidR="00FE6B15" w:rsidRPr="00B61FF1" w:rsidRDefault="00D71246" w:rsidP="00FE6A4C">
      <w:pPr>
        <w:numPr>
          <w:ilvl w:val="1"/>
          <w:numId w:val="24"/>
        </w:numPr>
        <w:spacing w:line="360" w:lineRule="auto"/>
        <w:rPr>
          <w:rFonts w:ascii="Arial" w:hAnsi="Arial" w:cs="Arial"/>
          <w:sz w:val="24"/>
          <w:szCs w:val="24"/>
        </w:rPr>
      </w:pPr>
      <w:r w:rsidRPr="00B61FF1">
        <w:rPr>
          <w:rFonts w:ascii="Arial" w:hAnsi="Arial" w:cs="Arial"/>
          <w:sz w:val="24"/>
          <w:szCs w:val="24"/>
        </w:rPr>
        <w:t>Name of the organization designating the primary account representative or any alternate account representative</w:t>
      </w:r>
      <w:r w:rsidR="00CB2D3E" w:rsidRPr="00B61FF1">
        <w:rPr>
          <w:rFonts w:ascii="Arial" w:hAnsi="Arial" w:cs="Arial"/>
          <w:sz w:val="24"/>
          <w:szCs w:val="24"/>
        </w:rPr>
        <w:t xml:space="preserve"> to represent its ownership interest with respect to the compliance instruments held in the account;</w:t>
      </w:r>
    </w:p>
    <w:p w14:paraId="2CAC71EC" w14:textId="77777777" w:rsidR="005E23D9" w:rsidRPr="00B61FF1" w:rsidRDefault="005E23D9"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The </w:t>
      </w:r>
      <w:r w:rsidR="00CB2D3E" w:rsidRPr="00B61FF1">
        <w:rPr>
          <w:rFonts w:ascii="Arial" w:hAnsi="Arial" w:cs="Arial"/>
          <w:sz w:val="24"/>
          <w:szCs w:val="24"/>
        </w:rPr>
        <w:t>primary</w:t>
      </w:r>
      <w:r w:rsidRPr="00B61FF1">
        <w:rPr>
          <w:rFonts w:ascii="Arial" w:hAnsi="Arial" w:cs="Arial"/>
          <w:sz w:val="24"/>
          <w:szCs w:val="24"/>
        </w:rPr>
        <w:t xml:space="preserve"> account representative and any alternate account representative must attest, in writing, to ARB as follows:   “I certify under penalty of perjury under the laws of </w:t>
      </w:r>
      <w:r w:rsidR="00010FE2" w:rsidRPr="00B61FF1">
        <w:rPr>
          <w:rFonts w:ascii="Arial" w:hAnsi="Arial" w:cs="Arial"/>
          <w:sz w:val="24"/>
          <w:szCs w:val="24"/>
        </w:rPr>
        <w:t xml:space="preserve">the State of </w:t>
      </w:r>
      <w:r w:rsidRPr="00B61FF1">
        <w:rPr>
          <w:rFonts w:ascii="Arial" w:hAnsi="Arial" w:cs="Arial"/>
          <w:sz w:val="24"/>
          <w:szCs w:val="24"/>
        </w:rPr>
        <w:t xml:space="preserve">California that I was selected as the </w:t>
      </w:r>
      <w:r w:rsidR="00CB2D3E" w:rsidRPr="00B61FF1">
        <w:rPr>
          <w:rFonts w:ascii="Arial" w:hAnsi="Arial" w:cs="Arial"/>
          <w:sz w:val="24"/>
          <w:szCs w:val="24"/>
        </w:rPr>
        <w:t>primary</w:t>
      </w:r>
      <w:r w:rsidRPr="00B61FF1">
        <w:rPr>
          <w:rFonts w:ascii="Arial" w:hAnsi="Arial" w:cs="Arial"/>
          <w:sz w:val="24"/>
          <w:szCs w:val="24"/>
        </w:rPr>
        <w:t xml:space="preserve"> account representative or the alternate account representative, as applicable, by an agreement that is binding on all persons who have an ownership interest with respect to compliance instruments held in the account.  I certify that I have all the necessary authority to carry out the duties and responsibilities </w:t>
      </w:r>
      <w:r w:rsidRPr="00B61FF1">
        <w:rPr>
          <w:rFonts w:ascii="Arial" w:hAnsi="Arial" w:cs="Arial"/>
          <w:sz w:val="24"/>
          <w:szCs w:val="24"/>
        </w:rPr>
        <w:lastRenderedPageBreak/>
        <w:t>contained in title 17, article 5, sections 95800 et seq. on behalf of such persons and that each such person shall be fully bound by my representations, actions, inactions, or submissions and by any order or decision issued to me by the accounts administrator or a court regarding the account</w:t>
      </w:r>
      <w:r w:rsidR="00DF03DB" w:rsidRPr="00B61FF1">
        <w:rPr>
          <w:rFonts w:ascii="Arial" w:hAnsi="Arial" w:cs="Arial"/>
          <w:sz w:val="24"/>
          <w:szCs w:val="24"/>
        </w:rPr>
        <w:t>”</w:t>
      </w:r>
      <w:r w:rsidR="00890F7D" w:rsidRPr="00B61FF1">
        <w:rPr>
          <w:rFonts w:ascii="Arial" w:hAnsi="Arial" w:cs="Arial"/>
          <w:sz w:val="24"/>
          <w:szCs w:val="24"/>
        </w:rPr>
        <w:t>;</w:t>
      </w:r>
    </w:p>
    <w:p w14:paraId="6E9B470B" w14:textId="77777777" w:rsidR="00CB2D3E" w:rsidRPr="00B61FF1" w:rsidRDefault="00CB2D3E" w:rsidP="00FE6A4C">
      <w:pPr>
        <w:numPr>
          <w:ilvl w:val="1"/>
          <w:numId w:val="24"/>
        </w:numPr>
        <w:spacing w:line="360" w:lineRule="auto"/>
        <w:rPr>
          <w:rFonts w:ascii="Arial" w:hAnsi="Arial" w:cs="Arial"/>
          <w:sz w:val="24"/>
          <w:szCs w:val="24"/>
        </w:rPr>
      </w:pPr>
      <w:r w:rsidRPr="00B61FF1">
        <w:rPr>
          <w:rFonts w:ascii="Arial" w:hAnsi="Arial" w:cs="Arial"/>
          <w:sz w:val="24"/>
          <w:szCs w:val="24"/>
        </w:rPr>
        <w:t>An attestation verifying the selection of the primary account representative, alternate account representatives, and account viewing agents, signed by the officer of the entity who is responsible for the conduct of the primary account representative, alternate account representatives, and account viewing agents, and is one of the officers disclosed pursuant to section 95830(c)(1)(B);</w:t>
      </w:r>
    </w:p>
    <w:p w14:paraId="560168CE" w14:textId="77777777" w:rsidR="005E23D9" w:rsidRPr="00B61FF1" w:rsidRDefault="005E23D9"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The signature of the </w:t>
      </w:r>
      <w:r w:rsidR="00CB2D3E" w:rsidRPr="00B61FF1">
        <w:rPr>
          <w:rFonts w:ascii="Arial" w:hAnsi="Arial" w:cs="Arial"/>
          <w:sz w:val="24"/>
          <w:szCs w:val="24"/>
        </w:rPr>
        <w:t>primary</w:t>
      </w:r>
      <w:r w:rsidRPr="00B61FF1">
        <w:rPr>
          <w:rFonts w:ascii="Arial" w:hAnsi="Arial" w:cs="Arial"/>
          <w:sz w:val="24"/>
          <w:szCs w:val="24"/>
        </w:rPr>
        <w:t xml:space="preserve"> account representative and any alternate account representative and the dates signed; and</w:t>
      </w:r>
    </w:p>
    <w:p w14:paraId="0F1E91C3" w14:textId="77777777" w:rsidR="005E23D9" w:rsidRPr="00B61FF1" w:rsidRDefault="002F7889" w:rsidP="00FE6A4C">
      <w:pPr>
        <w:pStyle w:val="ListParagraph"/>
        <w:numPr>
          <w:ilvl w:val="1"/>
          <w:numId w:val="24"/>
        </w:numPr>
        <w:spacing w:line="360" w:lineRule="auto"/>
        <w:rPr>
          <w:rFonts w:ascii="Arial" w:hAnsi="Arial" w:cs="Arial"/>
          <w:sz w:val="24"/>
          <w:szCs w:val="24"/>
        </w:rPr>
      </w:pPr>
      <w:r w:rsidRPr="00B61FF1">
        <w:rPr>
          <w:rFonts w:ascii="Arial" w:hAnsi="Arial" w:cs="Arial"/>
          <w:sz w:val="24"/>
          <w:szCs w:val="24"/>
        </w:rPr>
        <w:t>An attestation as follows: “</w:t>
      </w:r>
      <w:r w:rsidR="005E23D9" w:rsidRPr="00B61FF1">
        <w:rPr>
          <w:rFonts w:ascii="Arial" w:hAnsi="Arial" w:cs="Arial"/>
          <w:sz w:val="24"/>
          <w:szCs w:val="24"/>
        </w:rPr>
        <w:t xml:space="preserve">I certify that I have personally examined, and am familiar with, the statements and information submitted in this document and all its attachments.  I also certify </w:t>
      </w:r>
      <w:r w:rsidR="00010FE2" w:rsidRPr="00B61FF1">
        <w:rPr>
          <w:rFonts w:ascii="Arial" w:hAnsi="Arial" w:cs="Arial"/>
          <w:sz w:val="24"/>
          <w:szCs w:val="24"/>
        </w:rPr>
        <w:t xml:space="preserve">under penalty of perjury of the laws of the State of California </w:t>
      </w:r>
      <w:r w:rsidR="005E23D9" w:rsidRPr="00B61FF1">
        <w:rPr>
          <w:rFonts w:ascii="Arial" w:hAnsi="Arial" w:cs="Arial"/>
          <w:sz w:val="24"/>
          <w:szCs w:val="24"/>
        </w:rPr>
        <w:t>that all information required to be submitted to ARB is true, accurate, and complete.”</w:t>
      </w:r>
    </w:p>
    <w:p w14:paraId="22CAA109"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Unless otherwise required by the Executive Officer, documents of agreement referred to in </w:t>
      </w:r>
      <w:r w:rsidR="00DC39C3" w:rsidRPr="00B61FF1">
        <w:rPr>
          <w:rFonts w:ascii="Arial" w:hAnsi="Arial" w:cs="Arial"/>
          <w:sz w:val="24"/>
          <w:szCs w:val="24"/>
        </w:rPr>
        <w:t>section 95832(a)</w:t>
      </w:r>
      <w:r w:rsidR="00E60B83" w:rsidRPr="00B61FF1">
        <w:rPr>
          <w:rFonts w:ascii="Arial" w:hAnsi="Arial" w:cs="Arial"/>
          <w:sz w:val="24"/>
          <w:szCs w:val="24"/>
        </w:rPr>
        <w:t xml:space="preserve"> in</w:t>
      </w:r>
      <w:r w:rsidR="003C77AB" w:rsidRPr="00B61FF1">
        <w:rPr>
          <w:rFonts w:ascii="Arial" w:hAnsi="Arial" w:cs="Arial"/>
          <w:sz w:val="24"/>
          <w:szCs w:val="24"/>
        </w:rPr>
        <w:t xml:space="preserve"> </w:t>
      </w:r>
      <w:r w:rsidRPr="00B61FF1">
        <w:rPr>
          <w:rFonts w:ascii="Arial" w:hAnsi="Arial" w:cs="Arial"/>
          <w:sz w:val="24"/>
          <w:szCs w:val="24"/>
        </w:rPr>
        <w:t>the application for an account shall not be submitted to the accounts administrator.  The accounts administrator shall not be under any obligation to review or evaluate the sufficiency of such documents, if submitted.</w:t>
      </w:r>
    </w:p>
    <w:p w14:paraId="52909CC7"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Authorization of </w:t>
      </w:r>
      <w:r w:rsidR="00CB2D3E" w:rsidRPr="00B61FF1">
        <w:rPr>
          <w:rFonts w:ascii="Arial" w:hAnsi="Arial" w:cs="Arial"/>
          <w:sz w:val="24"/>
          <w:szCs w:val="24"/>
        </w:rPr>
        <w:t>primary</w:t>
      </w:r>
      <w:r w:rsidRPr="00B61FF1">
        <w:rPr>
          <w:rFonts w:ascii="Arial" w:hAnsi="Arial" w:cs="Arial"/>
          <w:sz w:val="24"/>
          <w:szCs w:val="24"/>
        </w:rPr>
        <w:t xml:space="preserve"> account representative.  Upon receipt by the accounts administrator of a complete application for an account under section 95830(c): </w:t>
      </w:r>
    </w:p>
    <w:p w14:paraId="10DB5537"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The accounts administrator will establish an account or accounts for the person or persons for whom the application is submitted pursuant to section 95831.</w:t>
      </w:r>
    </w:p>
    <w:p w14:paraId="4960C711"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The </w:t>
      </w:r>
      <w:r w:rsidR="00CB2D3E" w:rsidRPr="00B61FF1">
        <w:rPr>
          <w:rFonts w:ascii="Arial" w:hAnsi="Arial" w:cs="Arial"/>
          <w:sz w:val="24"/>
          <w:szCs w:val="24"/>
        </w:rPr>
        <w:t xml:space="preserve">primary </w:t>
      </w:r>
      <w:r w:rsidRPr="00B61FF1">
        <w:rPr>
          <w:rFonts w:ascii="Arial" w:hAnsi="Arial" w:cs="Arial"/>
          <w:sz w:val="24"/>
          <w:szCs w:val="24"/>
        </w:rPr>
        <w:t xml:space="preserve">account representative and any alternate account representative for the account shall represent and, by his or her </w:t>
      </w:r>
      <w:r w:rsidRPr="00B61FF1">
        <w:rPr>
          <w:rFonts w:ascii="Arial" w:hAnsi="Arial" w:cs="Arial"/>
          <w:sz w:val="24"/>
          <w:szCs w:val="24"/>
        </w:rPr>
        <w:lastRenderedPageBreak/>
        <w:t xml:space="preserve">representations, actions, inactions, or submissions, legally bind each entity that owns compliance instruments held in the account in all matters pertaining to this article, notwithstanding any agreement between the </w:t>
      </w:r>
      <w:r w:rsidR="00CB2D3E" w:rsidRPr="00B61FF1">
        <w:rPr>
          <w:rFonts w:ascii="Arial" w:hAnsi="Arial" w:cs="Arial"/>
          <w:sz w:val="24"/>
          <w:szCs w:val="24"/>
        </w:rPr>
        <w:t>primary</w:t>
      </w:r>
      <w:r w:rsidRPr="00B61FF1">
        <w:rPr>
          <w:rFonts w:ascii="Arial" w:hAnsi="Arial" w:cs="Arial"/>
          <w:sz w:val="24"/>
          <w:szCs w:val="24"/>
        </w:rPr>
        <w:t xml:space="preserve"> account representative or any alter</w:t>
      </w:r>
      <w:r w:rsidR="00CB2D3E" w:rsidRPr="00B61FF1">
        <w:rPr>
          <w:rFonts w:ascii="Arial" w:hAnsi="Arial" w:cs="Arial"/>
          <w:sz w:val="24"/>
          <w:szCs w:val="24"/>
        </w:rPr>
        <w:t>nate</w:t>
      </w:r>
      <w:r w:rsidRPr="00B61FF1">
        <w:rPr>
          <w:rFonts w:ascii="Arial" w:hAnsi="Arial" w:cs="Arial"/>
          <w:sz w:val="24"/>
          <w:szCs w:val="24"/>
        </w:rPr>
        <w:t xml:space="preserve"> account representative and such entity.  </w:t>
      </w:r>
    </w:p>
    <w:p w14:paraId="20C1B7D6"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Any such entity shall be bound by any decision or order issued to the </w:t>
      </w:r>
      <w:r w:rsidR="00CB2D3E" w:rsidRPr="00B61FF1">
        <w:rPr>
          <w:rFonts w:ascii="Arial" w:hAnsi="Arial" w:cs="Arial"/>
          <w:sz w:val="24"/>
          <w:szCs w:val="24"/>
        </w:rPr>
        <w:t>primary</w:t>
      </w:r>
      <w:r w:rsidRPr="00B61FF1">
        <w:rPr>
          <w:rFonts w:ascii="Arial" w:hAnsi="Arial" w:cs="Arial"/>
          <w:sz w:val="24"/>
          <w:szCs w:val="24"/>
        </w:rPr>
        <w:t xml:space="preserve"> account representative or any alternate account representative by the Executive Officer or a court regarding the account.</w:t>
      </w:r>
      <w:r w:rsidRPr="00B61FF1">
        <w:rPr>
          <w:rFonts w:ascii="Arial" w:eastAsia="MS Mincho" w:hAnsi="Arial" w:cs="Arial"/>
          <w:sz w:val="24"/>
          <w:szCs w:val="24"/>
          <w:lang w:eastAsia="ja-JP"/>
        </w:rPr>
        <w:t xml:space="preserve">  </w:t>
      </w:r>
      <w:r w:rsidRPr="00B61FF1">
        <w:rPr>
          <w:rFonts w:ascii="Arial" w:hAnsi="Arial" w:cs="Arial"/>
          <w:sz w:val="24"/>
          <w:szCs w:val="24"/>
        </w:rPr>
        <w:t>Any representation, action, inaction, or submission by any alternate account representative shall be deemed to be a representation, action, inaction, or submission by the</w:t>
      </w:r>
      <w:r w:rsidR="00E81F61" w:rsidRPr="00B61FF1">
        <w:rPr>
          <w:rFonts w:ascii="Arial" w:hAnsi="Arial" w:cs="Arial"/>
          <w:sz w:val="24"/>
          <w:szCs w:val="24"/>
        </w:rPr>
        <w:t xml:space="preserve"> primary</w:t>
      </w:r>
      <w:r w:rsidRPr="00B61FF1">
        <w:rPr>
          <w:rFonts w:ascii="Arial" w:hAnsi="Arial" w:cs="Arial"/>
          <w:sz w:val="24"/>
          <w:szCs w:val="24"/>
        </w:rPr>
        <w:t xml:space="preserve"> account </w:t>
      </w:r>
      <w:r w:rsidR="00BA524D" w:rsidRPr="00B61FF1">
        <w:rPr>
          <w:rFonts w:ascii="Arial" w:hAnsi="Arial" w:cs="Arial"/>
          <w:sz w:val="24"/>
          <w:szCs w:val="24"/>
        </w:rPr>
        <w:t>representative or any alternate account representative</w:t>
      </w:r>
      <w:r w:rsidRPr="00B61FF1">
        <w:rPr>
          <w:rFonts w:ascii="Arial" w:hAnsi="Arial" w:cs="Arial"/>
          <w:sz w:val="24"/>
          <w:szCs w:val="24"/>
        </w:rPr>
        <w:t>.</w:t>
      </w:r>
    </w:p>
    <w:p w14:paraId="42B64C5B" w14:textId="77777777" w:rsidR="00D10B92"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Each submission concerning the account shall be submitted, signed, and </w:t>
      </w:r>
      <w:r w:rsidR="005E23D9" w:rsidRPr="00B61FF1">
        <w:rPr>
          <w:rFonts w:ascii="Arial" w:hAnsi="Arial" w:cs="Arial"/>
          <w:sz w:val="24"/>
          <w:szCs w:val="24"/>
        </w:rPr>
        <w:t>attested to</w:t>
      </w:r>
      <w:r w:rsidRPr="00B61FF1">
        <w:rPr>
          <w:rFonts w:ascii="Arial" w:hAnsi="Arial" w:cs="Arial"/>
          <w:sz w:val="24"/>
          <w:szCs w:val="24"/>
        </w:rPr>
        <w:t xml:space="preserve"> by the </w:t>
      </w:r>
      <w:r w:rsidR="00E81F61" w:rsidRPr="00B61FF1">
        <w:rPr>
          <w:rFonts w:ascii="Arial" w:hAnsi="Arial" w:cs="Arial"/>
          <w:sz w:val="24"/>
          <w:szCs w:val="24"/>
        </w:rPr>
        <w:t>primary</w:t>
      </w:r>
      <w:r w:rsidRPr="00B61FF1">
        <w:rPr>
          <w:rFonts w:ascii="Arial" w:hAnsi="Arial" w:cs="Arial"/>
          <w:sz w:val="24"/>
          <w:szCs w:val="24"/>
        </w:rPr>
        <w:t xml:space="preserve"> account representative or any alternate account representative for the entit</w:t>
      </w:r>
      <w:r w:rsidR="00E81F61" w:rsidRPr="00B61FF1">
        <w:rPr>
          <w:rFonts w:ascii="Arial" w:hAnsi="Arial" w:cs="Arial"/>
          <w:sz w:val="24"/>
          <w:szCs w:val="24"/>
        </w:rPr>
        <w:t>y</w:t>
      </w:r>
      <w:r w:rsidRPr="00B61FF1">
        <w:rPr>
          <w:rFonts w:ascii="Arial" w:hAnsi="Arial" w:cs="Arial"/>
          <w:sz w:val="24"/>
          <w:szCs w:val="24"/>
        </w:rPr>
        <w:t xml:space="preserve"> that own</w:t>
      </w:r>
      <w:r w:rsidR="00E81F61" w:rsidRPr="00B61FF1">
        <w:rPr>
          <w:rFonts w:ascii="Arial" w:hAnsi="Arial" w:cs="Arial"/>
          <w:sz w:val="24"/>
          <w:szCs w:val="24"/>
        </w:rPr>
        <w:t>s the</w:t>
      </w:r>
      <w:r w:rsidRPr="00B61FF1">
        <w:rPr>
          <w:rFonts w:ascii="Arial" w:hAnsi="Arial" w:cs="Arial"/>
          <w:sz w:val="24"/>
          <w:szCs w:val="24"/>
        </w:rPr>
        <w:t xml:space="preserve"> compliance instruments held in the account.  </w:t>
      </w:r>
      <w:r w:rsidR="00D10B92" w:rsidRPr="00B61FF1">
        <w:rPr>
          <w:rFonts w:ascii="Arial" w:hAnsi="Arial" w:cs="Arial"/>
          <w:sz w:val="24"/>
          <w:szCs w:val="24"/>
        </w:rPr>
        <w:t>Each such submission shall include the following attestation</w:t>
      </w:r>
      <w:r w:rsidR="00DF03DB" w:rsidRPr="00B61FF1">
        <w:rPr>
          <w:rFonts w:ascii="Arial" w:hAnsi="Arial" w:cs="Arial"/>
          <w:sz w:val="24"/>
          <w:szCs w:val="24"/>
        </w:rPr>
        <w:t xml:space="preserve"> </w:t>
      </w:r>
      <w:r w:rsidR="00D10B92" w:rsidRPr="00B61FF1">
        <w:rPr>
          <w:rFonts w:ascii="Arial" w:hAnsi="Arial" w:cs="Arial"/>
          <w:sz w:val="24"/>
          <w:szCs w:val="24"/>
        </w:rPr>
        <w:t xml:space="preserve">statement by the </w:t>
      </w:r>
      <w:r w:rsidR="00E81F61" w:rsidRPr="00B61FF1">
        <w:rPr>
          <w:rFonts w:ascii="Arial" w:hAnsi="Arial" w:cs="Arial"/>
          <w:sz w:val="24"/>
          <w:szCs w:val="24"/>
        </w:rPr>
        <w:t xml:space="preserve">primary </w:t>
      </w:r>
      <w:r w:rsidR="00D10B92" w:rsidRPr="00B61FF1">
        <w:rPr>
          <w:rFonts w:ascii="Arial" w:hAnsi="Arial" w:cs="Arial"/>
          <w:sz w:val="24"/>
          <w:szCs w:val="24"/>
        </w:rPr>
        <w:t xml:space="preserve">account representative or any alternate account representative: “I certify under penalty of perjury under the laws of </w:t>
      </w:r>
      <w:r w:rsidR="00BA524D" w:rsidRPr="00B61FF1">
        <w:rPr>
          <w:rFonts w:ascii="Arial" w:hAnsi="Arial" w:cs="Arial"/>
          <w:sz w:val="24"/>
          <w:szCs w:val="24"/>
        </w:rPr>
        <w:t xml:space="preserve">the State of </w:t>
      </w:r>
      <w:r w:rsidR="00D10B92" w:rsidRPr="00B61FF1">
        <w:rPr>
          <w:rFonts w:ascii="Arial" w:hAnsi="Arial" w:cs="Arial"/>
          <w:sz w:val="24"/>
          <w:szCs w:val="24"/>
        </w:rPr>
        <w:t>California</w:t>
      </w:r>
      <w:r w:rsidR="002F7889" w:rsidRPr="00B61FF1">
        <w:rPr>
          <w:rFonts w:ascii="Arial" w:hAnsi="Arial" w:cs="Arial"/>
          <w:sz w:val="24"/>
          <w:szCs w:val="24"/>
        </w:rPr>
        <w:t xml:space="preserve"> that</w:t>
      </w:r>
      <w:r w:rsidR="00D10B92" w:rsidRPr="00B61FF1">
        <w:rPr>
          <w:rFonts w:ascii="Arial" w:hAnsi="Arial" w:cs="Arial"/>
          <w:sz w:val="24"/>
          <w:szCs w:val="24"/>
        </w:rPr>
        <w:t xml:space="preserve"> I am authorized to make this submission on behalf of the entit</w:t>
      </w:r>
      <w:r w:rsidR="00E81F61" w:rsidRPr="00B61FF1">
        <w:rPr>
          <w:rFonts w:ascii="Arial" w:hAnsi="Arial" w:cs="Arial"/>
          <w:sz w:val="24"/>
          <w:szCs w:val="24"/>
        </w:rPr>
        <w:t>y</w:t>
      </w:r>
      <w:r w:rsidR="00D10B92" w:rsidRPr="00B61FF1">
        <w:rPr>
          <w:rFonts w:ascii="Arial" w:hAnsi="Arial" w:cs="Arial"/>
          <w:sz w:val="24"/>
          <w:szCs w:val="24"/>
        </w:rPr>
        <w:t xml:space="preserve"> that own</w:t>
      </w:r>
      <w:r w:rsidR="00E81F61" w:rsidRPr="00B61FF1">
        <w:rPr>
          <w:rFonts w:ascii="Arial" w:hAnsi="Arial" w:cs="Arial"/>
          <w:sz w:val="24"/>
          <w:szCs w:val="24"/>
        </w:rPr>
        <w:t>s</w:t>
      </w:r>
      <w:r w:rsidR="00D10B92" w:rsidRPr="00B61FF1">
        <w:rPr>
          <w:rFonts w:ascii="Arial" w:hAnsi="Arial" w:cs="Arial"/>
          <w:sz w:val="24"/>
          <w:szCs w:val="24"/>
        </w:rPr>
        <w:t xml:space="preserve"> the compliance instruments held in the account.  I certify under penalty of perjury </w:t>
      </w:r>
      <w:r w:rsidR="00F61A18" w:rsidRPr="00B61FF1">
        <w:rPr>
          <w:rFonts w:ascii="Arial" w:hAnsi="Arial" w:cs="Arial"/>
          <w:sz w:val="24"/>
          <w:szCs w:val="24"/>
        </w:rPr>
        <w:t>under the laws of the State of California</w:t>
      </w:r>
      <w:r w:rsidR="00D10B92" w:rsidRPr="00B61FF1">
        <w:rPr>
          <w:rFonts w:ascii="Arial" w:hAnsi="Arial" w:cs="Arial"/>
          <w:sz w:val="24"/>
          <w:szCs w:val="24"/>
        </w:rPr>
        <w:t xml:space="preserve"> that I have personally examined, and am familiar with, the statements and information submitted in this document and all its attachments.  Based on my inquiry of those individuals with primary responsibility for obtaining the information, I certify </w:t>
      </w:r>
      <w:r w:rsidR="0079399D" w:rsidRPr="00B61FF1">
        <w:rPr>
          <w:rFonts w:ascii="Arial" w:hAnsi="Arial" w:cs="Arial"/>
          <w:sz w:val="24"/>
          <w:szCs w:val="24"/>
        </w:rPr>
        <w:t xml:space="preserve">under penalty of perjury under the laws of the State of California </w:t>
      </w:r>
      <w:r w:rsidR="00D10B92" w:rsidRPr="00B61FF1">
        <w:rPr>
          <w:rFonts w:ascii="Arial" w:hAnsi="Arial" w:cs="Arial"/>
          <w:sz w:val="24"/>
          <w:szCs w:val="24"/>
        </w:rPr>
        <w:t>that the statements and information submitted to ARB are true, accurate, and complete</w:t>
      </w:r>
      <w:r w:rsidR="009E6327" w:rsidRPr="00B61FF1">
        <w:rPr>
          <w:rFonts w:ascii="Arial" w:hAnsi="Arial" w:cs="Arial"/>
          <w:sz w:val="24"/>
          <w:szCs w:val="24"/>
        </w:rPr>
        <w:t>.</w:t>
      </w:r>
      <w:r w:rsidR="00D10B92" w:rsidRPr="00B61FF1">
        <w:rPr>
          <w:rFonts w:ascii="Arial" w:hAnsi="Arial" w:cs="Arial"/>
          <w:sz w:val="24"/>
          <w:szCs w:val="24"/>
        </w:rPr>
        <w:t xml:space="preserve">”  I consent to the jurisdiction of California and its courts for purposes of enforcement of the laws, rules and regulations pertaining to title 17, article 5, sections 95800 et seq., and I am aware that there are significant penalties for submitting false statements and </w:t>
      </w:r>
      <w:r w:rsidR="00D10B92" w:rsidRPr="00B61FF1">
        <w:rPr>
          <w:rFonts w:ascii="Arial" w:hAnsi="Arial" w:cs="Arial"/>
          <w:sz w:val="24"/>
          <w:szCs w:val="24"/>
        </w:rPr>
        <w:lastRenderedPageBreak/>
        <w:t>information or omitting required statements and information, including the possibility of fine or imprisonment.”</w:t>
      </w:r>
    </w:p>
    <w:p w14:paraId="669C2110"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The accounts administrator will accept or act on a submission concerning the account only if the submission has been made, signed, and </w:t>
      </w:r>
      <w:r w:rsidR="00D10B92" w:rsidRPr="00B61FF1">
        <w:rPr>
          <w:rFonts w:ascii="Arial" w:hAnsi="Arial" w:cs="Arial"/>
          <w:sz w:val="24"/>
          <w:szCs w:val="24"/>
        </w:rPr>
        <w:t>attested to</w:t>
      </w:r>
      <w:r w:rsidRPr="00B61FF1">
        <w:rPr>
          <w:rFonts w:ascii="Arial" w:hAnsi="Arial" w:cs="Arial"/>
          <w:sz w:val="24"/>
          <w:szCs w:val="24"/>
        </w:rPr>
        <w:t xml:space="preserve"> in accordance with this section.</w:t>
      </w:r>
    </w:p>
    <w:p w14:paraId="0EAD5322"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Changing </w:t>
      </w:r>
      <w:r w:rsidR="00E81F61" w:rsidRPr="00B61FF1">
        <w:rPr>
          <w:rFonts w:ascii="Arial" w:hAnsi="Arial" w:cs="Arial"/>
          <w:sz w:val="24"/>
          <w:szCs w:val="24"/>
        </w:rPr>
        <w:t>primary</w:t>
      </w:r>
      <w:r w:rsidRPr="00B61FF1">
        <w:rPr>
          <w:rFonts w:ascii="Arial" w:hAnsi="Arial" w:cs="Arial"/>
          <w:sz w:val="24"/>
          <w:szCs w:val="24"/>
        </w:rPr>
        <w:t xml:space="preserve"> account representative and alternate account representative.</w:t>
      </w:r>
    </w:p>
    <w:p w14:paraId="2A5AFD8B"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The </w:t>
      </w:r>
      <w:r w:rsidR="00E81F61" w:rsidRPr="00B61FF1">
        <w:rPr>
          <w:rFonts w:ascii="Arial" w:hAnsi="Arial" w:cs="Arial"/>
          <w:sz w:val="24"/>
          <w:szCs w:val="24"/>
        </w:rPr>
        <w:t>primary</w:t>
      </w:r>
      <w:r w:rsidRPr="00B61FF1">
        <w:rPr>
          <w:rFonts w:ascii="Arial" w:hAnsi="Arial" w:cs="Arial"/>
          <w:sz w:val="24"/>
          <w:szCs w:val="24"/>
        </w:rPr>
        <w:t xml:space="preserve"> account representative for an account may be changed at any time upon receipt by the accounts administrator of a superseding complete application for an account under section 95830(c).  Notwithstanding any such change, all representations, actions, inactions, and submissions by the previous </w:t>
      </w:r>
      <w:r w:rsidR="00E81F61" w:rsidRPr="00B61FF1">
        <w:rPr>
          <w:rFonts w:ascii="Arial" w:hAnsi="Arial" w:cs="Arial"/>
          <w:sz w:val="24"/>
          <w:szCs w:val="24"/>
        </w:rPr>
        <w:t>primary</w:t>
      </w:r>
      <w:r w:rsidRPr="00B61FF1">
        <w:rPr>
          <w:rFonts w:ascii="Arial" w:hAnsi="Arial" w:cs="Arial"/>
          <w:sz w:val="24"/>
          <w:szCs w:val="24"/>
        </w:rPr>
        <w:t xml:space="preserve"> account representative, or the previous alternate account representative prior to the time and date when the accounts administrator receives the superseding application for an account shall be binding on the new </w:t>
      </w:r>
      <w:r w:rsidR="00E81F61" w:rsidRPr="00B61FF1">
        <w:rPr>
          <w:rFonts w:ascii="Arial" w:hAnsi="Arial" w:cs="Arial"/>
          <w:sz w:val="24"/>
          <w:szCs w:val="24"/>
        </w:rPr>
        <w:t>primary</w:t>
      </w:r>
      <w:r w:rsidRPr="00B61FF1">
        <w:rPr>
          <w:rFonts w:ascii="Arial" w:hAnsi="Arial" w:cs="Arial"/>
          <w:sz w:val="24"/>
          <w:szCs w:val="24"/>
        </w:rPr>
        <w:t xml:space="preserve"> account representative and the entit</w:t>
      </w:r>
      <w:r w:rsidR="00E81F61" w:rsidRPr="00B61FF1">
        <w:rPr>
          <w:rFonts w:ascii="Arial" w:hAnsi="Arial" w:cs="Arial"/>
          <w:sz w:val="24"/>
          <w:szCs w:val="24"/>
        </w:rPr>
        <w:t>y</w:t>
      </w:r>
      <w:r w:rsidRPr="00B61FF1">
        <w:rPr>
          <w:rFonts w:ascii="Arial" w:hAnsi="Arial" w:cs="Arial"/>
          <w:sz w:val="24"/>
          <w:szCs w:val="24"/>
        </w:rPr>
        <w:t xml:space="preserve"> that own</w:t>
      </w:r>
      <w:r w:rsidR="00E81F61" w:rsidRPr="00B61FF1">
        <w:rPr>
          <w:rFonts w:ascii="Arial" w:hAnsi="Arial" w:cs="Arial"/>
          <w:sz w:val="24"/>
          <w:szCs w:val="24"/>
        </w:rPr>
        <w:t>s</w:t>
      </w:r>
      <w:r w:rsidRPr="00B61FF1">
        <w:rPr>
          <w:rFonts w:ascii="Arial" w:hAnsi="Arial" w:cs="Arial"/>
          <w:sz w:val="24"/>
          <w:szCs w:val="24"/>
        </w:rPr>
        <w:t xml:space="preserve"> the compliance instruments in the account.</w:t>
      </w:r>
    </w:p>
    <w:p w14:paraId="7FBD8E31"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The alternate account representative for an account may be changed at any time upon receipt by the accounts administrator of a superseding complete application for an account under section 95830(c).  Notwithstanding any such change, all representations, actions, inactions, and submissions by the previous </w:t>
      </w:r>
      <w:r w:rsidR="00E81F61" w:rsidRPr="00B61FF1">
        <w:rPr>
          <w:rFonts w:ascii="Arial" w:hAnsi="Arial" w:cs="Arial"/>
          <w:sz w:val="24"/>
          <w:szCs w:val="24"/>
        </w:rPr>
        <w:t>primary</w:t>
      </w:r>
      <w:r w:rsidRPr="00B61FF1">
        <w:rPr>
          <w:rFonts w:ascii="Arial" w:hAnsi="Arial" w:cs="Arial"/>
          <w:sz w:val="24"/>
          <w:szCs w:val="24"/>
        </w:rPr>
        <w:t xml:space="preserve"> account representative, or the previous alternate account representative, prior to the time and date when the accounts administrator receives the superseding application for an account shall be binding on the new alternate account representative and the entit</w:t>
      </w:r>
      <w:r w:rsidR="00E81F61" w:rsidRPr="00B61FF1">
        <w:rPr>
          <w:rFonts w:ascii="Arial" w:hAnsi="Arial" w:cs="Arial"/>
          <w:sz w:val="24"/>
          <w:szCs w:val="24"/>
        </w:rPr>
        <w:t>y</w:t>
      </w:r>
      <w:r w:rsidRPr="00B61FF1">
        <w:rPr>
          <w:rFonts w:ascii="Arial" w:hAnsi="Arial" w:cs="Arial"/>
          <w:sz w:val="24"/>
          <w:szCs w:val="24"/>
        </w:rPr>
        <w:t xml:space="preserve"> that own</w:t>
      </w:r>
      <w:r w:rsidR="00E81F61" w:rsidRPr="00B61FF1">
        <w:rPr>
          <w:rFonts w:ascii="Arial" w:hAnsi="Arial" w:cs="Arial"/>
          <w:sz w:val="24"/>
          <w:szCs w:val="24"/>
        </w:rPr>
        <w:t>s</w:t>
      </w:r>
      <w:r w:rsidRPr="00B61FF1">
        <w:rPr>
          <w:rFonts w:ascii="Arial" w:hAnsi="Arial" w:cs="Arial"/>
          <w:sz w:val="24"/>
          <w:szCs w:val="24"/>
        </w:rPr>
        <w:t xml:space="preserve"> the compliance instruments in the account.</w:t>
      </w:r>
    </w:p>
    <w:p w14:paraId="2604DFB2"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Objections </w:t>
      </w:r>
      <w:r w:rsidR="00DC39C3" w:rsidRPr="00B61FF1">
        <w:rPr>
          <w:rFonts w:ascii="Arial" w:hAnsi="Arial" w:cs="Arial"/>
          <w:sz w:val="24"/>
          <w:szCs w:val="24"/>
        </w:rPr>
        <w:t>C</w:t>
      </w:r>
      <w:r w:rsidRPr="00B61FF1">
        <w:rPr>
          <w:rFonts w:ascii="Arial" w:hAnsi="Arial" w:cs="Arial"/>
          <w:sz w:val="24"/>
          <w:szCs w:val="24"/>
        </w:rPr>
        <w:t xml:space="preserve">oncerning </w:t>
      </w:r>
      <w:r w:rsidR="00DC39C3" w:rsidRPr="00B61FF1">
        <w:rPr>
          <w:rFonts w:ascii="Arial" w:hAnsi="Arial" w:cs="Arial"/>
          <w:sz w:val="24"/>
          <w:szCs w:val="24"/>
        </w:rPr>
        <w:t>A</w:t>
      </w:r>
      <w:r w:rsidRPr="00B61FF1">
        <w:rPr>
          <w:rFonts w:ascii="Arial" w:hAnsi="Arial" w:cs="Arial"/>
          <w:sz w:val="24"/>
          <w:szCs w:val="24"/>
        </w:rPr>
        <w:t xml:space="preserve">ccount </w:t>
      </w:r>
      <w:r w:rsidR="00DC39C3" w:rsidRPr="00B61FF1">
        <w:rPr>
          <w:rFonts w:ascii="Arial" w:hAnsi="Arial" w:cs="Arial"/>
          <w:sz w:val="24"/>
          <w:szCs w:val="24"/>
        </w:rPr>
        <w:t>R</w:t>
      </w:r>
      <w:r w:rsidRPr="00B61FF1">
        <w:rPr>
          <w:rFonts w:ascii="Arial" w:hAnsi="Arial" w:cs="Arial"/>
          <w:sz w:val="24"/>
          <w:szCs w:val="24"/>
        </w:rPr>
        <w:t>epresentative</w:t>
      </w:r>
      <w:r w:rsidR="00E81F61" w:rsidRPr="00B61FF1">
        <w:rPr>
          <w:rFonts w:ascii="Arial" w:hAnsi="Arial" w:cs="Arial"/>
          <w:sz w:val="24"/>
          <w:szCs w:val="24"/>
        </w:rPr>
        <w:t>s</w:t>
      </w:r>
      <w:r w:rsidRPr="00B61FF1">
        <w:rPr>
          <w:rFonts w:ascii="Arial" w:hAnsi="Arial" w:cs="Arial"/>
          <w:sz w:val="24"/>
          <w:szCs w:val="24"/>
        </w:rPr>
        <w:t>.</w:t>
      </w:r>
    </w:p>
    <w:p w14:paraId="240666BD"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Once a complete application for an account under section 95830(c)</w:t>
      </w:r>
      <w:r w:rsidRPr="00B61FF1">
        <w:rPr>
          <w:rFonts w:ascii="Arial" w:hAnsi="Arial" w:cs="Arial"/>
          <w:strike/>
          <w:sz w:val="24"/>
          <w:szCs w:val="24"/>
        </w:rPr>
        <w:t xml:space="preserve"> </w:t>
      </w:r>
      <w:r w:rsidRPr="00B61FF1">
        <w:rPr>
          <w:rFonts w:ascii="Arial" w:hAnsi="Arial" w:cs="Arial"/>
          <w:sz w:val="24"/>
          <w:szCs w:val="24"/>
        </w:rPr>
        <w:t xml:space="preserve">has been submitted and received, the accounts administrator will rely on the application unless and until a superseding complete application </w:t>
      </w:r>
      <w:r w:rsidRPr="00B61FF1">
        <w:rPr>
          <w:rFonts w:ascii="Arial" w:hAnsi="Arial" w:cs="Arial"/>
          <w:sz w:val="24"/>
          <w:szCs w:val="24"/>
        </w:rPr>
        <w:lastRenderedPageBreak/>
        <w:t>for an account under section 95830(c) is received by the accounts administrator.</w:t>
      </w:r>
    </w:p>
    <w:p w14:paraId="24A0278B"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Except as provided in section 95832(f)(1), no objection or other communication submitted to the accounts administrator concerning the authorization, or any representation, action, inaction, or submission of the </w:t>
      </w:r>
      <w:r w:rsidR="00E81F61" w:rsidRPr="00B61FF1">
        <w:rPr>
          <w:rFonts w:ascii="Arial" w:hAnsi="Arial" w:cs="Arial"/>
          <w:sz w:val="24"/>
          <w:szCs w:val="24"/>
        </w:rPr>
        <w:t>primary</w:t>
      </w:r>
      <w:r w:rsidRPr="00B61FF1">
        <w:rPr>
          <w:rFonts w:ascii="Arial" w:hAnsi="Arial" w:cs="Arial"/>
          <w:sz w:val="24"/>
          <w:szCs w:val="24"/>
        </w:rPr>
        <w:t xml:space="preserve"> account representative or any alternate account representative for an account shall affect any representation, action, inaction, or submission of the </w:t>
      </w:r>
      <w:r w:rsidR="00E81F61" w:rsidRPr="00B61FF1">
        <w:rPr>
          <w:rFonts w:ascii="Arial" w:hAnsi="Arial" w:cs="Arial"/>
          <w:sz w:val="24"/>
          <w:szCs w:val="24"/>
        </w:rPr>
        <w:t xml:space="preserve">primary </w:t>
      </w:r>
      <w:r w:rsidRPr="00B61FF1">
        <w:rPr>
          <w:rFonts w:ascii="Arial" w:hAnsi="Arial" w:cs="Arial"/>
          <w:sz w:val="24"/>
          <w:szCs w:val="24"/>
        </w:rPr>
        <w:t>account representative or any alternate account representative or the finality of any decision or order by the accounts administrator under</w:t>
      </w:r>
      <w:r w:rsidR="00467554" w:rsidRPr="00B61FF1">
        <w:rPr>
          <w:rFonts w:ascii="Arial" w:hAnsi="Arial" w:cs="Arial"/>
          <w:sz w:val="24"/>
          <w:szCs w:val="24"/>
        </w:rPr>
        <w:t xml:space="preserve"> this article</w:t>
      </w:r>
      <w:r w:rsidRPr="00B61FF1">
        <w:rPr>
          <w:rFonts w:ascii="Arial" w:hAnsi="Arial" w:cs="Arial"/>
          <w:sz w:val="24"/>
          <w:szCs w:val="24"/>
        </w:rPr>
        <w:t xml:space="preserve">. </w:t>
      </w:r>
    </w:p>
    <w:p w14:paraId="2F19D2E5"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The accounts administrator will not adjudicate any private legal dispute concerning the authorization or any representation, action, inaction, or submission of the </w:t>
      </w:r>
      <w:r w:rsidR="00E81F61" w:rsidRPr="00B61FF1">
        <w:rPr>
          <w:rFonts w:ascii="Arial" w:hAnsi="Arial" w:cs="Arial"/>
          <w:sz w:val="24"/>
          <w:szCs w:val="24"/>
        </w:rPr>
        <w:t>primary</w:t>
      </w:r>
      <w:r w:rsidRPr="00B61FF1">
        <w:rPr>
          <w:rFonts w:ascii="Arial" w:hAnsi="Arial" w:cs="Arial"/>
          <w:sz w:val="24"/>
          <w:szCs w:val="24"/>
        </w:rPr>
        <w:t xml:space="preserve"> account representative or any alternate account representative for an account, including private legal disputes concerning the proceeds of compliance instrument transfers. </w:t>
      </w:r>
    </w:p>
    <w:p w14:paraId="0CBC550A" w14:textId="77777777" w:rsidR="00FE6B15" w:rsidRPr="00B61FF1" w:rsidRDefault="00FE6B15" w:rsidP="00FE6A4C">
      <w:pPr>
        <w:numPr>
          <w:ilvl w:val="0"/>
          <w:numId w:val="24"/>
        </w:numPr>
        <w:spacing w:line="360" w:lineRule="auto"/>
        <w:rPr>
          <w:rFonts w:ascii="Arial" w:hAnsi="Arial" w:cs="Arial"/>
          <w:sz w:val="24"/>
          <w:szCs w:val="24"/>
        </w:rPr>
      </w:pPr>
      <w:r w:rsidRPr="00B61FF1">
        <w:rPr>
          <w:rFonts w:ascii="Arial" w:hAnsi="Arial" w:cs="Arial"/>
          <w:sz w:val="24"/>
          <w:szCs w:val="24"/>
        </w:rPr>
        <w:t xml:space="preserve">Delegation by </w:t>
      </w:r>
      <w:r w:rsidR="00E81F61" w:rsidRPr="00B61FF1">
        <w:rPr>
          <w:rFonts w:ascii="Arial" w:hAnsi="Arial" w:cs="Arial"/>
          <w:sz w:val="24"/>
          <w:szCs w:val="24"/>
        </w:rPr>
        <w:t>primary</w:t>
      </w:r>
      <w:r w:rsidRPr="00B61FF1">
        <w:rPr>
          <w:rFonts w:ascii="Arial" w:hAnsi="Arial" w:cs="Arial"/>
          <w:sz w:val="24"/>
          <w:szCs w:val="24"/>
        </w:rPr>
        <w:t xml:space="preserve"> account representative and alternate account representative</w:t>
      </w:r>
      <w:r w:rsidR="00E81F61" w:rsidRPr="00B61FF1">
        <w:rPr>
          <w:rFonts w:ascii="Arial" w:hAnsi="Arial" w:cs="Arial"/>
          <w:sz w:val="24"/>
          <w:szCs w:val="24"/>
        </w:rPr>
        <w:t>s</w:t>
      </w:r>
      <w:r w:rsidRPr="00B61FF1">
        <w:rPr>
          <w:rFonts w:ascii="Arial" w:hAnsi="Arial" w:cs="Arial"/>
          <w:sz w:val="24"/>
          <w:szCs w:val="24"/>
        </w:rPr>
        <w:t>.</w:t>
      </w:r>
    </w:p>
    <w:p w14:paraId="30171CCD" w14:textId="77777777" w:rsidR="00FE6B15" w:rsidRPr="00B61FF1" w:rsidRDefault="00E81F61" w:rsidP="00FE6A4C">
      <w:pPr>
        <w:numPr>
          <w:ilvl w:val="1"/>
          <w:numId w:val="24"/>
        </w:numPr>
        <w:spacing w:line="360" w:lineRule="auto"/>
        <w:rPr>
          <w:rFonts w:ascii="Arial" w:hAnsi="Arial" w:cs="Arial"/>
          <w:sz w:val="24"/>
          <w:szCs w:val="24"/>
        </w:rPr>
      </w:pPr>
      <w:r w:rsidRPr="00B61FF1">
        <w:rPr>
          <w:rFonts w:ascii="Arial" w:hAnsi="Arial" w:cs="Arial"/>
          <w:sz w:val="24"/>
          <w:szCs w:val="24"/>
        </w:rPr>
        <w:t>A primary</w:t>
      </w:r>
      <w:r w:rsidR="00FE6B15" w:rsidRPr="00B61FF1">
        <w:rPr>
          <w:rFonts w:ascii="Arial" w:hAnsi="Arial" w:cs="Arial"/>
          <w:sz w:val="24"/>
          <w:szCs w:val="24"/>
        </w:rPr>
        <w:t xml:space="preserve"> account representative </w:t>
      </w:r>
      <w:r w:rsidRPr="00B61FF1">
        <w:rPr>
          <w:rFonts w:ascii="Arial" w:hAnsi="Arial" w:cs="Arial"/>
          <w:sz w:val="24"/>
          <w:szCs w:val="24"/>
        </w:rPr>
        <w:t xml:space="preserve">or an alternate account representative for a registered entity </w:t>
      </w:r>
      <w:r w:rsidR="00FE6B15" w:rsidRPr="00B61FF1">
        <w:rPr>
          <w:rFonts w:ascii="Arial" w:hAnsi="Arial" w:cs="Arial"/>
          <w:sz w:val="24"/>
          <w:szCs w:val="24"/>
        </w:rPr>
        <w:t xml:space="preserve">may </w:t>
      </w:r>
      <w:r w:rsidRPr="00B61FF1">
        <w:rPr>
          <w:rFonts w:ascii="Arial" w:hAnsi="Arial" w:cs="Arial"/>
          <w:sz w:val="24"/>
          <w:szCs w:val="24"/>
        </w:rPr>
        <w:t>authorize up to five natural persons per account that may view all information contained in the tracking system involving the entity’s accounts, information, and transfer records (account viewing authority).  The persons delegated shall not have authority</w:t>
      </w:r>
      <w:r w:rsidR="00B003EF" w:rsidRPr="00B61FF1">
        <w:rPr>
          <w:rFonts w:ascii="Arial" w:hAnsi="Arial" w:cs="Arial"/>
          <w:sz w:val="24"/>
          <w:szCs w:val="24"/>
        </w:rPr>
        <w:t xml:space="preserve"> to take any other action with respect to an account on the tracking system.</w:t>
      </w:r>
    </w:p>
    <w:p w14:paraId="01B8B8D9" w14:textId="77777777" w:rsidR="00FE6B15" w:rsidRPr="00B61FF1" w:rsidRDefault="00FE6B15" w:rsidP="00FE6A4C">
      <w:pPr>
        <w:numPr>
          <w:ilvl w:val="1"/>
          <w:numId w:val="24"/>
        </w:numPr>
        <w:spacing w:line="360" w:lineRule="auto"/>
        <w:rPr>
          <w:rFonts w:ascii="Arial" w:hAnsi="Arial" w:cs="Arial"/>
          <w:sz w:val="24"/>
          <w:szCs w:val="24"/>
        </w:rPr>
      </w:pPr>
      <w:r w:rsidRPr="00B61FF1">
        <w:rPr>
          <w:rFonts w:ascii="Arial" w:hAnsi="Arial" w:cs="Arial"/>
          <w:sz w:val="24"/>
          <w:szCs w:val="24"/>
        </w:rPr>
        <w:t xml:space="preserve">In order to delegate </w:t>
      </w:r>
      <w:r w:rsidR="00B003EF" w:rsidRPr="00B61FF1">
        <w:rPr>
          <w:rFonts w:ascii="Arial" w:hAnsi="Arial" w:cs="Arial"/>
          <w:sz w:val="24"/>
          <w:szCs w:val="24"/>
        </w:rPr>
        <w:t>account viewing authority</w:t>
      </w:r>
      <w:r w:rsidRPr="00B61FF1">
        <w:rPr>
          <w:rFonts w:ascii="Arial" w:hAnsi="Arial" w:cs="Arial"/>
          <w:sz w:val="24"/>
          <w:szCs w:val="24"/>
        </w:rPr>
        <w:t xml:space="preserve"> in accordance with section 95832(h)(1) the </w:t>
      </w:r>
      <w:r w:rsidR="00B003EF" w:rsidRPr="00B61FF1">
        <w:rPr>
          <w:rFonts w:ascii="Arial" w:hAnsi="Arial" w:cs="Arial"/>
          <w:sz w:val="24"/>
          <w:szCs w:val="24"/>
        </w:rPr>
        <w:t>primary</w:t>
      </w:r>
      <w:r w:rsidRPr="00B61FF1">
        <w:rPr>
          <w:rFonts w:ascii="Arial" w:hAnsi="Arial" w:cs="Arial"/>
          <w:sz w:val="24"/>
          <w:szCs w:val="24"/>
        </w:rPr>
        <w:t xml:space="preserve"> account representative or alternate account representative, as appropriate, must submit to the accounts administrator a notice of delegation, that includes the following elements:</w:t>
      </w:r>
    </w:p>
    <w:p w14:paraId="2697FE2D" w14:textId="77777777" w:rsidR="00FE6B15" w:rsidRPr="00B61FF1" w:rsidRDefault="005220DC" w:rsidP="00FE6A4C">
      <w:pPr>
        <w:numPr>
          <w:ilvl w:val="2"/>
          <w:numId w:val="24"/>
        </w:numPr>
        <w:spacing w:line="360" w:lineRule="auto"/>
        <w:rPr>
          <w:rFonts w:ascii="Arial" w:hAnsi="Arial" w:cs="Arial"/>
          <w:sz w:val="24"/>
          <w:szCs w:val="24"/>
        </w:rPr>
      </w:pPr>
      <w:r w:rsidRPr="00B61FF1">
        <w:rPr>
          <w:rFonts w:ascii="Arial" w:hAnsi="Arial" w:cs="Arial"/>
          <w:sz w:val="24"/>
          <w:szCs w:val="24"/>
        </w:rPr>
        <w:lastRenderedPageBreak/>
        <w:t>The name, address, e</w:t>
      </w:r>
      <w:r w:rsidR="00FE6B15" w:rsidRPr="00B61FF1">
        <w:rPr>
          <w:rFonts w:ascii="Arial" w:hAnsi="Arial" w:cs="Arial"/>
          <w:sz w:val="24"/>
          <w:szCs w:val="24"/>
        </w:rPr>
        <w:t xml:space="preserve">mail address, </w:t>
      </w:r>
      <w:r w:rsidR="00B003EF" w:rsidRPr="00B61FF1">
        <w:rPr>
          <w:rFonts w:ascii="Arial" w:hAnsi="Arial" w:cs="Arial"/>
          <w:sz w:val="24"/>
          <w:szCs w:val="24"/>
        </w:rPr>
        <w:t xml:space="preserve">and telephone number </w:t>
      </w:r>
      <w:r w:rsidR="00FE6B15" w:rsidRPr="00B61FF1">
        <w:rPr>
          <w:rFonts w:ascii="Arial" w:hAnsi="Arial" w:cs="Arial"/>
          <w:sz w:val="24"/>
          <w:szCs w:val="24"/>
        </w:rPr>
        <w:t xml:space="preserve">of such </w:t>
      </w:r>
      <w:r w:rsidR="00B003EF" w:rsidRPr="00B61FF1">
        <w:rPr>
          <w:rFonts w:ascii="Arial" w:hAnsi="Arial" w:cs="Arial"/>
          <w:sz w:val="24"/>
          <w:szCs w:val="24"/>
        </w:rPr>
        <w:t>primary</w:t>
      </w:r>
      <w:r w:rsidR="00FE6B15" w:rsidRPr="00B61FF1">
        <w:rPr>
          <w:rFonts w:ascii="Arial" w:hAnsi="Arial" w:cs="Arial"/>
          <w:sz w:val="24"/>
          <w:szCs w:val="24"/>
        </w:rPr>
        <w:t xml:space="preserve"> account representative or alternate account representative;</w:t>
      </w:r>
    </w:p>
    <w:p w14:paraId="2FFED7AC" w14:textId="77777777" w:rsidR="00FE6B15" w:rsidRPr="00B61FF1" w:rsidRDefault="005220DC" w:rsidP="00FE6A4C">
      <w:pPr>
        <w:numPr>
          <w:ilvl w:val="2"/>
          <w:numId w:val="24"/>
        </w:numPr>
        <w:spacing w:line="360" w:lineRule="auto"/>
        <w:rPr>
          <w:rFonts w:ascii="Arial" w:hAnsi="Arial" w:cs="Arial"/>
          <w:sz w:val="24"/>
          <w:szCs w:val="24"/>
        </w:rPr>
      </w:pPr>
      <w:r w:rsidRPr="00B61FF1">
        <w:rPr>
          <w:rFonts w:ascii="Arial" w:hAnsi="Arial" w:cs="Arial"/>
          <w:sz w:val="24"/>
          <w:szCs w:val="24"/>
        </w:rPr>
        <w:t>The name, address, e</w:t>
      </w:r>
      <w:r w:rsidR="00FE6B15" w:rsidRPr="00B61FF1">
        <w:rPr>
          <w:rFonts w:ascii="Arial" w:hAnsi="Arial" w:cs="Arial"/>
          <w:sz w:val="24"/>
          <w:szCs w:val="24"/>
        </w:rPr>
        <w:t xml:space="preserve">mail address, </w:t>
      </w:r>
      <w:r w:rsidR="00B003EF" w:rsidRPr="00B61FF1">
        <w:rPr>
          <w:rFonts w:ascii="Arial" w:hAnsi="Arial" w:cs="Arial"/>
          <w:sz w:val="24"/>
          <w:szCs w:val="24"/>
        </w:rPr>
        <w:t xml:space="preserve">and </w:t>
      </w:r>
      <w:r w:rsidR="00FE6B15" w:rsidRPr="00B61FF1">
        <w:rPr>
          <w:rFonts w:ascii="Arial" w:hAnsi="Arial" w:cs="Arial"/>
          <w:sz w:val="24"/>
          <w:szCs w:val="24"/>
        </w:rPr>
        <w:t>telephone number of each such natural person, herein referred to as “</w:t>
      </w:r>
      <w:r w:rsidR="00B003EF" w:rsidRPr="00B61FF1">
        <w:rPr>
          <w:rFonts w:ascii="Arial" w:hAnsi="Arial" w:cs="Arial"/>
          <w:sz w:val="24"/>
          <w:szCs w:val="24"/>
        </w:rPr>
        <w:t>account viewing</w:t>
      </w:r>
      <w:r w:rsidR="00FE6B15" w:rsidRPr="00B61FF1">
        <w:rPr>
          <w:rFonts w:ascii="Arial" w:hAnsi="Arial" w:cs="Arial"/>
          <w:sz w:val="24"/>
          <w:szCs w:val="24"/>
        </w:rPr>
        <w:t xml:space="preserve"> agent;</w:t>
      </w:r>
      <w:r w:rsidR="003C6A6B" w:rsidRPr="00B61FF1">
        <w:rPr>
          <w:rFonts w:ascii="Arial" w:hAnsi="Arial" w:cs="Arial"/>
          <w:sz w:val="24"/>
          <w:szCs w:val="24"/>
        </w:rPr>
        <w:t>”</w:t>
      </w:r>
      <w:r w:rsidR="00B003EF" w:rsidRPr="00B61FF1">
        <w:rPr>
          <w:rFonts w:ascii="Arial" w:hAnsi="Arial" w:cs="Arial"/>
          <w:sz w:val="24"/>
          <w:szCs w:val="24"/>
        </w:rPr>
        <w:t xml:space="preserve"> and</w:t>
      </w:r>
    </w:p>
    <w:p w14:paraId="5EA4AB5D" w14:textId="77777777" w:rsidR="00FE6B15" w:rsidRPr="00B61FF1" w:rsidRDefault="00B003EF" w:rsidP="00FE6A4C">
      <w:pPr>
        <w:numPr>
          <w:ilvl w:val="2"/>
          <w:numId w:val="24"/>
        </w:numPr>
        <w:spacing w:line="360" w:lineRule="auto"/>
        <w:rPr>
          <w:rFonts w:ascii="Arial" w:hAnsi="Arial" w:cs="Arial"/>
          <w:sz w:val="24"/>
          <w:szCs w:val="24"/>
        </w:rPr>
      </w:pPr>
      <w:r w:rsidRPr="00B61FF1">
        <w:rPr>
          <w:rFonts w:ascii="Arial" w:hAnsi="Arial" w:cs="Arial"/>
          <w:sz w:val="24"/>
          <w:szCs w:val="24"/>
        </w:rPr>
        <w:t>An attestation verifying the selection of the account viewing agent, signed by the officer of the entity who is responsible for the conduct of the account viewing agent, and is one of the officers disclosed pursuant to section 95830(c)(1)(B).</w:t>
      </w:r>
    </w:p>
    <w:p w14:paraId="6E4EEC5E" w14:textId="77777777" w:rsidR="00FE6B15" w:rsidRPr="00B61FF1" w:rsidRDefault="00FE6B15" w:rsidP="00FE6A4C">
      <w:pPr>
        <w:numPr>
          <w:ilvl w:val="1"/>
          <w:numId w:val="28"/>
        </w:numPr>
        <w:spacing w:line="360" w:lineRule="auto"/>
        <w:rPr>
          <w:rFonts w:ascii="Arial" w:hAnsi="Arial" w:cs="Arial"/>
          <w:sz w:val="24"/>
          <w:szCs w:val="24"/>
        </w:rPr>
      </w:pPr>
      <w:r w:rsidRPr="00B61FF1">
        <w:rPr>
          <w:rFonts w:ascii="Arial" w:hAnsi="Arial" w:cs="Arial"/>
          <w:sz w:val="24"/>
          <w:szCs w:val="24"/>
        </w:rPr>
        <w:t>A notice of delegation submitted under section 95832(h)(</w:t>
      </w:r>
      <w:r w:rsidR="00B003EF" w:rsidRPr="00B61FF1">
        <w:rPr>
          <w:rFonts w:ascii="Arial" w:hAnsi="Arial" w:cs="Arial"/>
          <w:sz w:val="24"/>
          <w:szCs w:val="24"/>
        </w:rPr>
        <w:t>2</w:t>
      </w:r>
      <w:r w:rsidRPr="00B61FF1">
        <w:rPr>
          <w:rFonts w:ascii="Arial" w:hAnsi="Arial" w:cs="Arial"/>
          <w:sz w:val="24"/>
          <w:szCs w:val="24"/>
        </w:rPr>
        <w:t xml:space="preserve">) shall be effective, with regard to the </w:t>
      </w:r>
      <w:r w:rsidR="00B003EF" w:rsidRPr="00B61FF1">
        <w:rPr>
          <w:rFonts w:ascii="Arial" w:hAnsi="Arial" w:cs="Arial"/>
          <w:sz w:val="24"/>
          <w:szCs w:val="24"/>
        </w:rPr>
        <w:t xml:space="preserve">accounts </w:t>
      </w:r>
      <w:r w:rsidRPr="00B61FF1">
        <w:rPr>
          <w:rFonts w:ascii="Arial" w:hAnsi="Arial" w:cs="Arial"/>
          <w:sz w:val="24"/>
          <w:szCs w:val="24"/>
        </w:rPr>
        <w:t xml:space="preserve">identified in such notice, upon receipt of such notice by the accounts administrator and until receipt by the accounts administrator of a superseding notice of delegation by such </w:t>
      </w:r>
      <w:r w:rsidR="00B003EF" w:rsidRPr="00B61FF1">
        <w:rPr>
          <w:rFonts w:ascii="Arial" w:hAnsi="Arial" w:cs="Arial"/>
          <w:sz w:val="24"/>
          <w:szCs w:val="24"/>
        </w:rPr>
        <w:t>primary</w:t>
      </w:r>
      <w:r w:rsidRPr="00B61FF1">
        <w:rPr>
          <w:rFonts w:ascii="Arial" w:hAnsi="Arial" w:cs="Arial"/>
          <w:sz w:val="24"/>
          <w:szCs w:val="24"/>
        </w:rPr>
        <w:t xml:space="preserve"> account representative or alternate account representative as appropriate.  The superseding notice of delegation may replace any previously identified </w:t>
      </w:r>
      <w:r w:rsidR="00793CBD" w:rsidRPr="00B61FF1">
        <w:rPr>
          <w:rFonts w:ascii="Arial" w:hAnsi="Arial" w:cs="Arial"/>
          <w:sz w:val="24"/>
          <w:szCs w:val="24"/>
        </w:rPr>
        <w:t>account viewing agent, add a new account viewing agent,</w:t>
      </w:r>
      <w:r w:rsidRPr="00B61FF1">
        <w:rPr>
          <w:rFonts w:ascii="Arial" w:hAnsi="Arial" w:cs="Arial"/>
          <w:sz w:val="24"/>
          <w:szCs w:val="24"/>
        </w:rPr>
        <w:t xml:space="preserve"> or eliminate entirely any delegation of authority.</w:t>
      </w:r>
    </w:p>
    <w:p w14:paraId="64CECD54" w14:textId="77777777" w:rsidR="00FE6B15" w:rsidRPr="00B61FF1" w:rsidRDefault="00FE6B15" w:rsidP="004E3B67">
      <w:pPr>
        <w:spacing w:line="360" w:lineRule="auto"/>
        <w:rPr>
          <w:rFonts w:ascii="Arial" w:hAnsi="Arial" w:cs="Arial"/>
          <w:sz w:val="24"/>
          <w:szCs w:val="24"/>
        </w:rPr>
      </w:pPr>
    </w:p>
    <w:p w14:paraId="6CA80108"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43C70DE"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1DC2A9ED" w14:textId="77777777" w:rsidR="00F53840" w:rsidRPr="00B61FF1" w:rsidRDefault="00F53840" w:rsidP="00EC7AFC">
      <w:pPr>
        <w:rPr>
          <w:rFonts w:ascii="Arial" w:hAnsi="Arial" w:cs="Arial"/>
        </w:rPr>
      </w:pPr>
    </w:p>
    <w:p w14:paraId="4FFDA231" w14:textId="77777777" w:rsidR="00F53840" w:rsidRPr="00B61FF1" w:rsidRDefault="00F53840" w:rsidP="00F53840">
      <w:pPr>
        <w:pStyle w:val="Heading2"/>
        <w:keepNext w:val="0"/>
        <w:rPr>
          <w:i/>
          <w:szCs w:val="24"/>
        </w:rPr>
      </w:pPr>
      <w:bookmarkStart w:id="137" w:name="_Toc299094920"/>
      <w:bookmarkStart w:id="138" w:name="_Toc302746773"/>
      <w:bookmarkStart w:id="139" w:name="_Toc352146235"/>
      <w:bookmarkStart w:id="140" w:name="_Toc361659836"/>
      <w:r w:rsidRPr="00B61FF1">
        <w:rPr>
          <w:szCs w:val="24"/>
        </w:rPr>
        <w:t>§ 95833</w:t>
      </w:r>
      <w:r w:rsidR="00717BB5" w:rsidRPr="00B61FF1">
        <w:rPr>
          <w:szCs w:val="24"/>
        </w:rPr>
        <w:t xml:space="preserve">.  </w:t>
      </w:r>
      <w:r w:rsidRPr="00B61FF1">
        <w:rPr>
          <w:szCs w:val="24"/>
        </w:rPr>
        <w:t>Disclosure of Corporate Associations.</w:t>
      </w:r>
      <w:bookmarkEnd w:id="137"/>
      <w:bookmarkEnd w:id="138"/>
      <w:bookmarkEnd w:id="139"/>
      <w:bookmarkEnd w:id="140"/>
      <w:r w:rsidRPr="00B61FF1">
        <w:rPr>
          <w:szCs w:val="24"/>
        </w:rPr>
        <w:t xml:space="preserve"> </w:t>
      </w:r>
    </w:p>
    <w:p w14:paraId="50441B60" w14:textId="77777777" w:rsidR="00F53840" w:rsidRPr="00B61FF1" w:rsidRDefault="00B83D22" w:rsidP="00793CBD">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793CBD" w:rsidRPr="00B61FF1">
        <w:rPr>
          <w:rFonts w:ascii="Arial" w:hAnsi="Arial" w:cs="Arial"/>
          <w:sz w:val="24"/>
          <w:szCs w:val="24"/>
        </w:rPr>
        <w:t>Criteria for Determining Corporate Associations.</w:t>
      </w:r>
      <w:r w:rsidR="00F53840" w:rsidRPr="00B61FF1">
        <w:rPr>
          <w:rFonts w:ascii="Arial" w:hAnsi="Arial" w:cs="Arial"/>
          <w:sz w:val="24"/>
          <w:szCs w:val="24"/>
        </w:rPr>
        <w:t xml:space="preserve"> </w:t>
      </w:r>
    </w:p>
    <w:p w14:paraId="5FDB0917" w14:textId="05F2B62A" w:rsidR="00F53840" w:rsidRPr="00B61FF1" w:rsidRDefault="00B83D22" w:rsidP="00B83D22">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53840" w:rsidRPr="00B61FF1">
        <w:rPr>
          <w:rFonts w:ascii="Arial" w:hAnsi="Arial" w:cs="Arial"/>
          <w:sz w:val="24"/>
          <w:szCs w:val="24"/>
        </w:rPr>
        <w:t xml:space="preserve">An entity has a </w:t>
      </w:r>
      <w:r w:rsidR="00793CBD" w:rsidRPr="00B61FF1">
        <w:rPr>
          <w:rFonts w:ascii="Arial" w:hAnsi="Arial" w:cs="Arial"/>
          <w:sz w:val="24"/>
          <w:szCs w:val="24"/>
        </w:rPr>
        <w:t>corporate association</w:t>
      </w:r>
      <w:r w:rsidR="00F53840" w:rsidRPr="00B61FF1">
        <w:rPr>
          <w:rFonts w:ascii="Arial" w:hAnsi="Arial" w:cs="Arial"/>
          <w:sz w:val="24"/>
          <w:szCs w:val="24"/>
        </w:rPr>
        <w:t xml:space="preserve"> with another entity</w:t>
      </w:r>
      <w:r w:rsidR="00DD3599" w:rsidRPr="00B61FF1">
        <w:rPr>
          <w:rFonts w:ascii="Arial" w:hAnsi="Arial" w:cs="Arial"/>
          <w:sz w:val="24"/>
          <w:szCs w:val="24"/>
          <w:u w:val="single"/>
        </w:rPr>
        <w:t>,</w:t>
      </w:r>
      <w:r w:rsidR="00FE7941" w:rsidRPr="00B61FF1">
        <w:rPr>
          <w:rFonts w:ascii="Arial" w:hAnsi="Arial" w:cs="Arial"/>
          <w:sz w:val="24"/>
          <w:szCs w:val="24"/>
          <w:u w:val="single"/>
        </w:rPr>
        <w:t xml:space="preserve"> regardless of whether the second entity is </w:t>
      </w:r>
      <w:r w:rsidR="009E30A5" w:rsidRPr="00B61FF1">
        <w:rPr>
          <w:rFonts w:ascii="Arial" w:hAnsi="Arial" w:cs="Arial"/>
          <w:sz w:val="24"/>
          <w:szCs w:val="24"/>
          <w:u w:val="single"/>
        </w:rPr>
        <w:t>subject to the requirements of this article</w:t>
      </w:r>
      <w:r w:rsidR="00DD3599" w:rsidRPr="00B61FF1">
        <w:rPr>
          <w:rFonts w:ascii="Arial" w:hAnsi="Arial" w:cs="Arial"/>
          <w:sz w:val="24"/>
          <w:szCs w:val="24"/>
          <w:u w:val="single"/>
        </w:rPr>
        <w:t>,</w:t>
      </w:r>
      <w:r w:rsidR="00F53840" w:rsidRPr="00B61FF1">
        <w:rPr>
          <w:rFonts w:ascii="Arial" w:hAnsi="Arial" w:cs="Arial"/>
          <w:sz w:val="24"/>
          <w:szCs w:val="24"/>
        </w:rPr>
        <w:t xml:space="preserve"> if </w:t>
      </w:r>
      <w:r w:rsidR="00793CBD" w:rsidRPr="00B61FF1">
        <w:rPr>
          <w:rFonts w:ascii="Arial" w:hAnsi="Arial" w:cs="Arial"/>
          <w:sz w:val="24"/>
          <w:szCs w:val="24"/>
        </w:rPr>
        <w:t>either</w:t>
      </w:r>
      <w:r w:rsidR="00F53840" w:rsidRPr="00B61FF1">
        <w:rPr>
          <w:rFonts w:ascii="Arial" w:hAnsi="Arial" w:cs="Arial"/>
          <w:sz w:val="24"/>
          <w:szCs w:val="24"/>
        </w:rPr>
        <w:t xml:space="preserve"> one of these entities: </w:t>
      </w:r>
    </w:p>
    <w:p w14:paraId="70F8A1AD" w14:textId="77777777" w:rsidR="00F53840" w:rsidRPr="00B61FF1" w:rsidRDefault="00B83D22" w:rsidP="00B83D22">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53840" w:rsidRPr="00B61FF1">
        <w:rPr>
          <w:rFonts w:ascii="Arial" w:hAnsi="Arial" w:cs="Arial"/>
          <w:sz w:val="24"/>
          <w:szCs w:val="24"/>
        </w:rPr>
        <w:t xml:space="preserve">Holds more than </w:t>
      </w:r>
      <w:r w:rsidR="00793CBD" w:rsidRPr="00B61FF1">
        <w:rPr>
          <w:rFonts w:ascii="Arial" w:hAnsi="Arial" w:cs="Arial"/>
          <w:sz w:val="24"/>
          <w:szCs w:val="24"/>
        </w:rPr>
        <w:t>20</w:t>
      </w:r>
      <w:r w:rsidR="00F53840" w:rsidRPr="00B61FF1">
        <w:rPr>
          <w:rFonts w:ascii="Arial" w:hAnsi="Arial" w:cs="Arial"/>
          <w:sz w:val="24"/>
          <w:szCs w:val="24"/>
        </w:rPr>
        <w:t xml:space="preserve"> percent of any class of listed shares, the right to acquire such shares, or any option to purchase such shares of the other entity;</w:t>
      </w:r>
    </w:p>
    <w:p w14:paraId="0D5F6063" w14:textId="77777777" w:rsidR="00F53840" w:rsidRPr="00B61FF1" w:rsidRDefault="00B83D22" w:rsidP="00B83D22">
      <w:pPr>
        <w:spacing w:line="360" w:lineRule="auto"/>
        <w:ind w:left="1800" w:hanging="720"/>
        <w:rPr>
          <w:rFonts w:ascii="Arial" w:hAnsi="Arial" w:cs="Arial"/>
          <w:sz w:val="24"/>
          <w:szCs w:val="24"/>
        </w:rPr>
      </w:pPr>
      <w:r w:rsidRPr="00B61FF1">
        <w:rPr>
          <w:rFonts w:ascii="Arial" w:hAnsi="Arial" w:cs="Arial"/>
          <w:sz w:val="24"/>
          <w:szCs w:val="24"/>
        </w:rPr>
        <w:lastRenderedPageBreak/>
        <w:t>(B)</w:t>
      </w:r>
      <w:r w:rsidRPr="00B61FF1">
        <w:rPr>
          <w:rFonts w:ascii="Arial" w:hAnsi="Arial" w:cs="Arial"/>
          <w:sz w:val="24"/>
          <w:szCs w:val="24"/>
        </w:rPr>
        <w:tab/>
      </w:r>
      <w:r w:rsidR="00F53840" w:rsidRPr="00B61FF1">
        <w:rPr>
          <w:rFonts w:ascii="Arial" w:hAnsi="Arial" w:cs="Arial"/>
          <w:sz w:val="24"/>
          <w:szCs w:val="24"/>
        </w:rPr>
        <w:t xml:space="preserve">Holds or can appoint more than </w:t>
      </w:r>
      <w:r w:rsidR="00793CBD" w:rsidRPr="00B61FF1">
        <w:rPr>
          <w:rFonts w:ascii="Arial" w:hAnsi="Arial" w:cs="Arial"/>
          <w:sz w:val="24"/>
          <w:szCs w:val="24"/>
        </w:rPr>
        <w:t>2</w:t>
      </w:r>
      <w:r w:rsidR="007D7365" w:rsidRPr="00B61FF1">
        <w:rPr>
          <w:rFonts w:ascii="Arial" w:hAnsi="Arial" w:cs="Arial"/>
          <w:sz w:val="24"/>
          <w:szCs w:val="24"/>
        </w:rPr>
        <w:t>0</w:t>
      </w:r>
      <w:r w:rsidR="00F53840" w:rsidRPr="00B61FF1">
        <w:rPr>
          <w:rFonts w:ascii="Arial" w:hAnsi="Arial" w:cs="Arial"/>
          <w:sz w:val="24"/>
          <w:szCs w:val="24"/>
        </w:rPr>
        <w:t xml:space="preserve"> percent of common directors of the other entity;</w:t>
      </w:r>
      <w:r w:rsidR="00D26033" w:rsidRPr="00B61FF1">
        <w:rPr>
          <w:rFonts w:ascii="Arial" w:hAnsi="Arial" w:cs="Arial"/>
          <w:sz w:val="24"/>
          <w:szCs w:val="24"/>
        </w:rPr>
        <w:t xml:space="preserve"> </w:t>
      </w:r>
    </w:p>
    <w:p w14:paraId="1F01773B" w14:textId="77777777" w:rsidR="00F53840" w:rsidRPr="00B61FF1" w:rsidRDefault="00B83D22" w:rsidP="003C6A6B">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F53840" w:rsidRPr="00B61FF1">
        <w:rPr>
          <w:rFonts w:ascii="Arial" w:hAnsi="Arial" w:cs="Arial"/>
          <w:sz w:val="24"/>
          <w:szCs w:val="24"/>
        </w:rPr>
        <w:t xml:space="preserve">Holds more than </w:t>
      </w:r>
      <w:r w:rsidR="00793CBD" w:rsidRPr="00B61FF1">
        <w:rPr>
          <w:rFonts w:ascii="Arial" w:hAnsi="Arial" w:cs="Arial"/>
          <w:sz w:val="24"/>
          <w:szCs w:val="24"/>
        </w:rPr>
        <w:t>2</w:t>
      </w:r>
      <w:r w:rsidR="00673B07" w:rsidRPr="00B61FF1">
        <w:rPr>
          <w:rFonts w:ascii="Arial" w:hAnsi="Arial" w:cs="Arial"/>
          <w:sz w:val="24"/>
          <w:szCs w:val="24"/>
        </w:rPr>
        <w:t>0</w:t>
      </w:r>
      <w:r w:rsidR="00F53840" w:rsidRPr="00B61FF1">
        <w:rPr>
          <w:rFonts w:ascii="Arial" w:hAnsi="Arial" w:cs="Arial"/>
          <w:sz w:val="24"/>
          <w:szCs w:val="24"/>
        </w:rPr>
        <w:t xml:space="preserve"> percent of the </w:t>
      </w:r>
      <w:r w:rsidR="003C6A6B" w:rsidRPr="00B61FF1">
        <w:rPr>
          <w:rFonts w:ascii="Arial" w:hAnsi="Arial" w:cs="Arial"/>
          <w:sz w:val="24"/>
          <w:szCs w:val="24"/>
        </w:rPr>
        <w:t>v</w:t>
      </w:r>
      <w:r w:rsidR="00793CBD" w:rsidRPr="00B61FF1">
        <w:rPr>
          <w:rFonts w:ascii="Arial" w:hAnsi="Arial" w:cs="Arial"/>
          <w:sz w:val="24"/>
          <w:szCs w:val="24"/>
        </w:rPr>
        <w:t>oting power of the other entity;</w:t>
      </w:r>
    </w:p>
    <w:p w14:paraId="1647CDEE" w14:textId="77777777" w:rsidR="00793CBD" w:rsidRPr="00B61FF1" w:rsidRDefault="00793CBD" w:rsidP="003C6A6B">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In the case of a partnership other than a limited partnership, holds more than 20 percent of the interests of the partnership; </w:t>
      </w:r>
      <w:r w:rsidRPr="005427CC">
        <w:rPr>
          <w:rFonts w:ascii="Arial" w:hAnsi="Arial" w:cs="Arial"/>
          <w:strike/>
          <w:sz w:val="24"/>
          <w:szCs w:val="24"/>
        </w:rPr>
        <w:t>or</w:t>
      </w:r>
    </w:p>
    <w:p w14:paraId="5BB3DF7A" w14:textId="5BCCFF20" w:rsidR="00793CBD" w:rsidRPr="005427CC" w:rsidRDefault="00793CBD" w:rsidP="00793CBD">
      <w:pPr>
        <w:tabs>
          <w:tab w:val="left" w:pos="1980"/>
        </w:tabs>
        <w:spacing w:line="360" w:lineRule="auto"/>
        <w:ind w:left="1800" w:hanging="720"/>
        <w:rPr>
          <w:rFonts w:ascii="Arial" w:hAnsi="Arial" w:cs="Arial"/>
          <w:sz w:val="24"/>
          <w:szCs w:val="24"/>
          <w:u w:val="single"/>
        </w:rPr>
      </w:pPr>
      <w:r w:rsidRPr="00B61FF1">
        <w:rPr>
          <w:rFonts w:ascii="Arial" w:hAnsi="Arial" w:cs="Arial"/>
          <w:sz w:val="24"/>
          <w:szCs w:val="24"/>
        </w:rPr>
        <w:t>(E)</w:t>
      </w:r>
      <w:r w:rsidRPr="00B61FF1">
        <w:rPr>
          <w:rFonts w:ascii="Arial" w:hAnsi="Arial" w:cs="Arial"/>
          <w:sz w:val="24"/>
          <w:szCs w:val="24"/>
        </w:rPr>
        <w:tab/>
        <w:t>In the case of a limited partnership, controls the general partner</w:t>
      </w:r>
      <w:r w:rsidRPr="005427CC">
        <w:rPr>
          <w:rFonts w:ascii="Arial" w:hAnsi="Arial" w:cs="Arial"/>
          <w:strike/>
          <w:sz w:val="24"/>
          <w:szCs w:val="24"/>
        </w:rPr>
        <w:t>.</w:t>
      </w:r>
      <w:r w:rsidR="005427CC" w:rsidRPr="005427CC">
        <w:rPr>
          <w:rFonts w:ascii="Arial" w:hAnsi="Arial" w:cs="Arial"/>
          <w:sz w:val="24"/>
          <w:szCs w:val="24"/>
          <w:u w:val="single"/>
        </w:rPr>
        <w:t>; or</w:t>
      </w:r>
    </w:p>
    <w:p w14:paraId="1E91381E" w14:textId="3F05795C" w:rsidR="00FE7941" w:rsidRPr="00B61FF1" w:rsidRDefault="00FE7941" w:rsidP="00FE7941">
      <w:pPr>
        <w:tabs>
          <w:tab w:val="left" w:pos="1980"/>
        </w:tabs>
        <w:spacing w:line="360" w:lineRule="auto"/>
        <w:ind w:left="1800" w:hanging="720"/>
        <w:rPr>
          <w:rFonts w:ascii="Arial" w:hAnsi="Arial" w:cs="Arial"/>
          <w:sz w:val="24"/>
          <w:szCs w:val="24"/>
          <w:u w:val="single"/>
        </w:rPr>
      </w:pPr>
      <w:r w:rsidRPr="00B61FF1">
        <w:rPr>
          <w:rFonts w:ascii="Arial" w:hAnsi="Arial" w:cs="Arial"/>
          <w:sz w:val="24"/>
          <w:szCs w:val="24"/>
          <w:u w:val="single"/>
        </w:rPr>
        <w:t>(F)</w:t>
      </w:r>
      <w:r w:rsidRPr="005427CC">
        <w:rPr>
          <w:rFonts w:ascii="Arial" w:hAnsi="Arial" w:cs="Arial"/>
          <w:sz w:val="24"/>
          <w:szCs w:val="24"/>
        </w:rPr>
        <w:tab/>
      </w:r>
      <w:r w:rsidRPr="00B61FF1">
        <w:rPr>
          <w:rFonts w:ascii="Arial" w:hAnsi="Arial" w:cs="Arial"/>
          <w:sz w:val="24"/>
          <w:szCs w:val="24"/>
          <w:u w:val="single"/>
        </w:rPr>
        <w:t>In the case of a limited liability corporation, owns more than 20% of the other entity</w:t>
      </w:r>
      <w:r w:rsidR="009E30A5" w:rsidRPr="00B61FF1">
        <w:rPr>
          <w:rFonts w:ascii="Arial" w:hAnsi="Arial" w:cs="Arial"/>
          <w:sz w:val="24"/>
          <w:szCs w:val="24"/>
          <w:u w:val="single"/>
        </w:rPr>
        <w:t xml:space="preserve"> </w:t>
      </w:r>
      <w:r w:rsidR="0038604E" w:rsidRPr="00B61FF1">
        <w:rPr>
          <w:rFonts w:ascii="Arial" w:hAnsi="Arial" w:cs="Arial"/>
          <w:sz w:val="24"/>
          <w:szCs w:val="24"/>
          <w:u w:val="single"/>
        </w:rPr>
        <w:t>regardless of how</w:t>
      </w:r>
      <w:r w:rsidR="009E30A5" w:rsidRPr="00B61FF1">
        <w:rPr>
          <w:rFonts w:ascii="Arial" w:hAnsi="Arial" w:cs="Arial"/>
          <w:sz w:val="24"/>
          <w:szCs w:val="24"/>
          <w:u w:val="single"/>
        </w:rPr>
        <w:t xml:space="preserve"> the interest is held</w:t>
      </w:r>
      <w:r w:rsidRPr="00B61FF1">
        <w:rPr>
          <w:rFonts w:ascii="Arial" w:hAnsi="Arial" w:cs="Arial"/>
          <w:sz w:val="24"/>
          <w:szCs w:val="24"/>
          <w:u w:val="single"/>
        </w:rPr>
        <w:t>.</w:t>
      </w:r>
    </w:p>
    <w:p w14:paraId="4422A6D9" w14:textId="5D0EB9D1" w:rsidR="00171E84" w:rsidRPr="00B61FF1" w:rsidRDefault="00B83D22" w:rsidP="00B83D22">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7D7365" w:rsidRPr="00B61FF1">
        <w:rPr>
          <w:rFonts w:ascii="Arial" w:hAnsi="Arial" w:cs="Arial"/>
          <w:sz w:val="24"/>
          <w:szCs w:val="24"/>
        </w:rPr>
        <w:t>An entity has a “direct corporate a</w:t>
      </w:r>
      <w:r w:rsidR="0038604E" w:rsidRPr="00B61FF1">
        <w:rPr>
          <w:rFonts w:ascii="Arial" w:hAnsi="Arial" w:cs="Arial"/>
          <w:sz w:val="24"/>
          <w:szCs w:val="24"/>
        </w:rPr>
        <w:t>ssociation” with another entity</w:t>
      </w:r>
      <w:r w:rsidR="0038604E" w:rsidRPr="00B61FF1">
        <w:rPr>
          <w:rFonts w:ascii="Arial" w:hAnsi="Arial" w:cs="Arial"/>
          <w:sz w:val="24"/>
          <w:szCs w:val="24"/>
          <w:u w:val="single"/>
        </w:rPr>
        <w:t>,</w:t>
      </w:r>
      <w:r w:rsidR="00FE7941" w:rsidRPr="00B61FF1">
        <w:rPr>
          <w:rFonts w:ascii="Arial" w:hAnsi="Arial" w:cs="Arial"/>
          <w:sz w:val="24"/>
          <w:szCs w:val="24"/>
          <w:u w:val="single"/>
        </w:rPr>
        <w:t xml:space="preserve"> regardless of whether the second entity </w:t>
      </w:r>
      <w:r w:rsidR="009E30A5" w:rsidRPr="00B61FF1">
        <w:rPr>
          <w:rFonts w:ascii="Arial" w:hAnsi="Arial" w:cs="Arial"/>
          <w:sz w:val="24"/>
          <w:szCs w:val="24"/>
          <w:u w:val="single"/>
        </w:rPr>
        <w:t>is subject to the requirements of this article</w:t>
      </w:r>
      <w:r w:rsidR="0038604E" w:rsidRPr="00B61FF1">
        <w:rPr>
          <w:rFonts w:ascii="Arial" w:hAnsi="Arial" w:cs="Arial"/>
          <w:sz w:val="24"/>
          <w:szCs w:val="24"/>
          <w:u w:val="single"/>
        </w:rPr>
        <w:t xml:space="preserve">, </w:t>
      </w:r>
      <w:r w:rsidR="007D7365" w:rsidRPr="00B61FF1">
        <w:rPr>
          <w:rFonts w:ascii="Arial" w:hAnsi="Arial" w:cs="Arial"/>
          <w:sz w:val="24"/>
          <w:szCs w:val="24"/>
        </w:rPr>
        <w:t xml:space="preserve">if </w:t>
      </w:r>
      <w:r w:rsidR="00793CBD" w:rsidRPr="00B61FF1">
        <w:rPr>
          <w:rFonts w:ascii="Arial" w:hAnsi="Arial" w:cs="Arial"/>
          <w:sz w:val="24"/>
          <w:szCs w:val="24"/>
        </w:rPr>
        <w:t>either one of these</w:t>
      </w:r>
      <w:r w:rsidR="007D7365" w:rsidRPr="00B61FF1">
        <w:rPr>
          <w:rFonts w:ascii="Arial" w:hAnsi="Arial" w:cs="Arial"/>
          <w:sz w:val="24"/>
          <w:szCs w:val="24"/>
        </w:rPr>
        <w:t xml:space="preserve"> entities</w:t>
      </w:r>
      <w:r w:rsidR="00793CBD" w:rsidRPr="00B61FF1">
        <w:rPr>
          <w:rFonts w:ascii="Arial" w:hAnsi="Arial" w:cs="Arial"/>
          <w:sz w:val="24"/>
          <w:szCs w:val="24"/>
        </w:rPr>
        <w:t>:</w:t>
      </w:r>
    </w:p>
    <w:p w14:paraId="0067A568" w14:textId="77777777" w:rsidR="00793CBD" w:rsidRPr="00B61FF1" w:rsidRDefault="00793CBD" w:rsidP="00793CBD">
      <w:pPr>
        <w:tabs>
          <w:tab w:val="left" w:pos="108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Holds more than 50 percent of any class of listed shares, the right to acquire such shares, or any option to purchase such shares of the other entity;</w:t>
      </w:r>
    </w:p>
    <w:p w14:paraId="234140B4" w14:textId="77777777" w:rsidR="00793CBD" w:rsidRPr="00B61FF1" w:rsidRDefault="00793CBD" w:rsidP="00793CBD">
      <w:pPr>
        <w:tabs>
          <w:tab w:val="left" w:pos="108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Holds or can appoint more than 50 percent of common directors of the other entity;</w:t>
      </w:r>
    </w:p>
    <w:p w14:paraId="195BFC88" w14:textId="77777777" w:rsidR="00793CBD" w:rsidRPr="00B61FF1" w:rsidRDefault="00793CBD" w:rsidP="00793CBD">
      <w:pPr>
        <w:tabs>
          <w:tab w:val="left" w:pos="108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Holds more than 50 percent of the voting power of the other entity;</w:t>
      </w:r>
    </w:p>
    <w:p w14:paraId="78F3A5AD" w14:textId="77777777" w:rsidR="00335AE7" w:rsidRPr="00B61FF1" w:rsidRDefault="00335AE7" w:rsidP="00793CBD">
      <w:pPr>
        <w:tabs>
          <w:tab w:val="left" w:pos="1080"/>
        </w:tabs>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In the case of a partnership other than a limited partnership, holds more than 50 percent of the interests of the partnership; </w:t>
      </w:r>
      <w:r w:rsidRPr="005427CC">
        <w:rPr>
          <w:rFonts w:ascii="Arial" w:hAnsi="Arial" w:cs="Arial"/>
          <w:strike/>
          <w:sz w:val="24"/>
          <w:szCs w:val="24"/>
        </w:rPr>
        <w:t>or</w:t>
      </w:r>
    </w:p>
    <w:p w14:paraId="3627C77F" w14:textId="4EBDA0C2" w:rsidR="00335AE7" w:rsidRPr="005427CC" w:rsidRDefault="00335AE7" w:rsidP="00793CBD">
      <w:pPr>
        <w:tabs>
          <w:tab w:val="left" w:pos="1080"/>
        </w:tabs>
        <w:spacing w:line="360" w:lineRule="auto"/>
        <w:ind w:left="1800" w:hanging="720"/>
        <w:rPr>
          <w:rFonts w:ascii="Arial" w:hAnsi="Arial" w:cs="Arial"/>
          <w:strike/>
          <w:sz w:val="24"/>
          <w:szCs w:val="24"/>
          <w:u w:val="single"/>
        </w:rPr>
      </w:pPr>
      <w:r w:rsidRPr="00B61FF1">
        <w:rPr>
          <w:rFonts w:ascii="Arial" w:hAnsi="Arial" w:cs="Arial"/>
          <w:sz w:val="24"/>
          <w:szCs w:val="24"/>
        </w:rPr>
        <w:t>(E)</w:t>
      </w:r>
      <w:r w:rsidRPr="00B61FF1">
        <w:rPr>
          <w:rFonts w:ascii="Arial" w:hAnsi="Arial" w:cs="Arial"/>
          <w:sz w:val="24"/>
          <w:szCs w:val="24"/>
        </w:rPr>
        <w:tab/>
        <w:t>In the case of a limited partnership, controls the general partner</w:t>
      </w:r>
      <w:r w:rsidRPr="005427CC">
        <w:rPr>
          <w:rFonts w:ascii="Arial" w:hAnsi="Arial" w:cs="Arial"/>
          <w:strike/>
          <w:sz w:val="24"/>
          <w:szCs w:val="24"/>
        </w:rPr>
        <w:t>.</w:t>
      </w:r>
      <w:r w:rsidR="005427CC" w:rsidRPr="005427CC">
        <w:rPr>
          <w:rFonts w:ascii="Arial" w:hAnsi="Arial" w:cs="Arial"/>
          <w:sz w:val="24"/>
          <w:szCs w:val="24"/>
          <w:u w:val="single"/>
        </w:rPr>
        <w:t>; or</w:t>
      </w:r>
    </w:p>
    <w:p w14:paraId="2F1D3179" w14:textId="2825D279" w:rsidR="00FE7941" w:rsidRPr="00B61FF1" w:rsidRDefault="00FE7941" w:rsidP="00FE7941">
      <w:pPr>
        <w:tabs>
          <w:tab w:val="left" w:pos="1080"/>
        </w:tabs>
        <w:spacing w:line="360" w:lineRule="auto"/>
        <w:ind w:left="1800" w:hanging="720"/>
        <w:rPr>
          <w:rFonts w:ascii="Arial" w:hAnsi="Arial" w:cs="Arial"/>
          <w:sz w:val="24"/>
          <w:szCs w:val="24"/>
          <w:u w:val="single"/>
        </w:rPr>
      </w:pPr>
      <w:r w:rsidRPr="00B61FF1">
        <w:rPr>
          <w:rFonts w:ascii="Arial" w:hAnsi="Arial" w:cs="Arial"/>
          <w:sz w:val="24"/>
          <w:szCs w:val="24"/>
          <w:u w:val="single"/>
        </w:rPr>
        <w:t>(F)</w:t>
      </w:r>
      <w:r w:rsidRPr="005427CC">
        <w:rPr>
          <w:rFonts w:ascii="Arial" w:hAnsi="Arial" w:cs="Arial"/>
          <w:sz w:val="24"/>
          <w:szCs w:val="24"/>
        </w:rPr>
        <w:tab/>
      </w:r>
      <w:r w:rsidRPr="00B61FF1">
        <w:rPr>
          <w:rFonts w:ascii="Arial" w:hAnsi="Arial" w:cs="Arial"/>
          <w:sz w:val="24"/>
          <w:szCs w:val="24"/>
          <w:u w:val="single"/>
        </w:rPr>
        <w:t>In the case of a limited liability corporation, owns more than 50% of the other entity</w:t>
      </w:r>
      <w:r w:rsidR="0038604E" w:rsidRPr="00B61FF1">
        <w:rPr>
          <w:rFonts w:ascii="Arial" w:hAnsi="Arial" w:cs="Arial"/>
          <w:sz w:val="24"/>
          <w:szCs w:val="24"/>
          <w:u w:val="single"/>
        </w:rPr>
        <w:t xml:space="preserve"> regardless of how the interest is held</w:t>
      </w:r>
      <w:r w:rsidRPr="00B61FF1">
        <w:rPr>
          <w:rFonts w:ascii="Arial" w:hAnsi="Arial" w:cs="Arial"/>
          <w:sz w:val="24"/>
          <w:szCs w:val="24"/>
          <w:u w:val="single"/>
        </w:rPr>
        <w:t>.</w:t>
      </w:r>
    </w:p>
    <w:p w14:paraId="0DFFBCBC" w14:textId="4FC88D6F" w:rsidR="00335AE7" w:rsidRPr="00B61FF1" w:rsidRDefault="00335AE7" w:rsidP="00335AE7">
      <w:pPr>
        <w:tabs>
          <w:tab w:val="left" w:pos="1080"/>
        </w:tabs>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An entity has a “direct corporate as</w:t>
      </w:r>
      <w:r w:rsidR="00DD3599" w:rsidRPr="00B61FF1">
        <w:rPr>
          <w:rFonts w:ascii="Arial" w:hAnsi="Arial" w:cs="Arial"/>
          <w:sz w:val="24"/>
          <w:szCs w:val="24"/>
        </w:rPr>
        <w:t>sociation” with a second entity</w:t>
      </w:r>
      <w:r w:rsidR="00DD3599" w:rsidRPr="00B61FF1">
        <w:rPr>
          <w:rFonts w:ascii="Arial" w:hAnsi="Arial" w:cs="Arial"/>
          <w:sz w:val="24"/>
          <w:szCs w:val="24"/>
          <w:u w:val="single"/>
        </w:rPr>
        <w:t>,</w:t>
      </w:r>
      <w:r w:rsidR="00FE7941" w:rsidRPr="00B61FF1">
        <w:rPr>
          <w:rFonts w:ascii="Arial" w:hAnsi="Arial" w:cs="Arial"/>
          <w:sz w:val="24"/>
          <w:szCs w:val="24"/>
          <w:u w:val="single"/>
        </w:rPr>
        <w:t xml:space="preserve"> regardless of whether the second entity is </w:t>
      </w:r>
      <w:r w:rsidR="0038604E" w:rsidRPr="00B61FF1">
        <w:rPr>
          <w:rFonts w:ascii="Arial" w:hAnsi="Arial" w:cs="Arial"/>
          <w:sz w:val="24"/>
          <w:szCs w:val="24"/>
          <w:u w:val="single"/>
        </w:rPr>
        <w:t xml:space="preserve">subject to the requirements </w:t>
      </w:r>
      <w:r w:rsidR="0038604E" w:rsidRPr="00B61FF1">
        <w:rPr>
          <w:rFonts w:ascii="Arial" w:hAnsi="Arial" w:cs="Arial"/>
          <w:sz w:val="24"/>
          <w:szCs w:val="24"/>
          <w:u w:val="single"/>
        </w:rPr>
        <w:lastRenderedPageBreak/>
        <w:t>of this article</w:t>
      </w:r>
      <w:r w:rsidR="00DD3599" w:rsidRPr="00B61FF1">
        <w:rPr>
          <w:rFonts w:ascii="Arial" w:hAnsi="Arial" w:cs="Arial"/>
          <w:sz w:val="24"/>
          <w:szCs w:val="24"/>
          <w:u w:val="single"/>
        </w:rPr>
        <w:t>,</w:t>
      </w:r>
      <w:r w:rsidR="00FE7941" w:rsidRPr="00B61FF1">
        <w:rPr>
          <w:rFonts w:ascii="Arial" w:hAnsi="Arial" w:cs="Arial"/>
          <w:sz w:val="24"/>
          <w:szCs w:val="24"/>
        </w:rPr>
        <w:t xml:space="preserve"> </w:t>
      </w:r>
      <w:r w:rsidRPr="00B61FF1">
        <w:rPr>
          <w:rFonts w:ascii="Arial" w:hAnsi="Arial" w:cs="Arial"/>
          <w:sz w:val="24"/>
          <w:szCs w:val="24"/>
        </w:rPr>
        <w:t>if the two entities are connected through a line of more than one direct corporate association.</w:t>
      </w:r>
    </w:p>
    <w:p w14:paraId="26F8409B" w14:textId="77777777" w:rsidR="00335AE7" w:rsidRPr="00B61FF1" w:rsidRDefault="00335AE7" w:rsidP="00335AE7">
      <w:pPr>
        <w:tabs>
          <w:tab w:val="left" w:pos="108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An entity (A) has a “direct corporate association” with another entity (B) if the two entities share a common parent that is not registered into the California Cap-and-Trade Program and that parent has a direct corporate association with each entity (A and B) when </w:t>
      </w:r>
      <w:r w:rsidR="004A3EE6" w:rsidRPr="00B61FF1">
        <w:rPr>
          <w:rFonts w:ascii="Arial" w:hAnsi="Arial" w:cs="Arial"/>
          <w:sz w:val="24"/>
          <w:szCs w:val="24"/>
        </w:rPr>
        <w:t>applying the indicia of control contained in section 95833(a)(2).</w:t>
      </w:r>
    </w:p>
    <w:p w14:paraId="1CD338A7" w14:textId="77777777" w:rsidR="004A3EE6" w:rsidRPr="00B61FF1" w:rsidRDefault="004A3EE6" w:rsidP="00335AE7">
      <w:pPr>
        <w:tabs>
          <w:tab w:val="left" w:pos="108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 entity with a “direct corporate association” with a second registered entity has a direct corporate association with any registered entity with whom the second registered entity has a direct corporate association.</w:t>
      </w:r>
    </w:p>
    <w:p w14:paraId="6E3116F0" w14:textId="77777777" w:rsidR="00F53840" w:rsidRPr="00B61FF1" w:rsidRDefault="00B83D22" w:rsidP="00B83D22">
      <w:pPr>
        <w:spacing w:line="360" w:lineRule="auto"/>
        <w:ind w:left="1080" w:hanging="720"/>
        <w:rPr>
          <w:rFonts w:ascii="Arial" w:hAnsi="Arial" w:cs="Arial"/>
          <w:sz w:val="24"/>
          <w:szCs w:val="24"/>
        </w:rPr>
      </w:pPr>
      <w:r w:rsidRPr="00B61FF1">
        <w:rPr>
          <w:rFonts w:ascii="Arial" w:hAnsi="Arial" w:cs="Arial"/>
          <w:sz w:val="24"/>
          <w:szCs w:val="24"/>
        </w:rPr>
        <w:t>(</w:t>
      </w:r>
      <w:r w:rsidR="004A3EE6" w:rsidRPr="00B61FF1">
        <w:rPr>
          <w:rFonts w:ascii="Arial" w:hAnsi="Arial" w:cs="Arial"/>
          <w:sz w:val="24"/>
          <w:szCs w:val="24"/>
        </w:rPr>
        <w:t>4</w:t>
      </w:r>
      <w:r w:rsidRPr="00B61FF1">
        <w:rPr>
          <w:rFonts w:ascii="Arial" w:hAnsi="Arial" w:cs="Arial"/>
          <w:sz w:val="24"/>
          <w:szCs w:val="24"/>
        </w:rPr>
        <w:t>)</w:t>
      </w:r>
      <w:r w:rsidRPr="00B61FF1">
        <w:rPr>
          <w:rFonts w:ascii="Arial" w:hAnsi="Arial" w:cs="Arial"/>
          <w:sz w:val="24"/>
          <w:szCs w:val="24"/>
        </w:rPr>
        <w:tab/>
      </w:r>
      <w:r w:rsidR="00F53840" w:rsidRPr="00B61FF1">
        <w:rPr>
          <w:rFonts w:ascii="Arial" w:hAnsi="Arial" w:cs="Arial"/>
          <w:sz w:val="24"/>
          <w:szCs w:val="24"/>
        </w:rPr>
        <w:t>An entity has an “indirect corporate association” with another entity</w:t>
      </w:r>
      <w:r w:rsidR="007D7365" w:rsidRPr="00B61FF1">
        <w:rPr>
          <w:rFonts w:ascii="Arial" w:hAnsi="Arial" w:cs="Arial"/>
          <w:sz w:val="24"/>
          <w:szCs w:val="24"/>
        </w:rPr>
        <w:t xml:space="preserve"> </w:t>
      </w:r>
      <w:r w:rsidR="004A3EE6" w:rsidRPr="00B61FF1">
        <w:rPr>
          <w:rFonts w:ascii="Arial" w:hAnsi="Arial" w:cs="Arial"/>
          <w:sz w:val="24"/>
          <w:szCs w:val="24"/>
        </w:rPr>
        <w:t>if</w:t>
      </w:r>
      <w:r w:rsidR="00F53840" w:rsidRPr="00B61FF1">
        <w:rPr>
          <w:rFonts w:ascii="Arial" w:hAnsi="Arial" w:cs="Arial"/>
          <w:sz w:val="24"/>
          <w:szCs w:val="24"/>
        </w:rPr>
        <w:t>:</w:t>
      </w:r>
    </w:p>
    <w:p w14:paraId="6C49DED6" w14:textId="77777777" w:rsidR="00F53840" w:rsidRPr="00B61FF1" w:rsidRDefault="00B83D22" w:rsidP="00B83D22">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4A3EE6" w:rsidRPr="00B61FF1">
        <w:rPr>
          <w:rFonts w:ascii="Arial" w:hAnsi="Arial" w:cs="Arial"/>
          <w:sz w:val="24"/>
          <w:szCs w:val="24"/>
        </w:rPr>
        <w:t>The two entities do not have a direct corporate association;</w:t>
      </w:r>
    </w:p>
    <w:p w14:paraId="68F69613" w14:textId="77777777" w:rsidR="004A3EE6" w:rsidRPr="00B61FF1" w:rsidRDefault="00B83D22" w:rsidP="00B83D22">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4A3EE6" w:rsidRPr="00B61FF1">
        <w:rPr>
          <w:rFonts w:ascii="Arial" w:hAnsi="Arial" w:cs="Arial"/>
          <w:sz w:val="24"/>
          <w:szCs w:val="24"/>
        </w:rPr>
        <w:t>The two entities are connected through a line of more than one corporate association; and</w:t>
      </w:r>
    </w:p>
    <w:p w14:paraId="56E84B1D" w14:textId="77777777" w:rsidR="00F53840" w:rsidRPr="00B61FF1" w:rsidRDefault="004A3EE6" w:rsidP="00B83D22">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controlling entity’s percentage of ownership or other indicia of control under section 95833(a)(1)(A), (B), (C), or (D) of the indirectly controlled entity is more than 20 percent but less than or equal to 50 percent after multiplying the percentages at each link in the chain of corporate associations.</w:t>
      </w:r>
      <w:r w:rsidR="00F53840" w:rsidRPr="00B61FF1">
        <w:rPr>
          <w:rFonts w:ascii="Arial" w:hAnsi="Arial" w:cs="Arial"/>
          <w:sz w:val="24"/>
          <w:szCs w:val="24"/>
        </w:rPr>
        <w:t xml:space="preserve"> </w:t>
      </w:r>
    </w:p>
    <w:p w14:paraId="28968D2D" w14:textId="77777777" w:rsidR="00171E84" w:rsidRPr="00B61FF1" w:rsidRDefault="00B83D22" w:rsidP="00B83D22">
      <w:pPr>
        <w:pStyle w:val="ListParagraph"/>
        <w:spacing w:line="360" w:lineRule="auto"/>
        <w:ind w:left="1080" w:hanging="720"/>
        <w:rPr>
          <w:rFonts w:ascii="Arial" w:hAnsi="Arial" w:cs="Arial"/>
          <w:sz w:val="24"/>
          <w:szCs w:val="24"/>
        </w:rPr>
      </w:pPr>
      <w:r w:rsidRPr="00B61FF1">
        <w:rPr>
          <w:rFonts w:ascii="Arial" w:hAnsi="Arial" w:cs="Arial"/>
          <w:sz w:val="24"/>
          <w:szCs w:val="24"/>
        </w:rPr>
        <w:t>(</w:t>
      </w:r>
      <w:r w:rsidR="004A3EE6" w:rsidRPr="00B61FF1">
        <w:rPr>
          <w:rFonts w:ascii="Arial" w:hAnsi="Arial" w:cs="Arial"/>
          <w:sz w:val="24"/>
          <w:szCs w:val="24"/>
        </w:rPr>
        <w:t>5</w:t>
      </w:r>
      <w:r w:rsidRPr="00B61FF1">
        <w:rPr>
          <w:rFonts w:ascii="Arial" w:hAnsi="Arial" w:cs="Arial"/>
          <w:sz w:val="24"/>
          <w:szCs w:val="24"/>
        </w:rPr>
        <w:t>)</w:t>
      </w:r>
      <w:r w:rsidRPr="00B61FF1">
        <w:rPr>
          <w:rFonts w:ascii="Arial" w:hAnsi="Arial" w:cs="Arial"/>
          <w:sz w:val="24"/>
          <w:szCs w:val="24"/>
        </w:rPr>
        <w:tab/>
      </w:r>
      <w:r w:rsidR="004A3EE6" w:rsidRPr="00B61FF1">
        <w:rPr>
          <w:rFonts w:ascii="Arial" w:hAnsi="Arial" w:cs="Arial"/>
          <w:sz w:val="24"/>
          <w:szCs w:val="24"/>
        </w:rPr>
        <w:t>A publicly-owned electric utility or joint powers agency that is the operator of an electricity generating facility in California has a direct corporate association with the operator of another electricity generating facility in California if the same entity operates both generating facilities.  A publicly-owned electric utility or joint powers agency that is the operator of an electricity generating facility in California has a direct corporate association with an electricity importer if the same entity operates the generating facility in California and is the entity importing electricity.</w:t>
      </w:r>
    </w:p>
    <w:p w14:paraId="32B2B191" w14:textId="77777777" w:rsidR="00F53840" w:rsidRPr="00B61FF1" w:rsidRDefault="00B83D22" w:rsidP="00B83D22">
      <w:pPr>
        <w:spacing w:line="360" w:lineRule="auto"/>
        <w:ind w:left="720" w:hanging="720"/>
        <w:rPr>
          <w:rFonts w:ascii="Arial" w:hAnsi="Arial" w:cs="Arial"/>
          <w:sz w:val="24"/>
          <w:szCs w:val="24"/>
        </w:rPr>
      </w:pPr>
      <w:r w:rsidRPr="00B61FF1">
        <w:rPr>
          <w:rFonts w:ascii="Arial" w:hAnsi="Arial" w:cs="Arial"/>
          <w:sz w:val="24"/>
          <w:szCs w:val="24"/>
        </w:rPr>
        <w:lastRenderedPageBreak/>
        <w:t>(b)</w:t>
      </w:r>
      <w:r w:rsidRPr="00B61FF1">
        <w:rPr>
          <w:rFonts w:ascii="Arial" w:hAnsi="Arial" w:cs="Arial"/>
          <w:sz w:val="24"/>
          <w:szCs w:val="24"/>
        </w:rPr>
        <w:tab/>
      </w:r>
      <w:r w:rsidR="00F53840" w:rsidRPr="00B61FF1">
        <w:rPr>
          <w:rFonts w:ascii="Arial" w:hAnsi="Arial" w:cs="Arial"/>
          <w:sz w:val="24"/>
          <w:szCs w:val="24"/>
        </w:rPr>
        <w:t xml:space="preserve">If California links </w:t>
      </w:r>
      <w:r w:rsidR="000237E1" w:rsidRPr="00B61FF1">
        <w:rPr>
          <w:rFonts w:ascii="Arial" w:hAnsi="Arial" w:cs="Arial"/>
          <w:sz w:val="24"/>
          <w:szCs w:val="24"/>
        </w:rPr>
        <w:t>to</w:t>
      </w:r>
      <w:r w:rsidR="00F53840" w:rsidRPr="00B61FF1">
        <w:rPr>
          <w:rFonts w:ascii="Arial" w:hAnsi="Arial" w:cs="Arial"/>
          <w:sz w:val="24"/>
          <w:szCs w:val="24"/>
        </w:rPr>
        <w:t xml:space="preserve"> one or more </w:t>
      </w:r>
      <w:r w:rsidR="000237E1" w:rsidRPr="00B61FF1">
        <w:rPr>
          <w:rFonts w:ascii="Arial" w:hAnsi="Arial" w:cs="Arial"/>
          <w:sz w:val="24"/>
          <w:szCs w:val="24"/>
        </w:rPr>
        <w:t>GHG ETS pursuant to subarticle 12</w:t>
      </w:r>
      <w:r w:rsidR="00F53840" w:rsidRPr="00B61FF1">
        <w:rPr>
          <w:rFonts w:ascii="Arial" w:hAnsi="Arial" w:cs="Arial"/>
          <w:sz w:val="24"/>
          <w:szCs w:val="24"/>
        </w:rPr>
        <w:t xml:space="preserve">, then entities shall disclose corporate associations with entities registered </w:t>
      </w:r>
      <w:r w:rsidR="000237E1" w:rsidRPr="00B61FF1">
        <w:rPr>
          <w:rFonts w:ascii="Arial" w:hAnsi="Arial" w:cs="Arial"/>
          <w:sz w:val="24"/>
          <w:szCs w:val="24"/>
        </w:rPr>
        <w:t xml:space="preserve">with </w:t>
      </w:r>
      <w:r w:rsidR="00F53840" w:rsidRPr="00B61FF1">
        <w:rPr>
          <w:rFonts w:ascii="Arial" w:hAnsi="Arial" w:cs="Arial"/>
          <w:sz w:val="24"/>
          <w:szCs w:val="24"/>
        </w:rPr>
        <w:t xml:space="preserve">those </w:t>
      </w:r>
      <w:r w:rsidR="000237E1" w:rsidRPr="00B61FF1">
        <w:rPr>
          <w:rFonts w:ascii="Arial" w:hAnsi="Arial" w:cs="Arial"/>
          <w:sz w:val="24"/>
          <w:szCs w:val="24"/>
        </w:rPr>
        <w:t>linked</w:t>
      </w:r>
      <w:r w:rsidR="00F53840" w:rsidRPr="00B61FF1">
        <w:rPr>
          <w:rFonts w:ascii="Arial" w:hAnsi="Arial" w:cs="Arial"/>
          <w:sz w:val="24"/>
          <w:szCs w:val="24"/>
        </w:rPr>
        <w:t xml:space="preserve"> programs.</w:t>
      </w:r>
    </w:p>
    <w:p w14:paraId="0C52E6B0" w14:textId="77777777" w:rsidR="00F53840" w:rsidRPr="00B61FF1" w:rsidRDefault="00B83D22" w:rsidP="003C6A6B">
      <w:pPr>
        <w:spacing w:line="360" w:lineRule="auto"/>
        <w:ind w:left="720" w:hanging="720"/>
        <w:rPr>
          <w:rFonts w:ascii="Arial" w:hAnsi="Arial" w:cs="Arial"/>
          <w:dstrike/>
          <w:sz w:val="24"/>
          <w:szCs w:val="24"/>
        </w:rPr>
      </w:pPr>
      <w:r w:rsidRPr="00B61FF1">
        <w:rPr>
          <w:rFonts w:ascii="Arial" w:hAnsi="Arial" w:cs="Arial"/>
          <w:sz w:val="24"/>
          <w:szCs w:val="24"/>
        </w:rPr>
        <w:t>(c)</w:t>
      </w:r>
      <w:r w:rsidRPr="00B61FF1">
        <w:rPr>
          <w:rFonts w:ascii="Arial" w:hAnsi="Arial" w:cs="Arial"/>
          <w:sz w:val="24"/>
          <w:szCs w:val="24"/>
        </w:rPr>
        <w:tab/>
      </w:r>
      <w:r w:rsidR="00FF16F1" w:rsidRPr="00B61FF1">
        <w:rPr>
          <w:rFonts w:ascii="Arial" w:hAnsi="Arial" w:cs="Arial"/>
          <w:sz w:val="24"/>
          <w:szCs w:val="24"/>
        </w:rPr>
        <w:t>Any registered entity subject to affiliate compliance rules promulgated by state or federal agencies shall not be required to disclose information or take other action that violates those rules.</w:t>
      </w:r>
    </w:p>
    <w:p w14:paraId="6368ADB3" w14:textId="77777777" w:rsidR="000B30B1" w:rsidRPr="00B61FF1" w:rsidRDefault="00B83D22" w:rsidP="00B83D22">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r>
      <w:r w:rsidR="00FF16F1" w:rsidRPr="00B61FF1">
        <w:rPr>
          <w:rFonts w:ascii="Arial" w:hAnsi="Arial" w:cs="Arial"/>
          <w:sz w:val="24"/>
          <w:szCs w:val="24"/>
        </w:rPr>
        <w:t>If an entity has a corporate, direct, or indirect association with another registered entity, or an unregistered entity involved in determinations made pursuant to 95833(a)(3), (4) or (5), it must disclose the following information for each associated entity</w:t>
      </w:r>
      <w:r w:rsidR="000B30B1" w:rsidRPr="00B61FF1">
        <w:rPr>
          <w:rFonts w:ascii="Arial" w:hAnsi="Arial" w:cs="Arial"/>
          <w:sz w:val="24"/>
          <w:szCs w:val="24"/>
        </w:rPr>
        <w:t>:</w:t>
      </w:r>
    </w:p>
    <w:p w14:paraId="41DC9BF8" w14:textId="77777777" w:rsidR="000B30B1" w:rsidRPr="00B61FF1" w:rsidRDefault="000B30B1" w:rsidP="00243C3F">
      <w:pPr>
        <w:spacing w:line="360" w:lineRule="auto"/>
        <w:ind w:left="1080" w:hanging="720"/>
        <w:rPr>
          <w:rFonts w:ascii="Arial" w:hAnsi="Arial" w:cs="Arial"/>
          <w:sz w:val="24"/>
          <w:szCs w:val="24"/>
        </w:rPr>
      </w:pPr>
      <w:r w:rsidRPr="00B61FF1">
        <w:rPr>
          <w:rFonts w:ascii="Arial" w:hAnsi="Arial" w:cs="Arial"/>
          <w:sz w:val="24"/>
          <w:szCs w:val="24"/>
        </w:rPr>
        <w:t>(1)</w:t>
      </w:r>
      <w:r w:rsidR="00243C3F" w:rsidRPr="00B61FF1">
        <w:rPr>
          <w:rFonts w:ascii="Arial" w:hAnsi="Arial" w:cs="Arial"/>
          <w:sz w:val="24"/>
          <w:szCs w:val="24"/>
        </w:rPr>
        <w:tab/>
      </w:r>
      <w:r w:rsidR="003E04E2" w:rsidRPr="00B61FF1">
        <w:rPr>
          <w:rFonts w:ascii="Arial" w:hAnsi="Arial" w:cs="Arial"/>
          <w:sz w:val="24"/>
          <w:szCs w:val="24"/>
        </w:rPr>
        <w:t>Information to identify the associated entity, including:</w:t>
      </w:r>
    </w:p>
    <w:p w14:paraId="4758612B"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Name, contact information, and physical address of the entity;</w:t>
      </w:r>
    </w:p>
    <w:p w14:paraId="249493ED"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Whether the entity is parent or subsidiary;</w:t>
      </w:r>
    </w:p>
    <w:p w14:paraId="72FBB4C0"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Holding account number, if applicable;</w:t>
      </w:r>
    </w:p>
    <w:p w14:paraId="3D5218CB"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Primary account representative, if applicable;</w:t>
      </w:r>
    </w:p>
    <w:p w14:paraId="118E0515"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Data Universal Numbering System number, if assigned;</w:t>
      </w:r>
    </w:p>
    <w:p w14:paraId="1065A83C"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A U.S. federal tax Employer Identification Number, if assigned; and</w:t>
      </w:r>
    </w:p>
    <w:p w14:paraId="26F3C2B7"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Place and Date of Incorporation, if applicable;</w:t>
      </w:r>
    </w:p>
    <w:p w14:paraId="7081B3CE" w14:textId="77777777" w:rsidR="000B30B1" w:rsidRPr="00B61FF1" w:rsidRDefault="000B30B1" w:rsidP="00243C3F">
      <w:pPr>
        <w:tabs>
          <w:tab w:val="left" w:pos="1080"/>
        </w:tabs>
        <w:spacing w:line="360" w:lineRule="auto"/>
        <w:ind w:left="1080" w:hanging="720"/>
        <w:rPr>
          <w:rFonts w:ascii="Arial" w:hAnsi="Arial" w:cs="Arial"/>
          <w:sz w:val="24"/>
          <w:szCs w:val="24"/>
        </w:rPr>
      </w:pPr>
      <w:r w:rsidRPr="00B61FF1">
        <w:rPr>
          <w:rFonts w:ascii="Arial" w:hAnsi="Arial" w:cs="Arial"/>
          <w:sz w:val="24"/>
          <w:szCs w:val="24"/>
        </w:rPr>
        <w:t xml:space="preserve">(2) </w:t>
      </w:r>
      <w:r w:rsidR="00243C3F" w:rsidRPr="00B61FF1">
        <w:rPr>
          <w:rFonts w:ascii="Arial" w:hAnsi="Arial" w:cs="Arial"/>
          <w:sz w:val="24"/>
          <w:szCs w:val="24"/>
        </w:rPr>
        <w:tab/>
      </w:r>
      <w:r w:rsidRPr="00B61FF1">
        <w:rPr>
          <w:rFonts w:ascii="Arial" w:hAnsi="Arial" w:cs="Arial"/>
          <w:sz w:val="24"/>
          <w:szCs w:val="24"/>
        </w:rPr>
        <w:t>The type of corpor</w:t>
      </w:r>
      <w:r w:rsidR="00C93C41" w:rsidRPr="00B61FF1">
        <w:rPr>
          <w:rFonts w:ascii="Arial" w:hAnsi="Arial" w:cs="Arial"/>
          <w:sz w:val="24"/>
          <w:szCs w:val="24"/>
        </w:rPr>
        <w:t xml:space="preserve">ate association </w:t>
      </w:r>
      <w:r w:rsidRPr="00B61FF1">
        <w:rPr>
          <w:rFonts w:ascii="Arial" w:hAnsi="Arial" w:cs="Arial"/>
          <w:sz w:val="24"/>
          <w:szCs w:val="24"/>
        </w:rPr>
        <w:t xml:space="preserve">and a brief description of the association, to include </w:t>
      </w:r>
      <w:r w:rsidR="00F82459" w:rsidRPr="00B61FF1">
        <w:rPr>
          <w:rFonts w:ascii="Arial" w:hAnsi="Arial" w:cs="Arial"/>
          <w:sz w:val="24"/>
          <w:szCs w:val="24"/>
        </w:rPr>
        <w:t>information</w:t>
      </w:r>
      <w:r w:rsidR="003E04E2" w:rsidRPr="00B61FF1">
        <w:rPr>
          <w:rFonts w:ascii="Arial" w:hAnsi="Arial" w:cs="Arial"/>
          <w:sz w:val="24"/>
          <w:szCs w:val="24"/>
        </w:rPr>
        <w:t xml:space="preserve"> sufficient to explain the entity’s evaluation of the measures contained in section 95833(a) used to determine the type of corporate association disclosed.</w:t>
      </w:r>
    </w:p>
    <w:p w14:paraId="3ADBD10F" w14:textId="77777777" w:rsidR="009B0D31" w:rsidRPr="00B61FF1" w:rsidRDefault="009B0D31" w:rsidP="009B0D31">
      <w:pPr>
        <w:spacing w:line="360" w:lineRule="auto"/>
        <w:ind w:left="720" w:hanging="720"/>
        <w:rPr>
          <w:rFonts w:ascii="Arial" w:hAnsi="Arial" w:cs="Arial"/>
          <w:sz w:val="24"/>
          <w:szCs w:val="24"/>
        </w:rPr>
      </w:pPr>
      <w:r w:rsidRPr="00B61FF1">
        <w:rPr>
          <w:rFonts w:ascii="Arial" w:hAnsi="Arial" w:cs="Arial"/>
          <w:sz w:val="24"/>
          <w:szCs w:val="24"/>
        </w:rPr>
        <w:t>(e)</w:t>
      </w:r>
      <w:r w:rsidR="006343BE" w:rsidRPr="00B61FF1">
        <w:rPr>
          <w:rFonts w:ascii="Arial" w:hAnsi="Arial" w:cs="Arial"/>
          <w:sz w:val="24"/>
          <w:szCs w:val="24"/>
        </w:rPr>
        <w:tab/>
      </w:r>
      <w:r w:rsidRPr="00B61FF1">
        <w:rPr>
          <w:rFonts w:ascii="Arial" w:hAnsi="Arial" w:cs="Arial"/>
          <w:sz w:val="24"/>
          <w:szCs w:val="24"/>
        </w:rPr>
        <w:t>The entity must disclose the information pursuant to section 95833(</w:t>
      </w:r>
      <w:r w:rsidR="003E04E2" w:rsidRPr="00B61FF1">
        <w:rPr>
          <w:rFonts w:ascii="Arial" w:hAnsi="Arial" w:cs="Arial"/>
          <w:sz w:val="24"/>
          <w:szCs w:val="24"/>
        </w:rPr>
        <w:t>d</w:t>
      </w:r>
      <w:r w:rsidRPr="00B61FF1">
        <w:rPr>
          <w:rFonts w:ascii="Arial" w:hAnsi="Arial" w:cs="Arial"/>
          <w:sz w:val="24"/>
          <w:szCs w:val="24"/>
        </w:rPr>
        <w:t>) to the Executive Officer:</w:t>
      </w:r>
    </w:p>
    <w:p w14:paraId="1DF00398" w14:textId="77777777" w:rsidR="009B0D31" w:rsidRPr="00B61FF1" w:rsidRDefault="009B0D31" w:rsidP="009B0D31">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When registering pursuant to section 95830;</w:t>
      </w:r>
    </w:p>
    <w:p w14:paraId="1BC69B37" w14:textId="77777777" w:rsidR="009B0D31" w:rsidRPr="00B61FF1" w:rsidRDefault="009B0D31" w:rsidP="009B0D31">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At any time after registering when a </w:t>
      </w:r>
      <w:r w:rsidR="003E04E2" w:rsidRPr="00B61FF1">
        <w:rPr>
          <w:rFonts w:ascii="Arial" w:hAnsi="Arial" w:cs="Arial"/>
          <w:sz w:val="24"/>
          <w:szCs w:val="24"/>
        </w:rPr>
        <w:t>corporate</w:t>
      </w:r>
      <w:r w:rsidRPr="00B61FF1">
        <w:rPr>
          <w:rFonts w:ascii="Arial" w:hAnsi="Arial" w:cs="Arial"/>
          <w:sz w:val="24"/>
          <w:szCs w:val="24"/>
        </w:rPr>
        <w:t>, direct, or indirect association is created or exists;</w:t>
      </w:r>
    </w:p>
    <w:p w14:paraId="2D3D3AEA" w14:textId="77777777" w:rsidR="009B0D31" w:rsidRPr="00B61FF1" w:rsidRDefault="009B0D31" w:rsidP="009B0D31">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Within 30 days of a change to the information disclosed on </w:t>
      </w:r>
      <w:r w:rsidR="003E04E2" w:rsidRPr="00B61FF1">
        <w:rPr>
          <w:rFonts w:ascii="Arial" w:hAnsi="Arial" w:cs="Arial"/>
          <w:sz w:val="24"/>
          <w:szCs w:val="24"/>
        </w:rPr>
        <w:t>corporate</w:t>
      </w:r>
      <w:r w:rsidRPr="00B61FF1">
        <w:rPr>
          <w:rFonts w:ascii="Arial" w:hAnsi="Arial" w:cs="Arial"/>
          <w:sz w:val="24"/>
          <w:szCs w:val="24"/>
        </w:rPr>
        <w:t>, direct and indirect corporate associations; and</w:t>
      </w:r>
    </w:p>
    <w:p w14:paraId="2109E3C0" w14:textId="77777777" w:rsidR="009B0D31" w:rsidRPr="00B61FF1" w:rsidRDefault="009B0D31" w:rsidP="009B0D31">
      <w:pPr>
        <w:spacing w:line="360" w:lineRule="auto"/>
        <w:ind w:left="1080" w:hanging="720"/>
        <w:rPr>
          <w:rFonts w:ascii="Arial" w:hAnsi="Arial" w:cs="Arial"/>
          <w:sz w:val="24"/>
          <w:szCs w:val="24"/>
        </w:rPr>
      </w:pPr>
      <w:r w:rsidRPr="00B61FF1">
        <w:rPr>
          <w:rFonts w:ascii="Arial" w:hAnsi="Arial" w:cs="Arial"/>
          <w:sz w:val="24"/>
          <w:szCs w:val="24"/>
        </w:rPr>
        <w:lastRenderedPageBreak/>
        <w:t>(4)</w:t>
      </w:r>
      <w:r w:rsidRPr="00B61FF1">
        <w:rPr>
          <w:rFonts w:ascii="Arial" w:hAnsi="Arial" w:cs="Arial"/>
          <w:sz w:val="24"/>
          <w:szCs w:val="24"/>
        </w:rPr>
        <w:tab/>
        <w:t>No later than the auction registration deadline established in section 95912 when reporting a change to the information disclosed, otherwise the entity may not participate in that auction.</w:t>
      </w:r>
    </w:p>
    <w:p w14:paraId="1372EDD5" w14:textId="77777777" w:rsidR="003E04E2" w:rsidRPr="00B61FF1" w:rsidRDefault="003E04E2" w:rsidP="003E04E2">
      <w:pPr>
        <w:spacing w:line="360" w:lineRule="auto"/>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Consolidation of Accounts for Corporate Associations.</w:t>
      </w:r>
    </w:p>
    <w:p w14:paraId="3B1AB6E2" w14:textId="77777777" w:rsidR="003E04E2" w:rsidRPr="00B61FF1" w:rsidRDefault="003E04E2" w:rsidP="003E04E2">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By January 1, 2013, the Executive Officer will consolidate the accounts held by entities registered into the California Cap-and-Trade Program pursuant to section 95830 that are part of a direct corporate association into a consolidated set of accounts.</w:t>
      </w:r>
    </w:p>
    <w:p w14:paraId="0AE6BFEA" w14:textId="77777777" w:rsidR="003E04E2" w:rsidRPr="00B61FF1" w:rsidRDefault="003E04E2" w:rsidP="003E04E2">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By October 1, 2012, the primary account representative or alternate account representative for all entities that are part of a direct corporate association and intend to have their accounts consolidated must provide to the Executive Officer:</w:t>
      </w:r>
    </w:p>
    <w:p w14:paraId="515D363E" w14:textId="77777777" w:rsidR="003E04E2" w:rsidRPr="00B61FF1" w:rsidRDefault="003E04E2"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982874" w:rsidRPr="00B61FF1">
        <w:rPr>
          <w:rFonts w:ascii="Arial" w:hAnsi="Arial" w:cs="Arial"/>
          <w:sz w:val="24"/>
          <w:szCs w:val="24"/>
        </w:rPr>
        <w:t>Confirmation of the corporate association if not already provided;</w:t>
      </w:r>
    </w:p>
    <w:p w14:paraId="7FF6D83D" w14:textId="77777777" w:rsidR="00982874" w:rsidRPr="00B61FF1" w:rsidRDefault="00982874"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Confirmation of the entity’s intent to have its account consolidated with that of the other entities within the corporate association; and</w:t>
      </w:r>
    </w:p>
    <w:p w14:paraId="3BD295B2" w14:textId="77777777" w:rsidR="00982874" w:rsidRPr="00B61FF1" w:rsidRDefault="00982874" w:rsidP="003E04E2">
      <w:pPr>
        <w:tabs>
          <w:tab w:val="left" w:pos="180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 change of primary account representative and alternate account representative to new representatives that will serve as the primary account representative and alternate account representatives for the consolidated accounts.</w:t>
      </w:r>
    </w:p>
    <w:p w14:paraId="18C5991F" w14:textId="77777777" w:rsidR="00982874" w:rsidRPr="00B61FF1" w:rsidRDefault="00982874" w:rsidP="00982874">
      <w:pPr>
        <w:tabs>
          <w:tab w:val="left" w:pos="1800"/>
        </w:tabs>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To opt out of consolidation of accounts, the primary account representative or alternate account representative for an entity within the corporate association must provide to the Executive Officer </w:t>
      </w:r>
      <w:r w:rsidRPr="00B61FF1">
        <w:rPr>
          <w:rFonts w:ascii="Arial" w:hAnsi="Arial" w:cs="Arial"/>
          <w:strike/>
          <w:sz w:val="24"/>
          <w:szCs w:val="24"/>
        </w:rPr>
        <w:t>by October 1, 2012</w:t>
      </w:r>
      <w:r w:rsidRPr="00B61FF1">
        <w:rPr>
          <w:rFonts w:ascii="Arial" w:hAnsi="Arial" w:cs="Arial"/>
          <w:sz w:val="24"/>
          <w:szCs w:val="24"/>
        </w:rPr>
        <w:t>:</w:t>
      </w:r>
    </w:p>
    <w:p w14:paraId="6F8FEA5D" w14:textId="77777777" w:rsidR="00982874" w:rsidRPr="00B61FF1" w:rsidRDefault="00982874" w:rsidP="00982874">
      <w:pPr>
        <w:tabs>
          <w:tab w:val="left" w:pos="1800"/>
          <w:tab w:val="left" w:pos="189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Confirmation of the corporate association if not already provided;</w:t>
      </w:r>
    </w:p>
    <w:p w14:paraId="7F1EE326" w14:textId="77777777" w:rsidR="00982874" w:rsidRPr="00B61FF1" w:rsidRDefault="00982874" w:rsidP="00982874">
      <w:pPr>
        <w:tabs>
          <w:tab w:val="left" w:pos="180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An attestation, signed by the officer of the entity who is responsible for the conduct of the account viewing agent and is one of the officers disclosed pursuant to section 95830(c)(1)(B), </w:t>
      </w:r>
      <w:r w:rsidRPr="00B61FF1">
        <w:rPr>
          <w:rFonts w:ascii="Arial" w:hAnsi="Arial" w:cs="Arial"/>
          <w:sz w:val="24"/>
          <w:szCs w:val="24"/>
        </w:rPr>
        <w:lastRenderedPageBreak/>
        <w:t>that the entity seeks exclusion of its account from the consolidated set of accounts to be created; and</w:t>
      </w:r>
    </w:p>
    <w:p w14:paraId="5EFD2243" w14:textId="77777777" w:rsidR="00982874" w:rsidRPr="00B61FF1" w:rsidRDefault="00982874" w:rsidP="00982874">
      <w:pPr>
        <w:tabs>
          <w:tab w:val="left" w:pos="180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Confirmation of the opt-out decision by the primary account representative or alternate account representative for any entity opting out of consolidation, as well as the primary account representative or alternate account representative designated for any entities remaining in the corporate association consolidated account pursuant to section 95833(f)(2)(C).  This confirmation will include a distribution of the purchase and holding limits between the consolidated corporate association and any associated entit</w:t>
      </w:r>
      <w:r w:rsidR="00FA01E9" w:rsidRPr="00B61FF1">
        <w:rPr>
          <w:rFonts w:ascii="Arial" w:hAnsi="Arial" w:cs="Arial"/>
          <w:sz w:val="24"/>
          <w:szCs w:val="24"/>
          <w:u w:val="single"/>
        </w:rPr>
        <w:t>i</w:t>
      </w:r>
      <w:r w:rsidRPr="00B61FF1">
        <w:rPr>
          <w:rFonts w:ascii="Arial" w:hAnsi="Arial" w:cs="Arial"/>
          <w:sz w:val="24"/>
          <w:szCs w:val="24"/>
        </w:rPr>
        <w:t>es opting out of consolidation.</w:t>
      </w:r>
    </w:p>
    <w:p w14:paraId="30184F1D" w14:textId="77777777" w:rsidR="00F51335" w:rsidRPr="00B61FF1" w:rsidRDefault="00F51335" w:rsidP="004228DD">
      <w:pPr>
        <w:tabs>
          <w:tab w:val="left" w:pos="1800"/>
        </w:tabs>
        <w:spacing w:line="360" w:lineRule="auto"/>
        <w:ind w:left="1800" w:hanging="720"/>
        <w:rPr>
          <w:rFonts w:ascii="Arial" w:hAnsi="Arial" w:cs="Arial"/>
          <w:sz w:val="24"/>
          <w:szCs w:val="24"/>
        </w:rPr>
      </w:pPr>
      <w:r w:rsidRPr="00B61FF1">
        <w:rPr>
          <w:rFonts w:ascii="Arial" w:hAnsi="Arial" w:cs="Arial"/>
          <w:sz w:val="24"/>
          <w:szCs w:val="24"/>
        </w:rPr>
        <w:t>(</w:t>
      </w:r>
      <w:r w:rsidR="004228DD" w:rsidRPr="00B61FF1">
        <w:rPr>
          <w:rFonts w:ascii="Arial" w:hAnsi="Arial" w:cs="Arial"/>
          <w:sz w:val="24"/>
          <w:szCs w:val="24"/>
        </w:rPr>
        <w:t>D</w:t>
      </w:r>
      <w:r w:rsidRPr="00B61FF1">
        <w:rPr>
          <w:rFonts w:ascii="Arial" w:hAnsi="Arial" w:cs="Arial"/>
          <w:sz w:val="24"/>
          <w:szCs w:val="24"/>
        </w:rPr>
        <w:t>)</w:t>
      </w:r>
      <w:r w:rsidRPr="00B61FF1">
        <w:rPr>
          <w:rFonts w:ascii="Arial" w:hAnsi="Arial" w:cs="Arial"/>
          <w:sz w:val="24"/>
          <w:szCs w:val="24"/>
        </w:rPr>
        <w:tab/>
      </w:r>
      <w:r w:rsidR="004228DD" w:rsidRPr="00B61FF1">
        <w:rPr>
          <w:rFonts w:ascii="Arial" w:hAnsi="Arial" w:cs="Arial"/>
          <w:sz w:val="24"/>
          <w:szCs w:val="24"/>
        </w:rPr>
        <w:t>If an entity registered in the California Cap-and-Trade Program has a direct corporate association with an entity(ies) registered in an External Greenhouse Gas Emissions Trading System to which California has linked its Cap-and-Trade Program pursuant to subarticle 12, the entity registered in the California Cap-and-Trade Program must opt out of consolidation with the entity(ies) registered in an External Greenhouse Gas Emissions Trading System and meet all the requirements of section 95833(f)(3).</w:t>
      </w:r>
    </w:p>
    <w:p w14:paraId="1BE33F1E" w14:textId="2AFD86CE" w:rsidR="00C350B6" w:rsidRPr="00B61FF1" w:rsidRDefault="00C350B6" w:rsidP="00C350B6">
      <w:pPr>
        <w:spacing w:line="360" w:lineRule="auto"/>
        <w:ind w:left="1080" w:hanging="63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If an entity registered in the California Cap-and-Trade Program has a direct corporate association with an entity(ies) registered in an External Greenhouse Gas Emissions Trading System to which California has linked its Cap-and-Trade Program pursuant to subarticle 12, the entity registered in the California Cap-and-Trade Program must opt out of consolidation with the entity(ies) registered in an External Greenhouse Gas Emissions Trading System and meet all the requirements of section 95833(f)(3)</w:t>
      </w:r>
      <w:r w:rsidRPr="00B61FF1">
        <w:rPr>
          <w:rFonts w:ascii="Arial" w:hAnsi="Arial" w:cs="Arial"/>
          <w:strike/>
          <w:sz w:val="24"/>
          <w:szCs w:val="24"/>
        </w:rPr>
        <w:t xml:space="preserve"> except for the October 1, 2012 deadline</w:t>
      </w:r>
      <w:r w:rsidRPr="00B61FF1">
        <w:rPr>
          <w:rFonts w:ascii="Arial" w:hAnsi="Arial" w:cs="Arial"/>
          <w:sz w:val="24"/>
          <w:szCs w:val="24"/>
        </w:rPr>
        <w:t xml:space="preserve">. </w:t>
      </w:r>
    </w:p>
    <w:p w14:paraId="2F9FDF28" w14:textId="5CD95D97" w:rsidR="00982874" w:rsidRPr="00B61FF1" w:rsidRDefault="00982874" w:rsidP="00982874">
      <w:pPr>
        <w:tabs>
          <w:tab w:val="left" w:pos="1800"/>
        </w:tabs>
        <w:spacing w:line="360" w:lineRule="auto"/>
        <w:ind w:left="1080" w:hanging="720"/>
        <w:rPr>
          <w:rFonts w:ascii="Arial" w:hAnsi="Arial" w:cs="Arial"/>
          <w:sz w:val="24"/>
          <w:szCs w:val="24"/>
        </w:rPr>
      </w:pPr>
      <w:r w:rsidRPr="00B61FF1">
        <w:rPr>
          <w:rFonts w:ascii="Arial" w:hAnsi="Arial" w:cs="Arial"/>
          <w:sz w:val="24"/>
          <w:szCs w:val="24"/>
        </w:rPr>
        <w:t>(</w:t>
      </w:r>
      <w:r w:rsidR="00C350B6" w:rsidRPr="00B61FF1">
        <w:rPr>
          <w:rFonts w:ascii="Arial" w:hAnsi="Arial" w:cs="Arial"/>
          <w:sz w:val="24"/>
          <w:szCs w:val="24"/>
        </w:rPr>
        <w:t>5</w:t>
      </w:r>
      <w:r w:rsidRPr="00B61FF1">
        <w:rPr>
          <w:rFonts w:ascii="Arial" w:hAnsi="Arial" w:cs="Arial"/>
          <w:sz w:val="24"/>
          <w:szCs w:val="24"/>
        </w:rPr>
        <w:t>)</w:t>
      </w:r>
      <w:r w:rsidRPr="00B61FF1">
        <w:rPr>
          <w:rFonts w:ascii="Arial" w:hAnsi="Arial" w:cs="Arial"/>
          <w:sz w:val="24"/>
          <w:szCs w:val="24"/>
        </w:rPr>
        <w:tab/>
        <w:t>To consolidate the accounts for a corporate association the Executive Officer shall instruct the accounts administrator to:</w:t>
      </w:r>
    </w:p>
    <w:p w14:paraId="2340D048" w14:textId="77777777" w:rsidR="003659A7" w:rsidRPr="00B61FF1" w:rsidRDefault="00982874" w:rsidP="003659A7">
      <w:pPr>
        <w:tabs>
          <w:tab w:val="left" w:pos="180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Create a single consolidated set of accounts for members of a corporate association that accept consolidation;</w:t>
      </w:r>
    </w:p>
    <w:p w14:paraId="08833054" w14:textId="77777777" w:rsidR="003659A7" w:rsidRPr="00B61FF1" w:rsidRDefault="003659A7" w:rsidP="003659A7">
      <w:pPr>
        <w:tabs>
          <w:tab w:val="left" w:pos="1800"/>
        </w:tabs>
        <w:spacing w:line="360" w:lineRule="auto"/>
        <w:ind w:left="1800" w:hanging="720"/>
        <w:rPr>
          <w:rFonts w:ascii="Arial" w:hAnsi="Arial" w:cs="Arial"/>
          <w:sz w:val="24"/>
          <w:szCs w:val="24"/>
        </w:rPr>
      </w:pPr>
      <w:r w:rsidRPr="00B61FF1">
        <w:rPr>
          <w:rFonts w:ascii="Arial" w:hAnsi="Arial" w:cs="Arial"/>
          <w:sz w:val="24"/>
          <w:szCs w:val="24"/>
        </w:rPr>
        <w:lastRenderedPageBreak/>
        <w:t>(B)</w:t>
      </w:r>
      <w:r w:rsidRPr="00B61FF1">
        <w:rPr>
          <w:rFonts w:ascii="Arial" w:hAnsi="Arial" w:cs="Arial"/>
          <w:sz w:val="24"/>
          <w:szCs w:val="24"/>
        </w:rPr>
        <w:tab/>
        <w:t>Include a compliance account only for a corporate association with at least one member entity that accepts consolidation that is eligible for a compliance account;</w:t>
      </w:r>
    </w:p>
    <w:p w14:paraId="2BE1B5A6" w14:textId="77777777" w:rsidR="003659A7" w:rsidRPr="00B61FF1" w:rsidRDefault="003659A7" w:rsidP="003659A7">
      <w:pPr>
        <w:tabs>
          <w:tab w:val="left" w:pos="180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Include a limited use holding account only for a corporate association with at least one member entity that accepts consolidation that is eligible for a limited use holding account;</w:t>
      </w:r>
    </w:p>
    <w:p w14:paraId="0D025E73" w14:textId="77777777" w:rsidR="003659A7" w:rsidRPr="00B61FF1" w:rsidRDefault="003659A7" w:rsidP="003659A7">
      <w:pPr>
        <w:tabs>
          <w:tab w:val="left" w:pos="1800"/>
        </w:tabs>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Complete all valid transfer requests in the system involving any accounts for the members of the corporate association;</w:t>
      </w:r>
    </w:p>
    <w:p w14:paraId="2EEE1DA5" w14:textId="77777777" w:rsidR="003659A7" w:rsidRPr="00B61FF1" w:rsidRDefault="003659A7" w:rsidP="003659A7">
      <w:pPr>
        <w:tabs>
          <w:tab w:val="left" w:pos="1800"/>
        </w:tabs>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Transfer all compliance instruments in the existing accounts held by the member entities to the appropriate corporate association accounts; and</w:t>
      </w:r>
    </w:p>
    <w:p w14:paraId="53ECD839" w14:textId="77777777" w:rsidR="000B0161" w:rsidRPr="00B61FF1" w:rsidRDefault="003659A7" w:rsidP="003659A7">
      <w:pPr>
        <w:tabs>
          <w:tab w:val="left" w:pos="1800"/>
        </w:tabs>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Close the accounts held by the individual member entities of the corporate association that have not opted out.</w:t>
      </w:r>
    </w:p>
    <w:p w14:paraId="7FF421CC" w14:textId="1B55CA4D" w:rsidR="00982874" w:rsidRPr="00B61FF1" w:rsidRDefault="000B0161" w:rsidP="000B0161">
      <w:pPr>
        <w:tabs>
          <w:tab w:val="left" w:pos="1530"/>
        </w:tabs>
        <w:spacing w:line="360" w:lineRule="auto"/>
        <w:ind w:left="1080" w:hanging="720"/>
        <w:rPr>
          <w:rFonts w:ascii="Arial" w:hAnsi="Arial" w:cs="Arial"/>
          <w:sz w:val="24"/>
          <w:szCs w:val="24"/>
        </w:rPr>
      </w:pPr>
      <w:r w:rsidRPr="00B61FF1">
        <w:rPr>
          <w:rFonts w:ascii="Arial" w:hAnsi="Arial" w:cs="Arial"/>
          <w:sz w:val="24"/>
          <w:szCs w:val="24"/>
          <w:u w:val="single"/>
        </w:rPr>
        <w:t>(</w:t>
      </w:r>
      <w:r w:rsidR="00C350B6" w:rsidRPr="00B61FF1">
        <w:rPr>
          <w:rFonts w:ascii="Arial" w:hAnsi="Arial" w:cs="Arial"/>
          <w:sz w:val="24"/>
          <w:szCs w:val="24"/>
          <w:u w:val="single"/>
        </w:rPr>
        <w:t>6</w:t>
      </w:r>
      <w:r w:rsidRPr="00B61FF1">
        <w:rPr>
          <w:rFonts w:ascii="Arial" w:hAnsi="Arial" w:cs="Arial"/>
          <w:sz w:val="24"/>
          <w:szCs w:val="24"/>
          <w:u w:val="single"/>
        </w:rPr>
        <w:t>)</w:t>
      </w:r>
      <w:r w:rsidRPr="00815366">
        <w:rPr>
          <w:rFonts w:ascii="Arial" w:hAnsi="Arial" w:cs="Arial"/>
          <w:sz w:val="24"/>
          <w:szCs w:val="24"/>
        </w:rPr>
        <w:tab/>
      </w:r>
      <w:r w:rsidRPr="00B61FF1">
        <w:rPr>
          <w:rFonts w:ascii="Arial" w:hAnsi="Arial" w:cs="Arial"/>
          <w:sz w:val="24"/>
          <w:szCs w:val="24"/>
          <w:u w:val="single"/>
        </w:rPr>
        <w:t xml:space="preserve">Entities with a direct corporate association may </w:t>
      </w:r>
      <w:r w:rsidR="0095707E" w:rsidRPr="00B61FF1">
        <w:rPr>
          <w:rFonts w:ascii="Arial" w:hAnsi="Arial" w:cs="Arial"/>
          <w:sz w:val="24"/>
          <w:szCs w:val="24"/>
          <w:u w:val="single"/>
        </w:rPr>
        <w:t xml:space="preserve">change their decision to consolidate accounts or opt-out </w:t>
      </w:r>
      <w:r w:rsidR="00B80CC5" w:rsidRPr="00B61FF1">
        <w:rPr>
          <w:rFonts w:ascii="Arial" w:hAnsi="Arial" w:cs="Arial"/>
          <w:sz w:val="24"/>
          <w:szCs w:val="24"/>
          <w:u w:val="single"/>
        </w:rPr>
        <w:t xml:space="preserve">of </w:t>
      </w:r>
      <w:r w:rsidR="006B25CF" w:rsidRPr="00B61FF1">
        <w:rPr>
          <w:rFonts w:ascii="Arial" w:hAnsi="Arial" w:cs="Arial"/>
          <w:sz w:val="24"/>
          <w:szCs w:val="24"/>
          <w:u w:val="single"/>
        </w:rPr>
        <w:t xml:space="preserve">consolidation </w:t>
      </w:r>
      <w:r w:rsidR="0095707E" w:rsidRPr="00B61FF1">
        <w:rPr>
          <w:rFonts w:ascii="Arial" w:hAnsi="Arial" w:cs="Arial"/>
          <w:sz w:val="24"/>
          <w:szCs w:val="24"/>
          <w:u w:val="single"/>
        </w:rPr>
        <w:t>only once each compliance period.</w:t>
      </w:r>
      <w:r w:rsidR="00982874" w:rsidRPr="00B61FF1">
        <w:rPr>
          <w:rFonts w:ascii="Arial" w:hAnsi="Arial" w:cs="Arial"/>
          <w:sz w:val="24"/>
          <w:szCs w:val="24"/>
        </w:rPr>
        <w:tab/>
      </w:r>
    </w:p>
    <w:p w14:paraId="53C18DAA" w14:textId="77777777" w:rsidR="0013642B" w:rsidRPr="00B61FF1" w:rsidRDefault="0013642B" w:rsidP="0013642B">
      <w:pPr>
        <w:spacing w:line="360" w:lineRule="auto"/>
        <w:ind w:left="1080"/>
        <w:rPr>
          <w:rFonts w:ascii="Arial" w:hAnsi="Arial" w:cs="Arial"/>
          <w:sz w:val="24"/>
          <w:szCs w:val="24"/>
        </w:rPr>
      </w:pPr>
    </w:p>
    <w:p w14:paraId="436484A8" w14:textId="77777777" w:rsidR="0013642B" w:rsidRPr="00B61FF1" w:rsidRDefault="0013642B" w:rsidP="0013642B">
      <w:pPr>
        <w:rPr>
          <w:rFonts w:ascii="Arial" w:hAnsi="Arial" w:cs="Arial"/>
        </w:rPr>
      </w:pPr>
      <w:r w:rsidRPr="00B61FF1">
        <w:rPr>
          <w:rFonts w:ascii="Arial" w:hAnsi="Arial" w:cs="Arial"/>
        </w:rPr>
        <w:t>NOTE:  Authority cited:  Sections 38510, 38560, 38562, 38570, 38571, 38580, 39600 and 39601, Health and Safety Code.</w:t>
      </w:r>
    </w:p>
    <w:p w14:paraId="0241E8F7" w14:textId="77777777" w:rsidR="0013642B" w:rsidRPr="00B61FF1" w:rsidRDefault="0013642B" w:rsidP="0013642B">
      <w:pPr>
        <w:rPr>
          <w:rFonts w:ascii="Arial" w:hAnsi="Arial" w:cs="Arial"/>
        </w:rPr>
      </w:pPr>
      <w:r w:rsidRPr="00B61FF1">
        <w:rPr>
          <w:rFonts w:ascii="Arial" w:hAnsi="Arial" w:cs="Arial"/>
        </w:rPr>
        <w:t>Reference:  Sections 38530, 38560.5, 38564, 38565, 38570 and 39600, Health and Safety Code.</w:t>
      </w:r>
    </w:p>
    <w:p w14:paraId="35930D98" w14:textId="77777777" w:rsidR="00BD1FA4" w:rsidRPr="00B61FF1" w:rsidRDefault="00BD1FA4" w:rsidP="0013642B">
      <w:pPr>
        <w:rPr>
          <w:rFonts w:ascii="Arial" w:hAnsi="Arial" w:cs="Arial"/>
        </w:rPr>
      </w:pPr>
    </w:p>
    <w:p w14:paraId="657D4D18" w14:textId="77777777" w:rsidR="0013642B" w:rsidRPr="00B61FF1" w:rsidRDefault="0013642B" w:rsidP="0013642B">
      <w:pPr>
        <w:pStyle w:val="Heading2"/>
        <w:keepNext w:val="0"/>
        <w:rPr>
          <w:i/>
          <w:szCs w:val="24"/>
        </w:rPr>
      </w:pPr>
      <w:bookmarkStart w:id="141" w:name="_Toc299094921"/>
      <w:bookmarkStart w:id="142" w:name="_Toc302746774"/>
      <w:bookmarkStart w:id="143" w:name="_Toc352146236"/>
      <w:bookmarkStart w:id="144" w:name="_Toc361659837"/>
      <w:r w:rsidRPr="00B61FF1">
        <w:rPr>
          <w:szCs w:val="24"/>
        </w:rPr>
        <w:t>§ 95834</w:t>
      </w:r>
      <w:r w:rsidR="00717BB5" w:rsidRPr="00B61FF1">
        <w:rPr>
          <w:szCs w:val="24"/>
        </w:rPr>
        <w:t xml:space="preserve">.  </w:t>
      </w:r>
      <w:r w:rsidR="003659A7" w:rsidRPr="00B61FF1">
        <w:rPr>
          <w:szCs w:val="24"/>
        </w:rPr>
        <w:t>Know-Your Customer Requirements</w:t>
      </w:r>
      <w:r w:rsidRPr="00B61FF1">
        <w:rPr>
          <w:szCs w:val="24"/>
        </w:rPr>
        <w:t>.</w:t>
      </w:r>
      <w:bookmarkEnd w:id="141"/>
      <w:bookmarkEnd w:id="142"/>
      <w:bookmarkEnd w:id="143"/>
      <w:bookmarkEnd w:id="144"/>
      <w:r w:rsidRPr="00B61FF1">
        <w:rPr>
          <w:szCs w:val="24"/>
        </w:rPr>
        <w:t xml:space="preserve"> </w:t>
      </w:r>
    </w:p>
    <w:p w14:paraId="13039080" w14:textId="77777777" w:rsidR="008F28E0" w:rsidRPr="00B61FF1" w:rsidRDefault="00B83D22" w:rsidP="00B83D22">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3659A7" w:rsidRPr="00B61FF1">
        <w:rPr>
          <w:rFonts w:ascii="Arial" w:hAnsi="Arial" w:cs="Arial"/>
          <w:sz w:val="24"/>
          <w:szCs w:val="24"/>
        </w:rPr>
        <w:t>General Requirements.</w:t>
      </w:r>
    </w:p>
    <w:p w14:paraId="0ACB3EDE" w14:textId="77777777" w:rsidR="008F28E0" w:rsidRPr="00B61FF1" w:rsidRDefault="00B83D22" w:rsidP="00B83D22">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3659A7" w:rsidRPr="00B61FF1">
        <w:rPr>
          <w:rFonts w:ascii="Arial" w:hAnsi="Arial" w:cs="Arial"/>
          <w:sz w:val="24"/>
          <w:szCs w:val="24"/>
        </w:rPr>
        <w:t>The accounts administrator cannot provide access to the tracking system to an individual until the Executive Officer has determined the individual applying for participation has complied with the requirements of this section.</w:t>
      </w:r>
    </w:p>
    <w:p w14:paraId="32377F40" w14:textId="77777777" w:rsidR="00274A4E" w:rsidRPr="00B61FF1" w:rsidRDefault="00274A4E" w:rsidP="00B83D22">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The </w:t>
      </w:r>
      <w:r w:rsidR="00830390" w:rsidRPr="00B61FF1">
        <w:rPr>
          <w:rFonts w:ascii="Arial" w:hAnsi="Arial" w:cs="Arial"/>
          <w:sz w:val="24"/>
          <w:szCs w:val="24"/>
        </w:rPr>
        <w:t>requirements of this section are in addition to any requirements contained elsewhere in this article that apply to the functions the individual will undertake in the tracking system</w:t>
      </w:r>
      <w:r w:rsidRPr="00B61FF1">
        <w:rPr>
          <w:rFonts w:ascii="Arial" w:hAnsi="Arial" w:cs="Arial"/>
          <w:sz w:val="24"/>
          <w:szCs w:val="24"/>
        </w:rPr>
        <w:t>.</w:t>
      </w:r>
    </w:p>
    <w:p w14:paraId="1619815C" w14:textId="77777777" w:rsidR="001A2162" w:rsidRPr="00B61FF1" w:rsidRDefault="00B83D22" w:rsidP="00830390">
      <w:pPr>
        <w:spacing w:line="360" w:lineRule="auto"/>
        <w:ind w:left="1080" w:hanging="720"/>
        <w:rPr>
          <w:rFonts w:ascii="Arial" w:hAnsi="Arial" w:cs="Arial"/>
          <w:i/>
          <w:sz w:val="24"/>
          <w:szCs w:val="24"/>
        </w:rPr>
      </w:pPr>
      <w:r w:rsidRPr="00B61FF1">
        <w:rPr>
          <w:rFonts w:ascii="Arial" w:hAnsi="Arial" w:cs="Arial"/>
          <w:sz w:val="24"/>
          <w:szCs w:val="24"/>
        </w:rPr>
        <w:t>(</w:t>
      </w:r>
      <w:r w:rsidR="00274A4E" w:rsidRPr="00B61FF1">
        <w:rPr>
          <w:rFonts w:ascii="Arial" w:hAnsi="Arial" w:cs="Arial"/>
          <w:sz w:val="24"/>
          <w:szCs w:val="24"/>
        </w:rPr>
        <w:t>3</w:t>
      </w:r>
      <w:r w:rsidRPr="00B61FF1">
        <w:rPr>
          <w:rFonts w:ascii="Arial" w:hAnsi="Arial" w:cs="Arial"/>
          <w:sz w:val="24"/>
          <w:szCs w:val="24"/>
        </w:rPr>
        <w:t>)</w:t>
      </w:r>
      <w:r w:rsidRPr="00B61FF1">
        <w:rPr>
          <w:rFonts w:ascii="Arial" w:hAnsi="Arial" w:cs="Arial"/>
          <w:sz w:val="24"/>
          <w:szCs w:val="24"/>
        </w:rPr>
        <w:tab/>
      </w:r>
      <w:r w:rsidR="00830390" w:rsidRPr="00B61FF1">
        <w:rPr>
          <w:rFonts w:ascii="Arial" w:hAnsi="Arial" w:cs="Arial"/>
          <w:sz w:val="24"/>
          <w:szCs w:val="24"/>
        </w:rPr>
        <w:t>All documents submitted to the Executive Officer pursuant to this section shall be in English</w:t>
      </w:r>
      <w:r w:rsidR="008F28E0" w:rsidRPr="00B61FF1">
        <w:rPr>
          <w:rFonts w:ascii="Arial" w:hAnsi="Arial" w:cs="Arial"/>
          <w:sz w:val="24"/>
          <w:szCs w:val="24"/>
        </w:rPr>
        <w:t>.</w:t>
      </w:r>
    </w:p>
    <w:p w14:paraId="6B84685B" w14:textId="77777777" w:rsidR="008F28E0" w:rsidRPr="00B61FF1" w:rsidRDefault="00B83D22" w:rsidP="00B83D22">
      <w:pPr>
        <w:spacing w:line="360" w:lineRule="auto"/>
        <w:ind w:left="1080" w:hanging="720"/>
        <w:rPr>
          <w:rFonts w:ascii="Arial" w:hAnsi="Arial" w:cs="Arial"/>
          <w:i/>
          <w:sz w:val="24"/>
          <w:szCs w:val="24"/>
        </w:rPr>
      </w:pPr>
      <w:r w:rsidRPr="00B61FF1">
        <w:rPr>
          <w:rFonts w:ascii="Arial" w:hAnsi="Arial" w:cs="Arial"/>
          <w:sz w:val="24"/>
          <w:szCs w:val="24"/>
        </w:rPr>
        <w:lastRenderedPageBreak/>
        <w:t>(</w:t>
      </w:r>
      <w:r w:rsidR="004A28A2" w:rsidRPr="00B61FF1">
        <w:rPr>
          <w:rFonts w:ascii="Arial" w:hAnsi="Arial" w:cs="Arial"/>
          <w:sz w:val="24"/>
          <w:szCs w:val="24"/>
        </w:rPr>
        <w:t>4</w:t>
      </w:r>
      <w:r w:rsidRPr="00B61FF1">
        <w:rPr>
          <w:rFonts w:ascii="Arial" w:hAnsi="Arial" w:cs="Arial"/>
          <w:sz w:val="24"/>
          <w:szCs w:val="24"/>
        </w:rPr>
        <w:t>)</w:t>
      </w:r>
      <w:r w:rsidRPr="00B61FF1">
        <w:rPr>
          <w:rFonts w:ascii="Arial" w:hAnsi="Arial" w:cs="Arial"/>
          <w:sz w:val="24"/>
          <w:szCs w:val="24"/>
        </w:rPr>
        <w:tab/>
      </w:r>
      <w:r w:rsidR="00830390" w:rsidRPr="00B61FF1">
        <w:rPr>
          <w:rFonts w:ascii="Arial" w:hAnsi="Arial" w:cs="Arial"/>
          <w:sz w:val="24"/>
          <w:szCs w:val="24"/>
        </w:rPr>
        <w:t>Individuals with a criminal conviction in the five previous years constituting a felony in the United States are ineligible for registration and participation in the Cap-and-Trade Program</w:t>
      </w:r>
      <w:r w:rsidR="008F28E0" w:rsidRPr="00B61FF1">
        <w:rPr>
          <w:rFonts w:ascii="Arial" w:hAnsi="Arial" w:cs="Arial"/>
          <w:sz w:val="24"/>
          <w:szCs w:val="24"/>
        </w:rPr>
        <w:t>.</w:t>
      </w:r>
    </w:p>
    <w:p w14:paraId="51A46544" w14:textId="77777777" w:rsidR="008F28E0" w:rsidRPr="00B61FF1" w:rsidRDefault="00B83D22" w:rsidP="00B83D22">
      <w:pPr>
        <w:spacing w:line="360" w:lineRule="auto"/>
        <w:ind w:left="720" w:hanging="720"/>
        <w:rPr>
          <w:rFonts w:ascii="Arial" w:hAnsi="Arial" w:cs="Arial"/>
          <w:sz w:val="24"/>
          <w:szCs w:val="24"/>
        </w:rPr>
      </w:pPr>
      <w:r w:rsidRPr="00B61FF1">
        <w:rPr>
          <w:rFonts w:ascii="Arial" w:hAnsi="Arial" w:cs="Arial"/>
          <w:sz w:val="24"/>
          <w:szCs w:val="24"/>
        </w:rPr>
        <w:t>(</w:t>
      </w:r>
      <w:r w:rsidR="00330A59"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830390" w:rsidRPr="00B61FF1">
        <w:rPr>
          <w:rFonts w:ascii="Arial" w:hAnsi="Arial" w:cs="Arial"/>
          <w:sz w:val="24"/>
          <w:szCs w:val="24"/>
        </w:rPr>
        <w:t>The individual must provide documentation of the following:</w:t>
      </w:r>
    </w:p>
    <w:p w14:paraId="2ACDC56F" w14:textId="77777777" w:rsidR="008F28E0" w:rsidRPr="00B61FF1" w:rsidRDefault="00B83D22" w:rsidP="00B83D22">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830390" w:rsidRPr="00B61FF1">
        <w:rPr>
          <w:rFonts w:ascii="Arial" w:hAnsi="Arial" w:cs="Arial"/>
          <w:sz w:val="24"/>
          <w:szCs w:val="24"/>
        </w:rPr>
        <w:t>Name;</w:t>
      </w:r>
      <w:r w:rsidR="008F28E0" w:rsidRPr="00B61FF1">
        <w:rPr>
          <w:rFonts w:ascii="Arial" w:hAnsi="Arial" w:cs="Arial"/>
          <w:sz w:val="24"/>
          <w:szCs w:val="24"/>
        </w:rPr>
        <w:t xml:space="preserve"> </w:t>
      </w:r>
    </w:p>
    <w:p w14:paraId="331C0419" w14:textId="77777777" w:rsidR="008F28E0" w:rsidRPr="00B61FF1" w:rsidRDefault="00B83D22" w:rsidP="00B83D22">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830390" w:rsidRPr="00B61FF1">
        <w:rPr>
          <w:rFonts w:ascii="Arial" w:hAnsi="Arial" w:cs="Arial"/>
          <w:sz w:val="24"/>
          <w:szCs w:val="24"/>
        </w:rPr>
        <w:t>The address of the primary residence of the applicant, which may be shown by any of the following:</w:t>
      </w:r>
    </w:p>
    <w:p w14:paraId="54D60594" w14:textId="77777777" w:rsidR="00830390" w:rsidRPr="00B61FF1" w:rsidRDefault="00830390" w:rsidP="00830390">
      <w:pPr>
        <w:tabs>
          <w:tab w:val="left" w:pos="180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valid identity card issued by a state with an expiration date;</w:t>
      </w:r>
    </w:p>
    <w:p w14:paraId="31A0D815" w14:textId="77777777" w:rsidR="00830390" w:rsidRPr="00B61FF1" w:rsidRDefault="00830390" w:rsidP="00830390">
      <w:pPr>
        <w:tabs>
          <w:tab w:val="left" w:pos="180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Any other government-issued identity document containing an individual’s primary address; or</w:t>
      </w:r>
    </w:p>
    <w:p w14:paraId="028E64E4" w14:textId="77777777" w:rsidR="00830390" w:rsidRPr="00B61FF1" w:rsidRDefault="00830390" w:rsidP="00830390">
      <w:pPr>
        <w:tabs>
          <w:tab w:val="left" w:pos="180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Any other document that is customarily accepted by the State of California as evidence of the primary residence of the individual;</w:t>
      </w:r>
    </w:p>
    <w:p w14:paraId="2BC12857" w14:textId="77777777" w:rsidR="00830390" w:rsidRPr="00B61FF1" w:rsidRDefault="008955EA" w:rsidP="008955EA">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830390" w:rsidRPr="00B61FF1">
        <w:rPr>
          <w:rFonts w:ascii="Arial" w:hAnsi="Arial" w:cs="Arial"/>
          <w:sz w:val="24"/>
          <w:szCs w:val="24"/>
        </w:rPr>
        <w:t>Date of birth;</w:t>
      </w:r>
    </w:p>
    <w:p w14:paraId="2C355D36" w14:textId="77777777" w:rsidR="00610A33" w:rsidRPr="00B61FF1" w:rsidRDefault="00830390" w:rsidP="008955EA">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Employer name, contact information, and address;</w:t>
      </w:r>
    </w:p>
    <w:p w14:paraId="1645B5AA" w14:textId="77777777" w:rsidR="00610A33" w:rsidRPr="00B61FF1" w:rsidRDefault="00610A33" w:rsidP="008955EA">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Either a passport number or driver’s license number, if one is issued;</w:t>
      </w:r>
    </w:p>
    <w:p w14:paraId="0B56F475" w14:textId="77777777" w:rsidR="00610A33" w:rsidRPr="00B61FF1" w:rsidRDefault="00610A33" w:rsidP="008955EA">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An open bank account in the United States;</w:t>
      </w:r>
    </w:p>
    <w:p w14:paraId="21ECDABD" w14:textId="77777777" w:rsidR="00610A33" w:rsidRPr="00B61FF1" w:rsidRDefault="00610A33" w:rsidP="008955EA">
      <w:pPr>
        <w:spacing w:line="360" w:lineRule="auto"/>
        <w:ind w:left="1080" w:hanging="720"/>
        <w:rPr>
          <w:rFonts w:ascii="Arial" w:hAnsi="Arial" w:cs="Arial"/>
          <w:sz w:val="24"/>
          <w:szCs w:val="24"/>
        </w:rPr>
      </w:pPr>
      <w:r w:rsidRPr="00B61FF1">
        <w:rPr>
          <w:rFonts w:ascii="Arial" w:hAnsi="Arial" w:cs="Arial"/>
          <w:sz w:val="24"/>
          <w:szCs w:val="24"/>
        </w:rPr>
        <w:t>(7)</w:t>
      </w:r>
      <w:r w:rsidRPr="00B61FF1">
        <w:rPr>
          <w:rFonts w:ascii="Arial" w:hAnsi="Arial" w:cs="Arial"/>
          <w:sz w:val="24"/>
          <w:szCs w:val="24"/>
        </w:rPr>
        <w:tab/>
        <w:t>Employment or other relationship to an entity that has registered or has applied to register with the California Cap-and-Trade Program if the individual is listed by an entity registering pursuant to section 95830;</w:t>
      </w:r>
    </w:p>
    <w:p w14:paraId="16903AE9" w14:textId="77777777" w:rsidR="00610A33" w:rsidRPr="00B61FF1" w:rsidRDefault="00610A33" w:rsidP="008955EA">
      <w:pPr>
        <w:spacing w:line="360" w:lineRule="auto"/>
        <w:ind w:left="1080" w:hanging="720"/>
        <w:rPr>
          <w:rFonts w:ascii="Arial" w:hAnsi="Arial" w:cs="Arial"/>
          <w:sz w:val="24"/>
          <w:szCs w:val="24"/>
        </w:rPr>
      </w:pPr>
      <w:r w:rsidRPr="00B61FF1">
        <w:rPr>
          <w:rFonts w:ascii="Arial" w:hAnsi="Arial" w:cs="Arial"/>
          <w:sz w:val="24"/>
          <w:szCs w:val="24"/>
        </w:rPr>
        <w:t>(8)</w:t>
      </w:r>
      <w:r w:rsidRPr="00B61FF1">
        <w:rPr>
          <w:rFonts w:ascii="Arial" w:hAnsi="Arial" w:cs="Arial"/>
          <w:sz w:val="24"/>
          <w:szCs w:val="24"/>
        </w:rPr>
        <w:tab/>
        <w:t>A government-issued document providing photographic evidence of identity of the applicant which may include:</w:t>
      </w:r>
    </w:p>
    <w:p w14:paraId="3630C39A" w14:textId="77777777" w:rsidR="008955EA" w:rsidRPr="00B61FF1" w:rsidRDefault="00610A33" w:rsidP="00610A33">
      <w:pPr>
        <w:tabs>
          <w:tab w:val="left" w:pos="180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valid identity card or driver’s license issued by a state with an expiration date and date of birth; or</w:t>
      </w:r>
    </w:p>
    <w:p w14:paraId="07CCC550" w14:textId="77777777" w:rsidR="00610A33" w:rsidRPr="00B61FF1" w:rsidRDefault="00610A33" w:rsidP="00610A33">
      <w:pPr>
        <w:tabs>
          <w:tab w:val="left" w:pos="180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 passport; and</w:t>
      </w:r>
    </w:p>
    <w:p w14:paraId="55BA43C9" w14:textId="77777777" w:rsidR="00610A33" w:rsidRPr="00B61FF1" w:rsidRDefault="00610A33" w:rsidP="00610A33">
      <w:pPr>
        <w:tabs>
          <w:tab w:val="left" w:pos="1800"/>
        </w:tabs>
        <w:spacing w:line="360" w:lineRule="auto"/>
        <w:ind w:left="1080" w:hanging="720"/>
        <w:rPr>
          <w:rFonts w:ascii="Arial" w:hAnsi="Arial" w:cs="Arial"/>
          <w:sz w:val="24"/>
          <w:szCs w:val="24"/>
        </w:rPr>
      </w:pPr>
      <w:r w:rsidRPr="00B61FF1">
        <w:rPr>
          <w:rFonts w:ascii="Arial" w:hAnsi="Arial" w:cs="Arial"/>
          <w:sz w:val="24"/>
          <w:szCs w:val="24"/>
        </w:rPr>
        <w:t>(9)</w:t>
      </w:r>
      <w:r w:rsidRPr="00B61FF1">
        <w:rPr>
          <w:rFonts w:ascii="Arial" w:hAnsi="Arial" w:cs="Arial"/>
          <w:sz w:val="24"/>
          <w:szCs w:val="24"/>
        </w:rPr>
        <w:tab/>
        <w:t>Any criminal conviction during the previous five years constituting a felony in the United States.  This disclosure must include the type of violation, jurisdiction</w:t>
      </w:r>
      <w:r w:rsidR="002D3A8D" w:rsidRPr="00B61FF1">
        <w:rPr>
          <w:rFonts w:ascii="Arial" w:hAnsi="Arial" w:cs="Arial"/>
          <w:sz w:val="24"/>
          <w:szCs w:val="24"/>
        </w:rPr>
        <w:t>,</w:t>
      </w:r>
      <w:r w:rsidRPr="00B61FF1">
        <w:rPr>
          <w:rFonts w:ascii="Arial" w:hAnsi="Arial" w:cs="Arial"/>
          <w:sz w:val="24"/>
          <w:szCs w:val="24"/>
        </w:rPr>
        <w:t xml:space="preserve"> and year.</w:t>
      </w:r>
    </w:p>
    <w:p w14:paraId="65C758EC" w14:textId="77777777" w:rsidR="00610A33" w:rsidRPr="00B61FF1" w:rsidRDefault="00610A33" w:rsidP="00610A33">
      <w:pPr>
        <w:tabs>
          <w:tab w:val="left" w:pos="1800"/>
        </w:tabs>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Verification of information.</w:t>
      </w:r>
    </w:p>
    <w:p w14:paraId="2BAB4CF2" w14:textId="77777777" w:rsidR="00610A33" w:rsidRPr="00B61FF1" w:rsidRDefault="00610A33" w:rsidP="00610A33">
      <w:pPr>
        <w:tabs>
          <w:tab w:val="left" w:pos="108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Any copy of a document submitted pursuant to section 95834 must be notarized by a notary public no more than three months before submittal.</w:t>
      </w:r>
    </w:p>
    <w:p w14:paraId="65B3B960" w14:textId="77777777" w:rsidR="0013642B" w:rsidRPr="00B61FF1" w:rsidRDefault="0013642B" w:rsidP="00F53840">
      <w:pPr>
        <w:spacing w:line="360" w:lineRule="auto"/>
        <w:ind w:left="1080"/>
        <w:rPr>
          <w:rFonts w:ascii="Arial" w:hAnsi="Arial" w:cs="Arial"/>
          <w:sz w:val="24"/>
          <w:szCs w:val="24"/>
          <w:u w:val="single"/>
        </w:rPr>
      </w:pPr>
    </w:p>
    <w:p w14:paraId="3ADB936F" w14:textId="77777777" w:rsidR="00F53840" w:rsidRPr="00B61FF1" w:rsidRDefault="00F53840" w:rsidP="00F53840">
      <w:pPr>
        <w:rPr>
          <w:rFonts w:ascii="Arial" w:hAnsi="Arial" w:cs="Arial"/>
        </w:rPr>
      </w:pPr>
      <w:r w:rsidRPr="00B61FF1">
        <w:rPr>
          <w:rFonts w:ascii="Arial" w:hAnsi="Arial" w:cs="Arial"/>
        </w:rPr>
        <w:t>NOTE:  Authority cited:  Sections 38510, 38560, 38562, 38570, 38571, 38580, 39600 and 39601, Health and Safety Code.</w:t>
      </w:r>
    </w:p>
    <w:p w14:paraId="14B3D0F5" w14:textId="77777777" w:rsidR="000A7861" w:rsidRPr="00B61FF1" w:rsidRDefault="00F53840" w:rsidP="00F53840">
      <w:pPr>
        <w:rPr>
          <w:rFonts w:ascii="Arial" w:hAnsi="Arial" w:cs="Arial"/>
        </w:rPr>
      </w:pPr>
      <w:r w:rsidRPr="00B61FF1">
        <w:rPr>
          <w:rFonts w:ascii="Arial" w:hAnsi="Arial" w:cs="Arial"/>
        </w:rPr>
        <w:t>Reference:  Sections 38530, 38560.5, 38564, 38565, 38570 and 39600, Health and Safety Code.</w:t>
      </w:r>
    </w:p>
    <w:p w14:paraId="5164135B" w14:textId="77777777" w:rsidR="00F53840" w:rsidRPr="00B61FF1" w:rsidRDefault="00F53840" w:rsidP="00F53840">
      <w:pPr>
        <w:rPr>
          <w:rFonts w:ascii="Arial" w:hAnsi="Arial" w:cs="Arial"/>
        </w:rPr>
      </w:pPr>
    </w:p>
    <w:p w14:paraId="59575A26" w14:textId="77777777" w:rsidR="00FE6B15" w:rsidRPr="00B61FF1" w:rsidRDefault="00FE6B15" w:rsidP="00CC193F">
      <w:pPr>
        <w:pStyle w:val="Heading1"/>
      </w:pPr>
      <w:bookmarkStart w:id="145" w:name="_Toc245725086"/>
      <w:bookmarkStart w:id="146" w:name="_Toc245725095"/>
      <w:bookmarkStart w:id="147" w:name="_Toc269798062"/>
      <w:bookmarkStart w:id="148" w:name="_Toc299094922"/>
      <w:bookmarkStart w:id="149" w:name="_Toc302746775"/>
      <w:bookmarkStart w:id="150" w:name="_Toc352146237"/>
      <w:bookmarkStart w:id="151" w:name="_Toc361659838"/>
      <w:bookmarkStart w:id="152" w:name="_Toc265660902"/>
      <w:bookmarkEnd w:id="145"/>
      <w:bookmarkEnd w:id="146"/>
      <w:r w:rsidRPr="00B61FF1">
        <w:t>Subarticle 6: California Greenhouse Gas Allowance Budgets</w:t>
      </w:r>
      <w:bookmarkEnd w:id="147"/>
      <w:bookmarkEnd w:id="148"/>
      <w:bookmarkEnd w:id="149"/>
      <w:bookmarkEnd w:id="150"/>
      <w:bookmarkEnd w:id="151"/>
      <w:r w:rsidRPr="00B61FF1">
        <w:t xml:space="preserve"> </w:t>
      </w:r>
      <w:bookmarkStart w:id="153" w:name="_Toc245446860"/>
    </w:p>
    <w:p w14:paraId="072A3B53" w14:textId="77777777" w:rsidR="00FE6B15" w:rsidRPr="00B61FF1" w:rsidRDefault="00FE6B15" w:rsidP="004E3B67">
      <w:pPr>
        <w:pStyle w:val="Heading2"/>
        <w:keepNext w:val="0"/>
        <w:rPr>
          <w:i/>
          <w:szCs w:val="24"/>
        </w:rPr>
      </w:pPr>
      <w:bookmarkStart w:id="154" w:name="_Toc299094923"/>
      <w:bookmarkStart w:id="155" w:name="_Toc302746776"/>
      <w:bookmarkStart w:id="156" w:name="_Toc352146238"/>
      <w:bookmarkStart w:id="157" w:name="_Toc361659839"/>
      <w:bookmarkStart w:id="158" w:name="_Toc265240647"/>
      <w:bookmarkStart w:id="159" w:name="_Toc265660900"/>
      <w:bookmarkStart w:id="160" w:name="_Toc269798063"/>
      <w:bookmarkStart w:id="161" w:name="_Toc246820583"/>
      <w:bookmarkStart w:id="162" w:name="_Toc269206224"/>
      <w:bookmarkEnd w:id="153"/>
      <w:r w:rsidRPr="00B61FF1">
        <w:rPr>
          <w:szCs w:val="24"/>
        </w:rPr>
        <w:t>§ 95840.  Compliance Periods</w:t>
      </w:r>
      <w:r w:rsidR="00104468" w:rsidRPr="00B61FF1">
        <w:rPr>
          <w:szCs w:val="24"/>
        </w:rPr>
        <w:t>.</w:t>
      </w:r>
      <w:bookmarkEnd w:id="154"/>
      <w:bookmarkEnd w:id="155"/>
      <w:bookmarkEnd w:id="156"/>
      <w:bookmarkEnd w:id="157"/>
    </w:p>
    <w:p w14:paraId="7A32989E"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Duration of Compliance Periods is as follows:</w:t>
      </w:r>
    </w:p>
    <w:p w14:paraId="0215F1D1" w14:textId="77777777" w:rsidR="00FE6B15" w:rsidRPr="00B61FF1" w:rsidRDefault="00FE6B15" w:rsidP="00FE6A4C">
      <w:pPr>
        <w:numPr>
          <w:ilvl w:val="0"/>
          <w:numId w:val="22"/>
        </w:numPr>
        <w:spacing w:line="360" w:lineRule="auto"/>
        <w:rPr>
          <w:rFonts w:ascii="Arial" w:hAnsi="Arial" w:cs="Arial"/>
          <w:sz w:val="24"/>
          <w:szCs w:val="24"/>
        </w:rPr>
      </w:pPr>
      <w:r w:rsidRPr="00B61FF1">
        <w:rPr>
          <w:rFonts w:ascii="Arial" w:hAnsi="Arial" w:cs="Arial"/>
          <w:sz w:val="24"/>
          <w:szCs w:val="24"/>
        </w:rPr>
        <w:t>The first compliance period starts on January 1, 201</w:t>
      </w:r>
      <w:r w:rsidR="001C5984" w:rsidRPr="00B61FF1">
        <w:rPr>
          <w:rFonts w:ascii="Arial" w:hAnsi="Arial" w:cs="Arial"/>
          <w:sz w:val="24"/>
          <w:szCs w:val="24"/>
        </w:rPr>
        <w:t>3</w:t>
      </w:r>
      <w:r w:rsidRPr="00B61FF1">
        <w:rPr>
          <w:rFonts w:ascii="Arial" w:hAnsi="Arial" w:cs="Arial"/>
          <w:sz w:val="24"/>
          <w:szCs w:val="24"/>
        </w:rPr>
        <w:t>, and ends on December 31, 2014.</w:t>
      </w:r>
    </w:p>
    <w:p w14:paraId="1EEAA1B0" w14:textId="77777777" w:rsidR="00FE6B15" w:rsidRPr="00B61FF1" w:rsidRDefault="00FE6B15" w:rsidP="00FE6A4C">
      <w:pPr>
        <w:numPr>
          <w:ilvl w:val="0"/>
          <w:numId w:val="22"/>
        </w:numPr>
        <w:spacing w:line="360" w:lineRule="auto"/>
        <w:rPr>
          <w:rFonts w:ascii="Arial" w:hAnsi="Arial" w:cs="Arial"/>
          <w:sz w:val="24"/>
          <w:szCs w:val="24"/>
        </w:rPr>
      </w:pPr>
      <w:r w:rsidRPr="00B61FF1">
        <w:rPr>
          <w:rFonts w:ascii="Arial" w:hAnsi="Arial" w:cs="Arial"/>
          <w:sz w:val="24"/>
          <w:szCs w:val="24"/>
        </w:rPr>
        <w:t>The second compliance period starts on January 1, 2015, and ends on December 31, 2017.</w:t>
      </w:r>
    </w:p>
    <w:p w14:paraId="2A49B0B6" w14:textId="77777777" w:rsidR="00FE6B15" w:rsidRPr="00B61FF1" w:rsidRDefault="00FE6B15" w:rsidP="00FE6A4C">
      <w:pPr>
        <w:numPr>
          <w:ilvl w:val="0"/>
          <w:numId w:val="22"/>
        </w:numPr>
        <w:spacing w:line="360" w:lineRule="auto"/>
        <w:rPr>
          <w:rFonts w:ascii="Arial" w:hAnsi="Arial" w:cs="Arial"/>
          <w:sz w:val="24"/>
          <w:szCs w:val="24"/>
        </w:rPr>
      </w:pPr>
      <w:r w:rsidRPr="00B61FF1">
        <w:rPr>
          <w:rFonts w:ascii="Arial" w:hAnsi="Arial" w:cs="Arial"/>
          <w:sz w:val="24"/>
          <w:szCs w:val="24"/>
        </w:rPr>
        <w:t>The third compliance period starts on January 1, 2018, and ends on December 31, 2020.</w:t>
      </w:r>
    </w:p>
    <w:p w14:paraId="680D0371"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6AD8899" w14:textId="3D3BA1FA" w:rsidR="00C742DD" w:rsidRDefault="00FE6B15" w:rsidP="00BD1FA4">
      <w:pPr>
        <w:rPr>
          <w:rFonts w:ascii="Arial" w:hAnsi="Arial" w:cs="Arial"/>
        </w:rPr>
      </w:pPr>
      <w:r w:rsidRPr="00B61FF1">
        <w:rPr>
          <w:rFonts w:ascii="Arial" w:hAnsi="Arial" w:cs="Arial"/>
        </w:rPr>
        <w:t>Reference:  Sections 38530, 38560.5, 38564, 38565, 38570 and</w:t>
      </w:r>
      <w:r w:rsidR="00BD1FA4" w:rsidRPr="00B61FF1">
        <w:rPr>
          <w:rFonts w:ascii="Arial" w:hAnsi="Arial" w:cs="Arial"/>
        </w:rPr>
        <w:t xml:space="preserve"> 39600, Health and Safety Code.</w:t>
      </w:r>
    </w:p>
    <w:p w14:paraId="33C1C199" w14:textId="77777777" w:rsidR="00815366" w:rsidRDefault="00815366" w:rsidP="00BD1FA4">
      <w:pPr>
        <w:rPr>
          <w:rFonts w:ascii="Arial" w:hAnsi="Arial" w:cs="Arial"/>
        </w:rPr>
      </w:pPr>
    </w:p>
    <w:p w14:paraId="2B2CD2E4" w14:textId="77777777" w:rsidR="00815366" w:rsidRDefault="00815366" w:rsidP="00BD1FA4">
      <w:pPr>
        <w:rPr>
          <w:rFonts w:ascii="Arial" w:hAnsi="Arial" w:cs="Arial"/>
        </w:rPr>
      </w:pPr>
    </w:p>
    <w:p w14:paraId="71A3332A" w14:textId="77777777" w:rsidR="00815366" w:rsidRDefault="00815366" w:rsidP="00BD1FA4">
      <w:pPr>
        <w:rPr>
          <w:rFonts w:ascii="Arial" w:hAnsi="Arial" w:cs="Arial"/>
        </w:rPr>
      </w:pPr>
    </w:p>
    <w:p w14:paraId="1CEED742" w14:textId="77777777" w:rsidR="00815366" w:rsidRDefault="00815366" w:rsidP="00BD1FA4">
      <w:pPr>
        <w:rPr>
          <w:rFonts w:ascii="Arial" w:hAnsi="Arial" w:cs="Arial"/>
        </w:rPr>
      </w:pPr>
    </w:p>
    <w:p w14:paraId="11C4C257" w14:textId="77777777" w:rsidR="00815366" w:rsidRDefault="00815366" w:rsidP="00BD1FA4">
      <w:pPr>
        <w:rPr>
          <w:rFonts w:ascii="Arial" w:hAnsi="Arial" w:cs="Arial"/>
        </w:rPr>
      </w:pPr>
    </w:p>
    <w:p w14:paraId="44604265" w14:textId="77777777" w:rsidR="00815366" w:rsidRDefault="00815366" w:rsidP="00BD1FA4">
      <w:pPr>
        <w:rPr>
          <w:rFonts w:ascii="Arial" w:hAnsi="Arial" w:cs="Arial"/>
        </w:rPr>
      </w:pPr>
    </w:p>
    <w:p w14:paraId="3BDFFEC6" w14:textId="77777777" w:rsidR="00815366" w:rsidRDefault="00815366" w:rsidP="00BD1FA4">
      <w:pPr>
        <w:rPr>
          <w:rFonts w:ascii="Arial" w:hAnsi="Arial" w:cs="Arial"/>
        </w:rPr>
      </w:pPr>
    </w:p>
    <w:p w14:paraId="1B3DC2DB" w14:textId="77777777" w:rsidR="00815366" w:rsidRDefault="00815366" w:rsidP="00BD1FA4">
      <w:pPr>
        <w:rPr>
          <w:rFonts w:ascii="Arial" w:hAnsi="Arial" w:cs="Arial"/>
        </w:rPr>
      </w:pPr>
    </w:p>
    <w:p w14:paraId="2B6905A1" w14:textId="77777777" w:rsidR="00815366" w:rsidRDefault="00815366" w:rsidP="00BD1FA4">
      <w:pPr>
        <w:rPr>
          <w:rFonts w:ascii="Arial" w:hAnsi="Arial" w:cs="Arial"/>
        </w:rPr>
      </w:pPr>
    </w:p>
    <w:p w14:paraId="7709C28F" w14:textId="77777777" w:rsidR="00815366" w:rsidRDefault="00815366" w:rsidP="00BD1FA4">
      <w:pPr>
        <w:rPr>
          <w:rFonts w:ascii="Arial" w:hAnsi="Arial" w:cs="Arial"/>
        </w:rPr>
      </w:pPr>
    </w:p>
    <w:p w14:paraId="4C79D651" w14:textId="77777777" w:rsidR="00815366" w:rsidRDefault="00815366" w:rsidP="00BD1FA4">
      <w:pPr>
        <w:rPr>
          <w:rFonts w:ascii="Arial" w:hAnsi="Arial" w:cs="Arial"/>
        </w:rPr>
      </w:pPr>
    </w:p>
    <w:p w14:paraId="791FD0B1" w14:textId="77777777" w:rsidR="00815366" w:rsidRDefault="00815366" w:rsidP="00BD1FA4">
      <w:pPr>
        <w:rPr>
          <w:rFonts w:ascii="Arial" w:hAnsi="Arial" w:cs="Arial"/>
        </w:rPr>
      </w:pPr>
    </w:p>
    <w:p w14:paraId="54960C63" w14:textId="77777777" w:rsidR="00815366" w:rsidRDefault="00815366" w:rsidP="00BD1FA4">
      <w:pPr>
        <w:rPr>
          <w:rFonts w:ascii="Arial" w:hAnsi="Arial" w:cs="Arial"/>
        </w:rPr>
      </w:pPr>
    </w:p>
    <w:p w14:paraId="1B6615FF" w14:textId="77777777" w:rsidR="00815366" w:rsidRDefault="00815366" w:rsidP="00BD1FA4">
      <w:pPr>
        <w:rPr>
          <w:rFonts w:ascii="Arial" w:hAnsi="Arial" w:cs="Arial"/>
        </w:rPr>
      </w:pPr>
    </w:p>
    <w:p w14:paraId="36669DEC" w14:textId="77777777" w:rsidR="00815366" w:rsidRDefault="00815366" w:rsidP="00BD1FA4">
      <w:pPr>
        <w:rPr>
          <w:rFonts w:ascii="Arial" w:hAnsi="Arial" w:cs="Arial"/>
        </w:rPr>
      </w:pPr>
    </w:p>
    <w:p w14:paraId="19C528C0" w14:textId="77777777" w:rsidR="00815366" w:rsidRDefault="00815366" w:rsidP="00BD1FA4">
      <w:pPr>
        <w:rPr>
          <w:rFonts w:ascii="Arial" w:hAnsi="Arial" w:cs="Arial"/>
        </w:rPr>
      </w:pPr>
    </w:p>
    <w:p w14:paraId="3BB90233" w14:textId="77777777" w:rsidR="00815366" w:rsidRDefault="00815366" w:rsidP="00BD1FA4">
      <w:pPr>
        <w:rPr>
          <w:rFonts w:ascii="Arial" w:hAnsi="Arial" w:cs="Arial"/>
        </w:rPr>
      </w:pPr>
    </w:p>
    <w:p w14:paraId="43963E10" w14:textId="77777777" w:rsidR="00815366" w:rsidRDefault="00815366" w:rsidP="00BD1FA4">
      <w:pPr>
        <w:rPr>
          <w:rFonts w:ascii="Arial" w:hAnsi="Arial" w:cs="Arial"/>
        </w:rPr>
      </w:pPr>
    </w:p>
    <w:p w14:paraId="75D7B5FD" w14:textId="77777777" w:rsidR="00815366" w:rsidRDefault="00815366" w:rsidP="00BD1FA4">
      <w:pPr>
        <w:rPr>
          <w:rFonts w:ascii="Arial" w:hAnsi="Arial" w:cs="Arial"/>
        </w:rPr>
      </w:pPr>
    </w:p>
    <w:p w14:paraId="6F6DA45E" w14:textId="77777777" w:rsidR="00815366" w:rsidRDefault="00815366" w:rsidP="00BD1FA4">
      <w:pPr>
        <w:rPr>
          <w:rFonts w:ascii="Arial" w:hAnsi="Arial" w:cs="Arial"/>
        </w:rPr>
      </w:pPr>
    </w:p>
    <w:p w14:paraId="5C4794EB" w14:textId="77777777" w:rsidR="00815366" w:rsidRDefault="00815366" w:rsidP="00BD1FA4">
      <w:pPr>
        <w:rPr>
          <w:rFonts w:ascii="Arial" w:hAnsi="Arial" w:cs="Arial"/>
        </w:rPr>
      </w:pPr>
    </w:p>
    <w:p w14:paraId="4128F56E" w14:textId="77777777" w:rsidR="00815366" w:rsidRDefault="00815366" w:rsidP="00BD1FA4">
      <w:pPr>
        <w:rPr>
          <w:rFonts w:ascii="Arial" w:hAnsi="Arial" w:cs="Arial"/>
        </w:rPr>
      </w:pPr>
    </w:p>
    <w:p w14:paraId="5B5C52AD" w14:textId="77777777" w:rsidR="00815366" w:rsidRDefault="00815366" w:rsidP="00BD1FA4">
      <w:pPr>
        <w:rPr>
          <w:rFonts w:ascii="Arial" w:hAnsi="Arial" w:cs="Arial"/>
        </w:rPr>
      </w:pPr>
    </w:p>
    <w:p w14:paraId="7FDCAF41" w14:textId="77777777" w:rsidR="00815366" w:rsidRDefault="00815366" w:rsidP="00BD1FA4">
      <w:pPr>
        <w:rPr>
          <w:rFonts w:ascii="Arial" w:hAnsi="Arial" w:cs="Arial"/>
        </w:rPr>
      </w:pPr>
    </w:p>
    <w:p w14:paraId="503C4CD8" w14:textId="77777777" w:rsidR="00815366" w:rsidRDefault="00815366" w:rsidP="00BD1FA4">
      <w:pPr>
        <w:rPr>
          <w:rFonts w:ascii="Arial" w:hAnsi="Arial" w:cs="Arial"/>
        </w:rPr>
      </w:pPr>
    </w:p>
    <w:p w14:paraId="345CDA74" w14:textId="77777777" w:rsidR="00815366" w:rsidRPr="00B61FF1" w:rsidRDefault="00815366" w:rsidP="00BD1FA4">
      <w:pPr>
        <w:rPr>
          <w:rFonts w:ascii="Arial" w:hAnsi="Arial" w:cs="Arial"/>
        </w:rPr>
      </w:pPr>
    </w:p>
    <w:p w14:paraId="4A5E1412" w14:textId="77777777" w:rsidR="00C742DD" w:rsidRPr="00B61FF1" w:rsidRDefault="00C742DD" w:rsidP="00BD1FA4">
      <w:pPr>
        <w:rPr>
          <w:rFonts w:ascii="Arial" w:hAnsi="Arial" w:cs="Arial"/>
        </w:rPr>
      </w:pPr>
    </w:p>
    <w:p w14:paraId="0F0CA187" w14:textId="77777777" w:rsidR="00FE6B15" w:rsidRPr="00B61FF1" w:rsidRDefault="00FE6B15" w:rsidP="004E3B67">
      <w:pPr>
        <w:pStyle w:val="Heading2"/>
        <w:keepNext w:val="0"/>
        <w:rPr>
          <w:i/>
          <w:szCs w:val="24"/>
        </w:rPr>
      </w:pPr>
      <w:bookmarkStart w:id="163" w:name="_Toc299094924"/>
      <w:bookmarkStart w:id="164" w:name="_Toc302746777"/>
      <w:bookmarkStart w:id="165" w:name="_Toc352146239"/>
      <w:bookmarkStart w:id="166" w:name="_Toc361659840"/>
      <w:r w:rsidRPr="00B61FF1">
        <w:rPr>
          <w:szCs w:val="24"/>
        </w:rPr>
        <w:lastRenderedPageBreak/>
        <w:t xml:space="preserve">§ 95841.  </w:t>
      </w:r>
      <w:bookmarkEnd w:id="158"/>
      <w:bookmarkEnd w:id="159"/>
      <w:bookmarkEnd w:id="160"/>
      <w:r w:rsidRPr="00B61FF1">
        <w:rPr>
          <w:szCs w:val="24"/>
        </w:rPr>
        <w:t>Annual Allowance Budgets for Calendar Years 201</w:t>
      </w:r>
      <w:r w:rsidR="00104468" w:rsidRPr="00B61FF1">
        <w:rPr>
          <w:szCs w:val="24"/>
        </w:rPr>
        <w:t>3</w:t>
      </w:r>
      <w:r w:rsidRPr="00B61FF1">
        <w:rPr>
          <w:szCs w:val="24"/>
        </w:rPr>
        <w:t>-2020</w:t>
      </w:r>
      <w:r w:rsidR="009139BD" w:rsidRPr="00B61FF1">
        <w:rPr>
          <w:szCs w:val="24"/>
        </w:rPr>
        <w:t>.</w:t>
      </w:r>
      <w:bookmarkEnd w:id="163"/>
      <w:bookmarkEnd w:id="164"/>
      <w:bookmarkEnd w:id="165"/>
      <w:bookmarkEnd w:id="166"/>
    </w:p>
    <w:p w14:paraId="729D6A2B" w14:textId="77777777" w:rsidR="00EA64EF" w:rsidRPr="00B61FF1" w:rsidRDefault="00FE6B15" w:rsidP="00944ECE">
      <w:pPr>
        <w:spacing w:line="360" w:lineRule="auto"/>
        <w:rPr>
          <w:rFonts w:ascii="Arial" w:hAnsi="Arial" w:cs="Arial"/>
          <w:sz w:val="24"/>
          <w:szCs w:val="24"/>
        </w:rPr>
      </w:pPr>
      <w:r w:rsidRPr="00B61FF1">
        <w:rPr>
          <w:rFonts w:ascii="Arial" w:hAnsi="Arial" w:cs="Arial"/>
          <w:sz w:val="24"/>
          <w:szCs w:val="24"/>
        </w:rPr>
        <w:t xml:space="preserve">The California GHG Allowance Budgets are set as described in Table 6-1. </w:t>
      </w:r>
      <w:bookmarkStart w:id="167" w:name="_Toc265240648"/>
      <w:bookmarkStart w:id="168" w:name="_Toc265660901"/>
      <w:bookmarkStart w:id="169" w:name="_Toc269798064"/>
      <w:bookmarkStart w:id="170" w:name="_Toc299094925"/>
      <w:bookmarkStart w:id="171" w:name="_Toc302746778"/>
    </w:p>
    <w:p w14:paraId="1BFEE152" w14:textId="77777777" w:rsidR="00FE6B15" w:rsidRPr="00B61FF1" w:rsidRDefault="00FE6B15" w:rsidP="004E3B67">
      <w:pPr>
        <w:pStyle w:val="Heading2"/>
        <w:keepNext w:val="0"/>
        <w:ind w:left="1080"/>
        <w:rPr>
          <w:szCs w:val="24"/>
        </w:rPr>
      </w:pPr>
      <w:bookmarkStart w:id="172" w:name="_Toc352146240"/>
      <w:bookmarkStart w:id="173" w:name="_Toc361659841"/>
      <w:r w:rsidRPr="00B61FF1">
        <w:rPr>
          <w:szCs w:val="24"/>
        </w:rPr>
        <w:t>Table 6-1: California GHG Allowances Budget</w:t>
      </w:r>
      <w:bookmarkEnd w:id="167"/>
      <w:bookmarkEnd w:id="168"/>
      <w:r w:rsidRPr="00B61FF1">
        <w:rPr>
          <w:szCs w:val="24"/>
        </w:rPr>
        <w:t>s</w:t>
      </w:r>
      <w:bookmarkEnd w:id="169"/>
      <w:bookmarkEnd w:id="170"/>
      <w:bookmarkEnd w:id="171"/>
      <w:bookmarkEnd w:id="172"/>
      <w:bookmarkEnd w:id="173"/>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653"/>
        <w:gridCol w:w="3002"/>
      </w:tblGrid>
      <w:tr w:rsidR="00FE6B15" w:rsidRPr="00B61FF1" w14:paraId="564376D1" w14:textId="77777777">
        <w:trPr>
          <w:jc w:val="center"/>
        </w:trPr>
        <w:tc>
          <w:tcPr>
            <w:tcW w:w="1820" w:type="dxa"/>
            <w:tcBorders>
              <w:top w:val="single" w:sz="18" w:space="0" w:color="auto"/>
              <w:left w:val="single" w:sz="18" w:space="0" w:color="auto"/>
              <w:bottom w:val="single" w:sz="12" w:space="0" w:color="auto"/>
              <w:right w:val="single" w:sz="18" w:space="0" w:color="auto"/>
            </w:tcBorders>
          </w:tcPr>
          <w:p w14:paraId="1C16B745" w14:textId="77777777" w:rsidR="00FE6B15" w:rsidRPr="00B61FF1" w:rsidRDefault="00FE6B15" w:rsidP="004E3B67">
            <w:pPr>
              <w:spacing w:line="360" w:lineRule="auto"/>
              <w:jc w:val="center"/>
              <w:rPr>
                <w:rFonts w:ascii="Arial" w:hAnsi="Arial" w:cs="Arial"/>
                <w:sz w:val="24"/>
                <w:szCs w:val="24"/>
              </w:rPr>
            </w:pPr>
          </w:p>
        </w:tc>
        <w:tc>
          <w:tcPr>
            <w:tcW w:w="1653" w:type="dxa"/>
            <w:tcBorders>
              <w:top w:val="single" w:sz="18" w:space="0" w:color="auto"/>
              <w:left w:val="single" w:sz="18" w:space="0" w:color="auto"/>
              <w:bottom w:val="single" w:sz="12" w:space="0" w:color="auto"/>
              <w:right w:val="single" w:sz="18" w:space="0" w:color="auto"/>
            </w:tcBorders>
          </w:tcPr>
          <w:p w14:paraId="2E81998D" w14:textId="77777777" w:rsidR="00FE6B15" w:rsidRPr="00B61FF1" w:rsidRDefault="00FE6B15" w:rsidP="004E3B67">
            <w:pPr>
              <w:spacing w:line="360" w:lineRule="auto"/>
              <w:jc w:val="center"/>
              <w:rPr>
                <w:rFonts w:ascii="Arial" w:hAnsi="Arial" w:cs="Arial"/>
                <w:i/>
                <w:sz w:val="24"/>
                <w:szCs w:val="24"/>
              </w:rPr>
            </w:pPr>
            <w:r w:rsidRPr="00B61FF1">
              <w:rPr>
                <w:rFonts w:ascii="Arial" w:hAnsi="Arial" w:cs="Arial"/>
                <w:i/>
                <w:sz w:val="24"/>
                <w:szCs w:val="24"/>
              </w:rPr>
              <w:t>Budget Year</w:t>
            </w:r>
          </w:p>
        </w:tc>
        <w:tc>
          <w:tcPr>
            <w:tcW w:w="3002" w:type="dxa"/>
            <w:tcBorders>
              <w:top w:val="single" w:sz="18" w:space="0" w:color="auto"/>
              <w:left w:val="single" w:sz="18" w:space="0" w:color="auto"/>
              <w:bottom w:val="single" w:sz="12" w:space="0" w:color="auto"/>
              <w:right w:val="single" w:sz="18" w:space="0" w:color="auto"/>
            </w:tcBorders>
          </w:tcPr>
          <w:p w14:paraId="3CEC74A3" w14:textId="77777777" w:rsidR="00FE6B15" w:rsidRPr="00B61FF1" w:rsidRDefault="00FE6B15" w:rsidP="004E3B67">
            <w:pPr>
              <w:spacing w:line="360" w:lineRule="auto"/>
              <w:jc w:val="center"/>
              <w:rPr>
                <w:rFonts w:ascii="Arial" w:hAnsi="Arial" w:cs="Arial"/>
                <w:i/>
                <w:sz w:val="24"/>
                <w:szCs w:val="24"/>
              </w:rPr>
            </w:pPr>
            <w:r w:rsidRPr="00B61FF1">
              <w:rPr>
                <w:rFonts w:ascii="Arial" w:hAnsi="Arial" w:cs="Arial"/>
                <w:i/>
                <w:sz w:val="24"/>
                <w:szCs w:val="24"/>
              </w:rPr>
              <w:t>Annual Allowance Budget (Millions of CA GHG Allowances)</w:t>
            </w:r>
          </w:p>
        </w:tc>
      </w:tr>
      <w:tr w:rsidR="00FE6B15" w:rsidRPr="00B61FF1" w14:paraId="76DB2BCC" w14:textId="77777777">
        <w:trPr>
          <w:cantSplit/>
          <w:jc w:val="center"/>
        </w:trPr>
        <w:tc>
          <w:tcPr>
            <w:tcW w:w="1820" w:type="dxa"/>
            <w:vMerge w:val="restart"/>
            <w:tcBorders>
              <w:top w:val="single" w:sz="8" w:space="0" w:color="auto"/>
              <w:left w:val="single" w:sz="18" w:space="0" w:color="auto"/>
              <w:bottom w:val="single" w:sz="8" w:space="0" w:color="auto"/>
              <w:right w:val="single" w:sz="8" w:space="0" w:color="auto"/>
            </w:tcBorders>
          </w:tcPr>
          <w:p w14:paraId="75321573" w14:textId="77777777" w:rsidR="00FE6B15" w:rsidRPr="00B61FF1" w:rsidRDefault="003C6A6B" w:rsidP="004E3B67">
            <w:pPr>
              <w:spacing w:line="360" w:lineRule="auto"/>
              <w:jc w:val="center"/>
              <w:rPr>
                <w:rFonts w:ascii="Arial" w:hAnsi="Arial" w:cs="Arial"/>
                <w:sz w:val="24"/>
                <w:szCs w:val="24"/>
              </w:rPr>
            </w:pPr>
            <w:r w:rsidRPr="00B61FF1">
              <w:rPr>
                <w:rFonts w:ascii="Arial" w:hAnsi="Arial" w:cs="Arial"/>
                <w:sz w:val="24"/>
                <w:szCs w:val="24"/>
              </w:rPr>
              <w:t>First Compliance Period</w:t>
            </w:r>
          </w:p>
        </w:tc>
        <w:tc>
          <w:tcPr>
            <w:tcW w:w="1653" w:type="dxa"/>
            <w:tcBorders>
              <w:top w:val="single" w:sz="8" w:space="0" w:color="auto"/>
              <w:left w:val="single" w:sz="8" w:space="0" w:color="auto"/>
              <w:bottom w:val="single" w:sz="8" w:space="0" w:color="auto"/>
              <w:right w:val="single" w:sz="8" w:space="0" w:color="auto"/>
            </w:tcBorders>
          </w:tcPr>
          <w:p w14:paraId="1D6DE1B4"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2013</w:t>
            </w:r>
          </w:p>
        </w:tc>
        <w:tc>
          <w:tcPr>
            <w:tcW w:w="3002" w:type="dxa"/>
            <w:tcBorders>
              <w:top w:val="single" w:sz="8" w:space="0" w:color="auto"/>
              <w:left w:val="single" w:sz="8" w:space="0" w:color="auto"/>
              <w:bottom w:val="single" w:sz="8" w:space="0" w:color="auto"/>
              <w:right w:val="single" w:sz="18" w:space="0" w:color="auto"/>
            </w:tcBorders>
          </w:tcPr>
          <w:p w14:paraId="1B7872DC"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162.8</w:t>
            </w:r>
          </w:p>
        </w:tc>
      </w:tr>
      <w:tr w:rsidR="00FE6B15" w:rsidRPr="00B61FF1" w14:paraId="6AAEC630" w14:textId="77777777">
        <w:trPr>
          <w:cantSplit/>
          <w:jc w:val="center"/>
        </w:trPr>
        <w:tc>
          <w:tcPr>
            <w:tcW w:w="1820" w:type="dxa"/>
            <w:vMerge/>
            <w:tcBorders>
              <w:top w:val="single" w:sz="8" w:space="0" w:color="auto"/>
              <w:left w:val="single" w:sz="18" w:space="0" w:color="auto"/>
              <w:bottom w:val="single" w:sz="12" w:space="0" w:color="auto"/>
              <w:right w:val="single" w:sz="8" w:space="0" w:color="auto"/>
            </w:tcBorders>
          </w:tcPr>
          <w:p w14:paraId="512C350F" w14:textId="77777777" w:rsidR="00FE6B15" w:rsidRPr="00B61FF1" w:rsidRDefault="00FE6B15" w:rsidP="004E3B67">
            <w:pPr>
              <w:spacing w:line="360" w:lineRule="auto"/>
              <w:jc w:val="center"/>
              <w:rPr>
                <w:rFonts w:ascii="Arial" w:hAnsi="Arial" w:cs="Arial"/>
                <w:sz w:val="24"/>
                <w:szCs w:val="24"/>
              </w:rPr>
            </w:pPr>
          </w:p>
        </w:tc>
        <w:tc>
          <w:tcPr>
            <w:tcW w:w="1653" w:type="dxa"/>
            <w:tcBorders>
              <w:top w:val="single" w:sz="8" w:space="0" w:color="auto"/>
              <w:left w:val="single" w:sz="8" w:space="0" w:color="auto"/>
              <w:bottom w:val="single" w:sz="12" w:space="0" w:color="auto"/>
              <w:right w:val="single" w:sz="8" w:space="0" w:color="auto"/>
            </w:tcBorders>
          </w:tcPr>
          <w:p w14:paraId="27FC5558"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2014</w:t>
            </w:r>
          </w:p>
        </w:tc>
        <w:tc>
          <w:tcPr>
            <w:tcW w:w="3002" w:type="dxa"/>
            <w:tcBorders>
              <w:top w:val="single" w:sz="8" w:space="0" w:color="auto"/>
              <w:left w:val="single" w:sz="8" w:space="0" w:color="auto"/>
              <w:bottom w:val="single" w:sz="12" w:space="0" w:color="auto"/>
              <w:right w:val="single" w:sz="18" w:space="0" w:color="auto"/>
            </w:tcBorders>
          </w:tcPr>
          <w:p w14:paraId="1662E318"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159.7</w:t>
            </w:r>
          </w:p>
        </w:tc>
      </w:tr>
      <w:tr w:rsidR="00FE6B15" w:rsidRPr="00B61FF1" w14:paraId="41EC6F47" w14:textId="77777777">
        <w:trPr>
          <w:cantSplit/>
          <w:jc w:val="center"/>
        </w:trPr>
        <w:tc>
          <w:tcPr>
            <w:tcW w:w="1820" w:type="dxa"/>
            <w:vMerge w:val="restart"/>
            <w:tcBorders>
              <w:top w:val="single" w:sz="12" w:space="0" w:color="auto"/>
              <w:left w:val="single" w:sz="18" w:space="0" w:color="auto"/>
            </w:tcBorders>
          </w:tcPr>
          <w:p w14:paraId="4DF621AA"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Second Compliance Period</w:t>
            </w:r>
          </w:p>
        </w:tc>
        <w:tc>
          <w:tcPr>
            <w:tcW w:w="1653" w:type="dxa"/>
            <w:tcBorders>
              <w:top w:val="single" w:sz="12" w:space="0" w:color="auto"/>
            </w:tcBorders>
          </w:tcPr>
          <w:p w14:paraId="767644C1"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2015</w:t>
            </w:r>
          </w:p>
        </w:tc>
        <w:tc>
          <w:tcPr>
            <w:tcW w:w="3002" w:type="dxa"/>
            <w:tcBorders>
              <w:top w:val="single" w:sz="12" w:space="0" w:color="auto"/>
              <w:right w:val="single" w:sz="18" w:space="0" w:color="auto"/>
            </w:tcBorders>
          </w:tcPr>
          <w:p w14:paraId="3238A3B0"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394.5</w:t>
            </w:r>
          </w:p>
        </w:tc>
      </w:tr>
      <w:tr w:rsidR="00FE6B15" w:rsidRPr="00B61FF1" w14:paraId="338B9EC9" w14:textId="77777777">
        <w:trPr>
          <w:cantSplit/>
          <w:jc w:val="center"/>
        </w:trPr>
        <w:tc>
          <w:tcPr>
            <w:tcW w:w="1820" w:type="dxa"/>
            <w:vMerge/>
            <w:tcBorders>
              <w:left w:val="single" w:sz="18" w:space="0" w:color="auto"/>
            </w:tcBorders>
          </w:tcPr>
          <w:p w14:paraId="2675D68E" w14:textId="77777777" w:rsidR="00FE6B15" w:rsidRPr="00B61FF1" w:rsidRDefault="00FE6B15" w:rsidP="004E3B67">
            <w:pPr>
              <w:spacing w:line="360" w:lineRule="auto"/>
              <w:jc w:val="center"/>
              <w:rPr>
                <w:rFonts w:ascii="Arial" w:hAnsi="Arial" w:cs="Arial"/>
                <w:sz w:val="24"/>
                <w:szCs w:val="24"/>
              </w:rPr>
            </w:pPr>
          </w:p>
        </w:tc>
        <w:tc>
          <w:tcPr>
            <w:tcW w:w="1653" w:type="dxa"/>
          </w:tcPr>
          <w:p w14:paraId="11B4BE4F"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2016</w:t>
            </w:r>
          </w:p>
        </w:tc>
        <w:tc>
          <w:tcPr>
            <w:tcW w:w="3002" w:type="dxa"/>
            <w:tcBorders>
              <w:right w:val="single" w:sz="18" w:space="0" w:color="auto"/>
            </w:tcBorders>
          </w:tcPr>
          <w:p w14:paraId="5DF5A36E"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382.4</w:t>
            </w:r>
          </w:p>
        </w:tc>
      </w:tr>
      <w:tr w:rsidR="00FE6B15" w:rsidRPr="00B61FF1" w14:paraId="49D2A59F" w14:textId="77777777">
        <w:trPr>
          <w:cantSplit/>
          <w:jc w:val="center"/>
        </w:trPr>
        <w:tc>
          <w:tcPr>
            <w:tcW w:w="1820" w:type="dxa"/>
            <w:vMerge/>
            <w:tcBorders>
              <w:left w:val="single" w:sz="18" w:space="0" w:color="auto"/>
              <w:bottom w:val="single" w:sz="12" w:space="0" w:color="auto"/>
            </w:tcBorders>
          </w:tcPr>
          <w:p w14:paraId="0E57471C" w14:textId="77777777" w:rsidR="00FE6B15" w:rsidRPr="00B61FF1" w:rsidRDefault="00FE6B15" w:rsidP="004E3B67">
            <w:pPr>
              <w:spacing w:line="360" w:lineRule="auto"/>
              <w:jc w:val="center"/>
              <w:rPr>
                <w:rFonts w:ascii="Arial" w:hAnsi="Arial" w:cs="Arial"/>
                <w:sz w:val="24"/>
                <w:szCs w:val="24"/>
              </w:rPr>
            </w:pPr>
          </w:p>
        </w:tc>
        <w:tc>
          <w:tcPr>
            <w:tcW w:w="1653" w:type="dxa"/>
            <w:tcBorders>
              <w:bottom w:val="single" w:sz="12" w:space="0" w:color="auto"/>
            </w:tcBorders>
          </w:tcPr>
          <w:p w14:paraId="454FB897"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2017</w:t>
            </w:r>
          </w:p>
        </w:tc>
        <w:tc>
          <w:tcPr>
            <w:tcW w:w="3002" w:type="dxa"/>
            <w:tcBorders>
              <w:bottom w:val="single" w:sz="12" w:space="0" w:color="auto"/>
              <w:right w:val="single" w:sz="18" w:space="0" w:color="auto"/>
            </w:tcBorders>
          </w:tcPr>
          <w:p w14:paraId="1E695445"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370.4</w:t>
            </w:r>
          </w:p>
        </w:tc>
      </w:tr>
      <w:tr w:rsidR="00FE6B15" w:rsidRPr="00B61FF1" w14:paraId="34F7B8D4" w14:textId="77777777">
        <w:trPr>
          <w:cantSplit/>
          <w:jc w:val="center"/>
        </w:trPr>
        <w:tc>
          <w:tcPr>
            <w:tcW w:w="1820" w:type="dxa"/>
            <w:vMerge w:val="restart"/>
            <w:tcBorders>
              <w:top w:val="single" w:sz="12" w:space="0" w:color="auto"/>
              <w:left w:val="single" w:sz="18" w:space="0" w:color="auto"/>
            </w:tcBorders>
          </w:tcPr>
          <w:p w14:paraId="31289456"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Third Compliance Period</w:t>
            </w:r>
          </w:p>
        </w:tc>
        <w:tc>
          <w:tcPr>
            <w:tcW w:w="1653" w:type="dxa"/>
            <w:tcBorders>
              <w:top w:val="single" w:sz="12" w:space="0" w:color="auto"/>
            </w:tcBorders>
          </w:tcPr>
          <w:p w14:paraId="7CCF7D55"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2018</w:t>
            </w:r>
          </w:p>
        </w:tc>
        <w:tc>
          <w:tcPr>
            <w:tcW w:w="3002" w:type="dxa"/>
            <w:tcBorders>
              <w:top w:val="single" w:sz="12" w:space="0" w:color="auto"/>
              <w:right w:val="single" w:sz="18" w:space="0" w:color="auto"/>
            </w:tcBorders>
          </w:tcPr>
          <w:p w14:paraId="3F081AC4"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358.3</w:t>
            </w:r>
          </w:p>
        </w:tc>
      </w:tr>
      <w:tr w:rsidR="00FE6B15" w:rsidRPr="00B61FF1" w14:paraId="36D32B93" w14:textId="77777777">
        <w:trPr>
          <w:cantSplit/>
          <w:jc w:val="center"/>
        </w:trPr>
        <w:tc>
          <w:tcPr>
            <w:tcW w:w="1820" w:type="dxa"/>
            <w:vMerge/>
            <w:tcBorders>
              <w:left w:val="single" w:sz="18" w:space="0" w:color="auto"/>
            </w:tcBorders>
          </w:tcPr>
          <w:p w14:paraId="1E7A7EE0" w14:textId="77777777" w:rsidR="00FE6B15" w:rsidRPr="00B61FF1" w:rsidRDefault="00FE6B15" w:rsidP="004E3B67">
            <w:pPr>
              <w:spacing w:line="360" w:lineRule="auto"/>
              <w:jc w:val="center"/>
              <w:rPr>
                <w:rFonts w:ascii="Arial" w:hAnsi="Arial" w:cs="Arial"/>
                <w:sz w:val="24"/>
                <w:szCs w:val="24"/>
              </w:rPr>
            </w:pPr>
          </w:p>
        </w:tc>
        <w:tc>
          <w:tcPr>
            <w:tcW w:w="1653" w:type="dxa"/>
          </w:tcPr>
          <w:p w14:paraId="5C621364"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2019</w:t>
            </w:r>
          </w:p>
        </w:tc>
        <w:tc>
          <w:tcPr>
            <w:tcW w:w="3002" w:type="dxa"/>
            <w:tcBorders>
              <w:right w:val="single" w:sz="18" w:space="0" w:color="auto"/>
            </w:tcBorders>
          </w:tcPr>
          <w:p w14:paraId="398ED020"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346.3</w:t>
            </w:r>
          </w:p>
        </w:tc>
      </w:tr>
      <w:tr w:rsidR="00FE6B15" w:rsidRPr="00B61FF1" w14:paraId="04B6C926" w14:textId="77777777">
        <w:trPr>
          <w:cantSplit/>
          <w:jc w:val="center"/>
        </w:trPr>
        <w:tc>
          <w:tcPr>
            <w:tcW w:w="1820" w:type="dxa"/>
            <w:vMerge/>
            <w:tcBorders>
              <w:left w:val="single" w:sz="18" w:space="0" w:color="auto"/>
              <w:bottom w:val="single" w:sz="18" w:space="0" w:color="auto"/>
            </w:tcBorders>
          </w:tcPr>
          <w:p w14:paraId="5E3B78F9" w14:textId="77777777" w:rsidR="00FE6B15" w:rsidRPr="00B61FF1" w:rsidRDefault="00FE6B15" w:rsidP="004E3B67">
            <w:pPr>
              <w:spacing w:line="360" w:lineRule="auto"/>
              <w:jc w:val="center"/>
              <w:rPr>
                <w:rFonts w:ascii="Arial" w:hAnsi="Arial" w:cs="Arial"/>
                <w:sz w:val="24"/>
                <w:szCs w:val="24"/>
              </w:rPr>
            </w:pPr>
          </w:p>
        </w:tc>
        <w:tc>
          <w:tcPr>
            <w:tcW w:w="1653" w:type="dxa"/>
            <w:tcBorders>
              <w:bottom w:val="single" w:sz="18" w:space="0" w:color="auto"/>
            </w:tcBorders>
          </w:tcPr>
          <w:p w14:paraId="2A9CC8BE"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2020</w:t>
            </w:r>
          </w:p>
        </w:tc>
        <w:tc>
          <w:tcPr>
            <w:tcW w:w="3002" w:type="dxa"/>
            <w:tcBorders>
              <w:bottom w:val="single" w:sz="18" w:space="0" w:color="auto"/>
              <w:right w:val="single" w:sz="18" w:space="0" w:color="auto"/>
            </w:tcBorders>
          </w:tcPr>
          <w:p w14:paraId="5BCDE428" w14:textId="77777777" w:rsidR="00FE6B15" w:rsidRPr="00B61FF1" w:rsidRDefault="00FE6B15" w:rsidP="004E3B67">
            <w:pPr>
              <w:spacing w:line="360" w:lineRule="auto"/>
              <w:jc w:val="center"/>
              <w:rPr>
                <w:rFonts w:ascii="Arial" w:hAnsi="Arial" w:cs="Arial"/>
                <w:sz w:val="24"/>
                <w:szCs w:val="24"/>
              </w:rPr>
            </w:pPr>
            <w:r w:rsidRPr="00B61FF1">
              <w:rPr>
                <w:rFonts w:ascii="Arial" w:hAnsi="Arial" w:cs="Arial"/>
                <w:sz w:val="24"/>
                <w:szCs w:val="24"/>
              </w:rPr>
              <w:t>334.2</w:t>
            </w:r>
          </w:p>
        </w:tc>
      </w:tr>
    </w:tbl>
    <w:p w14:paraId="734F5885" w14:textId="77777777" w:rsidR="00FE6B15" w:rsidRPr="00B61FF1" w:rsidRDefault="00FE6B15" w:rsidP="00944ECE"/>
    <w:p w14:paraId="4603DC7A"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D2E1F65"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0D772ED3" w14:textId="77777777" w:rsidR="00DB08B1" w:rsidRPr="00B61FF1" w:rsidRDefault="00DB08B1" w:rsidP="00DB08B1">
      <w:pPr>
        <w:pStyle w:val="Heading2"/>
        <w:keepNext w:val="0"/>
        <w:rPr>
          <w:i/>
          <w:szCs w:val="24"/>
        </w:rPr>
      </w:pPr>
      <w:bookmarkStart w:id="174" w:name="_Toc299094926"/>
      <w:bookmarkStart w:id="175" w:name="_Toc302746779"/>
      <w:bookmarkStart w:id="176" w:name="_Toc352146241"/>
      <w:bookmarkStart w:id="177" w:name="_Toc361659842"/>
      <w:bookmarkEnd w:id="161"/>
      <w:r w:rsidRPr="00B61FF1">
        <w:rPr>
          <w:szCs w:val="24"/>
        </w:rPr>
        <w:t>§ 95841.1 Voluntary Renewable Electricity</w:t>
      </w:r>
      <w:r w:rsidR="00CA5117" w:rsidRPr="00B61FF1">
        <w:rPr>
          <w:szCs w:val="24"/>
        </w:rPr>
        <w:t>.</w:t>
      </w:r>
      <w:bookmarkEnd w:id="174"/>
      <w:bookmarkEnd w:id="175"/>
      <w:bookmarkEnd w:id="176"/>
      <w:bookmarkEnd w:id="177"/>
    </w:p>
    <w:p w14:paraId="304C12EB" w14:textId="7DB47878" w:rsidR="00196ACE" w:rsidRPr="00B61FF1" w:rsidRDefault="00196ACE" w:rsidP="005D57FB">
      <w:pPr>
        <w:tabs>
          <w:tab w:val="left" w:pos="3780"/>
        </w:tabs>
        <w:spacing w:line="360" w:lineRule="auto"/>
        <w:ind w:left="720" w:hanging="720"/>
        <w:rPr>
          <w:rFonts w:ascii="Arial" w:hAnsi="Arial" w:cs="Arial"/>
          <w:sz w:val="24"/>
          <w:szCs w:val="24"/>
        </w:rPr>
      </w:pPr>
      <w:r w:rsidRPr="00B61FF1">
        <w:rPr>
          <w:rFonts w:ascii="Arial" w:hAnsi="Arial" w:cs="Arial"/>
          <w:sz w:val="24"/>
          <w:szCs w:val="24"/>
        </w:rPr>
        <w:t>(a)</w:t>
      </w:r>
      <w:r w:rsidR="005D57FB" w:rsidRPr="00B61FF1">
        <w:rPr>
          <w:rFonts w:ascii="Arial" w:hAnsi="Arial" w:cs="Arial"/>
          <w:sz w:val="24"/>
          <w:szCs w:val="24"/>
        </w:rPr>
        <w:tab/>
      </w:r>
      <w:r w:rsidRPr="00B61FF1">
        <w:rPr>
          <w:rFonts w:ascii="Arial" w:hAnsi="Arial" w:cs="Arial"/>
          <w:sz w:val="24"/>
          <w:szCs w:val="24"/>
        </w:rPr>
        <w:t xml:space="preserve">Program Requirements: The end-user, or VRE participant acting on behalf of the end-user, must meet the requirements of </w:t>
      </w:r>
      <w:r w:rsidR="002C3DBA" w:rsidRPr="00B61FF1">
        <w:rPr>
          <w:rFonts w:ascii="Arial" w:hAnsi="Arial" w:cs="Arial"/>
          <w:sz w:val="24"/>
          <w:szCs w:val="24"/>
        </w:rPr>
        <w:t>this section</w:t>
      </w:r>
      <w:r w:rsidRPr="00B61FF1">
        <w:rPr>
          <w:rFonts w:ascii="Arial" w:hAnsi="Arial" w:cs="Arial"/>
          <w:sz w:val="24"/>
          <w:szCs w:val="24"/>
        </w:rPr>
        <w:t xml:space="preserve">.  Generation must be new and not have served load prior to July 1, 2005. </w:t>
      </w:r>
      <w:r w:rsidR="002C3DBA" w:rsidRPr="00B61FF1">
        <w:rPr>
          <w:rFonts w:ascii="Arial" w:hAnsi="Arial" w:cs="Arial"/>
          <w:sz w:val="24"/>
          <w:szCs w:val="24"/>
        </w:rPr>
        <w:t xml:space="preserve"> </w:t>
      </w:r>
      <w:r w:rsidR="00940ECD" w:rsidRPr="00B61FF1">
        <w:rPr>
          <w:rFonts w:ascii="Arial" w:hAnsi="Arial" w:cs="Arial"/>
          <w:sz w:val="24"/>
          <w:szCs w:val="24"/>
        </w:rPr>
        <w:t xml:space="preserve">Allowance retirement for purposes of voluntary renewable electricity will begin in 2014 for 2013 generation.  Voluntary renewable electricity must </w:t>
      </w:r>
      <w:r w:rsidR="004B750B" w:rsidRPr="00B61FF1">
        <w:rPr>
          <w:rFonts w:ascii="Arial" w:hAnsi="Arial" w:cs="Arial"/>
          <w:sz w:val="24"/>
          <w:szCs w:val="24"/>
        </w:rPr>
        <w:t xml:space="preserve">be </w:t>
      </w:r>
      <w:r w:rsidR="00940ECD" w:rsidRPr="00B61FF1">
        <w:rPr>
          <w:rFonts w:ascii="Arial" w:hAnsi="Arial" w:cs="Arial"/>
          <w:sz w:val="24"/>
          <w:szCs w:val="24"/>
        </w:rPr>
        <w:t>direct</w:t>
      </w:r>
      <w:r w:rsidR="004B750B" w:rsidRPr="00B61FF1">
        <w:rPr>
          <w:rFonts w:ascii="Arial" w:hAnsi="Arial" w:cs="Arial"/>
          <w:sz w:val="24"/>
          <w:szCs w:val="24"/>
        </w:rPr>
        <w:t>ly</w:t>
      </w:r>
      <w:r w:rsidR="00940ECD" w:rsidRPr="00B61FF1">
        <w:rPr>
          <w:rFonts w:ascii="Arial" w:hAnsi="Arial" w:cs="Arial"/>
          <w:sz w:val="24"/>
          <w:szCs w:val="24"/>
        </w:rPr>
        <w:t xml:space="preserve"> deliver</w:t>
      </w:r>
      <w:r w:rsidR="004B750B" w:rsidRPr="00B61FF1">
        <w:rPr>
          <w:rFonts w:ascii="Arial" w:hAnsi="Arial" w:cs="Arial"/>
          <w:sz w:val="24"/>
          <w:szCs w:val="24"/>
        </w:rPr>
        <w:t>ed</w:t>
      </w:r>
      <w:r w:rsidR="00940ECD" w:rsidRPr="00B61FF1">
        <w:rPr>
          <w:rFonts w:ascii="Arial" w:hAnsi="Arial" w:cs="Arial"/>
          <w:sz w:val="24"/>
          <w:szCs w:val="24"/>
        </w:rPr>
        <w:t xml:space="preserve"> to California.</w:t>
      </w:r>
      <w:r w:rsidR="007F574F" w:rsidRPr="00B61FF1">
        <w:rPr>
          <w:rFonts w:ascii="Arial" w:hAnsi="Arial" w:cs="Arial"/>
          <w:sz w:val="24"/>
          <w:szCs w:val="24"/>
        </w:rPr>
        <w:t xml:space="preserve"> </w:t>
      </w:r>
      <w:r w:rsidR="007F574F" w:rsidRPr="00B61FF1">
        <w:rPr>
          <w:rFonts w:ascii="Arial" w:hAnsi="Arial" w:cs="Arial"/>
          <w:sz w:val="24"/>
          <w:szCs w:val="24"/>
          <w:u w:val="single"/>
        </w:rPr>
        <w:t xml:space="preserve">RECs, if created, must </w:t>
      </w:r>
      <w:r w:rsidR="006B25CF" w:rsidRPr="00B61FF1">
        <w:rPr>
          <w:rFonts w:ascii="Arial" w:hAnsi="Arial" w:cs="Arial"/>
          <w:sz w:val="24"/>
          <w:szCs w:val="24"/>
          <w:u w:val="single"/>
        </w:rPr>
        <w:t>be retired within the year for which VRE retirements are requested.</w:t>
      </w:r>
    </w:p>
    <w:p w14:paraId="717E9909" w14:textId="77777777" w:rsidR="00196ACE" w:rsidRPr="00B61FF1" w:rsidRDefault="00196ACE" w:rsidP="005D57FB">
      <w:pPr>
        <w:tabs>
          <w:tab w:val="left" w:pos="3780"/>
        </w:tabs>
        <w:spacing w:line="360" w:lineRule="auto"/>
        <w:ind w:left="720" w:hanging="720"/>
        <w:rPr>
          <w:rFonts w:ascii="Arial" w:hAnsi="Arial" w:cs="Arial"/>
          <w:sz w:val="24"/>
          <w:szCs w:val="24"/>
        </w:rPr>
      </w:pPr>
      <w:r w:rsidRPr="00B61FF1">
        <w:rPr>
          <w:rFonts w:ascii="Arial" w:hAnsi="Arial" w:cs="Arial"/>
          <w:sz w:val="24"/>
          <w:szCs w:val="24"/>
        </w:rPr>
        <w:t>(b)</w:t>
      </w:r>
      <w:r w:rsidR="005D57FB" w:rsidRPr="00B61FF1">
        <w:rPr>
          <w:rFonts w:ascii="Arial" w:hAnsi="Arial" w:cs="Arial"/>
          <w:sz w:val="24"/>
          <w:szCs w:val="24"/>
        </w:rPr>
        <w:tab/>
      </w:r>
      <w:r w:rsidRPr="00B61FF1">
        <w:rPr>
          <w:rFonts w:ascii="Arial" w:hAnsi="Arial" w:cs="Arial"/>
          <w:sz w:val="24"/>
          <w:szCs w:val="24"/>
        </w:rPr>
        <w:t>Reporting Requirements</w:t>
      </w:r>
      <w:r w:rsidR="002C3DBA" w:rsidRPr="00B61FF1">
        <w:rPr>
          <w:rFonts w:ascii="Arial" w:hAnsi="Arial" w:cs="Arial"/>
          <w:sz w:val="24"/>
          <w:szCs w:val="24"/>
        </w:rPr>
        <w:t>.</w:t>
      </w:r>
      <w:r w:rsidRPr="00B61FF1">
        <w:rPr>
          <w:rFonts w:ascii="Arial" w:hAnsi="Arial" w:cs="Arial"/>
          <w:sz w:val="24"/>
          <w:szCs w:val="24"/>
        </w:rPr>
        <w:t xml:space="preserve"> </w:t>
      </w:r>
      <w:r w:rsidR="002C3DBA" w:rsidRPr="00B61FF1">
        <w:rPr>
          <w:rFonts w:ascii="Arial" w:hAnsi="Arial" w:cs="Arial"/>
          <w:sz w:val="24"/>
          <w:szCs w:val="24"/>
        </w:rPr>
        <w:t xml:space="preserve"> </w:t>
      </w:r>
      <w:r w:rsidRPr="00B61FF1">
        <w:rPr>
          <w:rFonts w:ascii="Arial" w:hAnsi="Arial" w:cs="Arial"/>
          <w:sz w:val="24"/>
          <w:szCs w:val="24"/>
        </w:rPr>
        <w:t>The end-user, or the VRE participant acting on behalf of the end-user, requesting allowance retirement for eligible generation must meet the following requirements for the period in which allowance retirement is being requested:</w:t>
      </w:r>
    </w:p>
    <w:p w14:paraId="20C1DC0B" w14:textId="77777777" w:rsidR="00196ACE" w:rsidRPr="00B61FF1" w:rsidRDefault="00196ACE" w:rsidP="00DB0D83">
      <w:pPr>
        <w:tabs>
          <w:tab w:val="left" w:pos="3780"/>
        </w:tabs>
        <w:spacing w:line="360" w:lineRule="auto"/>
        <w:ind w:left="1080" w:hanging="720"/>
        <w:contextualSpacing/>
        <w:rPr>
          <w:rFonts w:ascii="Arial" w:hAnsi="Arial" w:cs="Arial"/>
          <w:sz w:val="24"/>
          <w:szCs w:val="24"/>
        </w:rPr>
      </w:pPr>
      <w:r w:rsidRPr="00B61FF1">
        <w:rPr>
          <w:rFonts w:ascii="Arial" w:hAnsi="Arial" w:cs="Arial"/>
          <w:sz w:val="24"/>
          <w:szCs w:val="24"/>
        </w:rPr>
        <w:lastRenderedPageBreak/>
        <w:t xml:space="preserve">(1) </w:t>
      </w:r>
      <w:r w:rsidR="005D57FB" w:rsidRPr="00B61FF1">
        <w:rPr>
          <w:rFonts w:ascii="Arial" w:hAnsi="Arial" w:cs="Arial"/>
          <w:sz w:val="24"/>
          <w:szCs w:val="24"/>
        </w:rPr>
        <w:tab/>
      </w:r>
      <w:r w:rsidRPr="00B61FF1">
        <w:rPr>
          <w:rFonts w:ascii="Arial" w:hAnsi="Arial" w:cs="Arial"/>
          <w:sz w:val="24"/>
          <w:szCs w:val="24"/>
        </w:rPr>
        <w:t xml:space="preserve">By July 1 of each year, provide </w:t>
      </w:r>
      <w:r w:rsidR="002C3DBA" w:rsidRPr="00B61FF1">
        <w:rPr>
          <w:rFonts w:ascii="Arial" w:hAnsi="Arial" w:cs="Arial"/>
          <w:sz w:val="24"/>
          <w:szCs w:val="24"/>
        </w:rPr>
        <w:t xml:space="preserve">a </w:t>
      </w:r>
      <w:r w:rsidRPr="00B61FF1">
        <w:rPr>
          <w:rFonts w:ascii="Arial" w:hAnsi="Arial" w:cs="Arial"/>
          <w:sz w:val="24"/>
          <w:szCs w:val="24"/>
        </w:rPr>
        <w:t xml:space="preserve">written request for allowance retirement for the previous year’s generation or REC purchases. Request must </w:t>
      </w:r>
      <w:r w:rsidR="00B3776E" w:rsidRPr="00B61FF1">
        <w:rPr>
          <w:rFonts w:ascii="Arial" w:hAnsi="Arial" w:cs="Arial"/>
          <w:sz w:val="24"/>
          <w:szCs w:val="24"/>
        </w:rPr>
        <w:t>meet</w:t>
      </w:r>
      <w:r w:rsidRPr="00B61FF1">
        <w:rPr>
          <w:rFonts w:ascii="Arial" w:hAnsi="Arial" w:cs="Arial"/>
          <w:sz w:val="24"/>
          <w:szCs w:val="24"/>
        </w:rPr>
        <w:t xml:space="preserve"> the requirements below:</w:t>
      </w:r>
    </w:p>
    <w:p w14:paraId="48234985" w14:textId="7382C909" w:rsidR="00196ACE" w:rsidRPr="00B61FF1" w:rsidRDefault="00196ACE" w:rsidP="00DB0D83">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(A)</w:t>
      </w:r>
      <w:r w:rsidR="00DB0D83" w:rsidRPr="00B61FF1">
        <w:rPr>
          <w:rFonts w:ascii="Arial" w:hAnsi="Arial" w:cs="Arial"/>
          <w:sz w:val="24"/>
          <w:szCs w:val="24"/>
        </w:rPr>
        <w:tab/>
      </w:r>
      <w:r w:rsidRPr="00B61FF1">
        <w:rPr>
          <w:rFonts w:ascii="Arial" w:hAnsi="Arial" w:cs="Arial"/>
          <w:sz w:val="24"/>
          <w:szCs w:val="24"/>
        </w:rPr>
        <w:t>Report to ARB the quantity of renewable electricity in MWhs</w:t>
      </w:r>
      <w:r w:rsidR="007F574F" w:rsidRPr="00B61FF1">
        <w:rPr>
          <w:rFonts w:ascii="Arial" w:hAnsi="Arial" w:cs="Arial"/>
          <w:sz w:val="24"/>
          <w:szCs w:val="24"/>
        </w:rPr>
        <w:t xml:space="preserve"> </w:t>
      </w:r>
      <w:r w:rsidR="007F574F" w:rsidRPr="00B61FF1">
        <w:rPr>
          <w:rFonts w:ascii="Arial" w:hAnsi="Arial" w:cs="Arial"/>
          <w:sz w:val="24"/>
          <w:szCs w:val="24"/>
          <w:u w:val="single"/>
        </w:rPr>
        <w:t>delivered to the California grid</w:t>
      </w:r>
      <w:r w:rsidRPr="00B61FF1">
        <w:rPr>
          <w:rFonts w:ascii="Arial" w:hAnsi="Arial" w:cs="Arial"/>
          <w:sz w:val="24"/>
          <w:szCs w:val="24"/>
        </w:rPr>
        <w:t xml:space="preserve">, and/or the number of RECs generated during the previous year from an eligible renewable electricity generator that meets the requirements of </w:t>
      </w:r>
      <w:r w:rsidR="00940ECD" w:rsidRPr="00B61FF1">
        <w:rPr>
          <w:rFonts w:ascii="Arial" w:hAnsi="Arial" w:cs="Arial"/>
          <w:sz w:val="24"/>
          <w:szCs w:val="24"/>
        </w:rPr>
        <w:t>95841.1(b)(2) or (3), as applicable</w:t>
      </w:r>
      <w:r w:rsidR="002C3DBA" w:rsidRPr="00B61FF1">
        <w:rPr>
          <w:rFonts w:ascii="Arial" w:hAnsi="Arial" w:cs="Arial"/>
          <w:sz w:val="24"/>
          <w:szCs w:val="24"/>
        </w:rPr>
        <w:t>;</w:t>
      </w:r>
    </w:p>
    <w:p w14:paraId="0CC83DA6" w14:textId="1779EA47" w:rsidR="00196ACE" w:rsidRPr="00B61FF1" w:rsidRDefault="00196ACE" w:rsidP="00DB0D83">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 xml:space="preserve">(B) </w:t>
      </w:r>
      <w:r w:rsidR="00383F25" w:rsidRPr="00B61FF1">
        <w:rPr>
          <w:rFonts w:ascii="Arial" w:hAnsi="Arial" w:cs="Arial"/>
          <w:sz w:val="24"/>
          <w:szCs w:val="24"/>
        </w:rPr>
        <w:tab/>
      </w:r>
      <w:r w:rsidRPr="00B61FF1">
        <w:rPr>
          <w:rFonts w:ascii="Arial" w:hAnsi="Arial" w:cs="Arial"/>
          <w:sz w:val="24"/>
          <w:szCs w:val="24"/>
        </w:rPr>
        <w:t>Generator of the renewable electricity or RECs must be certified as RPS eligible by t</w:t>
      </w:r>
      <w:r w:rsidR="002C3DBA" w:rsidRPr="00B61FF1">
        <w:rPr>
          <w:rFonts w:ascii="Arial" w:hAnsi="Arial" w:cs="Arial"/>
          <w:sz w:val="24"/>
          <w:szCs w:val="24"/>
        </w:rPr>
        <w:t>he California Energy Commission</w:t>
      </w:r>
      <w:r w:rsidR="00940ECD" w:rsidRPr="00B61FF1">
        <w:rPr>
          <w:rFonts w:ascii="Arial" w:hAnsi="Arial" w:cs="Arial"/>
          <w:sz w:val="24"/>
          <w:szCs w:val="24"/>
        </w:rPr>
        <w:t xml:space="preserve">, or must meet design and installation standards pursuant to the California Energy Commission’s Guidelines for California’s Solar Electric Incentive Programs, </w:t>
      </w:r>
      <w:r w:rsidR="007F574F" w:rsidRPr="00B61FF1">
        <w:rPr>
          <w:rFonts w:ascii="Arial" w:eastAsia="Arial" w:hAnsi="Arial" w:cs="Arial"/>
          <w:strike/>
          <w:spacing w:val="-2"/>
          <w:sz w:val="24"/>
          <w:szCs w:val="24"/>
        </w:rPr>
        <w:t>t</w:t>
      </w:r>
      <w:r w:rsidR="007F574F" w:rsidRPr="00B61FF1">
        <w:rPr>
          <w:rFonts w:ascii="Arial" w:eastAsia="Arial" w:hAnsi="Arial" w:cs="Arial"/>
          <w:strike/>
          <w:spacing w:val="1"/>
          <w:sz w:val="24"/>
          <w:szCs w:val="24"/>
        </w:rPr>
        <w:t>h</w:t>
      </w:r>
      <w:r w:rsidR="007F574F" w:rsidRPr="00B61FF1">
        <w:rPr>
          <w:rFonts w:ascii="Arial" w:eastAsia="Arial" w:hAnsi="Arial" w:cs="Arial"/>
          <w:strike/>
          <w:sz w:val="24"/>
          <w:szCs w:val="24"/>
        </w:rPr>
        <w:t>i</w:t>
      </w:r>
      <w:r w:rsidR="007F574F" w:rsidRPr="00B61FF1">
        <w:rPr>
          <w:rFonts w:ascii="Arial" w:eastAsia="Arial" w:hAnsi="Arial" w:cs="Arial"/>
          <w:strike/>
          <w:spacing w:val="-1"/>
          <w:sz w:val="24"/>
          <w:szCs w:val="24"/>
        </w:rPr>
        <w:t>r</w:t>
      </w:r>
      <w:r w:rsidR="007F574F" w:rsidRPr="00B61FF1">
        <w:rPr>
          <w:rFonts w:ascii="Arial" w:eastAsia="Arial" w:hAnsi="Arial" w:cs="Arial"/>
          <w:strike/>
          <w:sz w:val="24"/>
          <w:szCs w:val="24"/>
        </w:rPr>
        <w:t>d</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1"/>
          <w:sz w:val="24"/>
          <w:szCs w:val="24"/>
          <w:u w:val="single"/>
        </w:rPr>
        <w:t>fifth</w:t>
      </w:r>
      <w:r w:rsidR="007F574F" w:rsidRPr="00B61FF1">
        <w:rPr>
          <w:rFonts w:ascii="Arial" w:eastAsia="Arial" w:hAnsi="Arial" w:cs="Arial"/>
          <w:spacing w:val="1"/>
          <w:sz w:val="24"/>
          <w:szCs w:val="24"/>
        </w:rPr>
        <w:t xml:space="preserve"> </w:t>
      </w:r>
      <w:r w:rsidR="00940ECD" w:rsidRPr="00B61FF1">
        <w:rPr>
          <w:rFonts w:ascii="Arial" w:hAnsi="Arial" w:cs="Arial"/>
          <w:sz w:val="24"/>
          <w:szCs w:val="24"/>
        </w:rPr>
        <w:t>edition</w:t>
      </w:r>
      <w:r w:rsidR="00F82459" w:rsidRPr="00B61FF1">
        <w:rPr>
          <w:rFonts w:ascii="Arial" w:hAnsi="Arial" w:cs="Arial"/>
          <w:sz w:val="24"/>
          <w:szCs w:val="24"/>
        </w:rPr>
        <w:t>, June 201</w:t>
      </w:r>
      <w:r w:rsidR="007F574F" w:rsidRPr="00B61FF1">
        <w:rPr>
          <w:rFonts w:ascii="Arial" w:eastAsia="Arial" w:hAnsi="Arial" w:cs="Arial"/>
          <w:strike/>
          <w:spacing w:val="1"/>
          <w:sz w:val="24"/>
          <w:szCs w:val="24"/>
        </w:rPr>
        <w:t>0</w:t>
      </w:r>
      <w:r w:rsidR="007F574F" w:rsidRPr="00B61FF1">
        <w:rPr>
          <w:rFonts w:ascii="Arial" w:eastAsia="Arial" w:hAnsi="Arial" w:cs="Arial"/>
          <w:spacing w:val="1"/>
          <w:sz w:val="24"/>
          <w:szCs w:val="24"/>
          <w:u w:val="single"/>
        </w:rPr>
        <w:t>3</w:t>
      </w:r>
      <w:r w:rsidR="002C3DBA" w:rsidRPr="00B61FF1">
        <w:rPr>
          <w:rFonts w:ascii="Arial" w:hAnsi="Arial" w:cs="Arial"/>
          <w:sz w:val="24"/>
          <w:szCs w:val="24"/>
        </w:rPr>
        <w:t>;</w:t>
      </w:r>
    </w:p>
    <w:p w14:paraId="78F1C3F8" w14:textId="10C9AABD" w:rsidR="005C5EBD" w:rsidRPr="00B61FF1" w:rsidRDefault="00196ACE" w:rsidP="00383F25">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(C)</w:t>
      </w:r>
      <w:r w:rsidR="00383F25" w:rsidRPr="00B61FF1">
        <w:rPr>
          <w:rFonts w:ascii="Arial" w:hAnsi="Arial" w:cs="Arial"/>
          <w:sz w:val="24"/>
          <w:szCs w:val="24"/>
        </w:rPr>
        <w:tab/>
      </w:r>
      <w:r w:rsidR="005C5EBD" w:rsidRPr="00B61FF1">
        <w:rPr>
          <w:rFonts w:ascii="Arial" w:hAnsi="Arial" w:cs="Arial"/>
          <w:sz w:val="24"/>
          <w:szCs w:val="24"/>
        </w:rPr>
        <w:t xml:space="preserve">For end-users, or the VRE participants acting on behalf of the end-user choosing to meet (B) above by meeting the California Energy Commission’s design and installation standards pursuant to the California Energy Commission’s Guidelines for </w:t>
      </w:r>
      <w:r w:rsidR="007F574F" w:rsidRPr="00B61FF1">
        <w:rPr>
          <w:rFonts w:ascii="Arial" w:eastAsia="Arial" w:hAnsi="Arial" w:cs="Arial"/>
          <w:sz w:val="24"/>
          <w:szCs w:val="24"/>
        </w:rPr>
        <w:t>C</w:t>
      </w:r>
      <w:r w:rsidR="007F574F" w:rsidRPr="00B61FF1">
        <w:rPr>
          <w:rFonts w:ascii="Arial" w:eastAsia="Arial" w:hAnsi="Arial" w:cs="Arial"/>
          <w:spacing w:val="1"/>
          <w:sz w:val="24"/>
          <w:szCs w:val="24"/>
        </w:rPr>
        <w:t>a</w:t>
      </w:r>
      <w:r w:rsidR="007F574F" w:rsidRPr="00B61FF1">
        <w:rPr>
          <w:rFonts w:ascii="Arial" w:eastAsia="Arial" w:hAnsi="Arial" w:cs="Arial"/>
          <w:sz w:val="24"/>
          <w:szCs w:val="24"/>
        </w:rPr>
        <w:t>li</w:t>
      </w:r>
      <w:r w:rsidR="007F574F" w:rsidRPr="00B61FF1">
        <w:rPr>
          <w:rFonts w:ascii="Arial" w:eastAsia="Arial" w:hAnsi="Arial" w:cs="Arial"/>
          <w:spacing w:val="3"/>
          <w:sz w:val="24"/>
          <w:szCs w:val="24"/>
        </w:rPr>
        <w:t>f</w:t>
      </w:r>
      <w:r w:rsidR="007F574F" w:rsidRPr="00B61FF1">
        <w:rPr>
          <w:rFonts w:ascii="Arial" w:eastAsia="Arial" w:hAnsi="Arial" w:cs="Arial"/>
          <w:spacing w:val="1"/>
          <w:sz w:val="24"/>
          <w:szCs w:val="24"/>
        </w:rPr>
        <w:t>o</w:t>
      </w:r>
      <w:r w:rsidR="007F574F" w:rsidRPr="00B61FF1">
        <w:rPr>
          <w:rFonts w:ascii="Arial" w:eastAsia="Arial" w:hAnsi="Arial" w:cs="Arial"/>
          <w:spacing w:val="-1"/>
          <w:sz w:val="24"/>
          <w:szCs w:val="24"/>
        </w:rPr>
        <w:t>r</w:t>
      </w:r>
      <w:r w:rsidR="007F574F" w:rsidRPr="00B61FF1">
        <w:rPr>
          <w:rFonts w:ascii="Arial" w:eastAsia="Arial" w:hAnsi="Arial" w:cs="Arial"/>
          <w:spacing w:val="1"/>
          <w:sz w:val="24"/>
          <w:szCs w:val="24"/>
        </w:rPr>
        <w:t>n</w:t>
      </w:r>
      <w:r w:rsidR="007F574F" w:rsidRPr="00B61FF1">
        <w:rPr>
          <w:rFonts w:ascii="Arial" w:eastAsia="Arial" w:hAnsi="Arial" w:cs="Arial"/>
          <w:spacing w:val="-3"/>
          <w:sz w:val="24"/>
          <w:szCs w:val="24"/>
        </w:rPr>
        <w:t>i</w:t>
      </w:r>
      <w:r w:rsidR="007F574F" w:rsidRPr="00B61FF1">
        <w:rPr>
          <w:rFonts w:ascii="Arial" w:eastAsia="Arial" w:hAnsi="Arial" w:cs="Arial"/>
          <w:spacing w:val="1"/>
          <w:sz w:val="24"/>
          <w:szCs w:val="24"/>
        </w:rPr>
        <w:t>a</w:t>
      </w:r>
      <w:r w:rsidR="007F574F" w:rsidRPr="00B61FF1">
        <w:rPr>
          <w:rFonts w:ascii="Arial" w:eastAsia="Arial" w:hAnsi="Arial" w:cs="Arial"/>
          <w:sz w:val="24"/>
          <w:szCs w:val="24"/>
        </w:rPr>
        <w:t xml:space="preserve">’s </w:t>
      </w:r>
      <w:r w:rsidR="007F574F" w:rsidRPr="00B61FF1">
        <w:rPr>
          <w:rFonts w:ascii="Arial" w:eastAsia="Arial" w:hAnsi="Arial" w:cs="Arial"/>
          <w:spacing w:val="1"/>
          <w:sz w:val="24"/>
          <w:szCs w:val="24"/>
        </w:rPr>
        <w:t>So</w:t>
      </w:r>
      <w:r w:rsidR="007F574F" w:rsidRPr="00B61FF1">
        <w:rPr>
          <w:rFonts w:ascii="Arial" w:eastAsia="Arial" w:hAnsi="Arial" w:cs="Arial"/>
          <w:sz w:val="24"/>
          <w:szCs w:val="24"/>
        </w:rPr>
        <w:t>l</w:t>
      </w:r>
      <w:r w:rsidR="007F574F" w:rsidRPr="00B61FF1">
        <w:rPr>
          <w:rFonts w:ascii="Arial" w:eastAsia="Arial" w:hAnsi="Arial" w:cs="Arial"/>
          <w:spacing w:val="1"/>
          <w:sz w:val="24"/>
          <w:szCs w:val="24"/>
        </w:rPr>
        <w:t>a</w:t>
      </w:r>
      <w:r w:rsidR="007F574F" w:rsidRPr="00B61FF1">
        <w:rPr>
          <w:rFonts w:ascii="Arial" w:eastAsia="Arial" w:hAnsi="Arial" w:cs="Arial"/>
          <w:sz w:val="24"/>
          <w:szCs w:val="24"/>
        </w:rPr>
        <w:t>r</w:t>
      </w:r>
      <w:r w:rsidR="007F574F" w:rsidRPr="00B61FF1">
        <w:rPr>
          <w:rFonts w:ascii="Arial" w:eastAsia="Arial" w:hAnsi="Arial" w:cs="Arial"/>
          <w:spacing w:val="-3"/>
          <w:sz w:val="24"/>
          <w:szCs w:val="24"/>
        </w:rPr>
        <w:t xml:space="preserve"> </w:t>
      </w:r>
      <w:r w:rsidR="007F574F" w:rsidRPr="00B61FF1">
        <w:rPr>
          <w:rFonts w:ascii="Arial" w:eastAsia="Arial" w:hAnsi="Arial" w:cs="Arial"/>
          <w:spacing w:val="1"/>
          <w:sz w:val="24"/>
          <w:szCs w:val="24"/>
        </w:rPr>
        <w:t>E</w:t>
      </w:r>
      <w:r w:rsidR="007F574F" w:rsidRPr="00B61FF1">
        <w:rPr>
          <w:rFonts w:ascii="Arial" w:eastAsia="Arial" w:hAnsi="Arial" w:cs="Arial"/>
          <w:sz w:val="24"/>
          <w:szCs w:val="24"/>
        </w:rPr>
        <w:t>l</w:t>
      </w:r>
      <w:r w:rsidR="007F574F" w:rsidRPr="00B61FF1">
        <w:rPr>
          <w:rFonts w:ascii="Arial" w:eastAsia="Arial" w:hAnsi="Arial" w:cs="Arial"/>
          <w:spacing w:val="1"/>
          <w:sz w:val="24"/>
          <w:szCs w:val="24"/>
        </w:rPr>
        <w:t>e</w:t>
      </w:r>
      <w:r w:rsidR="007F574F" w:rsidRPr="00B61FF1">
        <w:rPr>
          <w:rFonts w:ascii="Arial" w:eastAsia="Arial" w:hAnsi="Arial" w:cs="Arial"/>
          <w:sz w:val="24"/>
          <w:szCs w:val="24"/>
        </w:rPr>
        <w:t>c</w:t>
      </w:r>
      <w:r w:rsidR="007F574F" w:rsidRPr="00B61FF1">
        <w:rPr>
          <w:rFonts w:ascii="Arial" w:eastAsia="Arial" w:hAnsi="Arial" w:cs="Arial"/>
          <w:spacing w:val="-2"/>
          <w:sz w:val="24"/>
          <w:szCs w:val="24"/>
        </w:rPr>
        <w:t>t</w:t>
      </w:r>
      <w:r w:rsidR="007F574F" w:rsidRPr="00B61FF1">
        <w:rPr>
          <w:rFonts w:ascii="Arial" w:eastAsia="Arial" w:hAnsi="Arial" w:cs="Arial"/>
          <w:spacing w:val="-1"/>
          <w:sz w:val="24"/>
          <w:szCs w:val="24"/>
        </w:rPr>
        <w:t>r</w:t>
      </w:r>
      <w:r w:rsidR="007F574F" w:rsidRPr="00B61FF1">
        <w:rPr>
          <w:rFonts w:ascii="Arial" w:eastAsia="Arial" w:hAnsi="Arial" w:cs="Arial"/>
          <w:sz w:val="24"/>
          <w:szCs w:val="24"/>
        </w:rPr>
        <w:t>ic I</w:t>
      </w:r>
      <w:r w:rsidR="007F574F" w:rsidRPr="00B61FF1">
        <w:rPr>
          <w:rFonts w:ascii="Arial" w:eastAsia="Arial" w:hAnsi="Arial" w:cs="Arial"/>
          <w:spacing w:val="1"/>
          <w:sz w:val="24"/>
          <w:szCs w:val="24"/>
        </w:rPr>
        <w:t>n</w:t>
      </w:r>
      <w:r w:rsidR="007F574F" w:rsidRPr="00B61FF1">
        <w:rPr>
          <w:rFonts w:ascii="Arial" w:eastAsia="Arial" w:hAnsi="Arial" w:cs="Arial"/>
          <w:sz w:val="24"/>
          <w:szCs w:val="24"/>
        </w:rPr>
        <w:t>c</w:t>
      </w:r>
      <w:r w:rsidR="007F574F" w:rsidRPr="00B61FF1">
        <w:rPr>
          <w:rFonts w:ascii="Arial" w:eastAsia="Arial" w:hAnsi="Arial" w:cs="Arial"/>
          <w:spacing w:val="1"/>
          <w:sz w:val="24"/>
          <w:szCs w:val="24"/>
        </w:rPr>
        <w:t>en</w:t>
      </w:r>
      <w:r w:rsidR="007F574F" w:rsidRPr="00B61FF1">
        <w:rPr>
          <w:rFonts w:ascii="Arial" w:eastAsia="Arial" w:hAnsi="Arial" w:cs="Arial"/>
          <w:sz w:val="24"/>
          <w:szCs w:val="24"/>
        </w:rPr>
        <w:t>ti</w:t>
      </w:r>
      <w:r w:rsidR="007F574F" w:rsidRPr="00B61FF1">
        <w:rPr>
          <w:rFonts w:ascii="Arial" w:eastAsia="Arial" w:hAnsi="Arial" w:cs="Arial"/>
          <w:spacing w:val="-2"/>
          <w:sz w:val="24"/>
          <w:szCs w:val="24"/>
        </w:rPr>
        <w:t>v</w:t>
      </w:r>
      <w:r w:rsidR="007F574F" w:rsidRPr="00B61FF1">
        <w:rPr>
          <w:rFonts w:ascii="Arial" w:eastAsia="Arial" w:hAnsi="Arial" w:cs="Arial"/>
          <w:sz w:val="24"/>
          <w:szCs w:val="24"/>
        </w:rPr>
        <w:t>e</w:t>
      </w:r>
      <w:r w:rsidR="007F574F" w:rsidRPr="00B61FF1">
        <w:rPr>
          <w:rFonts w:ascii="Arial" w:eastAsia="Arial" w:hAnsi="Arial" w:cs="Arial"/>
          <w:spacing w:val="1"/>
          <w:sz w:val="24"/>
          <w:szCs w:val="24"/>
        </w:rPr>
        <w:t xml:space="preserve"> P</w:t>
      </w:r>
      <w:r w:rsidR="007F574F" w:rsidRPr="00B61FF1">
        <w:rPr>
          <w:rFonts w:ascii="Arial" w:eastAsia="Arial" w:hAnsi="Arial" w:cs="Arial"/>
          <w:spacing w:val="-1"/>
          <w:sz w:val="24"/>
          <w:szCs w:val="24"/>
        </w:rPr>
        <w:t>r</w:t>
      </w:r>
      <w:r w:rsidR="007F574F" w:rsidRPr="00B61FF1">
        <w:rPr>
          <w:rFonts w:ascii="Arial" w:eastAsia="Arial" w:hAnsi="Arial" w:cs="Arial"/>
          <w:spacing w:val="1"/>
          <w:sz w:val="24"/>
          <w:szCs w:val="24"/>
        </w:rPr>
        <w:t>o</w:t>
      </w:r>
      <w:r w:rsidR="007F574F" w:rsidRPr="00B61FF1">
        <w:rPr>
          <w:rFonts w:ascii="Arial" w:eastAsia="Arial" w:hAnsi="Arial" w:cs="Arial"/>
          <w:spacing w:val="-1"/>
          <w:sz w:val="24"/>
          <w:szCs w:val="24"/>
        </w:rPr>
        <w:t>gr</w:t>
      </w:r>
      <w:r w:rsidR="007F574F" w:rsidRPr="00B61FF1">
        <w:rPr>
          <w:rFonts w:ascii="Arial" w:eastAsia="Arial" w:hAnsi="Arial" w:cs="Arial"/>
          <w:spacing w:val="1"/>
          <w:sz w:val="24"/>
          <w:szCs w:val="24"/>
        </w:rPr>
        <w:t>a</w:t>
      </w:r>
      <w:r w:rsidR="007F574F" w:rsidRPr="00B61FF1">
        <w:rPr>
          <w:rFonts w:ascii="Arial" w:eastAsia="Arial" w:hAnsi="Arial" w:cs="Arial"/>
          <w:spacing w:val="2"/>
          <w:sz w:val="24"/>
          <w:szCs w:val="24"/>
        </w:rPr>
        <w:t>m</w:t>
      </w:r>
      <w:r w:rsidR="007F574F" w:rsidRPr="00B61FF1">
        <w:rPr>
          <w:rFonts w:ascii="Arial" w:eastAsia="Arial" w:hAnsi="Arial" w:cs="Arial"/>
          <w:sz w:val="24"/>
          <w:szCs w:val="24"/>
        </w:rPr>
        <w:t>s,</w:t>
      </w:r>
      <w:r w:rsidR="007F574F" w:rsidRPr="00B61FF1">
        <w:rPr>
          <w:rFonts w:ascii="Arial" w:eastAsia="Arial" w:hAnsi="Arial" w:cs="Arial"/>
          <w:spacing w:val="-1"/>
          <w:sz w:val="24"/>
          <w:szCs w:val="24"/>
        </w:rPr>
        <w:t xml:space="preserve"> </w:t>
      </w:r>
      <w:r w:rsidR="007F574F" w:rsidRPr="00B61FF1">
        <w:rPr>
          <w:rFonts w:ascii="Arial" w:eastAsia="Arial" w:hAnsi="Arial" w:cs="Arial"/>
          <w:strike/>
          <w:sz w:val="24"/>
          <w:szCs w:val="24"/>
        </w:rPr>
        <w:t>t</w:t>
      </w:r>
      <w:r w:rsidR="007F574F" w:rsidRPr="00B61FF1">
        <w:rPr>
          <w:rFonts w:ascii="Arial" w:eastAsia="Arial" w:hAnsi="Arial" w:cs="Arial"/>
          <w:strike/>
          <w:spacing w:val="1"/>
          <w:sz w:val="24"/>
          <w:szCs w:val="24"/>
        </w:rPr>
        <w:t>h</w:t>
      </w:r>
      <w:r w:rsidR="007F574F" w:rsidRPr="00B61FF1">
        <w:rPr>
          <w:rFonts w:ascii="Arial" w:eastAsia="Arial" w:hAnsi="Arial" w:cs="Arial"/>
          <w:strike/>
          <w:sz w:val="24"/>
          <w:szCs w:val="24"/>
        </w:rPr>
        <w:t>i</w:t>
      </w:r>
      <w:r w:rsidR="007F574F" w:rsidRPr="00B61FF1">
        <w:rPr>
          <w:rFonts w:ascii="Arial" w:eastAsia="Arial" w:hAnsi="Arial" w:cs="Arial"/>
          <w:strike/>
          <w:spacing w:val="-1"/>
          <w:sz w:val="24"/>
          <w:szCs w:val="24"/>
        </w:rPr>
        <w:t>r</w:t>
      </w:r>
      <w:r w:rsidR="007F574F" w:rsidRPr="00B61FF1">
        <w:rPr>
          <w:rFonts w:ascii="Arial" w:eastAsia="Arial" w:hAnsi="Arial" w:cs="Arial"/>
          <w:strike/>
          <w:sz w:val="24"/>
          <w:szCs w:val="24"/>
        </w:rPr>
        <w:t>d</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1"/>
          <w:sz w:val="24"/>
          <w:szCs w:val="24"/>
          <w:u w:val="single"/>
        </w:rPr>
        <w:t xml:space="preserve">fifth </w:t>
      </w:r>
      <w:r w:rsidR="007F574F" w:rsidRPr="00B61FF1">
        <w:rPr>
          <w:rFonts w:ascii="Arial" w:eastAsia="Arial" w:hAnsi="Arial" w:cs="Arial"/>
          <w:spacing w:val="-1"/>
          <w:sz w:val="24"/>
          <w:szCs w:val="24"/>
        </w:rPr>
        <w:t>e</w:t>
      </w:r>
      <w:r w:rsidR="007F574F" w:rsidRPr="00B61FF1">
        <w:rPr>
          <w:rFonts w:ascii="Arial" w:eastAsia="Arial" w:hAnsi="Arial" w:cs="Arial"/>
          <w:spacing w:val="1"/>
          <w:sz w:val="24"/>
          <w:szCs w:val="24"/>
        </w:rPr>
        <w:t>d</w:t>
      </w:r>
      <w:r w:rsidR="007F574F" w:rsidRPr="00B61FF1">
        <w:rPr>
          <w:rFonts w:ascii="Arial" w:eastAsia="Arial" w:hAnsi="Arial" w:cs="Arial"/>
          <w:sz w:val="24"/>
          <w:szCs w:val="24"/>
        </w:rPr>
        <w:t>iti</w:t>
      </w:r>
      <w:r w:rsidR="007F574F" w:rsidRPr="00B61FF1">
        <w:rPr>
          <w:rFonts w:ascii="Arial" w:eastAsia="Arial" w:hAnsi="Arial" w:cs="Arial"/>
          <w:spacing w:val="1"/>
          <w:sz w:val="24"/>
          <w:szCs w:val="24"/>
        </w:rPr>
        <w:t>on</w:t>
      </w:r>
      <w:r w:rsidR="007F574F" w:rsidRPr="00B61FF1">
        <w:rPr>
          <w:rFonts w:ascii="Arial" w:eastAsia="Arial" w:hAnsi="Arial" w:cs="Arial"/>
          <w:sz w:val="24"/>
          <w:szCs w:val="24"/>
        </w:rPr>
        <w:t>,</w:t>
      </w:r>
      <w:r w:rsidR="007F574F" w:rsidRPr="00B61FF1">
        <w:rPr>
          <w:rFonts w:ascii="Arial" w:eastAsia="Arial" w:hAnsi="Arial" w:cs="Arial"/>
          <w:spacing w:val="-1"/>
          <w:sz w:val="24"/>
          <w:szCs w:val="24"/>
        </w:rPr>
        <w:t xml:space="preserve"> </w:t>
      </w:r>
      <w:r w:rsidR="007F574F" w:rsidRPr="00B61FF1">
        <w:rPr>
          <w:rFonts w:ascii="Arial" w:eastAsia="Arial" w:hAnsi="Arial" w:cs="Arial"/>
          <w:strike/>
          <w:sz w:val="24"/>
          <w:szCs w:val="24"/>
        </w:rPr>
        <w:t>J</w:t>
      </w:r>
      <w:r w:rsidR="007F574F" w:rsidRPr="00B61FF1">
        <w:rPr>
          <w:rFonts w:ascii="Arial" w:eastAsia="Arial" w:hAnsi="Arial" w:cs="Arial"/>
          <w:strike/>
          <w:spacing w:val="1"/>
          <w:sz w:val="24"/>
          <w:szCs w:val="24"/>
        </w:rPr>
        <w:t>u</w:t>
      </w:r>
      <w:r w:rsidR="007F574F" w:rsidRPr="00B61FF1">
        <w:rPr>
          <w:rFonts w:ascii="Arial" w:eastAsia="Arial" w:hAnsi="Arial" w:cs="Arial"/>
          <w:strike/>
          <w:spacing w:val="-1"/>
          <w:sz w:val="24"/>
          <w:szCs w:val="24"/>
        </w:rPr>
        <w:t xml:space="preserve">ne </w:t>
      </w:r>
      <w:r w:rsidR="007F574F" w:rsidRPr="00B61FF1">
        <w:rPr>
          <w:rFonts w:ascii="Arial" w:eastAsia="Arial" w:hAnsi="Arial" w:cs="Arial"/>
          <w:spacing w:val="-1"/>
          <w:sz w:val="24"/>
          <w:szCs w:val="24"/>
          <w:u w:val="single"/>
        </w:rPr>
        <w:t>January,</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1"/>
          <w:sz w:val="24"/>
          <w:szCs w:val="24"/>
        </w:rPr>
        <w:t>20</w:t>
      </w:r>
      <w:r w:rsidR="007F574F" w:rsidRPr="00B61FF1">
        <w:rPr>
          <w:rFonts w:ascii="Arial" w:eastAsia="Arial" w:hAnsi="Arial" w:cs="Arial"/>
          <w:spacing w:val="-1"/>
          <w:sz w:val="24"/>
          <w:szCs w:val="24"/>
        </w:rPr>
        <w:t>1</w:t>
      </w:r>
      <w:r w:rsidR="007F574F" w:rsidRPr="00B61FF1">
        <w:rPr>
          <w:rFonts w:ascii="Arial" w:eastAsia="Arial" w:hAnsi="Arial" w:cs="Arial"/>
          <w:strike/>
          <w:spacing w:val="1"/>
          <w:sz w:val="24"/>
          <w:szCs w:val="24"/>
        </w:rPr>
        <w:t>0</w:t>
      </w:r>
      <w:r w:rsidR="007F574F" w:rsidRPr="00B61FF1">
        <w:rPr>
          <w:rFonts w:ascii="Arial" w:eastAsia="Arial" w:hAnsi="Arial" w:cs="Arial"/>
          <w:sz w:val="24"/>
          <w:szCs w:val="24"/>
          <w:u w:val="single"/>
        </w:rPr>
        <w:t>3</w:t>
      </w:r>
      <w:r w:rsidR="007F574F" w:rsidRPr="00B61FF1">
        <w:rPr>
          <w:rFonts w:ascii="Arial" w:eastAsia="Arial" w:hAnsi="Arial" w:cs="Arial"/>
          <w:sz w:val="24"/>
          <w:szCs w:val="24"/>
        </w:rPr>
        <w:t>,</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2"/>
          <w:sz w:val="24"/>
          <w:szCs w:val="24"/>
        </w:rPr>
        <w:t>m</w:t>
      </w:r>
      <w:r w:rsidR="007F574F" w:rsidRPr="00B61FF1">
        <w:rPr>
          <w:rFonts w:ascii="Arial" w:eastAsia="Arial" w:hAnsi="Arial" w:cs="Arial"/>
          <w:spacing w:val="1"/>
          <w:sz w:val="24"/>
          <w:szCs w:val="24"/>
        </w:rPr>
        <w:t>u</w:t>
      </w:r>
      <w:r w:rsidR="007F574F" w:rsidRPr="00B61FF1">
        <w:rPr>
          <w:rFonts w:ascii="Arial" w:eastAsia="Arial" w:hAnsi="Arial" w:cs="Arial"/>
          <w:sz w:val="24"/>
          <w:szCs w:val="24"/>
        </w:rPr>
        <w:t>st</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2"/>
          <w:sz w:val="24"/>
          <w:szCs w:val="24"/>
        </w:rPr>
        <w:t>s</w:t>
      </w:r>
      <w:r w:rsidR="007F574F" w:rsidRPr="00B61FF1">
        <w:rPr>
          <w:rFonts w:ascii="Arial" w:eastAsia="Arial" w:hAnsi="Arial" w:cs="Arial"/>
          <w:spacing w:val="1"/>
          <w:sz w:val="24"/>
          <w:szCs w:val="24"/>
        </w:rPr>
        <w:t>u</w:t>
      </w:r>
      <w:r w:rsidR="007F574F" w:rsidRPr="00B61FF1">
        <w:rPr>
          <w:rFonts w:ascii="Arial" w:eastAsia="Arial" w:hAnsi="Arial" w:cs="Arial"/>
          <w:spacing w:val="-1"/>
          <w:sz w:val="24"/>
          <w:szCs w:val="24"/>
        </w:rPr>
        <w:t>b</w:t>
      </w:r>
      <w:r w:rsidR="007F574F" w:rsidRPr="00B61FF1">
        <w:rPr>
          <w:rFonts w:ascii="Arial" w:eastAsia="Arial" w:hAnsi="Arial" w:cs="Arial"/>
          <w:spacing w:val="2"/>
          <w:sz w:val="24"/>
          <w:szCs w:val="24"/>
        </w:rPr>
        <w:t>m</w:t>
      </w:r>
      <w:r w:rsidR="007F574F" w:rsidRPr="00B61FF1">
        <w:rPr>
          <w:rFonts w:ascii="Arial" w:eastAsia="Arial" w:hAnsi="Arial" w:cs="Arial"/>
          <w:sz w:val="24"/>
          <w:szCs w:val="24"/>
        </w:rPr>
        <w:t>it</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1"/>
          <w:sz w:val="24"/>
          <w:szCs w:val="24"/>
        </w:rPr>
        <w:t>a</w:t>
      </w:r>
      <w:r w:rsidR="007F574F" w:rsidRPr="00B61FF1">
        <w:rPr>
          <w:rFonts w:ascii="Arial" w:eastAsia="Arial" w:hAnsi="Arial" w:cs="Arial"/>
          <w:sz w:val="24"/>
          <w:szCs w:val="24"/>
        </w:rPr>
        <w:t>n</w:t>
      </w:r>
      <w:r w:rsidR="007F574F" w:rsidRPr="00B61FF1">
        <w:rPr>
          <w:rFonts w:ascii="Arial" w:eastAsia="Arial" w:hAnsi="Arial" w:cs="Arial"/>
          <w:spacing w:val="-1"/>
          <w:sz w:val="24"/>
          <w:szCs w:val="24"/>
        </w:rPr>
        <w:t xml:space="preserve"> </w:t>
      </w:r>
      <w:r w:rsidR="007F574F" w:rsidRPr="00B61FF1">
        <w:rPr>
          <w:rFonts w:ascii="Arial" w:eastAsia="Arial" w:hAnsi="Arial" w:cs="Arial"/>
          <w:spacing w:val="1"/>
          <w:sz w:val="24"/>
          <w:szCs w:val="24"/>
        </w:rPr>
        <w:t>app</w:t>
      </w:r>
      <w:r w:rsidR="007F574F" w:rsidRPr="00B61FF1">
        <w:rPr>
          <w:rFonts w:ascii="Arial" w:eastAsia="Arial" w:hAnsi="Arial" w:cs="Arial"/>
          <w:spacing w:val="-1"/>
          <w:sz w:val="24"/>
          <w:szCs w:val="24"/>
        </w:rPr>
        <w:t>r</w:t>
      </w:r>
      <w:r w:rsidR="007F574F" w:rsidRPr="00B61FF1">
        <w:rPr>
          <w:rFonts w:ascii="Arial" w:eastAsia="Arial" w:hAnsi="Arial" w:cs="Arial"/>
          <w:spacing w:val="1"/>
          <w:sz w:val="24"/>
          <w:szCs w:val="24"/>
        </w:rPr>
        <w:t>o</w:t>
      </w:r>
      <w:r w:rsidR="007F574F" w:rsidRPr="00B61FF1">
        <w:rPr>
          <w:rFonts w:ascii="Arial" w:eastAsia="Arial" w:hAnsi="Arial" w:cs="Arial"/>
          <w:spacing w:val="-2"/>
          <w:sz w:val="24"/>
          <w:szCs w:val="24"/>
        </w:rPr>
        <w:t>v</w:t>
      </w:r>
      <w:r w:rsidR="007F574F" w:rsidRPr="00B61FF1">
        <w:rPr>
          <w:rFonts w:ascii="Arial" w:eastAsia="Arial" w:hAnsi="Arial" w:cs="Arial"/>
          <w:spacing w:val="1"/>
          <w:sz w:val="24"/>
          <w:szCs w:val="24"/>
        </w:rPr>
        <w:t>a</w:t>
      </w:r>
      <w:r w:rsidR="007F574F" w:rsidRPr="00B61FF1">
        <w:rPr>
          <w:rFonts w:ascii="Arial" w:eastAsia="Arial" w:hAnsi="Arial" w:cs="Arial"/>
          <w:sz w:val="24"/>
          <w:szCs w:val="24"/>
        </w:rPr>
        <w:t xml:space="preserve">l </w:t>
      </w:r>
      <w:r w:rsidR="007F574F" w:rsidRPr="00B61FF1">
        <w:rPr>
          <w:rFonts w:ascii="Arial" w:eastAsia="Arial" w:hAnsi="Arial" w:cs="Arial"/>
          <w:spacing w:val="-1"/>
          <w:sz w:val="24"/>
          <w:szCs w:val="24"/>
        </w:rPr>
        <w:t>o</w:t>
      </w:r>
      <w:r w:rsidR="007F574F" w:rsidRPr="00B61FF1">
        <w:rPr>
          <w:rFonts w:ascii="Arial" w:eastAsia="Arial" w:hAnsi="Arial" w:cs="Arial"/>
          <w:sz w:val="24"/>
          <w:szCs w:val="24"/>
        </w:rPr>
        <w:t>f</w:t>
      </w:r>
      <w:r w:rsidR="007F574F" w:rsidRPr="00B61FF1">
        <w:rPr>
          <w:rFonts w:ascii="Arial" w:eastAsia="Arial" w:hAnsi="Arial" w:cs="Arial"/>
          <w:spacing w:val="3"/>
          <w:sz w:val="24"/>
          <w:szCs w:val="24"/>
        </w:rPr>
        <w:t xml:space="preserve"> </w:t>
      </w:r>
      <w:r w:rsidR="007F574F" w:rsidRPr="00B61FF1">
        <w:rPr>
          <w:rFonts w:ascii="Arial" w:eastAsia="Arial" w:hAnsi="Arial" w:cs="Arial"/>
          <w:spacing w:val="-3"/>
          <w:sz w:val="24"/>
          <w:szCs w:val="24"/>
        </w:rPr>
        <w:t>i</w:t>
      </w:r>
      <w:r w:rsidR="007F574F" w:rsidRPr="00B61FF1">
        <w:rPr>
          <w:rFonts w:ascii="Arial" w:eastAsia="Arial" w:hAnsi="Arial" w:cs="Arial"/>
          <w:spacing w:val="1"/>
          <w:sz w:val="24"/>
          <w:szCs w:val="24"/>
        </w:rPr>
        <w:t>n</w:t>
      </w:r>
      <w:r w:rsidR="007F574F" w:rsidRPr="00B61FF1">
        <w:rPr>
          <w:rFonts w:ascii="Arial" w:eastAsia="Arial" w:hAnsi="Arial" w:cs="Arial"/>
          <w:sz w:val="24"/>
          <w:szCs w:val="24"/>
        </w:rPr>
        <w:t>c</w:t>
      </w:r>
      <w:r w:rsidR="007F574F" w:rsidRPr="00B61FF1">
        <w:rPr>
          <w:rFonts w:ascii="Arial" w:eastAsia="Arial" w:hAnsi="Arial" w:cs="Arial"/>
          <w:spacing w:val="1"/>
          <w:sz w:val="24"/>
          <w:szCs w:val="24"/>
        </w:rPr>
        <w:t>e</w:t>
      </w:r>
      <w:r w:rsidR="007F574F" w:rsidRPr="00B61FF1">
        <w:rPr>
          <w:rFonts w:ascii="Arial" w:eastAsia="Arial" w:hAnsi="Arial" w:cs="Arial"/>
          <w:spacing w:val="-1"/>
          <w:sz w:val="24"/>
          <w:szCs w:val="24"/>
        </w:rPr>
        <w:t>n</w:t>
      </w:r>
      <w:r w:rsidR="007F574F" w:rsidRPr="00B61FF1">
        <w:rPr>
          <w:rFonts w:ascii="Arial" w:eastAsia="Arial" w:hAnsi="Arial" w:cs="Arial"/>
          <w:sz w:val="24"/>
          <w:szCs w:val="24"/>
        </w:rPr>
        <w:t>ti</w:t>
      </w:r>
      <w:r w:rsidR="007F574F" w:rsidRPr="00B61FF1">
        <w:rPr>
          <w:rFonts w:ascii="Arial" w:eastAsia="Arial" w:hAnsi="Arial" w:cs="Arial"/>
          <w:spacing w:val="-2"/>
          <w:sz w:val="24"/>
          <w:szCs w:val="24"/>
        </w:rPr>
        <w:t>v</w:t>
      </w:r>
      <w:r w:rsidR="007F574F" w:rsidRPr="00B61FF1">
        <w:rPr>
          <w:rFonts w:ascii="Arial" w:eastAsia="Arial" w:hAnsi="Arial" w:cs="Arial"/>
          <w:sz w:val="24"/>
          <w:szCs w:val="24"/>
        </w:rPr>
        <w:t>e</w:t>
      </w:r>
      <w:r w:rsidR="007F574F" w:rsidRPr="00B61FF1">
        <w:rPr>
          <w:rFonts w:ascii="Arial" w:eastAsia="Arial" w:hAnsi="Arial" w:cs="Arial"/>
          <w:spacing w:val="1"/>
          <w:sz w:val="24"/>
          <w:szCs w:val="24"/>
        </w:rPr>
        <w:t xml:space="preserve"> </w:t>
      </w:r>
      <w:r w:rsidR="007F574F" w:rsidRPr="00B61FF1">
        <w:rPr>
          <w:rFonts w:ascii="Arial" w:eastAsia="Arial" w:hAnsi="Arial" w:cs="Arial"/>
          <w:sz w:val="24"/>
          <w:szCs w:val="24"/>
        </w:rPr>
        <w:t>cl</w:t>
      </w:r>
      <w:r w:rsidR="007F574F" w:rsidRPr="00B61FF1">
        <w:rPr>
          <w:rFonts w:ascii="Arial" w:eastAsia="Arial" w:hAnsi="Arial" w:cs="Arial"/>
          <w:spacing w:val="1"/>
          <w:sz w:val="24"/>
          <w:szCs w:val="24"/>
        </w:rPr>
        <w:t>a</w:t>
      </w:r>
      <w:r w:rsidR="007F574F" w:rsidRPr="00B61FF1">
        <w:rPr>
          <w:rFonts w:ascii="Arial" w:eastAsia="Arial" w:hAnsi="Arial" w:cs="Arial"/>
          <w:sz w:val="24"/>
          <w:szCs w:val="24"/>
        </w:rPr>
        <w:t>i</w:t>
      </w:r>
      <w:r w:rsidR="007F574F" w:rsidRPr="00B61FF1">
        <w:rPr>
          <w:rFonts w:ascii="Arial" w:eastAsia="Arial" w:hAnsi="Arial" w:cs="Arial"/>
          <w:spacing w:val="2"/>
          <w:sz w:val="24"/>
          <w:szCs w:val="24"/>
        </w:rPr>
        <w:t>m</w:t>
      </w:r>
      <w:r w:rsidR="00D26033" w:rsidRPr="00B61FF1">
        <w:rPr>
          <w:rFonts w:ascii="Arial" w:hAnsi="Arial" w:cs="Arial"/>
          <w:sz w:val="24"/>
          <w:szCs w:val="24"/>
        </w:rPr>
        <w:t>;</w:t>
      </w:r>
    </w:p>
    <w:p w14:paraId="6DF809E9" w14:textId="77777777" w:rsidR="00196ACE" w:rsidRPr="00B61FF1" w:rsidRDefault="005C5EBD" w:rsidP="00383F25">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Contract, tracking system data,</w:t>
      </w:r>
      <w:r w:rsidR="008956C5" w:rsidRPr="00B61FF1">
        <w:rPr>
          <w:rFonts w:ascii="Arial" w:hAnsi="Arial" w:cs="Arial"/>
          <w:sz w:val="24"/>
          <w:szCs w:val="24"/>
        </w:rPr>
        <w:t xml:space="preserve"> </w:t>
      </w:r>
      <w:r w:rsidR="00196ACE" w:rsidRPr="00B61FF1">
        <w:rPr>
          <w:rFonts w:ascii="Arial" w:hAnsi="Arial" w:cs="Arial"/>
          <w:sz w:val="24"/>
          <w:szCs w:val="24"/>
        </w:rPr>
        <w:t>or settlement data for the purchase of the electricity or RECs associated with th</w:t>
      </w:r>
      <w:r w:rsidR="002C3DBA" w:rsidRPr="00B61FF1">
        <w:rPr>
          <w:rFonts w:ascii="Arial" w:hAnsi="Arial" w:cs="Arial"/>
          <w:sz w:val="24"/>
          <w:szCs w:val="24"/>
        </w:rPr>
        <w:t>e generation of the electricity</w:t>
      </w:r>
      <w:r w:rsidR="00E865A9" w:rsidRPr="00B61FF1">
        <w:rPr>
          <w:rFonts w:ascii="Arial" w:hAnsi="Arial" w:cs="Arial"/>
          <w:sz w:val="24"/>
          <w:szCs w:val="24"/>
        </w:rPr>
        <w:t xml:space="preserve"> must be submitted</w:t>
      </w:r>
      <w:r w:rsidR="002C3DBA" w:rsidRPr="00B61FF1">
        <w:rPr>
          <w:rFonts w:ascii="Arial" w:hAnsi="Arial" w:cs="Arial"/>
          <w:sz w:val="24"/>
          <w:szCs w:val="24"/>
        </w:rPr>
        <w:t>;</w:t>
      </w:r>
    </w:p>
    <w:p w14:paraId="5FA1238F" w14:textId="77777777" w:rsidR="00196ACE" w:rsidRPr="00B61FF1" w:rsidRDefault="00196ACE" w:rsidP="00383F25">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w:t>
      </w:r>
      <w:r w:rsidR="005C5EBD" w:rsidRPr="00B61FF1">
        <w:rPr>
          <w:rFonts w:ascii="Arial" w:hAnsi="Arial" w:cs="Arial"/>
          <w:sz w:val="24"/>
          <w:szCs w:val="24"/>
        </w:rPr>
        <w:t>E</w:t>
      </w:r>
      <w:r w:rsidRPr="00B61FF1">
        <w:rPr>
          <w:rFonts w:ascii="Arial" w:hAnsi="Arial" w:cs="Arial"/>
          <w:sz w:val="24"/>
          <w:szCs w:val="24"/>
        </w:rPr>
        <w:t>)</w:t>
      </w:r>
      <w:r w:rsidR="00383F25" w:rsidRPr="00B61FF1">
        <w:rPr>
          <w:rFonts w:ascii="Arial" w:hAnsi="Arial" w:cs="Arial"/>
          <w:sz w:val="24"/>
          <w:szCs w:val="24"/>
        </w:rPr>
        <w:tab/>
      </w:r>
      <w:r w:rsidRPr="00B61FF1">
        <w:rPr>
          <w:rFonts w:ascii="Arial" w:hAnsi="Arial" w:cs="Arial"/>
          <w:sz w:val="24"/>
          <w:szCs w:val="24"/>
        </w:rPr>
        <w:t>Contract</w:t>
      </w:r>
      <w:r w:rsidR="005C5EBD" w:rsidRPr="00B61FF1">
        <w:rPr>
          <w:rFonts w:ascii="Arial" w:hAnsi="Arial" w:cs="Arial"/>
          <w:sz w:val="24"/>
          <w:szCs w:val="24"/>
        </w:rPr>
        <w:t xml:space="preserve">, tracking system data, </w:t>
      </w:r>
      <w:r w:rsidRPr="00B61FF1">
        <w:rPr>
          <w:rFonts w:ascii="Arial" w:hAnsi="Arial" w:cs="Arial"/>
          <w:sz w:val="24"/>
          <w:szCs w:val="24"/>
        </w:rPr>
        <w:t>or settlement data for sale of the electricity or RECs associated with the generation of the electricity to the end-user or entity purch</w:t>
      </w:r>
      <w:r w:rsidR="00895F04" w:rsidRPr="00B61FF1">
        <w:rPr>
          <w:rFonts w:ascii="Arial" w:hAnsi="Arial" w:cs="Arial"/>
          <w:sz w:val="24"/>
          <w:szCs w:val="24"/>
        </w:rPr>
        <w:t>asing on behalf of the end-user; and</w:t>
      </w:r>
    </w:p>
    <w:p w14:paraId="43DDFECA" w14:textId="77777777" w:rsidR="00196ACE" w:rsidRPr="00B61FF1" w:rsidRDefault="00196ACE" w:rsidP="00383F25">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w:t>
      </w:r>
      <w:r w:rsidR="005C5EBD" w:rsidRPr="00B61FF1">
        <w:rPr>
          <w:rFonts w:ascii="Arial" w:hAnsi="Arial" w:cs="Arial"/>
          <w:sz w:val="24"/>
          <w:szCs w:val="24"/>
        </w:rPr>
        <w:t>F</w:t>
      </w:r>
      <w:r w:rsidRPr="00B61FF1">
        <w:rPr>
          <w:rFonts w:ascii="Arial" w:hAnsi="Arial" w:cs="Arial"/>
          <w:sz w:val="24"/>
          <w:szCs w:val="24"/>
        </w:rPr>
        <w:t xml:space="preserve">) </w:t>
      </w:r>
      <w:r w:rsidR="00383F25" w:rsidRPr="00B61FF1">
        <w:rPr>
          <w:rFonts w:ascii="Arial" w:hAnsi="Arial" w:cs="Arial"/>
          <w:sz w:val="24"/>
          <w:szCs w:val="24"/>
        </w:rPr>
        <w:tab/>
      </w:r>
      <w:r w:rsidR="00E865A9" w:rsidRPr="00B61FF1">
        <w:rPr>
          <w:rFonts w:ascii="Arial" w:hAnsi="Arial" w:cs="Arial"/>
          <w:sz w:val="24"/>
          <w:szCs w:val="24"/>
        </w:rPr>
        <w:t>Submit the following a</w:t>
      </w:r>
      <w:r w:rsidRPr="00B61FF1">
        <w:rPr>
          <w:rFonts w:ascii="Arial" w:hAnsi="Arial" w:cs="Arial"/>
          <w:sz w:val="24"/>
          <w:szCs w:val="24"/>
        </w:rPr>
        <w:t>ttestations:</w:t>
      </w:r>
    </w:p>
    <w:p w14:paraId="36845D0E" w14:textId="77777777" w:rsidR="00196ACE" w:rsidRPr="00B61FF1" w:rsidRDefault="001C5B1C" w:rsidP="001C5B1C">
      <w:pPr>
        <w:autoSpaceDE/>
        <w:autoSpaceDN/>
        <w:adjustRightInd/>
        <w:spacing w:after="200" w:line="360" w:lineRule="auto"/>
        <w:ind w:left="2160" w:hanging="720"/>
        <w:contextualSpacing/>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196ACE" w:rsidRPr="00B61FF1">
        <w:rPr>
          <w:rFonts w:ascii="Arial" w:hAnsi="Arial" w:cs="Arial"/>
          <w:sz w:val="24"/>
          <w:szCs w:val="24"/>
        </w:rPr>
        <w:t xml:space="preserve"> Attest, in writing, to ARB as follows: “I certify under penalty of perjury of the laws of the State of California that I have not authorized use of, or sold, any renewable electricity credits </w:t>
      </w:r>
      <w:r w:rsidR="00196ACE" w:rsidRPr="00B61FF1">
        <w:rPr>
          <w:rFonts w:ascii="Arial" w:hAnsi="Arial" w:cs="Arial"/>
          <w:sz w:val="24"/>
          <w:szCs w:val="24"/>
        </w:rPr>
        <w:lastRenderedPageBreak/>
        <w:t xml:space="preserve">or </w:t>
      </w:r>
      <w:r w:rsidR="005C5EBD" w:rsidRPr="00B61FF1">
        <w:rPr>
          <w:rFonts w:ascii="Arial" w:hAnsi="Arial" w:cs="Arial"/>
          <w:sz w:val="24"/>
          <w:szCs w:val="24"/>
        </w:rPr>
        <w:t>any claims to the emissions, or lack of emissions,</w:t>
      </w:r>
      <w:r w:rsidR="004770FF" w:rsidRPr="00B61FF1">
        <w:rPr>
          <w:rFonts w:ascii="Arial" w:hAnsi="Arial" w:cs="Arial"/>
          <w:sz w:val="24"/>
          <w:szCs w:val="24"/>
        </w:rPr>
        <w:t xml:space="preserve"> </w:t>
      </w:r>
      <w:r w:rsidR="00196ACE" w:rsidRPr="00B61FF1">
        <w:rPr>
          <w:rFonts w:ascii="Arial" w:hAnsi="Arial" w:cs="Arial"/>
          <w:sz w:val="24"/>
          <w:szCs w:val="24"/>
        </w:rPr>
        <w:t>for electricity for which I am seeking ARB allowance retirement, in any other voluntary or mandatory program.”</w:t>
      </w:r>
    </w:p>
    <w:p w14:paraId="0EF2BB7B" w14:textId="77777777" w:rsidR="00196ACE" w:rsidRPr="00B61FF1" w:rsidRDefault="001C5B1C" w:rsidP="001C5B1C">
      <w:pPr>
        <w:autoSpaceDE/>
        <w:autoSpaceDN/>
        <w:adjustRightInd/>
        <w:spacing w:after="200" w:line="360" w:lineRule="auto"/>
        <w:ind w:left="2160" w:hanging="720"/>
        <w:contextualSpacing/>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196ACE" w:rsidRPr="00B61FF1">
        <w:rPr>
          <w:rFonts w:ascii="Arial" w:hAnsi="Arial" w:cs="Arial"/>
          <w:sz w:val="24"/>
          <w:szCs w:val="24"/>
        </w:rPr>
        <w:t xml:space="preserve">Attest, in writing, to ARB as follows: “I understand I am voluntarily participating in the California Greenhouse Gas Cap-and-Trade Program under title 17, Cal. Code of Regs. article 5, and by doing so, I am now subject to all regulatory requirements and enforcement mechanisms of this </w:t>
      </w:r>
      <w:r w:rsidR="005C5EBD" w:rsidRPr="00B61FF1">
        <w:rPr>
          <w:rFonts w:ascii="Arial" w:hAnsi="Arial" w:cs="Arial"/>
          <w:sz w:val="24"/>
          <w:szCs w:val="24"/>
        </w:rPr>
        <w:t xml:space="preserve">voluntary renewable electricity </w:t>
      </w:r>
      <w:r w:rsidR="00196ACE" w:rsidRPr="00B61FF1">
        <w:rPr>
          <w:rFonts w:ascii="Arial" w:hAnsi="Arial" w:cs="Arial"/>
          <w:sz w:val="24"/>
          <w:szCs w:val="24"/>
        </w:rPr>
        <w:t xml:space="preserve">program and subject myself to the jurisdiction of California as the exclusive venue to resolve any and all disputes.” </w:t>
      </w:r>
    </w:p>
    <w:p w14:paraId="110F058C" w14:textId="77777777" w:rsidR="00196ACE" w:rsidRPr="00B61FF1" w:rsidRDefault="00B83431" w:rsidP="001C5B1C">
      <w:pPr>
        <w:tabs>
          <w:tab w:val="left" w:pos="3780"/>
        </w:tabs>
        <w:spacing w:line="360" w:lineRule="auto"/>
        <w:ind w:left="1080" w:hanging="720"/>
        <w:contextualSpacing/>
        <w:rPr>
          <w:rFonts w:ascii="Arial" w:hAnsi="Arial" w:cs="Arial"/>
          <w:sz w:val="24"/>
          <w:szCs w:val="24"/>
        </w:rPr>
      </w:pPr>
      <w:r w:rsidRPr="00B61FF1">
        <w:rPr>
          <w:rFonts w:ascii="Arial" w:hAnsi="Arial" w:cs="Arial"/>
          <w:sz w:val="24"/>
          <w:szCs w:val="24"/>
        </w:rPr>
        <w:t>(2)</w:t>
      </w:r>
      <w:r w:rsidR="00056AD6" w:rsidRPr="00B61FF1">
        <w:rPr>
          <w:rFonts w:ascii="Arial" w:hAnsi="Arial" w:cs="Arial"/>
          <w:sz w:val="24"/>
          <w:szCs w:val="24"/>
        </w:rPr>
        <w:tab/>
      </w:r>
      <w:r w:rsidR="00196ACE" w:rsidRPr="00B61FF1">
        <w:rPr>
          <w:rFonts w:ascii="Arial" w:hAnsi="Arial" w:cs="Arial"/>
          <w:sz w:val="24"/>
          <w:szCs w:val="24"/>
        </w:rPr>
        <w:t xml:space="preserve">VRE Participants seeking allowance retirement for renewable electricity generation from an eligible facility &gt; 200 KW nameplate capacity must submit the following with the report required in </w:t>
      </w:r>
      <w:r w:rsidR="00895F04" w:rsidRPr="00B61FF1">
        <w:rPr>
          <w:rFonts w:ascii="Arial" w:hAnsi="Arial" w:cs="Arial"/>
          <w:sz w:val="24"/>
          <w:szCs w:val="24"/>
        </w:rPr>
        <w:t>this section</w:t>
      </w:r>
      <w:r w:rsidR="005C5EBD" w:rsidRPr="00B61FF1">
        <w:rPr>
          <w:rFonts w:ascii="Arial" w:hAnsi="Arial" w:cs="Arial"/>
          <w:sz w:val="24"/>
          <w:szCs w:val="24"/>
        </w:rPr>
        <w:t>, for which the VRE participant is seeking allowance retirement</w:t>
      </w:r>
      <w:r w:rsidR="00196ACE" w:rsidRPr="00B61FF1">
        <w:rPr>
          <w:rFonts w:ascii="Arial" w:hAnsi="Arial" w:cs="Arial"/>
          <w:sz w:val="24"/>
          <w:szCs w:val="24"/>
        </w:rPr>
        <w:t>:</w:t>
      </w:r>
    </w:p>
    <w:p w14:paraId="0854979E" w14:textId="14FB52C5" w:rsidR="00196ACE" w:rsidRPr="00B61FF1" w:rsidRDefault="00B83431" w:rsidP="00383F25">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 xml:space="preserve">(A) </w:t>
      </w:r>
      <w:r w:rsidR="00056AD6" w:rsidRPr="00B61FF1">
        <w:rPr>
          <w:rFonts w:ascii="Arial" w:hAnsi="Arial" w:cs="Arial"/>
          <w:sz w:val="24"/>
          <w:szCs w:val="24"/>
        </w:rPr>
        <w:tab/>
      </w:r>
      <w:r w:rsidR="005C5EBD" w:rsidRPr="00B61FF1">
        <w:rPr>
          <w:rFonts w:ascii="Arial" w:hAnsi="Arial" w:cs="Arial"/>
          <w:sz w:val="24"/>
          <w:szCs w:val="24"/>
        </w:rPr>
        <w:t xml:space="preserve">Provide the generator’s RPS certification identification number, as determined by the California Energy Commission, or </w:t>
      </w:r>
      <w:r w:rsidR="00E865A9" w:rsidRPr="00B61FF1">
        <w:rPr>
          <w:rFonts w:ascii="Arial" w:hAnsi="Arial" w:cs="Arial"/>
          <w:sz w:val="24"/>
          <w:szCs w:val="24"/>
        </w:rPr>
        <w:t>proof that each facility or system has met</w:t>
      </w:r>
      <w:r w:rsidR="005C5EBD" w:rsidRPr="00B61FF1">
        <w:rPr>
          <w:rFonts w:ascii="Arial" w:hAnsi="Arial" w:cs="Arial"/>
          <w:sz w:val="24"/>
          <w:szCs w:val="24"/>
        </w:rPr>
        <w:t xml:space="preserve"> design and installation standards pursuant to the California Energy Commission’s Guidelines for California’s Solar Electric Incentive Programs</w:t>
      </w:r>
      <w:r w:rsidR="003E69D3" w:rsidRPr="00B61FF1">
        <w:rPr>
          <w:rFonts w:ascii="Arial" w:eastAsia="Arial" w:hAnsi="Arial" w:cs="Arial"/>
          <w:sz w:val="24"/>
          <w:szCs w:val="24"/>
        </w:rPr>
        <w:t xml:space="preserve">, </w:t>
      </w:r>
      <w:r w:rsidR="003E69D3" w:rsidRPr="00B61FF1">
        <w:rPr>
          <w:rFonts w:ascii="Arial" w:eastAsia="Arial" w:hAnsi="Arial" w:cs="Arial"/>
          <w:strike/>
          <w:sz w:val="24"/>
          <w:szCs w:val="24"/>
        </w:rPr>
        <w:t>t</w:t>
      </w:r>
      <w:r w:rsidR="003E69D3" w:rsidRPr="00B61FF1">
        <w:rPr>
          <w:rFonts w:ascii="Arial" w:eastAsia="Arial" w:hAnsi="Arial" w:cs="Arial"/>
          <w:strike/>
          <w:spacing w:val="1"/>
          <w:sz w:val="24"/>
          <w:szCs w:val="24"/>
        </w:rPr>
        <w:t>h</w:t>
      </w:r>
      <w:r w:rsidR="003E69D3" w:rsidRPr="00B61FF1">
        <w:rPr>
          <w:rFonts w:ascii="Arial" w:eastAsia="Arial" w:hAnsi="Arial" w:cs="Arial"/>
          <w:strike/>
          <w:sz w:val="24"/>
          <w:szCs w:val="24"/>
        </w:rPr>
        <w:t>i</w:t>
      </w:r>
      <w:r w:rsidR="003E69D3" w:rsidRPr="00B61FF1">
        <w:rPr>
          <w:rFonts w:ascii="Arial" w:eastAsia="Arial" w:hAnsi="Arial" w:cs="Arial"/>
          <w:strike/>
          <w:spacing w:val="-1"/>
          <w:sz w:val="24"/>
          <w:szCs w:val="24"/>
        </w:rPr>
        <w:t>r</w:t>
      </w:r>
      <w:r w:rsidR="003E69D3" w:rsidRPr="00B61FF1">
        <w:rPr>
          <w:rFonts w:ascii="Arial" w:eastAsia="Arial" w:hAnsi="Arial" w:cs="Arial"/>
          <w:strike/>
          <w:sz w:val="24"/>
          <w:szCs w:val="24"/>
        </w:rPr>
        <w:t>d</w:t>
      </w:r>
      <w:r w:rsidR="003E69D3" w:rsidRPr="00B61FF1">
        <w:rPr>
          <w:rFonts w:ascii="Arial" w:eastAsia="Arial" w:hAnsi="Arial" w:cs="Arial"/>
          <w:spacing w:val="1"/>
          <w:sz w:val="24"/>
          <w:szCs w:val="24"/>
        </w:rPr>
        <w:t xml:space="preserve"> </w:t>
      </w:r>
      <w:r w:rsidR="003E69D3" w:rsidRPr="00B61FF1">
        <w:rPr>
          <w:rFonts w:ascii="Arial" w:eastAsia="Arial" w:hAnsi="Arial" w:cs="Arial"/>
          <w:spacing w:val="1"/>
          <w:sz w:val="24"/>
          <w:szCs w:val="24"/>
          <w:u w:val="single"/>
        </w:rPr>
        <w:t xml:space="preserve">fifth </w:t>
      </w:r>
      <w:r w:rsidR="003E69D3" w:rsidRPr="00B61FF1">
        <w:rPr>
          <w:rFonts w:ascii="Arial" w:eastAsia="Arial" w:hAnsi="Arial" w:cs="Arial"/>
          <w:spacing w:val="1"/>
          <w:sz w:val="24"/>
          <w:szCs w:val="24"/>
        </w:rPr>
        <w:t>ed</w:t>
      </w:r>
      <w:r w:rsidR="003E69D3" w:rsidRPr="00B61FF1">
        <w:rPr>
          <w:rFonts w:ascii="Arial" w:eastAsia="Arial" w:hAnsi="Arial" w:cs="Arial"/>
          <w:sz w:val="24"/>
          <w:szCs w:val="24"/>
        </w:rPr>
        <w:t>it</w:t>
      </w:r>
      <w:r w:rsidR="003E69D3" w:rsidRPr="00B61FF1">
        <w:rPr>
          <w:rFonts w:ascii="Arial" w:eastAsia="Arial" w:hAnsi="Arial" w:cs="Arial"/>
          <w:spacing w:val="-3"/>
          <w:sz w:val="24"/>
          <w:szCs w:val="24"/>
        </w:rPr>
        <w:t>i</w:t>
      </w:r>
      <w:r w:rsidR="003E69D3" w:rsidRPr="00B61FF1">
        <w:rPr>
          <w:rFonts w:ascii="Arial" w:eastAsia="Arial" w:hAnsi="Arial" w:cs="Arial"/>
          <w:spacing w:val="1"/>
          <w:sz w:val="24"/>
          <w:szCs w:val="24"/>
        </w:rPr>
        <w:t>on</w:t>
      </w:r>
      <w:r w:rsidR="003E69D3" w:rsidRPr="00B61FF1">
        <w:rPr>
          <w:rFonts w:ascii="Arial" w:eastAsia="Arial" w:hAnsi="Arial" w:cs="Arial"/>
          <w:sz w:val="24"/>
          <w:szCs w:val="24"/>
        </w:rPr>
        <w:t>,</w:t>
      </w:r>
      <w:r w:rsidR="003E69D3" w:rsidRPr="00B61FF1">
        <w:rPr>
          <w:rFonts w:ascii="Arial" w:eastAsia="Arial" w:hAnsi="Arial" w:cs="Arial"/>
          <w:spacing w:val="1"/>
          <w:sz w:val="24"/>
          <w:szCs w:val="24"/>
        </w:rPr>
        <w:t xml:space="preserve"> </w:t>
      </w:r>
      <w:r w:rsidR="003E69D3" w:rsidRPr="00B61FF1">
        <w:rPr>
          <w:rFonts w:ascii="Arial" w:eastAsia="Arial" w:hAnsi="Arial" w:cs="Arial"/>
          <w:spacing w:val="-2"/>
          <w:sz w:val="24"/>
          <w:szCs w:val="24"/>
        </w:rPr>
        <w:t>J</w:t>
      </w:r>
      <w:r w:rsidR="003E69D3" w:rsidRPr="00B61FF1">
        <w:rPr>
          <w:rFonts w:ascii="Arial" w:eastAsia="Arial" w:hAnsi="Arial" w:cs="Arial"/>
          <w:strike/>
          <w:spacing w:val="-2"/>
          <w:sz w:val="24"/>
          <w:szCs w:val="24"/>
        </w:rPr>
        <w:t>une</w:t>
      </w:r>
      <w:r w:rsidR="003E69D3" w:rsidRPr="00B61FF1">
        <w:rPr>
          <w:rFonts w:ascii="Arial" w:eastAsia="Arial" w:hAnsi="Arial" w:cs="Arial"/>
          <w:spacing w:val="1"/>
          <w:sz w:val="24"/>
          <w:szCs w:val="24"/>
          <w:u w:val="single"/>
        </w:rPr>
        <w:t>anuary</w:t>
      </w:r>
      <w:r w:rsidR="003E69D3" w:rsidRPr="00B61FF1">
        <w:rPr>
          <w:rFonts w:ascii="Arial" w:eastAsia="Arial" w:hAnsi="Arial" w:cs="Arial"/>
          <w:strike/>
          <w:sz w:val="24"/>
          <w:szCs w:val="24"/>
        </w:rPr>
        <w:t xml:space="preserve"> </w:t>
      </w:r>
      <w:r w:rsidR="003E69D3" w:rsidRPr="00B61FF1">
        <w:rPr>
          <w:rFonts w:ascii="Arial" w:eastAsia="Arial" w:hAnsi="Arial" w:cs="Arial"/>
          <w:sz w:val="24"/>
          <w:szCs w:val="24"/>
        </w:rPr>
        <w:t xml:space="preserve"> </w:t>
      </w:r>
      <w:r w:rsidR="003E69D3" w:rsidRPr="00B61FF1">
        <w:rPr>
          <w:rFonts w:ascii="Arial" w:eastAsia="Arial" w:hAnsi="Arial" w:cs="Arial"/>
          <w:spacing w:val="-1"/>
          <w:sz w:val="24"/>
          <w:szCs w:val="24"/>
        </w:rPr>
        <w:t>2</w:t>
      </w:r>
      <w:r w:rsidR="003E69D3" w:rsidRPr="00B61FF1">
        <w:rPr>
          <w:rFonts w:ascii="Arial" w:eastAsia="Arial" w:hAnsi="Arial" w:cs="Arial"/>
          <w:spacing w:val="1"/>
          <w:sz w:val="24"/>
          <w:szCs w:val="24"/>
        </w:rPr>
        <w:t>0</w:t>
      </w:r>
      <w:r w:rsidR="003E69D3" w:rsidRPr="00B61FF1">
        <w:rPr>
          <w:rFonts w:ascii="Arial" w:eastAsia="Arial" w:hAnsi="Arial" w:cs="Arial"/>
          <w:spacing w:val="-1"/>
          <w:sz w:val="24"/>
          <w:szCs w:val="24"/>
        </w:rPr>
        <w:t>1</w:t>
      </w:r>
      <w:r w:rsidR="003E69D3" w:rsidRPr="00B61FF1">
        <w:rPr>
          <w:rFonts w:ascii="Arial" w:eastAsia="Arial" w:hAnsi="Arial" w:cs="Arial"/>
          <w:strike/>
          <w:spacing w:val="1"/>
          <w:sz w:val="24"/>
          <w:szCs w:val="24"/>
        </w:rPr>
        <w:t>0</w:t>
      </w:r>
      <w:r w:rsidR="003E69D3" w:rsidRPr="00B61FF1">
        <w:rPr>
          <w:rFonts w:ascii="Arial" w:eastAsia="Arial" w:hAnsi="Arial" w:cs="Arial"/>
          <w:spacing w:val="1"/>
          <w:sz w:val="24"/>
          <w:szCs w:val="24"/>
          <w:u w:val="single"/>
        </w:rPr>
        <w:t>3</w:t>
      </w:r>
      <w:r w:rsidR="005C5EBD" w:rsidRPr="00B61FF1">
        <w:rPr>
          <w:rFonts w:ascii="Arial" w:hAnsi="Arial" w:cs="Arial"/>
          <w:sz w:val="24"/>
          <w:szCs w:val="24"/>
        </w:rPr>
        <w:t>;</w:t>
      </w:r>
    </w:p>
    <w:p w14:paraId="30492E04" w14:textId="77777777" w:rsidR="00196ACE" w:rsidRPr="00B61FF1" w:rsidRDefault="00B83431" w:rsidP="00056AD6">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 xml:space="preserve">(B) </w:t>
      </w:r>
      <w:r w:rsidR="00056AD6" w:rsidRPr="00B61FF1">
        <w:rPr>
          <w:rFonts w:ascii="Arial" w:hAnsi="Arial" w:cs="Arial"/>
          <w:sz w:val="24"/>
          <w:szCs w:val="24"/>
        </w:rPr>
        <w:tab/>
      </w:r>
      <w:r w:rsidR="005C5EBD" w:rsidRPr="00B61FF1">
        <w:rPr>
          <w:rFonts w:ascii="Arial" w:hAnsi="Arial" w:cs="Arial"/>
          <w:sz w:val="24"/>
          <w:szCs w:val="24"/>
        </w:rPr>
        <w:t>MWhs of renewable electricity generated designated for VRE retirement;</w:t>
      </w:r>
    </w:p>
    <w:p w14:paraId="027709FA" w14:textId="77777777" w:rsidR="00196ACE" w:rsidRPr="00B61FF1" w:rsidRDefault="00B83431" w:rsidP="003E69D3">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(C)</w:t>
      </w:r>
      <w:r w:rsidR="00056AD6" w:rsidRPr="00B61FF1">
        <w:rPr>
          <w:rFonts w:ascii="Arial" w:hAnsi="Arial" w:cs="Arial"/>
          <w:sz w:val="24"/>
          <w:szCs w:val="24"/>
        </w:rPr>
        <w:tab/>
      </w:r>
      <w:r w:rsidR="005C5EBD" w:rsidRPr="00B61FF1">
        <w:rPr>
          <w:rFonts w:ascii="Arial" w:hAnsi="Arial" w:cs="Arial"/>
          <w:sz w:val="24"/>
          <w:szCs w:val="24"/>
        </w:rPr>
        <w:t>Number of RECs designated for VRE retirement, as applicable; and</w:t>
      </w:r>
    </w:p>
    <w:p w14:paraId="6E9B9566" w14:textId="77777777" w:rsidR="003E69D3" w:rsidRPr="00B61FF1" w:rsidRDefault="003E69D3" w:rsidP="003E69D3">
      <w:pPr>
        <w:widowControl w:val="0"/>
        <w:autoSpaceDE/>
        <w:autoSpaceDN/>
        <w:adjustRightInd/>
        <w:spacing w:line="360" w:lineRule="auto"/>
        <w:ind w:left="1800" w:right="-20" w:hanging="720"/>
        <w:rPr>
          <w:rFonts w:ascii="Arial" w:eastAsia="Arial" w:hAnsi="Arial" w:cs="Arial"/>
          <w:sz w:val="24"/>
          <w:szCs w:val="24"/>
        </w:rPr>
      </w:pPr>
      <w:r w:rsidRPr="00B61FF1">
        <w:rPr>
          <w:rFonts w:ascii="Arial" w:eastAsia="Arial" w:hAnsi="Arial" w:cs="Arial"/>
          <w:spacing w:val="-1"/>
          <w:sz w:val="24"/>
          <w:szCs w:val="24"/>
        </w:rPr>
        <w:t>(</w:t>
      </w:r>
      <w:r w:rsidRPr="00B61FF1">
        <w:rPr>
          <w:rFonts w:ascii="Arial" w:eastAsia="Arial" w:hAnsi="Arial" w:cs="Arial"/>
          <w:sz w:val="24"/>
          <w:szCs w:val="24"/>
        </w:rPr>
        <w:t>D)</w:t>
      </w:r>
      <w:r w:rsidRPr="00B61FF1">
        <w:rPr>
          <w:rFonts w:ascii="Arial" w:eastAsia="Arial" w:hAnsi="Arial" w:cs="Arial"/>
          <w:sz w:val="24"/>
          <w:szCs w:val="24"/>
        </w:rPr>
        <w:tab/>
      </w:r>
      <w:r w:rsidRPr="00B61FF1">
        <w:rPr>
          <w:rFonts w:ascii="Arial" w:eastAsia="Arial" w:hAnsi="Arial" w:cs="Arial"/>
          <w:sz w:val="24"/>
          <w:szCs w:val="24"/>
          <w:u w:val="single"/>
        </w:rPr>
        <w:t>WREGIS</w:t>
      </w:r>
      <w:r w:rsidRPr="00B61FF1">
        <w:rPr>
          <w:rFonts w:ascii="Arial" w:eastAsia="Arial" w:hAnsi="Arial" w:cs="Arial"/>
          <w:sz w:val="24"/>
          <w:szCs w:val="24"/>
        </w:rPr>
        <w:t xml:space="preserve"> R</w:t>
      </w:r>
      <w:r w:rsidRPr="00B61FF1">
        <w:rPr>
          <w:rFonts w:ascii="Arial" w:eastAsia="Arial" w:hAnsi="Arial" w:cs="Arial"/>
          <w:spacing w:val="1"/>
          <w:sz w:val="24"/>
          <w:szCs w:val="24"/>
        </w:rPr>
        <w:t>E</w:t>
      </w:r>
      <w:r w:rsidRPr="00B61FF1">
        <w:rPr>
          <w:rFonts w:ascii="Arial" w:eastAsia="Arial" w:hAnsi="Arial" w:cs="Arial"/>
          <w:sz w:val="24"/>
          <w:szCs w:val="24"/>
        </w:rPr>
        <w:t xml:space="preserve">C </w:t>
      </w:r>
      <w:r w:rsidRPr="00B61FF1">
        <w:rPr>
          <w:rFonts w:ascii="Arial" w:eastAsia="Arial" w:hAnsi="Arial" w:cs="Arial"/>
          <w:sz w:val="24"/>
          <w:szCs w:val="24"/>
          <w:u w:val="single"/>
        </w:rPr>
        <w:t>R</w:t>
      </w:r>
      <w:r w:rsidRPr="00B61FF1">
        <w:rPr>
          <w:rFonts w:ascii="Arial" w:eastAsia="Arial" w:hAnsi="Arial" w:cs="Arial"/>
          <w:strike/>
          <w:sz w:val="24"/>
          <w:szCs w:val="24"/>
          <w:u w:val="single"/>
        </w:rPr>
        <w:t>r</w:t>
      </w:r>
      <w:r w:rsidRPr="00B61FF1">
        <w:rPr>
          <w:rFonts w:ascii="Arial" w:eastAsia="Arial" w:hAnsi="Arial" w:cs="Arial"/>
          <w:spacing w:val="1"/>
          <w:sz w:val="24"/>
          <w:szCs w:val="24"/>
        </w:rPr>
        <w:t>e</w:t>
      </w:r>
      <w:r w:rsidRPr="00B61FF1">
        <w:rPr>
          <w:rFonts w:ascii="Arial" w:eastAsia="Arial" w:hAnsi="Arial" w:cs="Arial"/>
          <w:sz w:val="24"/>
          <w:szCs w:val="24"/>
        </w:rPr>
        <w:t>ti</w:t>
      </w:r>
      <w:r w:rsidRPr="00B61FF1">
        <w:rPr>
          <w:rFonts w:ascii="Arial" w:eastAsia="Arial" w:hAnsi="Arial" w:cs="Arial"/>
          <w:spacing w:val="-1"/>
          <w:sz w:val="24"/>
          <w:szCs w:val="24"/>
        </w:rPr>
        <w:t>r</w:t>
      </w:r>
      <w:r w:rsidRPr="00B61FF1">
        <w:rPr>
          <w:rFonts w:ascii="Arial" w:eastAsia="Arial" w:hAnsi="Arial" w:cs="Arial"/>
          <w:spacing w:val="1"/>
          <w:sz w:val="24"/>
          <w:szCs w:val="24"/>
        </w:rPr>
        <w:t>e</w:t>
      </w:r>
      <w:r w:rsidRPr="00B61FF1">
        <w:rPr>
          <w:rFonts w:ascii="Arial" w:eastAsia="Arial" w:hAnsi="Arial" w:cs="Arial"/>
          <w:spacing w:val="2"/>
          <w:sz w:val="24"/>
          <w:szCs w:val="24"/>
        </w:rPr>
        <w:t>m</w:t>
      </w:r>
      <w:r w:rsidRPr="00B61FF1">
        <w:rPr>
          <w:rFonts w:ascii="Arial" w:eastAsia="Arial" w:hAnsi="Arial" w:cs="Arial"/>
          <w:spacing w:val="-1"/>
          <w:sz w:val="24"/>
          <w:szCs w:val="24"/>
        </w:rPr>
        <w:t>e</w:t>
      </w:r>
      <w:r w:rsidRPr="00B61FF1">
        <w:rPr>
          <w:rFonts w:ascii="Arial" w:eastAsia="Arial" w:hAnsi="Arial" w:cs="Arial"/>
          <w:spacing w:val="1"/>
          <w:sz w:val="24"/>
          <w:szCs w:val="24"/>
        </w:rPr>
        <w:t>n</w:t>
      </w:r>
      <w:r w:rsidRPr="00B61FF1">
        <w:rPr>
          <w:rFonts w:ascii="Arial" w:eastAsia="Arial" w:hAnsi="Arial" w:cs="Arial"/>
          <w:sz w:val="24"/>
          <w:szCs w:val="24"/>
        </w:rPr>
        <w:t>t</w:t>
      </w:r>
      <w:r w:rsidRPr="00B61FF1">
        <w:rPr>
          <w:rFonts w:ascii="Arial" w:eastAsia="Arial" w:hAnsi="Arial" w:cs="Arial"/>
          <w:spacing w:val="1"/>
          <w:sz w:val="24"/>
          <w:szCs w:val="24"/>
        </w:rPr>
        <w:t xml:space="preserve"> </w:t>
      </w:r>
      <w:r w:rsidRPr="00B61FF1">
        <w:rPr>
          <w:rFonts w:ascii="Arial" w:eastAsia="Arial" w:hAnsi="Arial" w:cs="Arial"/>
          <w:spacing w:val="1"/>
          <w:sz w:val="24"/>
          <w:szCs w:val="24"/>
          <w:u w:val="single"/>
        </w:rPr>
        <w:t>Compliance R</w:t>
      </w:r>
      <w:r w:rsidRPr="00B61FF1">
        <w:rPr>
          <w:rFonts w:ascii="Arial" w:eastAsia="Arial" w:hAnsi="Arial" w:cs="Arial"/>
          <w:strike/>
          <w:spacing w:val="1"/>
          <w:sz w:val="24"/>
          <w:szCs w:val="24"/>
        </w:rPr>
        <w:t>r</w:t>
      </w:r>
      <w:r w:rsidRPr="00B61FF1">
        <w:rPr>
          <w:rFonts w:ascii="Arial" w:eastAsia="Arial" w:hAnsi="Arial" w:cs="Arial"/>
          <w:spacing w:val="-1"/>
          <w:sz w:val="24"/>
          <w:szCs w:val="24"/>
        </w:rPr>
        <w:t>e</w:t>
      </w:r>
      <w:r w:rsidRPr="00B61FF1">
        <w:rPr>
          <w:rFonts w:ascii="Arial" w:eastAsia="Arial" w:hAnsi="Arial" w:cs="Arial"/>
          <w:spacing w:val="1"/>
          <w:sz w:val="24"/>
          <w:szCs w:val="24"/>
        </w:rPr>
        <w:t>po</w:t>
      </w:r>
      <w:r w:rsidRPr="00B61FF1">
        <w:rPr>
          <w:rFonts w:ascii="Arial" w:eastAsia="Arial" w:hAnsi="Arial" w:cs="Arial"/>
          <w:spacing w:val="-1"/>
          <w:sz w:val="24"/>
          <w:szCs w:val="24"/>
        </w:rPr>
        <w:t>r</w:t>
      </w:r>
      <w:r w:rsidRPr="00B61FF1">
        <w:rPr>
          <w:rFonts w:ascii="Arial" w:eastAsia="Arial" w:hAnsi="Arial" w:cs="Arial"/>
          <w:sz w:val="24"/>
          <w:szCs w:val="24"/>
        </w:rPr>
        <w:t>t</w:t>
      </w:r>
      <w:r w:rsidRPr="00B61FF1">
        <w:rPr>
          <w:rFonts w:ascii="Arial" w:eastAsia="Arial" w:hAnsi="Arial" w:cs="Arial"/>
          <w:spacing w:val="-1"/>
          <w:sz w:val="24"/>
          <w:szCs w:val="24"/>
        </w:rPr>
        <w:t xml:space="preserve"> </w:t>
      </w:r>
      <w:r w:rsidRPr="00B61FF1">
        <w:rPr>
          <w:rFonts w:ascii="Arial" w:eastAsia="Arial" w:hAnsi="Arial" w:cs="Arial"/>
          <w:strike/>
          <w:spacing w:val="1"/>
          <w:sz w:val="24"/>
          <w:szCs w:val="24"/>
        </w:rPr>
        <w:t>o</w:t>
      </w:r>
      <w:r w:rsidRPr="00B61FF1">
        <w:rPr>
          <w:rFonts w:ascii="Arial" w:eastAsia="Arial" w:hAnsi="Arial" w:cs="Arial"/>
          <w:strike/>
          <w:sz w:val="24"/>
          <w:szCs w:val="24"/>
        </w:rPr>
        <w:t>r t</w:t>
      </w:r>
      <w:r w:rsidRPr="00B61FF1">
        <w:rPr>
          <w:rFonts w:ascii="Arial" w:eastAsia="Arial" w:hAnsi="Arial" w:cs="Arial"/>
          <w:strike/>
          <w:spacing w:val="-1"/>
          <w:sz w:val="24"/>
          <w:szCs w:val="24"/>
        </w:rPr>
        <w:t>r</w:t>
      </w:r>
      <w:r w:rsidRPr="00B61FF1">
        <w:rPr>
          <w:rFonts w:ascii="Arial" w:eastAsia="Arial" w:hAnsi="Arial" w:cs="Arial"/>
          <w:strike/>
          <w:spacing w:val="1"/>
          <w:sz w:val="24"/>
          <w:szCs w:val="24"/>
        </w:rPr>
        <w:t>a</w:t>
      </w:r>
      <w:r w:rsidRPr="00B61FF1">
        <w:rPr>
          <w:rFonts w:ascii="Arial" w:eastAsia="Arial" w:hAnsi="Arial" w:cs="Arial"/>
          <w:strike/>
          <w:sz w:val="24"/>
          <w:szCs w:val="24"/>
        </w:rPr>
        <w:t>cki</w:t>
      </w:r>
      <w:r w:rsidRPr="00B61FF1">
        <w:rPr>
          <w:rFonts w:ascii="Arial" w:eastAsia="Arial" w:hAnsi="Arial" w:cs="Arial"/>
          <w:strike/>
          <w:spacing w:val="1"/>
          <w:sz w:val="24"/>
          <w:szCs w:val="24"/>
        </w:rPr>
        <w:t>n</w:t>
      </w:r>
      <w:r w:rsidRPr="00B61FF1">
        <w:rPr>
          <w:rFonts w:ascii="Arial" w:eastAsia="Arial" w:hAnsi="Arial" w:cs="Arial"/>
          <w:strike/>
          <w:sz w:val="24"/>
          <w:szCs w:val="24"/>
        </w:rPr>
        <w:t>g</w:t>
      </w:r>
      <w:r w:rsidRPr="00B61FF1">
        <w:rPr>
          <w:rFonts w:ascii="Arial" w:eastAsia="Arial" w:hAnsi="Arial" w:cs="Arial"/>
          <w:strike/>
          <w:spacing w:val="-1"/>
          <w:sz w:val="24"/>
          <w:szCs w:val="24"/>
        </w:rPr>
        <w:t xml:space="preserve"> </w:t>
      </w:r>
      <w:r w:rsidRPr="00B61FF1">
        <w:rPr>
          <w:rFonts w:ascii="Arial" w:eastAsia="Arial" w:hAnsi="Arial" w:cs="Arial"/>
          <w:strike/>
          <w:sz w:val="24"/>
          <w:szCs w:val="24"/>
        </w:rPr>
        <w:t>s</w:t>
      </w:r>
      <w:r w:rsidRPr="00B61FF1">
        <w:rPr>
          <w:rFonts w:ascii="Arial" w:eastAsia="Arial" w:hAnsi="Arial" w:cs="Arial"/>
          <w:strike/>
          <w:spacing w:val="-2"/>
          <w:sz w:val="24"/>
          <w:szCs w:val="24"/>
        </w:rPr>
        <w:t>y</w:t>
      </w:r>
      <w:r w:rsidRPr="00B61FF1">
        <w:rPr>
          <w:rFonts w:ascii="Arial" w:eastAsia="Arial" w:hAnsi="Arial" w:cs="Arial"/>
          <w:strike/>
          <w:sz w:val="24"/>
          <w:szCs w:val="24"/>
        </w:rPr>
        <w:t>st</w:t>
      </w:r>
      <w:r w:rsidRPr="00B61FF1">
        <w:rPr>
          <w:rFonts w:ascii="Arial" w:eastAsia="Arial" w:hAnsi="Arial" w:cs="Arial"/>
          <w:strike/>
          <w:spacing w:val="1"/>
          <w:sz w:val="24"/>
          <w:szCs w:val="24"/>
        </w:rPr>
        <w:t>e</w:t>
      </w:r>
      <w:r w:rsidRPr="00B61FF1">
        <w:rPr>
          <w:rFonts w:ascii="Arial" w:eastAsia="Arial" w:hAnsi="Arial" w:cs="Arial"/>
          <w:strike/>
          <w:sz w:val="24"/>
          <w:szCs w:val="24"/>
        </w:rPr>
        <w:t>m</w:t>
      </w:r>
      <w:r w:rsidRPr="00B61FF1">
        <w:rPr>
          <w:rFonts w:ascii="Arial" w:eastAsia="Arial" w:hAnsi="Arial" w:cs="Arial"/>
          <w:strike/>
          <w:spacing w:val="2"/>
          <w:sz w:val="24"/>
          <w:szCs w:val="24"/>
        </w:rPr>
        <w:t xml:space="preserve"> </w:t>
      </w:r>
      <w:r w:rsidRPr="00B61FF1">
        <w:rPr>
          <w:rFonts w:ascii="Arial" w:eastAsia="Arial" w:hAnsi="Arial" w:cs="Arial"/>
          <w:strike/>
          <w:spacing w:val="-1"/>
          <w:sz w:val="24"/>
          <w:szCs w:val="24"/>
        </w:rPr>
        <w:t>d</w:t>
      </w:r>
      <w:r w:rsidRPr="00B61FF1">
        <w:rPr>
          <w:rFonts w:ascii="Arial" w:eastAsia="Arial" w:hAnsi="Arial" w:cs="Arial"/>
          <w:strike/>
          <w:spacing w:val="1"/>
          <w:sz w:val="24"/>
          <w:szCs w:val="24"/>
        </w:rPr>
        <w:t>a</w:t>
      </w:r>
      <w:r w:rsidRPr="00B61FF1">
        <w:rPr>
          <w:rFonts w:ascii="Arial" w:eastAsia="Arial" w:hAnsi="Arial" w:cs="Arial"/>
          <w:strike/>
          <w:spacing w:val="-2"/>
          <w:sz w:val="24"/>
          <w:szCs w:val="24"/>
        </w:rPr>
        <w:t>t</w:t>
      </w:r>
      <w:r w:rsidRPr="00B61FF1">
        <w:rPr>
          <w:rFonts w:ascii="Arial" w:eastAsia="Arial" w:hAnsi="Arial" w:cs="Arial"/>
          <w:strike/>
          <w:spacing w:val="1"/>
          <w:sz w:val="24"/>
          <w:szCs w:val="24"/>
        </w:rPr>
        <w:t>a</w:t>
      </w:r>
      <w:r w:rsidRPr="00B61FF1">
        <w:rPr>
          <w:rFonts w:ascii="Arial" w:eastAsia="Arial" w:hAnsi="Arial" w:cs="Arial"/>
          <w:spacing w:val="1"/>
          <w:sz w:val="24"/>
          <w:szCs w:val="24"/>
        </w:rPr>
        <w:t>.</w:t>
      </w:r>
    </w:p>
    <w:p w14:paraId="75DC7176" w14:textId="61BF5CEB" w:rsidR="00196ACE" w:rsidRPr="00B61FF1" w:rsidRDefault="003E69D3" w:rsidP="003E69D3">
      <w:pPr>
        <w:tabs>
          <w:tab w:val="left" w:pos="3780"/>
        </w:tabs>
        <w:spacing w:line="360" w:lineRule="auto"/>
        <w:ind w:left="1080" w:hanging="720"/>
        <w:contextualSpacing/>
        <w:rPr>
          <w:rFonts w:ascii="Arial" w:hAnsi="Arial" w:cs="Arial"/>
          <w:sz w:val="24"/>
          <w:szCs w:val="24"/>
        </w:rPr>
      </w:pPr>
      <w:r w:rsidRPr="00B61FF1">
        <w:rPr>
          <w:rFonts w:ascii="Arial" w:hAnsi="Arial" w:cs="Arial"/>
          <w:sz w:val="24"/>
          <w:szCs w:val="24"/>
        </w:rPr>
        <w:t xml:space="preserve"> </w:t>
      </w:r>
      <w:r w:rsidR="00B83431" w:rsidRPr="00B61FF1">
        <w:rPr>
          <w:rFonts w:ascii="Arial" w:hAnsi="Arial" w:cs="Arial"/>
          <w:sz w:val="24"/>
          <w:szCs w:val="24"/>
        </w:rPr>
        <w:t>(3)</w:t>
      </w:r>
      <w:r w:rsidR="00056AD6" w:rsidRPr="00B61FF1">
        <w:rPr>
          <w:rFonts w:ascii="Arial" w:hAnsi="Arial" w:cs="Arial"/>
          <w:sz w:val="24"/>
          <w:szCs w:val="24"/>
        </w:rPr>
        <w:tab/>
      </w:r>
      <w:r w:rsidR="00196ACE" w:rsidRPr="00B61FF1">
        <w:rPr>
          <w:rFonts w:ascii="Arial" w:hAnsi="Arial" w:cs="Arial"/>
          <w:sz w:val="24"/>
          <w:szCs w:val="24"/>
        </w:rPr>
        <w:t>VRE participants seeking allowance retirement for renewable electricity generating from an eligible facility ≤ 200</w:t>
      </w:r>
      <w:r w:rsidR="00895F04" w:rsidRPr="00B61FF1">
        <w:rPr>
          <w:rFonts w:ascii="Arial" w:hAnsi="Arial" w:cs="Arial"/>
          <w:sz w:val="24"/>
          <w:szCs w:val="24"/>
        </w:rPr>
        <w:t xml:space="preserve"> </w:t>
      </w:r>
      <w:r w:rsidR="00196ACE" w:rsidRPr="00B61FF1">
        <w:rPr>
          <w:rFonts w:ascii="Arial" w:hAnsi="Arial" w:cs="Arial"/>
          <w:sz w:val="24"/>
          <w:szCs w:val="24"/>
        </w:rPr>
        <w:t xml:space="preserve">KW nameplate capacity must submit the following with </w:t>
      </w:r>
      <w:r w:rsidR="00895F04" w:rsidRPr="00B61FF1">
        <w:rPr>
          <w:rFonts w:ascii="Arial" w:hAnsi="Arial" w:cs="Arial"/>
          <w:sz w:val="24"/>
          <w:szCs w:val="24"/>
        </w:rPr>
        <w:t>the report required in this section</w:t>
      </w:r>
      <w:r w:rsidR="00B3190B" w:rsidRPr="00B61FF1">
        <w:rPr>
          <w:rFonts w:ascii="Arial" w:hAnsi="Arial" w:cs="Arial"/>
          <w:sz w:val="24"/>
          <w:szCs w:val="24"/>
        </w:rPr>
        <w:t xml:space="preserve">. Applicants </w:t>
      </w:r>
      <w:r w:rsidR="00B3190B" w:rsidRPr="00B61FF1">
        <w:rPr>
          <w:rFonts w:ascii="Arial" w:hAnsi="Arial" w:cs="Arial"/>
          <w:sz w:val="24"/>
          <w:szCs w:val="24"/>
        </w:rPr>
        <w:lastRenderedPageBreak/>
        <w:t>may aggregate eligible systems, but must submit one application under one entity</w:t>
      </w:r>
      <w:r w:rsidR="00196ACE" w:rsidRPr="00B61FF1">
        <w:rPr>
          <w:rFonts w:ascii="Arial" w:hAnsi="Arial" w:cs="Arial"/>
          <w:sz w:val="24"/>
          <w:szCs w:val="24"/>
        </w:rPr>
        <w:t>:</w:t>
      </w:r>
    </w:p>
    <w:p w14:paraId="24F9C450" w14:textId="30D7705B" w:rsidR="00196ACE" w:rsidRPr="00B61FF1" w:rsidRDefault="003C6A6B" w:rsidP="00056AD6">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 xml:space="preserve"> </w:t>
      </w:r>
      <w:r w:rsidR="00B83431" w:rsidRPr="00B61FF1">
        <w:rPr>
          <w:rFonts w:ascii="Arial" w:hAnsi="Arial" w:cs="Arial"/>
          <w:sz w:val="24"/>
          <w:szCs w:val="24"/>
        </w:rPr>
        <w:t>(</w:t>
      </w:r>
      <w:r w:rsidR="00B3190B" w:rsidRPr="00B61FF1">
        <w:rPr>
          <w:rFonts w:ascii="Arial" w:hAnsi="Arial" w:cs="Arial"/>
          <w:sz w:val="24"/>
          <w:szCs w:val="24"/>
        </w:rPr>
        <w:t>A</w:t>
      </w:r>
      <w:r w:rsidR="00B83431" w:rsidRPr="00B61FF1">
        <w:rPr>
          <w:rFonts w:ascii="Arial" w:hAnsi="Arial" w:cs="Arial"/>
          <w:sz w:val="24"/>
          <w:szCs w:val="24"/>
        </w:rPr>
        <w:t>)</w:t>
      </w:r>
      <w:r w:rsidR="00056AD6" w:rsidRPr="00B61FF1">
        <w:rPr>
          <w:rFonts w:ascii="Arial" w:hAnsi="Arial" w:cs="Arial"/>
          <w:sz w:val="24"/>
          <w:szCs w:val="24"/>
        </w:rPr>
        <w:tab/>
      </w:r>
      <w:r w:rsidR="005C5EBD" w:rsidRPr="00B61FF1">
        <w:rPr>
          <w:rFonts w:ascii="Arial" w:hAnsi="Arial" w:cs="Arial"/>
          <w:sz w:val="24"/>
          <w:szCs w:val="24"/>
        </w:rPr>
        <w:t>Provide the generator’s RPS certification identification number, as determined by the California Energy Commission, or must meet design and installation standards pursuant to the California Energy Commission’s Guidelines for California’s Solar Electric Incentive Programs</w:t>
      </w:r>
      <w:r w:rsidR="003E69D3" w:rsidRPr="00B61FF1">
        <w:rPr>
          <w:rFonts w:ascii="Arial" w:eastAsia="Arial" w:hAnsi="Arial" w:cs="Arial"/>
          <w:sz w:val="24"/>
          <w:szCs w:val="24"/>
        </w:rPr>
        <w:t>,</w:t>
      </w:r>
      <w:r w:rsidR="003E69D3" w:rsidRPr="00B61FF1">
        <w:rPr>
          <w:rFonts w:ascii="Arial" w:eastAsia="Arial" w:hAnsi="Arial" w:cs="Arial"/>
          <w:spacing w:val="1"/>
          <w:sz w:val="24"/>
          <w:szCs w:val="24"/>
        </w:rPr>
        <w:t xml:space="preserve"> </w:t>
      </w:r>
      <w:r w:rsidR="003E69D3" w:rsidRPr="00B61FF1">
        <w:rPr>
          <w:rFonts w:ascii="Arial" w:eastAsia="Arial" w:hAnsi="Arial" w:cs="Arial"/>
          <w:strike/>
          <w:spacing w:val="-2"/>
          <w:sz w:val="24"/>
          <w:szCs w:val="24"/>
        </w:rPr>
        <w:t>t</w:t>
      </w:r>
      <w:r w:rsidR="003E69D3" w:rsidRPr="00B61FF1">
        <w:rPr>
          <w:rFonts w:ascii="Arial" w:eastAsia="Arial" w:hAnsi="Arial" w:cs="Arial"/>
          <w:strike/>
          <w:spacing w:val="1"/>
          <w:sz w:val="24"/>
          <w:szCs w:val="24"/>
        </w:rPr>
        <w:t>h</w:t>
      </w:r>
      <w:r w:rsidR="003E69D3" w:rsidRPr="00B61FF1">
        <w:rPr>
          <w:rFonts w:ascii="Arial" w:eastAsia="Arial" w:hAnsi="Arial" w:cs="Arial"/>
          <w:strike/>
          <w:sz w:val="24"/>
          <w:szCs w:val="24"/>
        </w:rPr>
        <w:t>i</w:t>
      </w:r>
      <w:r w:rsidR="003E69D3" w:rsidRPr="00B61FF1">
        <w:rPr>
          <w:rFonts w:ascii="Arial" w:eastAsia="Arial" w:hAnsi="Arial" w:cs="Arial"/>
          <w:strike/>
          <w:spacing w:val="-1"/>
          <w:sz w:val="24"/>
          <w:szCs w:val="24"/>
        </w:rPr>
        <w:t>r</w:t>
      </w:r>
      <w:r w:rsidR="003E69D3" w:rsidRPr="00B61FF1">
        <w:rPr>
          <w:rFonts w:ascii="Arial" w:eastAsia="Arial" w:hAnsi="Arial" w:cs="Arial"/>
          <w:strike/>
          <w:sz w:val="24"/>
          <w:szCs w:val="24"/>
        </w:rPr>
        <w:t>d</w:t>
      </w:r>
      <w:r w:rsidR="003E69D3" w:rsidRPr="00B61FF1">
        <w:rPr>
          <w:rFonts w:ascii="Arial" w:eastAsia="Arial" w:hAnsi="Arial" w:cs="Arial"/>
          <w:spacing w:val="1"/>
          <w:sz w:val="24"/>
          <w:szCs w:val="24"/>
        </w:rPr>
        <w:t xml:space="preserve"> </w:t>
      </w:r>
      <w:r w:rsidR="003E69D3" w:rsidRPr="00B61FF1">
        <w:rPr>
          <w:rFonts w:ascii="Arial" w:eastAsia="Arial" w:hAnsi="Arial" w:cs="Arial"/>
          <w:spacing w:val="1"/>
          <w:sz w:val="24"/>
          <w:szCs w:val="24"/>
          <w:u w:val="single"/>
        </w:rPr>
        <w:t xml:space="preserve">fifth </w:t>
      </w:r>
      <w:r w:rsidR="003E69D3" w:rsidRPr="00B61FF1">
        <w:rPr>
          <w:rFonts w:ascii="Arial" w:eastAsia="Arial" w:hAnsi="Arial" w:cs="Arial"/>
          <w:spacing w:val="-1"/>
          <w:sz w:val="24"/>
          <w:szCs w:val="24"/>
        </w:rPr>
        <w:t>e</w:t>
      </w:r>
      <w:r w:rsidR="003E69D3" w:rsidRPr="00B61FF1">
        <w:rPr>
          <w:rFonts w:ascii="Arial" w:eastAsia="Arial" w:hAnsi="Arial" w:cs="Arial"/>
          <w:spacing w:val="1"/>
          <w:sz w:val="24"/>
          <w:szCs w:val="24"/>
        </w:rPr>
        <w:t>d</w:t>
      </w:r>
      <w:r w:rsidR="003E69D3" w:rsidRPr="00B61FF1">
        <w:rPr>
          <w:rFonts w:ascii="Arial" w:eastAsia="Arial" w:hAnsi="Arial" w:cs="Arial"/>
          <w:sz w:val="24"/>
          <w:szCs w:val="24"/>
        </w:rPr>
        <w:t>iti</w:t>
      </w:r>
      <w:r w:rsidR="003E69D3" w:rsidRPr="00B61FF1">
        <w:rPr>
          <w:rFonts w:ascii="Arial" w:eastAsia="Arial" w:hAnsi="Arial" w:cs="Arial"/>
          <w:spacing w:val="1"/>
          <w:sz w:val="24"/>
          <w:szCs w:val="24"/>
        </w:rPr>
        <w:t>on</w:t>
      </w:r>
      <w:r w:rsidR="003E69D3" w:rsidRPr="00B61FF1">
        <w:rPr>
          <w:rFonts w:ascii="Arial" w:eastAsia="Arial" w:hAnsi="Arial" w:cs="Arial"/>
          <w:sz w:val="24"/>
          <w:szCs w:val="24"/>
        </w:rPr>
        <w:t>,</w:t>
      </w:r>
      <w:r w:rsidR="003E69D3" w:rsidRPr="00B61FF1">
        <w:rPr>
          <w:rFonts w:ascii="Arial" w:eastAsia="Arial" w:hAnsi="Arial" w:cs="Arial"/>
          <w:spacing w:val="-1"/>
          <w:sz w:val="24"/>
          <w:szCs w:val="24"/>
        </w:rPr>
        <w:t xml:space="preserve"> </w:t>
      </w:r>
      <w:r w:rsidR="003E69D3" w:rsidRPr="00B61FF1">
        <w:rPr>
          <w:rFonts w:ascii="Arial" w:eastAsia="Arial" w:hAnsi="Arial" w:cs="Arial"/>
          <w:sz w:val="24"/>
          <w:szCs w:val="24"/>
        </w:rPr>
        <w:t>J</w:t>
      </w:r>
      <w:r w:rsidR="003E69D3" w:rsidRPr="00B61FF1">
        <w:rPr>
          <w:rFonts w:ascii="Arial" w:eastAsia="Arial" w:hAnsi="Arial" w:cs="Arial"/>
          <w:strike/>
          <w:spacing w:val="1"/>
          <w:sz w:val="24"/>
          <w:szCs w:val="24"/>
        </w:rPr>
        <w:t>u</w:t>
      </w:r>
      <w:r w:rsidR="003E69D3" w:rsidRPr="00B61FF1">
        <w:rPr>
          <w:rFonts w:ascii="Arial" w:eastAsia="Arial" w:hAnsi="Arial" w:cs="Arial"/>
          <w:strike/>
          <w:spacing w:val="-1"/>
          <w:sz w:val="24"/>
          <w:szCs w:val="24"/>
        </w:rPr>
        <w:t>n</w:t>
      </w:r>
      <w:r w:rsidR="003E69D3" w:rsidRPr="00B61FF1">
        <w:rPr>
          <w:rFonts w:ascii="Arial" w:eastAsia="Arial" w:hAnsi="Arial" w:cs="Arial"/>
          <w:strike/>
          <w:sz w:val="24"/>
          <w:szCs w:val="24"/>
        </w:rPr>
        <w:t>e</w:t>
      </w:r>
      <w:r w:rsidR="003E69D3" w:rsidRPr="00B61FF1">
        <w:rPr>
          <w:rFonts w:ascii="Arial" w:eastAsia="Arial" w:hAnsi="Arial" w:cs="Arial"/>
          <w:spacing w:val="1"/>
          <w:sz w:val="24"/>
          <w:szCs w:val="24"/>
          <w:u w:val="single"/>
        </w:rPr>
        <w:t>anuary</w:t>
      </w:r>
      <w:r w:rsidR="003E69D3" w:rsidRPr="00B61FF1">
        <w:rPr>
          <w:rFonts w:ascii="Arial" w:eastAsia="Arial" w:hAnsi="Arial" w:cs="Arial"/>
          <w:spacing w:val="1"/>
          <w:sz w:val="24"/>
          <w:szCs w:val="24"/>
        </w:rPr>
        <w:t xml:space="preserve"> 2</w:t>
      </w:r>
      <w:r w:rsidR="003E69D3" w:rsidRPr="00B61FF1">
        <w:rPr>
          <w:rFonts w:ascii="Arial" w:eastAsia="Arial" w:hAnsi="Arial" w:cs="Arial"/>
          <w:spacing w:val="-1"/>
          <w:sz w:val="24"/>
          <w:szCs w:val="24"/>
        </w:rPr>
        <w:t>0</w:t>
      </w:r>
      <w:r w:rsidR="003E69D3" w:rsidRPr="00B61FF1">
        <w:rPr>
          <w:rFonts w:ascii="Arial" w:eastAsia="Arial" w:hAnsi="Arial" w:cs="Arial"/>
          <w:spacing w:val="1"/>
          <w:sz w:val="24"/>
          <w:szCs w:val="24"/>
        </w:rPr>
        <w:t>1</w:t>
      </w:r>
      <w:r w:rsidR="003E69D3" w:rsidRPr="00B61FF1">
        <w:rPr>
          <w:rFonts w:ascii="Arial" w:eastAsia="Arial" w:hAnsi="Arial" w:cs="Arial"/>
          <w:strike/>
          <w:spacing w:val="1"/>
          <w:sz w:val="24"/>
          <w:szCs w:val="24"/>
        </w:rPr>
        <w:t>0</w:t>
      </w:r>
      <w:r w:rsidR="003E69D3" w:rsidRPr="00B61FF1">
        <w:rPr>
          <w:rFonts w:ascii="Arial" w:eastAsia="Arial" w:hAnsi="Arial" w:cs="Arial"/>
          <w:strike/>
          <w:spacing w:val="1"/>
          <w:sz w:val="24"/>
          <w:szCs w:val="24"/>
          <w:u w:val="single"/>
        </w:rPr>
        <w:t>3</w:t>
      </w:r>
      <w:r w:rsidR="005C5EBD" w:rsidRPr="00B61FF1">
        <w:rPr>
          <w:rFonts w:ascii="Arial" w:hAnsi="Arial" w:cs="Arial"/>
          <w:sz w:val="24"/>
          <w:szCs w:val="24"/>
        </w:rPr>
        <w:t>;</w:t>
      </w:r>
    </w:p>
    <w:p w14:paraId="1CED0210" w14:textId="77777777" w:rsidR="00196ACE" w:rsidRPr="00B61FF1" w:rsidRDefault="00B83431" w:rsidP="00056AD6">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w:t>
      </w:r>
      <w:r w:rsidR="00B3190B" w:rsidRPr="00B61FF1">
        <w:rPr>
          <w:rFonts w:ascii="Arial" w:hAnsi="Arial" w:cs="Arial"/>
          <w:sz w:val="24"/>
          <w:szCs w:val="24"/>
        </w:rPr>
        <w:t>B</w:t>
      </w:r>
      <w:r w:rsidRPr="00B61FF1">
        <w:rPr>
          <w:rFonts w:ascii="Arial" w:hAnsi="Arial" w:cs="Arial"/>
          <w:sz w:val="24"/>
          <w:szCs w:val="24"/>
        </w:rPr>
        <w:t>)</w:t>
      </w:r>
      <w:r w:rsidR="00056AD6" w:rsidRPr="00B61FF1">
        <w:rPr>
          <w:rFonts w:ascii="Arial" w:hAnsi="Arial" w:cs="Arial"/>
          <w:sz w:val="24"/>
          <w:szCs w:val="24"/>
        </w:rPr>
        <w:tab/>
      </w:r>
      <w:r w:rsidR="00196ACE" w:rsidRPr="00B61FF1">
        <w:rPr>
          <w:rFonts w:ascii="Arial" w:hAnsi="Arial" w:cs="Arial"/>
          <w:sz w:val="24"/>
          <w:szCs w:val="24"/>
        </w:rPr>
        <w:t>MWhs of renewable electricity generated;</w:t>
      </w:r>
    </w:p>
    <w:p w14:paraId="4B74E0DA" w14:textId="77777777" w:rsidR="00196ACE" w:rsidRPr="00B61FF1" w:rsidRDefault="00B83431" w:rsidP="00056AD6">
      <w:pPr>
        <w:autoSpaceDE/>
        <w:autoSpaceDN/>
        <w:adjustRightInd/>
        <w:spacing w:after="200" w:line="360" w:lineRule="auto"/>
        <w:ind w:left="1800" w:hanging="720"/>
        <w:contextualSpacing/>
        <w:rPr>
          <w:rFonts w:ascii="Arial" w:hAnsi="Arial" w:cs="Arial"/>
          <w:sz w:val="24"/>
          <w:szCs w:val="24"/>
        </w:rPr>
      </w:pPr>
      <w:r w:rsidRPr="00B61FF1">
        <w:rPr>
          <w:rFonts w:ascii="Arial" w:hAnsi="Arial" w:cs="Arial"/>
          <w:sz w:val="24"/>
          <w:szCs w:val="24"/>
        </w:rPr>
        <w:t>(</w:t>
      </w:r>
      <w:r w:rsidR="00B3190B" w:rsidRPr="00B61FF1">
        <w:rPr>
          <w:rFonts w:ascii="Arial" w:hAnsi="Arial" w:cs="Arial"/>
          <w:sz w:val="24"/>
          <w:szCs w:val="24"/>
        </w:rPr>
        <w:t>C</w:t>
      </w:r>
      <w:r w:rsidRPr="00B61FF1">
        <w:rPr>
          <w:rFonts w:ascii="Arial" w:hAnsi="Arial" w:cs="Arial"/>
          <w:sz w:val="24"/>
          <w:szCs w:val="24"/>
        </w:rPr>
        <w:t>)</w:t>
      </w:r>
      <w:r w:rsidR="00056AD6" w:rsidRPr="00B61FF1">
        <w:rPr>
          <w:rFonts w:ascii="Arial" w:hAnsi="Arial" w:cs="Arial"/>
          <w:sz w:val="24"/>
          <w:szCs w:val="24"/>
        </w:rPr>
        <w:tab/>
      </w:r>
      <w:r w:rsidR="00196ACE" w:rsidRPr="00B61FF1">
        <w:rPr>
          <w:rFonts w:ascii="Arial" w:hAnsi="Arial" w:cs="Arial"/>
          <w:sz w:val="24"/>
          <w:szCs w:val="24"/>
        </w:rPr>
        <w:t xml:space="preserve">Number of RECs, as applicable; </w:t>
      </w:r>
      <w:r w:rsidRPr="00B61FF1">
        <w:rPr>
          <w:rFonts w:ascii="Arial" w:hAnsi="Arial" w:cs="Arial"/>
          <w:sz w:val="24"/>
          <w:szCs w:val="24"/>
        </w:rPr>
        <w:t>and</w:t>
      </w:r>
    </w:p>
    <w:p w14:paraId="5DE2D825" w14:textId="005001C6" w:rsidR="00196ACE" w:rsidRPr="00B61FF1" w:rsidRDefault="003E69D3" w:rsidP="00056AD6">
      <w:pPr>
        <w:autoSpaceDE/>
        <w:autoSpaceDN/>
        <w:adjustRightInd/>
        <w:spacing w:after="200" w:line="360" w:lineRule="auto"/>
        <w:ind w:left="1800" w:hanging="720"/>
        <w:contextualSpacing/>
        <w:rPr>
          <w:rFonts w:ascii="Arial" w:hAnsi="Arial" w:cs="Arial"/>
          <w:sz w:val="24"/>
          <w:szCs w:val="24"/>
        </w:rPr>
      </w:pPr>
      <w:r w:rsidRPr="00B61FF1">
        <w:rPr>
          <w:rFonts w:ascii="Arial" w:eastAsia="Arial" w:hAnsi="Arial" w:cs="Arial"/>
          <w:spacing w:val="-1"/>
          <w:sz w:val="24"/>
          <w:szCs w:val="24"/>
        </w:rPr>
        <w:t>(</w:t>
      </w:r>
      <w:r w:rsidRPr="00B61FF1">
        <w:rPr>
          <w:rFonts w:ascii="Arial" w:eastAsia="Arial" w:hAnsi="Arial" w:cs="Arial"/>
          <w:sz w:val="24"/>
          <w:szCs w:val="24"/>
        </w:rPr>
        <w:t>D)</w:t>
      </w:r>
      <w:r w:rsidRPr="00B61FF1">
        <w:rPr>
          <w:rFonts w:ascii="Arial" w:eastAsia="Arial" w:hAnsi="Arial" w:cs="Arial"/>
          <w:sz w:val="24"/>
          <w:szCs w:val="24"/>
        </w:rPr>
        <w:tab/>
      </w:r>
      <w:r w:rsidRPr="00B61FF1">
        <w:rPr>
          <w:rFonts w:ascii="Arial" w:eastAsia="Arial" w:hAnsi="Arial" w:cs="Arial"/>
          <w:sz w:val="24"/>
          <w:szCs w:val="24"/>
          <w:u w:val="single"/>
        </w:rPr>
        <w:t xml:space="preserve">WREGIS </w:t>
      </w:r>
      <w:r w:rsidRPr="00B61FF1">
        <w:rPr>
          <w:rFonts w:ascii="Arial" w:eastAsia="Arial" w:hAnsi="Arial" w:cs="Arial"/>
          <w:sz w:val="24"/>
          <w:szCs w:val="24"/>
        </w:rPr>
        <w:t>R</w:t>
      </w:r>
      <w:r w:rsidRPr="00B61FF1">
        <w:rPr>
          <w:rFonts w:ascii="Arial" w:eastAsia="Arial" w:hAnsi="Arial" w:cs="Arial"/>
          <w:spacing w:val="1"/>
          <w:sz w:val="24"/>
          <w:szCs w:val="24"/>
        </w:rPr>
        <w:t>E</w:t>
      </w:r>
      <w:r w:rsidRPr="00B61FF1">
        <w:rPr>
          <w:rFonts w:ascii="Arial" w:eastAsia="Arial" w:hAnsi="Arial" w:cs="Arial"/>
          <w:sz w:val="24"/>
          <w:szCs w:val="24"/>
        </w:rPr>
        <w:t xml:space="preserve">C </w:t>
      </w:r>
      <w:r w:rsidRPr="00B61FF1">
        <w:rPr>
          <w:rFonts w:ascii="Arial" w:eastAsia="Arial" w:hAnsi="Arial" w:cs="Arial"/>
          <w:strike/>
          <w:spacing w:val="-1"/>
          <w:sz w:val="24"/>
          <w:szCs w:val="24"/>
        </w:rPr>
        <w:t>r</w:t>
      </w:r>
      <w:r w:rsidRPr="00B61FF1">
        <w:rPr>
          <w:rFonts w:ascii="Arial" w:eastAsia="Arial" w:hAnsi="Arial" w:cs="Arial"/>
          <w:spacing w:val="1"/>
          <w:sz w:val="24"/>
          <w:szCs w:val="24"/>
          <w:u w:val="single"/>
        </w:rPr>
        <w:t>R</w:t>
      </w:r>
      <w:r w:rsidRPr="00B61FF1">
        <w:rPr>
          <w:rFonts w:ascii="Arial" w:eastAsia="Arial" w:hAnsi="Arial" w:cs="Arial"/>
          <w:spacing w:val="1"/>
          <w:sz w:val="24"/>
          <w:szCs w:val="24"/>
        </w:rPr>
        <w:t>e</w:t>
      </w:r>
      <w:r w:rsidRPr="00B61FF1">
        <w:rPr>
          <w:rFonts w:ascii="Arial" w:eastAsia="Arial" w:hAnsi="Arial" w:cs="Arial"/>
          <w:sz w:val="24"/>
          <w:szCs w:val="24"/>
        </w:rPr>
        <w:t>ti</w:t>
      </w:r>
      <w:r w:rsidRPr="00B61FF1">
        <w:rPr>
          <w:rFonts w:ascii="Arial" w:eastAsia="Arial" w:hAnsi="Arial" w:cs="Arial"/>
          <w:spacing w:val="-1"/>
          <w:sz w:val="24"/>
          <w:szCs w:val="24"/>
        </w:rPr>
        <w:t>r</w:t>
      </w:r>
      <w:r w:rsidRPr="00B61FF1">
        <w:rPr>
          <w:rFonts w:ascii="Arial" w:eastAsia="Arial" w:hAnsi="Arial" w:cs="Arial"/>
          <w:spacing w:val="1"/>
          <w:sz w:val="24"/>
          <w:szCs w:val="24"/>
        </w:rPr>
        <w:t>e</w:t>
      </w:r>
      <w:r w:rsidRPr="00B61FF1">
        <w:rPr>
          <w:rFonts w:ascii="Arial" w:eastAsia="Arial" w:hAnsi="Arial" w:cs="Arial"/>
          <w:spacing w:val="2"/>
          <w:sz w:val="24"/>
          <w:szCs w:val="24"/>
        </w:rPr>
        <w:t>m</w:t>
      </w:r>
      <w:r w:rsidRPr="00B61FF1">
        <w:rPr>
          <w:rFonts w:ascii="Arial" w:eastAsia="Arial" w:hAnsi="Arial" w:cs="Arial"/>
          <w:spacing w:val="-1"/>
          <w:sz w:val="24"/>
          <w:szCs w:val="24"/>
        </w:rPr>
        <w:t>e</w:t>
      </w:r>
      <w:r w:rsidRPr="00B61FF1">
        <w:rPr>
          <w:rFonts w:ascii="Arial" w:eastAsia="Arial" w:hAnsi="Arial" w:cs="Arial"/>
          <w:spacing w:val="1"/>
          <w:sz w:val="24"/>
          <w:szCs w:val="24"/>
        </w:rPr>
        <w:t>n</w:t>
      </w:r>
      <w:r w:rsidRPr="00B61FF1">
        <w:rPr>
          <w:rFonts w:ascii="Arial" w:eastAsia="Arial" w:hAnsi="Arial" w:cs="Arial"/>
          <w:sz w:val="24"/>
          <w:szCs w:val="24"/>
        </w:rPr>
        <w:t>t</w:t>
      </w:r>
      <w:r w:rsidRPr="00B61FF1">
        <w:rPr>
          <w:rFonts w:ascii="Arial" w:eastAsia="Arial" w:hAnsi="Arial" w:cs="Arial"/>
          <w:spacing w:val="1"/>
          <w:sz w:val="24"/>
          <w:szCs w:val="24"/>
        </w:rPr>
        <w:t xml:space="preserve"> </w:t>
      </w:r>
      <w:r w:rsidRPr="00B61FF1">
        <w:rPr>
          <w:rFonts w:ascii="Arial" w:eastAsia="Arial" w:hAnsi="Arial" w:cs="Arial"/>
          <w:spacing w:val="1"/>
          <w:sz w:val="24"/>
          <w:szCs w:val="24"/>
          <w:u w:val="single"/>
        </w:rPr>
        <w:t xml:space="preserve">Compliance </w:t>
      </w:r>
      <w:r w:rsidRPr="00B61FF1">
        <w:rPr>
          <w:rFonts w:ascii="Arial" w:eastAsia="Arial" w:hAnsi="Arial" w:cs="Arial"/>
          <w:spacing w:val="1"/>
          <w:sz w:val="24"/>
          <w:szCs w:val="24"/>
        </w:rPr>
        <w:t>R</w:t>
      </w:r>
      <w:r w:rsidRPr="00B61FF1">
        <w:rPr>
          <w:rFonts w:ascii="Arial" w:eastAsia="Arial" w:hAnsi="Arial" w:cs="Arial"/>
          <w:strike/>
          <w:spacing w:val="-1"/>
          <w:sz w:val="24"/>
          <w:szCs w:val="24"/>
        </w:rPr>
        <w:t>r</w:t>
      </w:r>
      <w:r w:rsidRPr="00B61FF1">
        <w:rPr>
          <w:rFonts w:ascii="Arial" w:eastAsia="Arial" w:hAnsi="Arial" w:cs="Arial"/>
          <w:spacing w:val="-1"/>
          <w:sz w:val="24"/>
          <w:szCs w:val="24"/>
        </w:rPr>
        <w:t>e</w:t>
      </w:r>
      <w:r w:rsidRPr="00B61FF1">
        <w:rPr>
          <w:rFonts w:ascii="Arial" w:eastAsia="Arial" w:hAnsi="Arial" w:cs="Arial"/>
          <w:spacing w:val="1"/>
          <w:sz w:val="24"/>
          <w:szCs w:val="24"/>
        </w:rPr>
        <w:t>po</w:t>
      </w:r>
      <w:r w:rsidRPr="00B61FF1">
        <w:rPr>
          <w:rFonts w:ascii="Arial" w:eastAsia="Arial" w:hAnsi="Arial" w:cs="Arial"/>
          <w:spacing w:val="-1"/>
          <w:sz w:val="24"/>
          <w:szCs w:val="24"/>
        </w:rPr>
        <w:t>r</w:t>
      </w:r>
      <w:r w:rsidRPr="00B61FF1">
        <w:rPr>
          <w:rFonts w:ascii="Arial" w:eastAsia="Arial" w:hAnsi="Arial" w:cs="Arial"/>
          <w:sz w:val="24"/>
          <w:szCs w:val="24"/>
        </w:rPr>
        <w:t>t</w:t>
      </w:r>
      <w:r w:rsidRPr="00B61FF1">
        <w:rPr>
          <w:rFonts w:ascii="Arial" w:eastAsia="Arial" w:hAnsi="Arial" w:cs="Arial"/>
          <w:spacing w:val="-1"/>
          <w:sz w:val="24"/>
          <w:szCs w:val="24"/>
        </w:rPr>
        <w:t xml:space="preserve"> </w:t>
      </w:r>
      <w:r w:rsidRPr="00B61FF1">
        <w:rPr>
          <w:rFonts w:ascii="Arial" w:eastAsia="Arial" w:hAnsi="Arial" w:cs="Arial"/>
          <w:strike/>
          <w:spacing w:val="1"/>
          <w:sz w:val="24"/>
          <w:szCs w:val="24"/>
        </w:rPr>
        <w:t>o</w:t>
      </w:r>
      <w:r w:rsidRPr="00B61FF1">
        <w:rPr>
          <w:rFonts w:ascii="Arial" w:eastAsia="Arial" w:hAnsi="Arial" w:cs="Arial"/>
          <w:strike/>
          <w:sz w:val="24"/>
          <w:szCs w:val="24"/>
        </w:rPr>
        <w:t>r t</w:t>
      </w:r>
      <w:r w:rsidRPr="00B61FF1">
        <w:rPr>
          <w:rFonts w:ascii="Arial" w:eastAsia="Arial" w:hAnsi="Arial" w:cs="Arial"/>
          <w:strike/>
          <w:spacing w:val="-1"/>
          <w:sz w:val="24"/>
          <w:szCs w:val="24"/>
        </w:rPr>
        <w:t>r</w:t>
      </w:r>
      <w:r w:rsidRPr="00B61FF1">
        <w:rPr>
          <w:rFonts w:ascii="Arial" w:eastAsia="Arial" w:hAnsi="Arial" w:cs="Arial"/>
          <w:strike/>
          <w:spacing w:val="1"/>
          <w:sz w:val="24"/>
          <w:szCs w:val="24"/>
        </w:rPr>
        <w:t>a</w:t>
      </w:r>
      <w:r w:rsidRPr="00B61FF1">
        <w:rPr>
          <w:rFonts w:ascii="Arial" w:eastAsia="Arial" w:hAnsi="Arial" w:cs="Arial"/>
          <w:strike/>
          <w:sz w:val="24"/>
          <w:szCs w:val="24"/>
        </w:rPr>
        <w:t>cki</w:t>
      </w:r>
      <w:r w:rsidRPr="00B61FF1">
        <w:rPr>
          <w:rFonts w:ascii="Arial" w:eastAsia="Arial" w:hAnsi="Arial" w:cs="Arial"/>
          <w:strike/>
          <w:spacing w:val="1"/>
          <w:sz w:val="24"/>
          <w:szCs w:val="24"/>
        </w:rPr>
        <w:t>n</w:t>
      </w:r>
      <w:r w:rsidRPr="00B61FF1">
        <w:rPr>
          <w:rFonts w:ascii="Arial" w:eastAsia="Arial" w:hAnsi="Arial" w:cs="Arial"/>
          <w:strike/>
          <w:sz w:val="24"/>
          <w:szCs w:val="24"/>
        </w:rPr>
        <w:t>g</w:t>
      </w:r>
      <w:r w:rsidRPr="00B61FF1">
        <w:rPr>
          <w:rFonts w:ascii="Arial" w:eastAsia="Arial" w:hAnsi="Arial" w:cs="Arial"/>
          <w:strike/>
          <w:spacing w:val="-1"/>
          <w:sz w:val="24"/>
          <w:szCs w:val="24"/>
        </w:rPr>
        <w:t xml:space="preserve"> </w:t>
      </w:r>
      <w:r w:rsidRPr="00B61FF1">
        <w:rPr>
          <w:rFonts w:ascii="Arial" w:eastAsia="Arial" w:hAnsi="Arial" w:cs="Arial"/>
          <w:strike/>
          <w:sz w:val="24"/>
          <w:szCs w:val="24"/>
        </w:rPr>
        <w:t>s</w:t>
      </w:r>
      <w:r w:rsidRPr="00B61FF1">
        <w:rPr>
          <w:rFonts w:ascii="Arial" w:eastAsia="Arial" w:hAnsi="Arial" w:cs="Arial"/>
          <w:strike/>
          <w:spacing w:val="-2"/>
          <w:sz w:val="24"/>
          <w:szCs w:val="24"/>
        </w:rPr>
        <w:t>y</w:t>
      </w:r>
      <w:r w:rsidRPr="00B61FF1">
        <w:rPr>
          <w:rFonts w:ascii="Arial" w:eastAsia="Arial" w:hAnsi="Arial" w:cs="Arial"/>
          <w:strike/>
          <w:sz w:val="24"/>
          <w:szCs w:val="24"/>
        </w:rPr>
        <w:t>st</w:t>
      </w:r>
      <w:r w:rsidRPr="00B61FF1">
        <w:rPr>
          <w:rFonts w:ascii="Arial" w:eastAsia="Arial" w:hAnsi="Arial" w:cs="Arial"/>
          <w:strike/>
          <w:spacing w:val="1"/>
          <w:sz w:val="24"/>
          <w:szCs w:val="24"/>
        </w:rPr>
        <w:t>e</w:t>
      </w:r>
      <w:r w:rsidRPr="00B61FF1">
        <w:rPr>
          <w:rFonts w:ascii="Arial" w:eastAsia="Arial" w:hAnsi="Arial" w:cs="Arial"/>
          <w:strike/>
          <w:sz w:val="24"/>
          <w:szCs w:val="24"/>
        </w:rPr>
        <w:t>m</w:t>
      </w:r>
      <w:r w:rsidRPr="00B61FF1">
        <w:rPr>
          <w:rFonts w:ascii="Arial" w:eastAsia="Arial" w:hAnsi="Arial" w:cs="Arial"/>
          <w:strike/>
          <w:spacing w:val="2"/>
          <w:sz w:val="24"/>
          <w:szCs w:val="24"/>
        </w:rPr>
        <w:t xml:space="preserve"> </w:t>
      </w:r>
      <w:r w:rsidRPr="00B61FF1">
        <w:rPr>
          <w:rFonts w:ascii="Arial" w:eastAsia="Arial" w:hAnsi="Arial" w:cs="Arial"/>
          <w:strike/>
          <w:spacing w:val="-1"/>
          <w:sz w:val="24"/>
          <w:szCs w:val="24"/>
        </w:rPr>
        <w:t>d</w:t>
      </w:r>
      <w:r w:rsidRPr="00B61FF1">
        <w:rPr>
          <w:rFonts w:ascii="Arial" w:eastAsia="Arial" w:hAnsi="Arial" w:cs="Arial"/>
          <w:strike/>
          <w:spacing w:val="1"/>
          <w:sz w:val="24"/>
          <w:szCs w:val="24"/>
        </w:rPr>
        <w:t>a</w:t>
      </w:r>
      <w:r w:rsidRPr="00B61FF1">
        <w:rPr>
          <w:rFonts w:ascii="Arial" w:eastAsia="Arial" w:hAnsi="Arial" w:cs="Arial"/>
          <w:strike/>
          <w:spacing w:val="-2"/>
          <w:sz w:val="24"/>
          <w:szCs w:val="24"/>
        </w:rPr>
        <w:t>t</w:t>
      </w:r>
      <w:r w:rsidRPr="00B61FF1">
        <w:rPr>
          <w:rFonts w:ascii="Arial" w:eastAsia="Arial" w:hAnsi="Arial" w:cs="Arial"/>
          <w:strike/>
          <w:spacing w:val="1"/>
          <w:sz w:val="24"/>
          <w:szCs w:val="24"/>
        </w:rPr>
        <w:t>a</w:t>
      </w:r>
      <w:r w:rsidRPr="00B61FF1">
        <w:rPr>
          <w:rFonts w:ascii="Arial" w:eastAsia="Arial" w:hAnsi="Arial" w:cs="Arial"/>
          <w:strike/>
          <w:sz w:val="24"/>
          <w:szCs w:val="24"/>
        </w:rPr>
        <w:t>,</w:t>
      </w:r>
      <w:r w:rsidRPr="00B61FF1">
        <w:rPr>
          <w:rFonts w:ascii="Arial" w:eastAsia="Arial" w:hAnsi="Arial" w:cs="Arial"/>
          <w:strike/>
          <w:spacing w:val="1"/>
          <w:sz w:val="24"/>
          <w:szCs w:val="24"/>
        </w:rPr>
        <w:t xml:space="preserve"> a</w:t>
      </w:r>
      <w:r w:rsidRPr="00B61FF1">
        <w:rPr>
          <w:rFonts w:ascii="Arial" w:eastAsia="Arial" w:hAnsi="Arial" w:cs="Arial"/>
          <w:strike/>
          <w:sz w:val="24"/>
          <w:szCs w:val="24"/>
        </w:rPr>
        <w:t>s</w:t>
      </w:r>
      <w:r w:rsidRPr="00B61FF1">
        <w:rPr>
          <w:rFonts w:ascii="Arial" w:eastAsia="Arial" w:hAnsi="Arial" w:cs="Arial"/>
          <w:strike/>
          <w:spacing w:val="-2"/>
          <w:sz w:val="24"/>
          <w:szCs w:val="24"/>
        </w:rPr>
        <w:t xml:space="preserve"> </w:t>
      </w:r>
      <w:r w:rsidRPr="00B61FF1">
        <w:rPr>
          <w:rFonts w:ascii="Arial" w:eastAsia="Arial" w:hAnsi="Arial" w:cs="Arial"/>
          <w:strike/>
          <w:spacing w:val="1"/>
          <w:sz w:val="24"/>
          <w:szCs w:val="24"/>
        </w:rPr>
        <w:t>a</w:t>
      </w:r>
      <w:r w:rsidRPr="00B61FF1">
        <w:rPr>
          <w:rFonts w:ascii="Arial" w:eastAsia="Arial" w:hAnsi="Arial" w:cs="Arial"/>
          <w:strike/>
          <w:spacing w:val="-1"/>
          <w:sz w:val="24"/>
          <w:szCs w:val="24"/>
        </w:rPr>
        <w:t>p</w:t>
      </w:r>
      <w:r w:rsidRPr="00B61FF1">
        <w:rPr>
          <w:rFonts w:ascii="Arial" w:eastAsia="Arial" w:hAnsi="Arial" w:cs="Arial"/>
          <w:strike/>
          <w:spacing w:val="1"/>
          <w:sz w:val="24"/>
          <w:szCs w:val="24"/>
        </w:rPr>
        <w:t>p</w:t>
      </w:r>
      <w:r w:rsidRPr="00B61FF1">
        <w:rPr>
          <w:rFonts w:ascii="Arial" w:eastAsia="Arial" w:hAnsi="Arial" w:cs="Arial"/>
          <w:strike/>
          <w:sz w:val="24"/>
          <w:szCs w:val="24"/>
        </w:rPr>
        <w:t>lic</w:t>
      </w:r>
      <w:r w:rsidRPr="00B61FF1">
        <w:rPr>
          <w:rFonts w:ascii="Arial" w:eastAsia="Arial" w:hAnsi="Arial" w:cs="Arial"/>
          <w:strike/>
          <w:spacing w:val="1"/>
          <w:sz w:val="24"/>
          <w:szCs w:val="24"/>
        </w:rPr>
        <w:t>ab</w:t>
      </w:r>
      <w:r w:rsidRPr="00B61FF1">
        <w:rPr>
          <w:rFonts w:ascii="Arial" w:eastAsia="Arial" w:hAnsi="Arial" w:cs="Arial"/>
          <w:strike/>
          <w:sz w:val="24"/>
          <w:szCs w:val="24"/>
        </w:rPr>
        <w:t>l</w:t>
      </w:r>
      <w:r w:rsidRPr="00B61FF1">
        <w:rPr>
          <w:rFonts w:ascii="Arial" w:eastAsia="Arial" w:hAnsi="Arial" w:cs="Arial"/>
          <w:strike/>
          <w:spacing w:val="1"/>
          <w:sz w:val="24"/>
          <w:szCs w:val="24"/>
        </w:rPr>
        <w:t>e</w:t>
      </w:r>
      <w:r w:rsidRPr="00B61FF1">
        <w:rPr>
          <w:rFonts w:ascii="Arial" w:eastAsia="Arial" w:hAnsi="Arial" w:cs="Arial"/>
          <w:sz w:val="24"/>
          <w:szCs w:val="24"/>
        </w:rPr>
        <w:t>.</w:t>
      </w:r>
    </w:p>
    <w:p w14:paraId="628AF22F" w14:textId="77777777" w:rsidR="00196ACE" w:rsidRPr="00B61FF1" w:rsidRDefault="00B83431" w:rsidP="005D57FB">
      <w:pPr>
        <w:tabs>
          <w:tab w:val="left" w:pos="3780"/>
        </w:tabs>
        <w:spacing w:line="360" w:lineRule="auto"/>
        <w:ind w:left="720" w:hanging="720"/>
        <w:rPr>
          <w:rFonts w:ascii="Arial" w:hAnsi="Arial" w:cs="Arial"/>
          <w:sz w:val="24"/>
          <w:szCs w:val="24"/>
        </w:rPr>
      </w:pPr>
      <w:r w:rsidRPr="00B61FF1">
        <w:rPr>
          <w:rFonts w:ascii="Arial" w:hAnsi="Arial" w:cs="Arial"/>
          <w:sz w:val="24"/>
          <w:szCs w:val="24"/>
        </w:rPr>
        <w:t>(c)</w:t>
      </w:r>
      <w:r w:rsidR="005D57FB" w:rsidRPr="00B61FF1">
        <w:rPr>
          <w:rFonts w:ascii="Arial" w:hAnsi="Arial" w:cs="Arial"/>
          <w:sz w:val="24"/>
          <w:szCs w:val="24"/>
        </w:rPr>
        <w:tab/>
      </w:r>
      <w:r w:rsidR="00196ACE" w:rsidRPr="00B61FF1">
        <w:rPr>
          <w:rFonts w:ascii="Arial" w:hAnsi="Arial" w:cs="Arial"/>
          <w:sz w:val="24"/>
          <w:szCs w:val="24"/>
        </w:rPr>
        <w:t xml:space="preserve">The </w:t>
      </w:r>
      <w:r w:rsidR="00730230" w:rsidRPr="00B61FF1">
        <w:rPr>
          <w:rFonts w:ascii="Arial" w:hAnsi="Arial" w:cs="Arial"/>
          <w:sz w:val="24"/>
          <w:szCs w:val="24"/>
        </w:rPr>
        <w:t>allowances</w:t>
      </w:r>
      <w:r w:rsidR="00196ACE" w:rsidRPr="00B61FF1">
        <w:rPr>
          <w:rFonts w:ascii="Arial" w:hAnsi="Arial" w:cs="Arial"/>
          <w:sz w:val="24"/>
          <w:szCs w:val="24"/>
        </w:rPr>
        <w:t xml:space="preserve"> requested to be retired, calculated as follows:</w:t>
      </w:r>
    </w:p>
    <w:p w14:paraId="0779E0C0" w14:textId="77777777" w:rsidR="00196ACE" w:rsidRPr="00B61FF1" w:rsidRDefault="00196ACE" w:rsidP="00196ACE">
      <w:pPr>
        <w:ind w:left="1800"/>
        <w:contextualSpacing/>
        <w:rPr>
          <w:rFonts w:ascii="Arial" w:hAnsi="Arial" w:cs="Arial"/>
          <w:sz w:val="24"/>
          <w:szCs w:val="24"/>
        </w:rPr>
      </w:pPr>
    </w:p>
    <w:p w14:paraId="69AFD9E6" w14:textId="77777777" w:rsidR="00196ACE" w:rsidRPr="00B61FF1" w:rsidRDefault="00196ACE" w:rsidP="00196ACE">
      <w:pPr>
        <w:spacing w:line="360" w:lineRule="auto"/>
        <w:ind w:left="2160" w:firstLine="720"/>
        <w:rPr>
          <w:rFonts w:ascii="Arial" w:hAnsi="Arial" w:cs="Arial"/>
          <w:sz w:val="24"/>
          <w:szCs w:val="24"/>
        </w:rPr>
      </w:pPr>
      <w:r w:rsidRPr="00B61FF1">
        <w:rPr>
          <w:rFonts w:ascii="Arial" w:hAnsi="Arial" w:cs="Arial"/>
          <w:sz w:val="24"/>
          <w:szCs w:val="24"/>
        </w:rPr>
        <w:t>Number of MT CO</w:t>
      </w:r>
      <w:r w:rsidRPr="00B61FF1">
        <w:rPr>
          <w:rFonts w:ascii="Arial" w:hAnsi="Arial" w:cs="Arial"/>
          <w:sz w:val="24"/>
          <w:szCs w:val="24"/>
          <w:vertAlign w:val="subscript"/>
        </w:rPr>
        <w:t>2</w:t>
      </w:r>
      <w:r w:rsidRPr="00B61FF1">
        <w:rPr>
          <w:rFonts w:ascii="Arial" w:hAnsi="Arial" w:cs="Arial"/>
          <w:sz w:val="24"/>
          <w:szCs w:val="24"/>
        </w:rPr>
        <w:t>e</w:t>
      </w:r>
      <w:r w:rsidR="00F205A1" w:rsidRPr="00B61FF1">
        <w:rPr>
          <w:rFonts w:ascii="Arial" w:hAnsi="Arial" w:cs="Arial"/>
          <w:sz w:val="24"/>
          <w:szCs w:val="24"/>
        </w:rPr>
        <w:t xml:space="preserve"> </w:t>
      </w:r>
      <w:r w:rsidRPr="00B61FF1">
        <w:rPr>
          <w:rFonts w:ascii="Arial" w:hAnsi="Arial" w:cs="Arial"/>
          <w:sz w:val="24"/>
          <w:szCs w:val="24"/>
        </w:rPr>
        <w:t xml:space="preserve">= MWh x EF  </w:t>
      </w:r>
    </w:p>
    <w:p w14:paraId="1A473695" w14:textId="77777777" w:rsidR="00196ACE" w:rsidRPr="00B61FF1" w:rsidRDefault="00196ACE" w:rsidP="00196ACE">
      <w:pPr>
        <w:spacing w:before="29"/>
        <w:ind w:left="840" w:right="-20"/>
        <w:rPr>
          <w:rFonts w:ascii="Arial" w:hAnsi="Arial" w:cs="Arial"/>
          <w:sz w:val="24"/>
          <w:szCs w:val="24"/>
        </w:rPr>
      </w:pPr>
    </w:p>
    <w:p w14:paraId="3905A66E" w14:textId="77777777" w:rsidR="00196ACE" w:rsidRPr="00B61FF1" w:rsidRDefault="00196ACE" w:rsidP="00196ACE">
      <w:pPr>
        <w:spacing w:line="360" w:lineRule="auto"/>
        <w:ind w:left="720"/>
        <w:rPr>
          <w:rFonts w:ascii="Arial" w:hAnsi="Arial" w:cs="Arial"/>
          <w:sz w:val="24"/>
          <w:szCs w:val="24"/>
        </w:rPr>
      </w:pPr>
      <w:r w:rsidRPr="00B61FF1">
        <w:rPr>
          <w:rFonts w:ascii="Arial" w:hAnsi="Arial" w:cs="Arial"/>
          <w:sz w:val="24"/>
          <w:szCs w:val="24"/>
        </w:rPr>
        <w:t>Where:</w:t>
      </w:r>
    </w:p>
    <w:p w14:paraId="28CE9B8F" w14:textId="77777777" w:rsidR="00196ACE" w:rsidRPr="00B61FF1" w:rsidRDefault="00196ACE" w:rsidP="00196ACE">
      <w:pPr>
        <w:spacing w:line="360" w:lineRule="auto"/>
        <w:ind w:left="720"/>
        <w:rPr>
          <w:rFonts w:ascii="Arial" w:hAnsi="Arial" w:cs="Arial"/>
          <w:sz w:val="24"/>
          <w:szCs w:val="24"/>
        </w:rPr>
      </w:pPr>
    </w:p>
    <w:p w14:paraId="19328F5F" w14:textId="77777777" w:rsidR="00196ACE" w:rsidRPr="00B61FF1" w:rsidRDefault="00196ACE" w:rsidP="00196ACE">
      <w:pPr>
        <w:spacing w:line="360" w:lineRule="auto"/>
        <w:ind w:left="720"/>
        <w:rPr>
          <w:rFonts w:ascii="Arial" w:hAnsi="Arial" w:cs="Arial"/>
          <w:sz w:val="24"/>
          <w:szCs w:val="24"/>
        </w:rPr>
      </w:pPr>
      <w:r w:rsidRPr="00B61FF1">
        <w:rPr>
          <w:rFonts w:ascii="Arial" w:hAnsi="Arial" w:cs="Arial"/>
          <w:sz w:val="24"/>
          <w:szCs w:val="24"/>
        </w:rPr>
        <w:t>“Number of MT CO</w:t>
      </w:r>
      <w:r w:rsidRPr="00B61FF1">
        <w:rPr>
          <w:rFonts w:ascii="Arial" w:hAnsi="Arial" w:cs="Arial"/>
          <w:sz w:val="24"/>
          <w:szCs w:val="24"/>
          <w:vertAlign w:val="subscript"/>
        </w:rPr>
        <w:t>2</w:t>
      </w:r>
      <w:r w:rsidRPr="00B61FF1">
        <w:rPr>
          <w:rFonts w:ascii="Arial" w:hAnsi="Arial" w:cs="Arial"/>
          <w:sz w:val="24"/>
          <w:szCs w:val="24"/>
        </w:rPr>
        <w:t>e</w:t>
      </w:r>
      <w:r w:rsidR="00F205A1" w:rsidRPr="00B61FF1">
        <w:rPr>
          <w:rFonts w:ascii="Arial" w:hAnsi="Arial" w:cs="Arial"/>
          <w:sz w:val="24"/>
          <w:szCs w:val="24"/>
        </w:rPr>
        <w:t>,</w:t>
      </w:r>
      <w:r w:rsidRPr="00B61FF1">
        <w:rPr>
          <w:rFonts w:ascii="Arial" w:hAnsi="Arial" w:cs="Arial"/>
          <w:sz w:val="24"/>
          <w:szCs w:val="24"/>
        </w:rPr>
        <w:t>” rounded down to the nearest whole ton, is the number of allowances to be retired from the Voluntary Renewable Electricity Reserve Account;</w:t>
      </w:r>
    </w:p>
    <w:p w14:paraId="43B301DC" w14:textId="77777777" w:rsidR="00196ACE" w:rsidRPr="00B61FF1" w:rsidRDefault="00196ACE" w:rsidP="00196ACE">
      <w:pPr>
        <w:spacing w:line="360" w:lineRule="auto"/>
        <w:ind w:left="720"/>
        <w:rPr>
          <w:rFonts w:ascii="Arial" w:hAnsi="Arial" w:cs="Arial"/>
          <w:sz w:val="24"/>
          <w:szCs w:val="24"/>
        </w:rPr>
      </w:pPr>
    </w:p>
    <w:p w14:paraId="455B204D" w14:textId="77777777" w:rsidR="00196ACE" w:rsidRPr="00B61FF1" w:rsidRDefault="00196ACE" w:rsidP="00196ACE">
      <w:pPr>
        <w:spacing w:line="360" w:lineRule="auto"/>
        <w:ind w:left="720"/>
        <w:rPr>
          <w:rFonts w:ascii="Arial" w:hAnsi="Arial" w:cs="Arial"/>
          <w:sz w:val="24"/>
          <w:szCs w:val="24"/>
        </w:rPr>
      </w:pPr>
      <w:r w:rsidRPr="00B61FF1">
        <w:rPr>
          <w:rFonts w:ascii="Arial" w:hAnsi="Arial" w:cs="Arial"/>
          <w:sz w:val="24"/>
          <w:szCs w:val="24"/>
        </w:rPr>
        <w:t>“MWh” is the MWh of voluntary renewable electricity claimed and generated from a generator that me</w:t>
      </w:r>
      <w:r w:rsidR="00B83431" w:rsidRPr="00B61FF1">
        <w:rPr>
          <w:rFonts w:ascii="Arial" w:hAnsi="Arial" w:cs="Arial"/>
          <w:sz w:val="24"/>
          <w:szCs w:val="24"/>
        </w:rPr>
        <w:t xml:space="preserve">ets the requirements of this </w:t>
      </w:r>
      <w:r w:rsidRPr="00B61FF1">
        <w:rPr>
          <w:rFonts w:ascii="Arial" w:hAnsi="Arial" w:cs="Arial"/>
          <w:sz w:val="24"/>
          <w:szCs w:val="24"/>
        </w:rPr>
        <w:t>article; and</w:t>
      </w:r>
    </w:p>
    <w:p w14:paraId="53F2F978" w14:textId="77777777" w:rsidR="00196ACE" w:rsidRPr="00B61FF1" w:rsidRDefault="00196ACE" w:rsidP="00196ACE">
      <w:pPr>
        <w:spacing w:line="360" w:lineRule="auto"/>
        <w:ind w:left="720"/>
        <w:rPr>
          <w:rFonts w:ascii="Arial" w:hAnsi="Arial" w:cs="Arial"/>
          <w:sz w:val="24"/>
          <w:szCs w:val="24"/>
        </w:rPr>
      </w:pPr>
    </w:p>
    <w:p w14:paraId="2B596615" w14:textId="77777777" w:rsidR="00196ACE" w:rsidRPr="00B61FF1" w:rsidRDefault="00196ACE" w:rsidP="00196ACE">
      <w:pPr>
        <w:spacing w:line="360" w:lineRule="auto"/>
        <w:ind w:left="720"/>
        <w:rPr>
          <w:rFonts w:ascii="Arial" w:hAnsi="Arial" w:cs="Arial"/>
          <w:sz w:val="24"/>
          <w:szCs w:val="24"/>
        </w:rPr>
      </w:pPr>
      <w:r w:rsidRPr="00B61FF1">
        <w:rPr>
          <w:rFonts w:ascii="Arial" w:hAnsi="Arial" w:cs="Arial"/>
          <w:sz w:val="24"/>
          <w:szCs w:val="24"/>
        </w:rPr>
        <w:t>“EF” is the CO</w:t>
      </w:r>
      <w:r w:rsidRPr="00B61FF1">
        <w:rPr>
          <w:rFonts w:ascii="Arial" w:hAnsi="Arial" w:cs="Arial"/>
          <w:sz w:val="24"/>
          <w:szCs w:val="24"/>
          <w:vertAlign w:val="subscript"/>
        </w:rPr>
        <w:t>2</w:t>
      </w:r>
      <w:r w:rsidRPr="00B61FF1">
        <w:rPr>
          <w:rFonts w:ascii="Arial" w:hAnsi="Arial" w:cs="Arial"/>
          <w:sz w:val="24"/>
          <w:szCs w:val="24"/>
        </w:rPr>
        <w:t>e emissions factor equivalent to the default emission factor for unspeci</w:t>
      </w:r>
      <w:r w:rsidR="00644264" w:rsidRPr="00B61FF1">
        <w:rPr>
          <w:rFonts w:ascii="Arial" w:hAnsi="Arial" w:cs="Arial"/>
          <w:sz w:val="24"/>
          <w:szCs w:val="24"/>
        </w:rPr>
        <w:t xml:space="preserve">fied power, </w:t>
      </w:r>
      <w:r w:rsidR="002A7F89" w:rsidRPr="00B61FF1">
        <w:rPr>
          <w:rFonts w:ascii="Arial" w:hAnsi="Arial" w:cs="Arial"/>
          <w:sz w:val="24"/>
          <w:szCs w:val="24"/>
        </w:rPr>
        <w:t>pursuant to section 95111</w:t>
      </w:r>
      <w:r w:rsidR="000A666B" w:rsidRPr="00B61FF1">
        <w:rPr>
          <w:rFonts w:ascii="Arial" w:hAnsi="Arial" w:cs="Arial"/>
          <w:sz w:val="24"/>
          <w:szCs w:val="24"/>
        </w:rPr>
        <w:t xml:space="preserve"> </w:t>
      </w:r>
      <w:r w:rsidR="002A7F89" w:rsidRPr="00B61FF1">
        <w:rPr>
          <w:rFonts w:ascii="Arial" w:hAnsi="Arial" w:cs="Arial"/>
          <w:sz w:val="24"/>
          <w:szCs w:val="24"/>
        </w:rPr>
        <w:t xml:space="preserve">of </w:t>
      </w:r>
      <w:r w:rsidR="00644264" w:rsidRPr="00B61FF1">
        <w:rPr>
          <w:rFonts w:ascii="Arial" w:hAnsi="Arial" w:cs="Arial"/>
          <w:sz w:val="24"/>
          <w:szCs w:val="24"/>
        </w:rPr>
        <w:t xml:space="preserve"> MRR</w:t>
      </w:r>
      <w:r w:rsidRPr="00B61FF1">
        <w:rPr>
          <w:rFonts w:ascii="Arial" w:hAnsi="Arial" w:cs="Arial"/>
          <w:sz w:val="24"/>
          <w:szCs w:val="24"/>
        </w:rPr>
        <w:t>.</w:t>
      </w:r>
    </w:p>
    <w:p w14:paraId="1FAE0647" w14:textId="77777777" w:rsidR="00196ACE" w:rsidRPr="00B61FF1" w:rsidRDefault="00196ACE" w:rsidP="00196ACE">
      <w:pPr>
        <w:spacing w:line="360" w:lineRule="auto"/>
        <w:ind w:left="720"/>
        <w:rPr>
          <w:rFonts w:ascii="Arial" w:hAnsi="Arial" w:cs="Arial"/>
          <w:sz w:val="24"/>
          <w:szCs w:val="24"/>
        </w:rPr>
      </w:pPr>
    </w:p>
    <w:p w14:paraId="723392AE" w14:textId="77777777" w:rsidR="00196ACE" w:rsidRPr="00B61FF1" w:rsidRDefault="00196ACE" w:rsidP="00644264">
      <w:pPr>
        <w:spacing w:line="360" w:lineRule="auto"/>
        <w:ind w:left="720"/>
        <w:rPr>
          <w:rFonts w:ascii="Arial" w:hAnsi="Arial" w:cs="Arial"/>
          <w:sz w:val="24"/>
          <w:szCs w:val="24"/>
        </w:rPr>
      </w:pPr>
      <w:r w:rsidRPr="00B61FF1">
        <w:rPr>
          <w:rFonts w:ascii="Arial" w:hAnsi="Arial" w:cs="Arial"/>
          <w:sz w:val="24"/>
          <w:szCs w:val="24"/>
        </w:rPr>
        <w:t xml:space="preserve">ARB shall determine the actual MWh of voluntary renewable electricity purchases that occurred during the period indicated in the documentation.  ARB shall retire allowances from the Voluntary Renewable Electricity </w:t>
      </w:r>
      <w:r w:rsidRPr="00B61FF1">
        <w:rPr>
          <w:rFonts w:ascii="Arial" w:hAnsi="Arial" w:cs="Arial"/>
          <w:sz w:val="24"/>
          <w:szCs w:val="24"/>
        </w:rPr>
        <w:lastRenderedPageBreak/>
        <w:t>Reserve Account in an amount up to the number of MT CO</w:t>
      </w:r>
      <w:r w:rsidRPr="00B61FF1">
        <w:rPr>
          <w:rFonts w:ascii="Arial" w:hAnsi="Arial" w:cs="Arial"/>
          <w:sz w:val="24"/>
          <w:szCs w:val="24"/>
          <w:vertAlign w:val="subscript"/>
        </w:rPr>
        <w:t>2</w:t>
      </w:r>
      <w:r w:rsidRPr="00B61FF1">
        <w:rPr>
          <w:rFonts w:ascii="Arial" w:hAnsi="Arial" w:cs="Arial"/>
          <w:sz w:val="24"/>
          <w:szCs w:val="24"/>
        </w:rPr>
        <w:t>e represented by actual voluntary renewable electricity purchases, based on actual MWh purchases and the emissions factor determined pur</w:t>
      </w:r>
      <w:r w:rsidR="00895F04" w:rsidRPr="00B61FF1">
        <w:rPr>
          <w:rFonts w:ascii="Arial" w:hAnsi="Arial" w:cs="Arial"/>
          <w:sz w:val="24"/>
          <w:szCs w:val="24"/>
        </w:rPr>
        <w:t>suant to this section</w:t>
      </w:r>
      <w:r w:rsidRPr="00B61FF1">
        <w:rPr>
          <w:rFonts w:ascii="Arial" w:hAnsi="Arial" w:cs="Arial"/>
          <w:sz w:val="24"/>
          <w:szCs w:val="24"/>
        </w:rPr>
        <w:t>.</w:t>
      </w:r>
    </w:p>
    <w:p w14:paraId="3F8F0297" w14:textId="77777777" w:rsidR="00196ACE" w:rsidRPr="00B61FF1" w:rsidRDefault="00644264" w:rsidP="005D57FB">
      <w:pPr>
        <w:tabs>
          <w:tab w:val="left" w:pos="720"/>
          <w:tab w:val="left" w:pos="3780"/>
        </w:tabs>
        <w:spacing w:line="360" w:lineRule="auto"/>
        <w:ind w:left="720" w:hanging="720"/>
        <w:rPr>
          <w:rFonts w:ascii="Arial" w:hAnsi="Arial" w:cs="Arial"/>
          <w:sz w:val="24"/>
          <w:szCs w:val="24"/>
        </w:rPr>
      </w:pPr>
      <w:r w:rsidRPr="00B61FF1">
        <w:rPr>
          <w:rFonts w:ascii="Arial" w:hAnsi="Arial" w:cs="Arial"/>
          <w:sz w:val="24"/>
          <w:szCs w:val="24"/>
        </w:rPr>
        <w:t>(d)</w:t>
      </w:r>
      <w:r w:rsidR="005D57FB" w:rsidRPr="00B61FF1">
        <w:rPr>
          <w:rFonts w:ascii="Arial" w:hAnsi="Arial" w:cs="Arial"/>
          <w:sz w:val="24"/>
          <w:szCs w:val="24"/>
        </w:rPr>
        <w:tab/>
      </w:r>
      <w:r w:rsidR="00196ACE" w:rsidRPr="00B61FF1">
        <w:rPr>
          <w:rFonts w:ascii="Arial" w:hAnsi="Arial" w:cs="Arial"/>
          <w:sz w:val="24"/>
          <w:szCs w:val="24"/>
        </w:rPr>
        <w:t>Once a voluntary renewable electricity tracking system is approved by the Executive Officer and it is in place, a voluntary renewable electricity generator or REC marketer which meets requirements section 95841.1(b) will always be considered to have satisfied section 95841.1(b), if they participate in the tracking system.</w:t>
      </w:r>
    </w:p>
    <w:p w14:paraId="6C632B8D" w14:textId="77777777" w:rsidR="00CD0A1B" w:rsidRPr="00B61FF1" w:rsidRDefault="00CD0A1B" w:rsidP="00901C20">
      <w:pPr>
        <w:rPr>
          <w:rFonts w:ascii="Arial" w:hAnsi="Arial" w:cs="Arial"/>
        </w:rPr>
      </w:pPr>
    </w:p>
    <w:p w14:paraId="338AB21D" w14:textId="77777777" w:rsidR="00FE6B15" w:rsidRPr="00B61FF1" w:rsidRDefault="00FE6B15" w:rsidP="00901C20">
      <w:pPr>
        <w:rPr>
          <w:rFonts w:ascii="Arial" w:hAnsi="Arial" w:cs="Arial"/>
        </w:rPr>
      </w:pPr>
      <w:r w:rsidRPr="00B61FF1">
        <w:rPr>
          <w:rFonts w:ascii="Arial" w:hAnsi="Arial" w:cs="Arial"/>
        </w:rPr>
        <w:t>NOTE:  Authority cited:  Sections 38510, 38560, 38562, 38570, 38571, 38580, 39600 and 39601, Health and Safety Code.</w:t>
      </w:r>
    </w:p>
    <w:p w14:paraId="6ADFDFF8" w14:textId="77777777" w:rsidR="00FE6B15" w:rsidRPr="00B61FF1" w:rsidRDefault="00FE6B15" w:rsidP="00901C20">
      <w:pPr>
        <w:rPr>
          <w:rFonts w:ascii="Arial" w:hAnsi="Arial" w:cs="Arial"/>
        </w:rPr>
      </w:pPr>
      <w:r w:rsidRPr="00B61FF1">
        <w:rPr>
          <w:rFonts w:ascii="Arial" w:hAnsi="Arial" w:cs="Arial"/>
        </w:rPr>
        <w:t>Reference:  Sections 38530, 38560.5, 38564, 38565, 38570 and 39600, Health and Safety Code.</w:t>
      </w:r>
    </w:p>
    <w:p w14:paraId="29A01A57" w14:textId="77777777" w:rsidR="00DB5D54" w:rsidRPr="00B61FF1" w:rsidRDefault="00DB5D54">
      <w:pPr>
        <w:autoSpaceDE/>
        <w:autoSpaceDN/>
        <w:adjustRightInd/>
        <w:rPr>
          <w:rFonts w:ascii="Arial" w:eastAsia="MS Mincho" w:hAnsi="Arial" w:cs="Arial"/>
          <w:b/>
          <w:bCs/>
          <w:kern w:val="36"/>
          <w:sz w:val="24"/>
          <w:szCs w:val="24"/>
        </w:rPr>
      </w:pPr>
    </w:p>
    <w:p w14:paraId="7E1F4F26" w14:textId="77777777" w:rsidR="00FE6B15" w:rsidRPr="00B61FF1" w:rsidRDefault="00FE6B15" w:rsidP="00CC193F">
      <w:pPr>
        <w:pStyle w:val="Heading1"/>
      </w:pPr>
      <w:bookmarkStart w:id="178" w:name="_Toc299094927"/>
      <w:bookmarkStart w:id="179" w:name="_Toc302746780"/>
      <w:bookmarkStart w:id="180" w:name="_Toc352146242"/>
      <w:bookmarkStart w:id="181" w:name="_Toc361659843"/>
      <w:r w:rsidRPr="00B61FF1">
        <w:t>Subarticle 7: Compliance Requirements for Covered Entities</w:t>
      </w:r>
      <w:bookmarkEnd w:id="162"/>
      <w:bookmarkEnd w:id="178"/>
      <w:bookmarkEnd w:id="179"/>
      <w:bookmarkEnd w:id="180"/>
      <w:bookmarkEnd w:id="181"/>
      <w:r w:rsidRPr="00B61FF1">
        <w:t xml:space="preserve"> </w:t>
      </w:r>
    </w:p>
    <w:p w14:paraId="122C52F4" w14:textId="77777777" w:rsidR="00FE6B15" w:rsidRPr="00B61FF1" w:rsidRDefault="00FE6B15" w:rsidP="004E3B67">
      <w:pPr>
        <w:pStyle w:val="Heading2"/>
        <w:keepNext w:val="0"/>
        <w:rPr>
          <w:i/>
          <w:szCs w:val="24"/>
        </w:rPr>
      </w:pPr>
      <w:bookmarkStart w:id="182" w:name="_Toc299094928"/>
      <w:bookmarkStart w:id="183" w:name="_Toc302746781"/>
      <w:bookmarkStart w:id="184" w:name="_Toc352146243"/>
      <w:bookmarkStart w:id="185" w:name="_Toc361659844"/>
      <w:r w:rsidRPr="00B61FF1">
        <w:rPr>
          <w:szCs w:val="24"/>
        </w:rPr>
        <w:t>§ 95850.  General Requirements</w:t>
      </w:r>
      <w:r w:rsidR="00161940" w:rsidRPr="00B61FF1">
        <w:rPr>
          <w:szCs w:val="24"/>
        </w:rPr>
        <w:t>.</w:t>
      </w:r>
      <w:bookmarkEnd w:id="182"/>
      <w:bookmarkEnd w:id="183"/>
      <w:bookmarkEnd w:id="184"/>
      <w:bookmarkEnd w:id="185"/>
    </w:p>
    <w:p w14:paraId="49770EB7" w14:textId="77777777" w:rsidR="00FE6B15" w:rsidRPr="00B61FF1" w:rsidRDefault="00CF27DB" w:rsidP="00CF27DB">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Reporting Requirements.  Each covered entity identified in section 95811 is subject to MRR.</w:t>
      </w:r>
    </w:p>
    <w:p w14:paraId="777C6588" w14:textId="77777777" w:rsidR="007810FF" w:rsidRPr="00B61FF1" w:rsidRDefault="00CF27DB" w:rsidP="00CF27DB">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7810FF" w:rsidRPr="00B61FF1">
        <w:rPr>
          <w:rFonts w:ascii="Arial" w:hAnsi="Arial" w:cs="Arial"/>
          <w:sz w:val="24"/>
          <w:szCs w:val="24"/>
        </w:rPr>
        <w:t>A</w:t>
      </w:r>
      <w:r w:rsidR="00161940" w:rsidRPr="00B61FF1">
        <w:rPr>
          <w:rFonts w:ascii="Arial" w:hAnsi="Arial" w:cs="Arial"/>
          <w:sz w:val="24"/>
          <w:szCs w:val="24"/>
        </w:rPr>
        <w:t>n</w:t>
      </w:r>
      <w:r w:rsidR="007810FF" w:rsidRPr="00B61FF1">
        <w:rPr>
          <w:rFonts w:ascii="Arial" w:hAnsi="Arial" w:cs="Arial"/>
          <w:sz w:val="24"/>
          <w:szCs w:val="24"/>
        </w:rPr>
        <w:t xml:space="preserve"> entity’s compliance obligation is based on the emissions number</w:t>
      </w:r>
      <w:r w:rsidR="000C162C" w:rsidRPr="00B61FF1">
        <w:rPr>
          <w:rFonts w:ascii="Arial" w:hAnsi="Arial" w:cs="Arial"/>
          <w:sz w:val="24"/>
          <w:szCs w:val="24"/>
        </w:rPr>
        <w:t xml:space="preserve"> for the emissions subject to a compliance obligation</w:t>
      </w:r>
      <w:r w:rsidR="007810FF" w:rsidRPr="00B61FF1">
        <w:rPr>
          <w:rFonts w:ascii="Arial" w:hAnsi="Arial" w:cs="Arial"/>
          <w:sz w:val="24"/>
          <w:szCs w:val="24"/>
        </w:rPr>
        <w:t xml:space="preserve"> for every metric ton of CO</w:t>
      </w:r>
      <w:r w:rsidR="007810FF" w:rsidRPr="00B61FF1">
        <w:rPr>
          <w:rFonts w:ascii="Arial" w:hAnsi="Arial" w:cs="Arial"/>
          <w:sz w:val="24"/>
          <w:szCs w:val="24"/>
          <w:vertAlign w:val="subscript"/>
        </w:rPr>
        <w:t>2</w:t>
      </w:r>
      <w:r w:rsidR="007810FF" w:rsidRPr="00B61FF1">
        <w:rPr>
          <w:rFonts w:ascii="Arial" w:hAnsi="Arial" w:cs="Arial"/>
          <w:sz w:val="24"/>
          <w:szCs w:val="24"/>
        </w:rPr>
        <w:t xml:space="preserve">e for which a positive or qualified positive </w:t>
      </w:r>
      <w:r w:rsidR="00E662B8" w:rsidRPr="00B61FF1">
        <w:rPr>
          <w:rFonts w:ascii="Arial" w:hAnsi="Arial" w:cs="Arial"/>
          <w:sz w:val="24"/>
          <w:szCs w:val="24"/>
        </w:rPr>
        <w:t xml:space="preserve">emissions data </w:t>
      </w:r>
      <w:r w:rsidR="007810FF" w:rsidRPr="00B61FF1">
        <w:rPr>
          <w:rFonts w:ascii="Arial" w:hAnsi="Arial" w:cs="Arial"/>
          <w:sz w:val="24"/>
          <w:szCs w:val="24"/>
        </w:rPr>
        <w:t>verification statement is issued, rounded to the nearest whole ton</w:t>
      </w:r>
      <w:r w:rsidR="006B4254" w:rsidRPr="00B61FF1">
        <w:rPr>
          <w:rFonts w:ascii="Arial" w:hAnsi="Arial" w:cs="Arial"/>
          <w:sz w:val="24"/>
          <w:szCs w:val="24"/>
        </w:rPr>
        <w:t xml:space="preserve">, or </w:t>
      </w:r>
      <w:r w:rsidR="00916FC2" w:rsidRPr="00B61FF1">
        <w:rPr>
          <w:rFonts w:ascii="Arial" w:hAnsi="Arial" w:cs="Arial"/>
          <w:sz w:val="24"/>
          <w:szCs w:val="24"/>
        </w:rPr>
        <w:t xml:space="preserve">for which </w:t>
      </w:r>
      <w:r w:rsidR="006B4254" w:rsidRPr="00B61FF1">
        <w:rPr>
          <w:rFonts w:ascii="Arial" w:hAnsi="Arial" w:cs="Arial"/>
          <w:sz w:val="24"/>
          <w:szCs w:val="24"/>
        </w:rPr>
        <w:t>there are assigned emissions pursuant to MRR</w:t>
      </w:r>
      <w:r w:rsidR="007810FF" w:rsidRPr="00B61FF1">
        <w:rPr>
          <w:rFonts w:ascii="Arial" w:hAnsi="Arial" w:cs="Arial"/>
          <w:sz w:val="24"/>
          <w:szCs w:val="24"/>
        </w:rPr>
        <w:t>.</w:t>
      </w:r>
    </w:p>
    <w:p w14:paraId="7A50178D" w14:textId="77777777" w:rsidR="00FE6B15" w:rsidRPr="00B61FF1" w:rsidRDefault="00CF27DB" w:rsidP="00CF27DB">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FE6B15" w:rsidRPr="00B61FF1">
        <w:rPr>
          <w:rFonts w:ascii="Arial" w:hAnsi="Arial" w:cs="Arial"/>
          <w:sz w:val="24"/>
          <w:szCs w:val="24"/>
        </w:rPr>
        <w:t xml:space="preserve">Record Retention Requirements.  Each entity </w:t>
      </w:r>
      <w:r w:rsidR="00FE6B15" w:rsidRPr="00B61FF1">
        <w:rPr>
          <w:rFonts w:ascii="Arial" w:eastAsia="MS Mincho" w:hAnsi="Arial" w:cs="Arial"/>
          <w:sz w:val="24"/>
          <w:szCs w:val="24"/>
          <w:lang w:eastAsia="ja-JP"/>
        </w:rPr>
        <w:t xml:space="preserve">must retain all of the following records for at least </w:t>
      </w:r>
      <w:r w:rsidR="002B4090" w:rsidRPr="00B61FF1">
        <w:rPr>
          <w:rFonts w:ascii="Arial" w:eastAsia="MS Mincho" w:hAnsi="Arial" w:cs="Arial"/>
          <w:sz w:val="24"/>
          <w:szCs w:val="24"/>
          <w:lang w:eastAsia="ja-JP"/>
        </w:rPr>
        <w:t>10</w:t>
      </w:r>
      <w:r w:rsidR="00FE6B15" w:rsidRPr="00B61FF1">
        <w:rPr>
          <w:rFonts w:ascii="Arial" w:eastAsia="MS Mincho" w:hAnsi="Arial" w:cs="Arial"/>
          <w:sz w:val="24"/>
          <w:szCs w:val="24"/>
          <w:lang w:eastAsia="ja-JP"/>
        </w:rPr>
        <w:t xml:space="preserve"> consecutive years and must provide such records within 20 calendar days of receiving a written request from </w:t>
      </w:r>
      <w:r w:rsidR="00AB3A91" w:rsidRPr="00B61FF1">
        <w:rPr>
          <w:rFonts w:ascii="Arial" w:eastAsia="MS Mincho" w:hAnsi="Arial" w:cs="Arial"/>
          <w:sz w:val="24"/>
          <w:szCs w:val="24"/>
          <w:lang w:eastAsia="ja-JP"/>
        </w:rPr>
        <w:t>ARB</w:t>
      </w:r>
      <w:r w:rsidR="006B4254" w:rsidRPr="00B61FF1">
        <w:rPr>
          <w:rFonts w:ascii="Arial" w:eastAsia="MS Mincho" w:hAnsi="Arial" w:cs="Arial"/>
          <w:sz w:val="24"/>
          <w:szCs w:val="24"/>
          <w:lang w:eastAsia="ja-JP"/>
        </w:rPr>
        <w:t>, including</w:t>
      </w:r>
      <w:r w:rsidR="00FE6B15" w:rsidRPr="00B61FF1">
        <w:rPr>
          <w:rFonts w:ascii="Arial" w:eastAsia="MS Mincho" w:hAnsi="Arial" w:cs="Arial"/>
          <w:sz w:val="24"/>
          <w:szCs w:val="24"/>
          <w:lang w:eastAsia="ja-JP"/>
        </w:rPr>
        <w:t>:</w:t>
      </w:r>
    </w:p>
    <w:p w14:paraId="6DA473E1" w14:textId="77777777" w:rsidR="00FE6B15" w:rsidRPr="00B61FF1" w:rsidRDefault="00CF27DB" w:rsidP="00CF27DB">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Copies of all data and reports submitted under this article and section 95105 of </w:t>
      </w:r>
      <w:r w:rsidR="004827F9" w:rsidRPr="00B61FF1">
        <w:rPr>
          <w:rFonts w:ascii="Arial" w:hAnsi="Arial" w:cs="Arial"/>
          <w:sz w:val="24"/>
          <w:szCs w:val="24"/>
        </w:rPr>
        <w:t>MRR</w:t>
      </w:r>
      <w:r w:rsidR="00FE6B15" w:rsidRPr="00B61FF1">
        <w:rPr>
          <w:rFonts w:ascii="Arial" w:hAnsi="Arial" w:cs="Arial"/>
          <w:sz w:val="24"/>
          <w:szCs w:val="24"/>
        </w:rPr>
        <w:t>;</w:t>
      </w:r>
    </w:p>
    <w:p w14:paraId="58FE8216" w14:textId="77777777" w:rsidR="00FE6B15" w:rsidRPr="00B61FF1" w:rsidRDefault="00CF27DB" w:rsidP="00CF27DB">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Records used to calculate a compliance obligation</w:t>
      </w:r>
      <w:r w:rsidR="0042244C" w:rsidRPr="00B61FF1">
        <w:rPr>
          <w:rFonts w:ascii="Arial" w:hAnsi="Arial" w:cs="Arial"/>
          <w:sz w:val="24"/>
          <w:szCs w:val="24"/>
        </w:rPr>
        <w:t xml:space="preserve"> as specified in section 95853;</w:t>
      </w:r>
    </w:p>
    <w:p w14:paraId="36D16FDE" w14:textId="77777777" w:rsidR="00FE6B15" w:rsidRPr="00B61FF1" w:rsidRDefault="00CF27DB" w:rsidP="00CF27DB">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161940" w:rsidRPr="00B61FF1">
        <w:rPr>
          <w:rFonts w:ascii="Arial" w:hAnsi="Arial" w:cs="Arial"/>
          <w:sz w:val="24"/>
          <w:szCs w:val="24"/>
        </w:rPr>
        <w:t>Emissions data and product data v</w:t>
      </w:r>
      <w:r w:rsidR="00FE6B15" w:rsidRPr="00B61FF1">
        <w:rPr>
          <w:rFonts w:ascii="Arial" w:hAnsi="Arial" w:cs="Arial"/>
          <w:sz w:val="24"/>
          <w:szCs w:val="24"/>
        </w:rPr>
        <w:t>erification statement</w:t>
      </w:r>
      <w:r w:rsidR="00161940" w:rsidRPr="00B61FF1">
        <w:rPr>
          <w:rFonts w:ascii="Arial" w:hAnsi="Arial" w:cs="Arial"/>
          <w:sz w:val="24"/>
          <w:szCs w:val="24"/>
        </w:rPr>
        <w:t>s</w:t>
      </w:r>
      <w:r w:rsidR="00FE6B15" w:rsidRPr="00B61FF1">
        <w:rPr>
          <w:rFonts w:ascii="Arial" w:hAnsi="Arial" w:cs="Arial"/>
          <w:sz w:val="24"/>
          <w:szCs w:val="24"/>
        </w:rPr>
        <w:t xml:space="preserve"> </w:t>
      </w:r>
      <w:r w:rsidR="00FE6B15" w:rsidRPr="00B61FF1" w:rsidDel="00780834">
        <w:rPr>
          <w:rFonts w:ascii="Arial" w:hAnsi="Arial" w:cs="Arial"/>
          <w:sz w:val="24"/>
          <w:szCs w:val="24"/>
        </w:rPr>
        <w:t xml:space="preserve">as required pursuant to </w:t>
      </w:r>
      <w:r w:rsidR="00FE6B15" w:rsidRPr="00B61FF1">
        <w:rPr>
          <w:rFonts w:ascii="Arial" w:hAnsi="Arial" w:cs="Arial"/>
          <w:sz w:val="24"/>
          <w:szCs w:val="24"/>
        </w:rPr>
        <w:t>section 95103(f) of</w:t>
      </w:r>
      <w:r w:rsidRPr="00B61FF1">
        <w:rPr>
          <w:rFonts w:ascii="Arial" w:hAnsi="Arial" w:cs="Arial"/>
          <w:sz w:val="24"/>
          <w:szCs w:val="24"/>
        </w:rPr>
        <w:t xml:space="preserve"> </w:t>
      </w:r>
      <w:r w:rsidR="00FE6B15" w:rsidRPr="00B61FF1">
        <w:rPr>
          <w:rFonts w:ascii="Arial" w:hAnsi="Arial" w:cs="Arial"/>
          <w:sz w:val="24"/>
          <w:szCs w:val="24"/>
        </w:rPr>
        <w:t>MRR</w:t>
      </w:r>
      <w:r w:rsidR="00345C28" w:rsidRPr="00B61FF1">
        <w:rPr>
          <w:rFonts w:ascii="Arial" w:hAnsi="Arial" w:cs="Arial"/>
          <w:sz w:val="24"/>
          <w:szCs w:val="24"/>
        </w:rPr>
        <w:t>; and</w:t>
      </w:r>
      <w:r w:rsidR="00FE6B15" w:rsidRPr="00B61FF1">
        <w:rPr>
          <w:rFonts w:ascii="Arial" w:hAnsi="Arial" w:cs="Arial"/>
          <w:sz w:val="24"/>
          <w:szCs w:val="24"/>
        </w:rPr>
        <w:t xml:space="preserve"> </w:t>
      </w:r>
    </w:p>
    <w:p w14:paraId="1BBD6461" w14:textId="77777777" w:rsidR="00345C28" w:rsidRPr="00B61FF1" w:rsidRDefault="00CF27DB" w:rsidP="00CF27DB">
      <w:pPr>
        <w:spacing w:line="360" w:lineRule="auto"/>
        <w:ind w:left="1080" w:hanging="720"/>
        <w:rPr>
          <w:rFonts w:ascii="Arial" w:hAnsi="Arial" w:cs="Arial"/>
          <w:sz w:val="24"/>
          <w:szCs w:val="24"/>
        </w:rPr>
      </w:pPr>
      <w:r w:rsidRPr="00B61FF1">
        <w:rPr>
          <w:rFonts w:ascii="Arial" w:hAnsi="Arial" w:cs="Arial"/>
          <w:sz w:val="24"/>
          <w:szCs w:val="24"/>
        </w:rPr>
        <w:lastRenderedPageBreak/>
        <w:t>(4)</w:t>
      </w:r>
      <w:r w:rsidRPr="00B61FF1">
        <w:rPr>
          <w:rFonts w:ascii="Arial" w:hAnsi="Arial" w:cs="Arial"/>
          <w:sz w:val="24"/>
          <w:szCs w:val="24"/>
        </w:rPr>
        <w:tab/>
      </w:r>
      <w:r w:rsidR="00345C28" w:rsidRPr="00B61FF1">
        <w:rPr>
          <w:rFonts w:ascii="Arial" w:hAnsi="Arial" w:cs="Arial"/>
          <w:sz w:val="24"/>
          <w:szCs w:val="24"/>
        </w:rPr>
        <w:t>Detailed verification report</w:t>
      </w:r>
      <w:r w:rsidR="006B4254" w:rsidRPr="00B61FF1">
        <w:rPr>
          <w:rFonts w:ascii="Arial" w:hAnsi="Arial" w:cs="Arial"/>
          <w:sz w:val="24"/>
          <w:szCs w:val="24"/>
        </w:rPr>
        <w:t>s</w:t>
      </w:r>
      <w:r w:rsidR="00345C28" w:rsidRPr="00B61FF1">
        <w:rPr>
          <w:rFonts w:ascii="Arial" w:hAnsi="Arial" w:cs="Arial"/>
          <w:sz w:val="24"/>
          <w:szCs w:val="24"/>
        </w:rPr>
        <w:t xml:space="preserve"> as requi</w:t>
      </w:r>
      <w:r w:rsidR="00161940" w:rsidRPr="00B61FF1">
        <w:rPr>
          <w:rFonts w:ascii="Arial" w:hAnsi="Arial" w:cs="Arial"/>
          <w:sz w:val="24"/>
          <w:szCs w:val="24"/>
        </w:rPr>
        <w:t>red pursuant to section 95131</w:t>
      </w:r>
      <w:r w:rsidR="00345C28" w:rsidRPr="00B61FF1">
        <w:rPr>
          <w:rFonts w:ascii="Arial" w:hAnsi="Arial" w:cs="Arial"/>
          <w:sz w:val="24"/>
          <w:szCs w:val="24"/>
        </w:rPr>
        <w:t xml:space="preserve"> of MRR.</w:t>
      </w:r>
    </w:p>
    <w:p w14:paraId="4BC090B7" w14:textId="77777777" w:rsidR="00FE6B15" w:rsidRPr="00B61FF1" w:rsidRDefault="00FE6B15" w:rsidP="004E3B67">
      <w:pPr>
        <w:spacing w:line="360" w:lineRule="auto"/>
        <w:rPr>
          <w:rFonts w:ascii="Arial" w:hAnsi="Arial" w:cs="Arial"/>
          <w:sz w:val="24"/>
          <w:szCs w:val="24"/>
        </w:rPr>
      </w:pPr>
    </w:p>
    <w:p w14:paraId="357C8E27"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6664790" w14:textId="77777777" w:rsidR="00EA64EF" w:rsidRPr="00B61FF1" w:rsidRDefault="00FE6B15" w:rsidP="0030797F">
      <w:pPr>
        <w:rPr>
          <w:rFonts w:ascii="Arial" w:hAnsi="Arial" w:cs="Arial"/>
        </w:rPr>
      </w:pPr>
      <w:r w:rsidRPr="00B61FF1">
        <w:rPr>
          <w:rFonts w:ascii="Arial" w:hAnsi="Arial" w:cs="Arial"/>
        </w:rPr>
        <w:t>Reference:  Sections 38530, 38560.5, 38564, 38565, 38570 and 39600, Health and Safety Code.</w:t>
      </w:r>
      <w:bookmarkStart w:id="186" w:name="_Toc299094929"/>
      <w:bookmarkStart w:id="187" w:name="_Toc302746782"/>
    </w:p>
    <w:p w14:paraId="1CD4072D" w14:textId="77777777" w:rsidR="00EA64EF" w:rsidRPr="00B61FF1" w:rsidRDefault="00EA64EF">
      <w:pPr>
        <w:autoSpaceDE/>
        <w:autoSpaceDN/>
        <w:adjustRightInd/>
        <w:rPr>
          <w:rFonts w:ascii="Arial" w:hAnsi="Arial" w:cs="Arial"/>
          <w:b/>
          <w:bCs/>
          <w:iCs/>
          <w:sz w:val="24"/>
          <w:szCs w:val="24"/>
        </w:rPr>
      </w:pPr>
    </w:p>
    <w:p w14:paraId="0D24151B" w14:textId="77777777" w:rsidR="00FE6B15" w:rsidRPr="00B61FF1" w:rsidRDefault="00FE6B15" w:rsidP="004E3B67">
      <w:pPr>
        <w:pStyle w:val="Heading2"/>
        <w:keepNext w:val="0"/>
        <w:rPr>
          <w:i/>
          <w:szCs w:val="24"/>
        </w:rPr>
      </w:pPr>
      <w:bookmarkStart w:id="188" w:name="_Toc352146244"/>
      <w:bookmarkStart w:id="189" w:name="_Toc361659845"/>
      <w:r w:rsidRPr="00B61FF1">
        <w:rPr>
          <w:szCs w:val="24"/>
        </w:rPr>
        <w:t>§ 95851.  Phase-in of Compliance Obligation for Covered Entities</w:t>
      </w:r>
      <w:r w:rsidR="00161940" w:rsidRPr="00B61FF1">
        <w:rPr>
          <w:szCs w:val="24"/>
        </w:rPr>
        <w:t>.</w:t>
      </w:r>
      <w:bookmarkEnd w:id="186"/>
      <w:bookmarkEnd w:id="187"/>
      <w:bookmarkEnd w:id="188"/>
      <w:bookmarkEnd w:id="189"/>
    </w:p>
    <w:p w14:paraId="3C4A526C" w14:textId="77777777" w:rsidR="00FE6B15" w:rsidRPr="00B61FF1" w:rsidRDefault="00FE6B15" w:rsidP="00FE6A4C">
      <w:pPr>
        <w:numPr>
          <w:ilvl w:val="0"/>
          <w:numId w:val="17"/>
        </w:numPr>
        <w:tabs>
          <w:tab w:val="clear" w:pos="1080"/>
          <w:tab w:val="num" w:pos="720"/>
        </w:tabs>
        <w:spacing w:line="360" w:lineRule="auto"/>
        <w:ind w:left="720"/>
        <w:rPr>
          <w:rFonts w:ascii="Arial" w:hAnsi="Arial" w:cs="Arial"/>
          <w:sz w:val="24"/>
          <w:szCs w:val="24"/>
        </w:rPr>
      </w:pPr>
      <w:r w:rsidRPr="00B61FF1">
        <w:rPr>
          <w:rFonts w:ascii="Arial" w:hAnsi="Arial" w:cs="Arial"/>
          <w:sz w:val="24"/>
          <w:szCs w:val="24"/>
        </w:rPr>
        <w:t>Operators of facilities and first deliverers of electricity specified in section</w:t>
      </w:r>
      <w:r w:rsidR="00BD7158" w:rsidRPr="00B61FF1">
        <w:rPr>
          <w:rFonts w:ascii="Arial" w:hAnsi="Arial" w:cs="Arial"/>
          <w:sz w:val="24"/>
          <w:szCs w:val="24"/>
        </w:rPr>
        <w:t>s</w:t>
      </w:r>
      <w:r w:rsidRPr="00B61FF1">
        <w:rPr>
          <w:rFonts w:ascii="Arial" w:hAnsi="Arial" w:cs="Arial"/>
          <w:sz w:val="24"/>
          <w:szCs w:val="24"/>
        </w:rPr>
        <w:t xml:space="preserve"> 95811(a) and (b) and </w:t>
      </w:r>
      <w:r w:rsidR="00161940" w:rsidRPr="00B61FF1">
        <w:rPr>
          <w:rFonts w:ascii="Arial" w:hAnsi="Arial" w:cs="Arial"/>
          <w:sz w:val="24"/>
          <w:szCs w:val="24"/>
        </w:rPr>
        <w:t xml:space="preserve">carbon dioxide </w:t>
      </w:r>
      <w:r w:rsidRPr="00B61FF1">
        <w:rPr>
          <w:rFonts w:ascii="Arial" w:hAnsi="Arial" w:cs="Arial"/>
          <w:sz w:val="24"/>
          <w:szCs w:val="24"/>
        </w:rPr>
        <w:t>suppliers specified in section 95811(g) that meet or exceed the annual emissions threshold in section 95812</w:t>
      </w:r>
      <w:r w:rsidR="00161940" w:rsidRPr="00B61FF1">
        <w:rPr>
          <w:rFonts w:ascii="Arial" w:hAnsi="Arial" w:cs="Arial"/>
          <w:sz w:val="24"/>
          <w:szCs w:val="24"/>
        </w:rPr>
        <w:t>(c)</w:t>
      </w:r>
      <w:r w:rsidRPr="00B61FF1">
        <w:rPr>
          <w:rFonts w:ascii="Arial" w:hAnsi="Arial" w:cs="Arial"/>
          <w:sz w:val="24"/>
          <w:szCs w:val="24"/>
        </w:rPr>
        <w:t xml:space="preserve"> have compliance obligations beginning with the first compliance period.</w:t>
      </w:r>
    </w:p>
    <w:p w14:paraId="0A48DA1F" w14:textId="77777777" w:rsidR="00FE6B15" w:rsidRPr="00B61FF1" w:rsidRDefault="00A270D5" w:rsidP="00FE6A4C">
      <w:pPr>
        <w:numPr>
          <w:ilvl w:val="0"/>
          <w:numId w:val="17"/>
        </w:numPr>
        <w:tabs>
          <w:tab w:val="clear" w:pos="1080"/>
          <w:tab w:val="num" w:pos="720"/>
        </w:tabs>
        <w:spacing w:line="360" w:lineRule="auto"/>
        <w:ind w:left="720"/>
        <w:rPr>
          <w:rFonts w:ascii="Arial" w:hAnsi="Arial" w:cs="Arial"/>
          <w:sz w:val="24"/>
          <w:szCs w:val="24"/>
        </w:rPr>
      </w:pPr>
      <w:r w:rsidRPr="00B61FF1">
        <w:rPr>
          <w:rFonts w:ascii="Arial" w:hAnsi="Arial" w:cs="Arial"/>
          <w:sz w:val="24"/>
          <w:szCs w:val="24"/>
        </w:rPr>
        <w:t>S</w:t>
      </w:r>
      <w:r w:rsidR="00FE6B15" w:rsidRPr="00B61FF1">
        <w:rPr>
          <w:rFonts w:ascii="Arial" w:hAnsi="Arial" w:cs="Arial"/>
          <w:sz w:val="24"/>
          <w:szCs w:val="24"/>
        </w:rPr>
        <w:t>uppliers of natural gas, suppliers of RBOB and distillate fuel oils, and suppliers of liquefied petroleum gas specified in section</w:t>
      </w:r>
      <w:r w:rsidR="00BD7158" w:rsidRPr="00B61FF1">
        <w:rPr>
          <w:rFonts w:ascii="Arial" w:hAnsi="Arial" w:cs="Arial"/>
          <w:sz w:val="24"/>
          <w:szCs w:val="24"/>
        </w:rPr>
        <w:t>s</w:t>
      </w:r>
      <w:r w:rsidR="00FE6B15" w:rsidRPr="00B61FF1">
        <w:rPr>
          <w:rFonts w:ascii="Arial" w:hAnsi="Arial" w:cs="Arial"/>
          <w:sz w:val="24"/>
          <w:szCs w:val="24"/>
        </w:rPr>
        <w:t xml:space="preserve"> 95811(c), (d), (e)</w:t>
      </w:r>
      <w:r w:rsidR="00161940" w:rsidRPr="00B61FF1">
        <w:rPr>
          <w:rFonts w:ascii="Arial" w:hAnsi="Arial" w:cs="Arial"/>
          <w:sz w:val="24"/>
          <w:szCs w:val="24"/>
        </w:rPr>
        <w:t>, and (f)</w:t>
      </w:r>
      <w:r w:rsidR="00FE6B15" w:rsidRPr="00B61FF1">
        <w:rPr>
          <w:rFonts w:ascii="Arial" w:hAnsi="Arial" w:cs="Arial"/>
          <w:sz w:val="24"/>
          <w:szCs w:val="24"/>
        </w:rPr>
        <w:t xml:space="preserve"> that meet or exceed the annual threshold in section 95812(d) will have a compliance obligation beginning with the second compliance period.</w:t>
      </w:r>
    </w:p>
    <w:p w14:paraId="7801019E" w14:textId="60E7A5CA" w:rsidR="00124F58" w:rsidRPr="00B61FF1" w:rsidRDefault="00124F58" w:rsidP="00124F58">
      <w:pPr>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Operators of cogeneration facilities and district </w:t>
      </w:r>
      <w:r w:rsidR="0018299F" w:rsidRPr="00B61FF1">
        <w:rPr>
          <w:rFonts w:ascii="Arial" w:hAnsi="Arial" w:cs="Arial"/>
          <w:sz w:val="24"/>
          <w:szCs w:val="24"/>
          <w:u w:val="single"/>
        </w:rPr>
        <w:t>heating</w:t>
      </w:r>
      <w:r w:rsidRPr="00B61FF1">
        <w:rPr>
          <w:rFonts w:ascii="Arial" w:hAnsi="Arial" w:cs="Arial"/>
          <w:sz w:val="24"/>
          <w:szCs w:val="24"/>
          <w:u w:val="single"/>
        </w:rPr>
        <w:t xml:space="preserve"> facilities that have been approved by the Executive Officer for a limited exemption of emissions from the production of qualified thermal ou</w:t>
      </w:r>
      <w:r w:rsidR="005D10E2">
        <w:rPr>
          <w:rFonts w:ascii="Arial" w:hAnsi="Arial" w:cs="Arial"/>
          <w:sz w:val="24"/>
          <w:szCs w:val="24"/>
          <w:u w:val="single"/>
        </w:rPr>
        <w:t>tput pursuant to section 95852(j</w:t>
      </w:r>
      <w:r w:rsidRPr="00B61FF1">
        <w:rPr>
          <w:rFonts w:ascii="Arial" w:hAnsi="Arial" w:cs="Arial"/>
          <w:sz w:val="24"/>
          <w:szCs w:val="24"/>
          <w:u w:val="single"/>
        </w:rPr>
        <w:t>), that meet or exceed the annual threshold in section 95812(d) will have a compliance obligation beginning with the second compliance period.</w:t>
      </w:r>
    </w:p>
    <w:p w14:paraId="4C6F8B68" w14:textId="27B5A464" w:rsidR="00CD1CF0" w:rsidRPr="00B61FF1" w:rsidRDefault="00CD1CF0" w:rsidP="00CD1CF0">
      <w:pPr>
        <w:spacing w:line="360" w:lineRule="auto"/>
        <w:ind w:left="72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Operators of eligible Waste-to-Energy facilitie</w:t>
      </w:r>
      <w:r w:rsidR="005D10E2">
        <w:rPr>
          <w:rFonts w:ascii="Arial" w:hAnsi="Arial" w:cs="Arial"/>
          <w:sz w:val="24"/>
          <w:szCs w:val="24"/>
          <w:u w:val="single"/>
        </w:rPr>
        <w:t>s, pursuant to section 95852.2(c</w:t>
      </w:r>
      <w:r w:rsidRPr="00B61FF1">
        <w:rPr>
          <w:rFonts w:ascii="Arial" w:hAnsi="Arial" w:cs="Arial"/>
          <w:sz w:val="24"/>
          <w:szCs w:val="24"/>
          <w:u w:val="single"/>
        </w:rPr>
        <w:t>) that meet or exceed the annual threshold in section 95812(d) will have a compliance obligation beginning with the second compliance period.</w:t>
      </w:r>
    </w:p>
    <w:p w14:paraId="27E4856B" w14:textId="77777777" w:rsidR="00FE6B15" w:rsidRPr="00B61FF1" w:rsidRDefault="00FE6B15" w:rsidP="004E3B67">
      <w:pPr>
        <w:spacing w:line="360" w:lineRule="auto"/>
        <w:rPr>
          <w:rFonts w:ascii="Arial" w:hAnsi="Arial" w:cs="Arial"/>
          <w:sz w:val="24"/>
          <w:szCs w:val="24"/>
        </w:rPr>
      </w:pPr>
    </w:p>
    <w:p w14:paraId="04DF2F85"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12EA609" w14:textId="77777777" w:rsidR="009139BD" w:rsidRPr="00B61FF1" w:rsidRDefault="00FE6B15" w:rsidP="007C1352">
      <w:pPr>
        <w:rPr>
          <w:rFonts w:ascii="Arial" w:hAnsi="Arial" w:cs="Arial"/>
          <w:b/>
          <w:bCs/>
          <w:iCs/>
          <w:sz w:val="24"/>
          <w:szCs w:val="24"/>
        </w:rPr>
      </w:pPr>
      <w:r w:rsidRPr="00B61FF1">
        <w:rPr>
          <w:rFonts w:ascii="Arial" w:hAnsi="Arial" w:cs="Arial"/>
        </w:rPr>
        <w:t>Reference:  Sections 38530, 38560.5, 38564, 38565, 38570 and 39600, Health and Safety Code.</w:t>
      </w:r>
    </w:p>
    <w:p w14:paraId="75A45AE4" w14:textId="77777777" w:rsidR="004770FF" w:rsidRPr="00B61FF1" w:rsidRDefault="004770FF">
      <w:pPr>
        <w:autoSpaceDE/>
        <w:autoSpaceDN/>
        <w:adjustRightInd/>
        <w:rPr>
          <w:rFonts w:ascii="Arial" w:hAnsi="Arial" w:cs="Arial"/>
          <w:b/>
          <w:bCs/>
          <w:iCs/>
          <w:sz w:val="24"/>
          <w:szCs w:val="24"/>
        </w:rPr>
      </w:pPr>
      <w:bookmarkStart w:id="190" w:name="_Toc299094930"/>
      <w:bookmarkStart w:id="191" w:name="_Toc302746783"/>
    </w:p>
    <w:p w14:paraId="3D3FE2CD" w14:textId="77777777" w:rsidR="00FE6B15" w:rsidRPr="00B61FF1" w:rsidRDefault="00FE6B15" w:rsidP="004E3B67">
      <w:pPr>
        <w:pStyle w:val="Heading2"/>
        <w:keepNext w:val="0"/>
        <w:rPr>
          <w:i/>
          <w:szCs w:val="24"/>
        </w:rPr>
      </w:pPr>
      <w:bookmarkStart w:id="192" w:name="_Toc352146245"/>
      <w:bookmarkStart w:id="193" w:name="_Toc361659846"/>
      <w:r w:rsidRPr="00B61FF1">
        <w:rPr>
          <w:szCs w:val="24"/>
        </w:rPr>
        <w:lastRenderedPageBreak/>
        <w:t>§ 95852.  Emission Categories Used to Calculate Compliance Obligations</w:t>
      </w:r>
      <w:r w:rsidR="00161940" w:rsidRPr="00B61FF1">
        <w:rPr>
          <w:szCs w:val="24"/>
        </w:rPr>
        <w:t>.</w:t>
      </w:r>
      <w:bookmarkEnd w:id="190"/>
      <w:bookmarkEnd w:id="191"/>
      <w:bookmarkEnd w:id="192"/>
      <w:bookmarkEnd w:id="193"/>
    </w:p>
    <w:p w14:paraId="56ECAF28" w14:textId="77777777" w:rsidR="001347B3" w:rsidRPr="00B61FF1" w:rsidRDefault="00ED41AE" w:rsidP="00ED41AE">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Operators of Facilities.  </w:t>
      </w:r>
    </w:p>
    <w:p w14:paraId="510885D2" w14:textId="77777777" w:rsidR="00FE6B15" w:rsidRPr="00B61FF1" w:rsidRDefault="004827F9" w:rsidP="004827F9">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An operator of a facility covered under section</w:t>
      </w:r>
      <w:r w:rsidR="00BD7158" w:rsidRPr="00B61FF1">
        <w:rPr>
          <w:rFonts w:ascii="Arial" w:hAnsi="Arial" w:cs="Arial"/>
          <w:sz w:val="24"/>
          <w:szCs w:val="24"/>
        </w:rPr>
        <w:t>s</w:t>
      </w:r>
      <w:r w:rsidR="00FE6B15" w:rsidRPr="00B61FF1">
        <w:rPr>
          <w:rFonts w:ascii="Arial" w:hAnsi="Arial" w:cs="Arial"/>
          <w:sz w:val="24"/>
          <w:szCs w:val="24"/>
        </w:rPr>
        <w:t xml:space="preserve"> 95811(a) and 95812(</w:t>
      </w:r>
      <w:r w:rsidR="00161940" w:rsidRPr="00B61FF1">
        <w:rPr>
          <w:rFonts w:ascii="Arial" w:hAnsi="Arial" w:cs="Arial"/>
          <w:sz w:val="24"/>
          <w:szCs w:val="24"/>
        </w:rPr>
        <w:t>c</w:t>
      </w:r>
      <w:r w:rsidR="00FE6B15" w:rsidRPr="00B61FF1">
        <w:rPr>
          <w:rFonts w:ascii="Arial" w:hAnsi="Arial" w:cs="Arial"/>
          <w:sz w:val="24"/>
          <w:szCs w:val="24"/>
        </w:rPr>
        <w:t>)(1) has a compliance obligation for every metric ton of CO</w:t>
      </w:r>
      <w:r w:rsidR="00FE6B15" w:rsidRPr="00B61FF1">
        <w:rPr>
          <w:rFonts w:ascii="Arial" w:hAnsi="Arial" w:cs="Arial"/>
          <w:sz w:val="24"/>
          <w:szCs w:val="24"/>
          <w:vertAlign w:val="subscript"/>
        </w:rPr>
        <w:t>2</w:t>
      </w:r>
      <w:r w:rsidR="00FE6B15" w:rsidRPr="00B61FF1">
        <w:rPr>
          <w:rFonts w:ascii="Arial" w:hAnsi="Arial" w:cs="Arial"/>
          <w:sz w:val="24"/>
          <w:szCs w:val="24"/>
        </w:rPr>
        <w:t>e</w:t>
      </w:r>
      <w:r w:rsidR="007810FF" w:rsidRPr="00B61FF1">
        <w:rPr>
          <w:rFonts w:ascii="Arial" w:hAnsi="Arial" w:cs="Arial"/>
          <w:sz w:val="24"/>
          <w:szCs w:val="24"/>
        </w:rPr>
        <w:t xml:space="preserve"> </w:t>
      </w:r>
      <w:r w:rsidR="00FE6B15" w:rsidRPr="00B61FF1">
        <w:rPr>
          <w:rFonts w:ascii="Arial" w:hAnsi="Arial" w:cs="Arial"/>
          <w:sz w:val="24"/>
          <w:szCs w:val="24"/>
        </w:rPr>
        <w:t xml:space="preserve">for which a positive or qualified positive </w:t>
      </w:r>
      <w:r w:rsidR="00161940" w:rsidRPr="00B61FF1">
        <w:rPr>
          <w:rFonts w:ascii="Arial" w:hAnsi="Arial" w:cs="Arial"/>
          <w:sz w:val="24"/>
          <w:szCs w:val="24"/>
        </w:rPr>
        <w:t xml:space="preserve">emissions data </w:t>
      </w:r>
      <w:r w:rsidR="00FE6B15" w:rsidRPr="00B61FF1">
        <w:rPr>
          <w:rFonts w:ascii="Arial" w:hAnsi="Arial" w:cs="Arial"/>
          <w:sz w:val="24"/>
          <w:szCs w:val="24"/>
        </w:rPr>
        <w:t>verification statement is issued</w:t>
      </w:r>
      <w:r w:rsidR="00A10FFC" w:rsidRPr="00B61FF1">
        <w:rPr>
          <w:rFonts w:ascii="Arial" w:hAnsi="Arial" w:cs="Arial"/>
          <w:sz w:val="24"/>
          <w:szCs w:val="24"/>
        </w:rPr>
        <w:t xml:space="preserve"> per section </w:t>
      </w:r>
      <w:r w:rsidR="00161940" w:rsidRPr="00B61FF1">
        <w:rPr>
          <w:rFonts w:ascii="Arial" w:hAnsi="Arial" w:cs="Arial"/>
          <w:sz w:val="24"/>
          <w:szCs w:val="24"/>
        </w:rPr>
        <w:t xml:space="preserve">95131 </w:t>
      </w:r>
      <w:r w:rsidR="00A10FFC" w:rsidRPr="00B61FF1">
        <w:rPr>
          <w:rFonts w:ascii="Arial" w:hAnsi="Arial" w:cs="Arial"/>
          <w:sz w:val="24"/>
          <w:szCs w:val="24"/>
        </w:rPr>
        <w:t>of MRR</w:t>
      </w:r>
      <w:r w:rsidR="00161940" w:rsidRPr="00B61FF1">
        <w:rPr>
          <w:rFonts w:ascii="Arial" w:hAnsi="Arial" w:cs="Arial"/>
          <w:sz w:val="24"/>
          <w:szCs w:val="24"/>
        </w:rPr>
        <w:t>,</w:t>
      </w:r>
      <w:r w:rsidR="00FE6B15" w:rsidRPr="00B61FF1">
        <w:rPr>
          <w:rFonts w:ascii="Arial" w:hAnsi="Arial" w:cs="Arial"/>
          <w:sz w:val="24"/>
          <w:szCs w:val="24"/>
        </w:rPr>
        <w:t xml:space="preserve"> </w:t>
      </w:r>
      <w:r w:rsidR="00EB074B" w:rsidRPr="00B61FF1">
        <w:rPr>
          <w:rFonts w:ascii="Arial" w:hAnsi="Arial" w:cs="Arial"/>
          <w:sz w:val="24"/>
          <w:szCs w:val="24"/>
        </w:rPr>
        <w:t>including</w:t>
      </w:r>
      <w:r w:rsidR="00FE6B15" w:rsidRPr="00B61FF1">
        <w:rPr>
          <w:rFonts w:ascii="Arial" w:hAnsi="Arial" w:cs="Arial"/>
          <w:sz w:val="24"/>
          <w:szCs w:val="24"/>
        </w:rPr>
        <w:t xml:space="preserve"> process emissions</w:t>
      </w:r>
      <w:r w:rsidR="00C534F1" w:rsidRPr="00B61FF1">
        <w:rPr>
          <w:rFonts w:ascii="Arial" w:hAnsi="Arial" w:cs="Arial"/>
          <w:sz w:val="24"/>
          <w:szCs w:val="24"/>
        </w:rPr>
        <w:t>,</w:t>
      </w:r>
      <w:r w:rsidR="0042244C" w:rsidRPr="00B61FF1">
        <w:rPr>
          <w:rFonts w:ascii="Arial" w:hAnsi="Arial" w:cs="Arial"/>
          <w:sz w:val="24"/>
          <w:szCs w:val="24"/>
        </w:rPr>
        <w:t xml:space="preserve"> </w:t>
      </w:r>
      <w:r w:rsidR="00FE6B15" w:rsidRPr="00B61FF1">
        <w:rPr>
          <w:rFonts w:ascii="Arial" w:hAnsi="Arial" w:cs="Arial"/>
          <w:sz w:val="24"/>
          <w:szCs w:val="24"/>
        </w:rPr>
        <w:t>stationary combustion emissions</w:t>
      </w:r>
      <w:r w:rsidR="00C534F1" w:rsidRPr="00B61FF1">
        <w:rPr>
          <w:rFonts w:ascii="Arial" w:hAnsi="Arial" w:cs="Arial"/>
          <w:sz w:val="24"/>
          <w:szCs w:val="24"/>
        </w:rPr>
        <w:t xml:space="preserve"> and vented emissions</w:t>
      </w:r>
      <w:r w:rsidR="00FE6B15" w:rsidRPr="00B61FF1">
        <w:rPr>
          <w:rFonts w:ascii="Arial" w:hAnsi="Arial" w:cs="Arial"/>
          <w:sz w:val="24"/>
          <w:szCs w:val="24"/>
        </w:rPr>
        <w:t xml:space="preserve">.  </w:t>
      </w:r>
      <w:r w:rsidR="006B4254" w:rsidRPr="00B61FF1">
        <w:rPr>
          <w:rFonts w:ascii="Arial" w:hAnsi="Arial" w:cs="Arial"/>
          <w:sz w:val="24"/>
          <w:szCs w:val="24"/>
        </w:rPr>
        <w:t xml:space="preserve">If </w:t>
      </w:r>
      <w:r w:rsidR="00FE6B15" w:rsidRPr="00B61FF1">
        <w:rPr>
          <w:rFonts w:ascii="Arial" w:hAnsi="Arial" w:cs="Arial"/>
          <w:sz w:val="24"/>
          <w:szCs w:val="24"/>
        </w:rPr>
        <w:t xml:space="preserve">ARB has assigned emissions for the sources subject to a compliance obligation </w:t>
      </w:r>
      <w:r w:rsidR="007F4704" w:rsidRPr="00B61FF1">
        <w:rPr>
          <w:rFonts w:ascii="Arial" w:hAnsi="Arial" w:cs="Arial"/>
          <w:sz w:val="24"/>
          <w:szCs w:val="24"/>
        </w:rPr>
        <w:t xml:space="preserve">pursuant to this </w:t>
      </w:r>
      <w:r w:rsidR="00FE6B15" w:rsidRPr="00B61FF1">
        <w:rPr>
          <w:rFonts w:ascii="Arial" w:hAnsi="Arial" w:cs="Arial"/>
          <w:sz w:val="24"/>
          <w:szCs w:val="24"/>
        </w:rPr>
        <w:t>section</w:t>
      </w:r>
      <w:r w:rsidR="006B4254" w:rsidRPr="00B61FF1">
        <w:rPr>
          <w:rFonts w:ascii="Arial" w:hAnsi="Arial" w:cs="Arial"/>
          <w:sz w:val="24"/>
          <w:szCs w:val="24"/>
        </w:rPr>
        <w:t>, the facility will have</w:t>
      </w:r>
      <w:r w:rsidR="00FE6B15" w:rsidRPr="00B61FF1">
        <w:rPr>
          <w:rFonts w:ascii="Arial" w:hAnsi="Arial" w:cs="Arial"/>
          <w:sz w:val="24"/>
          <w:szCs w:val="24"/>
        </w:rPr>
        <w:t xml:space="preserve"> a compliance obligation equal to the value of every metric ton of CO</w:t>
      </w:r>
      <w:r w:rsidR="00FE6B15" w:rsidRPr="00B61FF1">
        <w:rPr>
          <w:rFonts w:ascii="Arial" w:hAnsi="Arial" w:cs="Arial"/>
          <w:sz w:val="24"/>
          <w:szCs w:val="24"/>
          <w:vertAlign w:val="subscript"/>
        </w:rPr>
        <w:t>2</w:t>
      </w:r>
      <w:r w:rsidR="00FE6B15" w:rsidRPr="00B61FF1">
        <w:rPr>
          <w:rFonts w:ascii="Arial" w:hAnsi="Arial" w:cs="Arial"/>
          <w:sz w:val="24"/>
          <w:szCs w:val="24"/>
        </w:rPr>
        <w:t>e assigned emissions</w:t>
      </w:r>
      <w:r w:rsidR="004472AA" w:rsidRPr="00B61FF1">
        <w:rPr>
          <w:rFonts w:ascii="Arial" w:hAnsi="Arial" w:cs="Arial"/>
          <w:sz w:val="24"/>
          <w:szCs w:val="24"/>
        </w:rPr>
        <w:t>.</w:t>
      </w:r>
      <w:r w:rsidR="006B4254" w:rsidRPr="00B61FF1">
        <w:rPr>
          <w:rFonts w:ascii="Arial" w:hAnsi="Arial" w:cs="Arial"/>
          <w:sz w:val="24"/>
          <w:szCs w:val="24"/>
        </w:rPr>
        <w:t xml:space="preserve">  T</w:t>
      </w:r>
      <w:r w:rsidR="00FE6B15" w:rsidRPr="00B61FF1">
        <w:rPr>
          <w:rFonts w:ascii="Arial" w:hAnsi="Arial" w:cs="Arial"/>
          <w:sz w:val="24"/>
          <w:szCs w:val="24"/>
        </w:rPr>
        <w:t xml:space="preserve">he entity’s compliance obligation will be assessed at the facility level unless otherwise noted under section 95812(c). </w:t>
      </w:r>
    </w:p>
    <w:p w14:paraId="4F029F88" w14:textId="77777777" w:rsidR="001347B3" w:rsidRPr="00B61FF1" w:rsidRDefault="004827F9" w:rsidP="004827F9">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1347B3" w:rsidRPr="00B61FF1">
        <w:rPr>
          <w:rFonts w:ascii="Arial" w:hAnsi="Arial" w:cs="Arial"/>
          <w:sz w:val="24"/>
          <w:szCs w:val="24"/>
        </w:rPr>
        <w:t xml:space="preserve">Beginning in 2015, combustion emissions resulting from burning RBOB, distillate fuel oils, or natural gas liquids are </w:t>
      </w:r>
      <w:r w:rsidR="0042244C" w:rsidRPr="00B61FF1">
        <w:rPr>
          <w:rFonts w:ascii="Arial" w:hAnsi="Arial" w:cs="Arial"/>
          <w:sz w:val="24"/>
          <w:szCs w:val="24"/>
        </w:rPr>
        <w:t xml:space="preserve">not included when calculating an </w:t>
      </w:r>
      <w:r w:rsidR="00C534F1" w:rsidRPr="00B61FF1">
        <w:rPr>
          <w:rFonts w:ascii="Arial" w:hAnsi="Arial" w:cs="Arial"/>
          <w:sz w:val="24"/>
          <w:szCs w:val="24"/>
        </w:rPr>
        <w:t>operator’s</w:t>
      </w:r>
      <w:r w:rsidR="001347B3" w:rsidRPr="00B61FF1">
        <w:rPr>
          <w:rFonts w:ascii="Arial" w:hAnsi="Arial" w:cs="Arial"/>
          <w:sz w:val="24"/>
          <w:szCs w:val="24"/>
        </w:rPr>
        <w:t xml:space="preserve"> compliance obligation.</w:t>
      </w:r>
    </w:p>
    <w:p w14:paraId="32AF00DE" w14:textId="77777777" w:rsidR="00FE6B15" w:rsidRPr="00B61FF1" w:rsidRDefault="00ED41AE" w:rsidP="00ED41AE">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7D433C" w:rsidRPr="00B61FF1">
        <w:rPr>
          <w:rFonts w:ascii="Arial" w:hAnsi="Arial" w:cs="Arial"/>
          <w:sz w:val="24"/>
          <w:szCs w:val="24"/>
        </w:rPr>
        <w:t>First Deliverers of Electricity.  A first deliverer of electricity covered under sections 95811(b) and 95812(c)(2) has a compliance obligation for every metric ton of CO</w:t>
      </w:r>
      <w:r w:rsidR="007D433C" w:rsidRPr="00B61FF1">
        <w:rPr>
          <w:rFonts w:ascii="Arial" w:hAnsi="Arial" w:cs="Arial"/>
          <w:sz w:val="24"/>
          <w:szCs w:val="24"/>
          <w:vertAlign w:val="subscript"/>
        </w:rPr>
        <w:t>2</w:t>
      </w:r>
      <w:r w:rsidR="007D433C" w:rsidRPr="00B61FF1">
        <w:rPr>
          <w:rFonts w:ascii="Arial" w:hAnsi="Arial" w:cs="Arial"/>
          <w:sz w:val="24"/>
          <w:szCs w:val="24"/>
        </w:rPr>
        <w:t xml:space="preserve">e emissions calculated </w:t>
      </w:r>
      <w:r w:rsidR="00F82459" w:rsidRPr="00B61FF1">
        <w:rPr>
          <w:rFonts w:ascii="Arial" w:hAnsi="Arial" w:cs="Arial"/>
          <w:sz w:val="24"/>
          <w:szCs w:val="24"/>
        </w:rPr>
        <w:t>pursuant to</w:t>
      </w:r>
      <w:r w:rsidR="007D433C" w:rsidRPr="00B61FF1">
        <w:rPr>
          <w:rFonts w:ascii="Arial" w:hAnsi="Arial" w:cs="Arial"/>
          <w:sz w:val="24"/>
          <w:szCs w:val="24"/>
        </w:rPr>
        <w:t xml:space="preserve"> section 95852(b)(1) for which a positive or qualified positive emissions data verification statement is issued pursuant to MRR, or for which there are assigned emissions, when such emissions are from a source in California or in a jurisdiction where a GHG emissions trading system has not been approved for linkage by the Board pursuant to subarticle 12. </w:t>
      </w:r>
    </w:p>
    <w:p w14:paraId="7EC12407" w14:textId="77777777" w:rsidR="0068028F" w:rsidRPr="00B61FF1" w:rsidRDefault="004827F9">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7D433C" w:rsidRPr="00B61FF1">
        <w:rPr>
          <w:rFonts w:ascii="Arial" w:hAnsi="Arial" w:cs="Arial"/>
          <w:sz w:val="24"/>
          <w:szCs w:val="24"/>
        </w:rPr>
        <w:t xml:space="preserve">Calculation of emissions for compliance obligation. </w:t>
      </w:r>
    </w:p>
    <w:p w14:paraId="52902983" w14:textId="77777777" w:rsidR="007D433C" w:rsidRPr="00B61FF1" w:rsidRDefault="007D433C" w:rsidP="00FE6A4C">
      <w:pPr>
        <w:pStyle w:val="ListParagraph"/>
        <w:numPr>
          <w:ilvl w:val="1"/>
          <w:numId w:val="41"/>
        </w:numPr>
        <w:autoSpaceDE/>
        <w:autoSpaceDN/>
        <w:adjustRightInd/>
        <w:spacing w:after="200" w:line="360" w:lineRule="auto"/>
        <w:ind w:left="1800" w:hanging="720"/>
        <w:rPr>
          <w:rFonts w:ascii="Arial" w:hAnsi="Arial" w:cs="Arial"/>
          <w:sz w:val="24"/>
          <w:szCs w:val="24"/>
        </w:rPr>
      </w:pPr>
      <w:r w:rsidRPr="00B61FF1">
        <w:rPr>
          <w:rFonts w:ascii="Arial" w:hAnsi="Arial" w:cs="Arial"/>
          <w:sz w:val="24"/>
          <w:szCs w:val="24"/>
        </w:rPr>
        <w:t>For first deliverers that are operators of an electricity generating facility in California, the calculation for compliance obligation includes all emissions reported</w:t>
      </w:r>
      <w:r w:rsidR="003203CD" w:rsidRPr="00B61FF1">
        <w:rPr>
          <w:rFonts w:ascii="Arial" w:hAnsi="Arial" w:cs="Arial"/>
          <w:sz w:val="24"/>
          <w:szCs w:val="24"/>
        </w:rPr>
        <w:t xml:space="preserve"> and verified or assigned</w:t>
      </w:r>
      <w:r w:rsidRPr="00B61FF1">
        <w:rPr>
          <w:rFonts w:ascii="Arial" w:hAnsi="Arial" w:cs="Arial"/>
          <w:sz w:val="24"/>
          <w:szCs w:val="24"/>
        </w:rPr>
        <w:t xml:space="preserve"> pursuant to MRR, </w:t>
      </w:r>
      <w:r w:rsidRPr="00B61FF1">
        <w:rPr>
          <w:rFonts w:ascii="Arial" w:eastAsia="MS Mincho" w:hAnsi="Arial" w:cs="Arial"/>
          <w:sz w:val="24"/>
          <w:szCs w:val="24"/>
          <w:lang w:eastAsia="ja-JP"/>
        </w:rPr>
        <w:t xml:space="preserve">except emissions without a compliance obligation pursuant to section </w:t>
      </w:r>
      <w:r w:rsidRPr="00B61FF1">
        <w:rPr>
          <w:rFonts w:ascii="Arial" w:hAnsi="Arial" w:cs="Arial"/>
          <w:sz w:val="24"/>
          <w:szCs w:val="24"/>
        </w:rPr>
        <w:t>95852.2.</w:t>
      </w:r>
    </w:p>
    <w:p w14:paraId="7F9561ED" w14:textId="77777777" w:rsidR="007D433C" w:rsidRPr="00B61FF1" w:rsidRDefault="007D433C" w:rsidP="00FE6A4C">
      <w:pPr>
        <w:pStyle w:val="ListParagraph"/>
        <w:numPr>
          <w:ilvl w:val="1"/>
          <w:numId w:val="41"/>
        </w:numPr>
        <w:autoSpaceDE/>
        <w:autoSpaceDN/>
        <w:adjustRightInd/>
        <w:spacing w:after="200" w:line="360" w:lineRule="auto"/>
        <w:ind w:left="1800" w:hanging="720"/>
        <w:rPr>
          <w:rFonts w:ascii="Arial" w:hAnsi="Arial" w:cs="Arial"/>
          <w:sz w:val="24"/>
          <w:szCs w:val="24"/>
        </w:rPr>
      </w:pPr>
      <w:r w:rsidRPr="00B61FF1">
        <w:rPr>
          <w:rFonts w:ascii="Arial" w:hAnsi="Arial" w:cs="Arial"/>
          <w:sz w:val="24"/>
          <w:szCs w:val="24"/>
        </w:rPr>
        <w:lastRenderedPageBreak/>
        <w:t>For first deliverers that are electricity importers, emissions with a compliance obligation are calculated using the following equation:</w:t>
      </w:r>
    </w:p>
    <w:p w14:paraId="20DAAB0C" w14:textId="77777777" w:rsidR="007D433C" w:rsidRPr="00B61FF1" w:rsidRDefault="007D433C" w:rsidP="00754E0B">
      <w:pPr>
        <w:ind w:left="634" w:hanging="724"/>
        <w:rPr>
          <w:rFonts w:ascii="Arial" w:hAnsi="Arial" w:cs="Arial"/>
          <w:position w:val="-20"/>
          <w:sz w:val="24"/>
          <w:szCs w:val="24"/>
        </w:rPr>
      </w:pPr>
      <w:r w:rsidRPr="00B61FF1">
        <w:rPr>
          <w:rFonts w:ascii="Arial" w:hAnsi="Arial" w:cs="Arial"/>
          <w:position w:val="-20"/>
          <w:sz w:val="24"/>
          <w:szCs w:val="24"/>
        </w:rPr>
        <w:object w:dxaOrig="10760" w:dyaOrig="520" w14:anchorId="170F1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30pt" o:ole="">
            <v:imagedata r:id="rId12" o:title=""/>
          </v:shape>
          <o:OLEObject Type="Embed" ProgID="Equation.3" ShapeID="_x0000_i1025" DrawAspect="Content" ObjectID="_1435641039" r:id="rId13"/>
        </w:object>
      </w:r>
    </w:p>
    <w:p w14:paraId="7FE0BF33" w14:textId="77777777" w:rsidR="007D433C" w:rsidRPr="00B61FF1" w:rsidRDefault="007D433C" w:rsidP="007D433C">
      <w:pPr>
        <w:spacing w:line="360" w:lineRule="auto"/>
        <w:ind w:left="1584" w:hanging="576"/>
        <w:rPr>
          <w:rFonts w:ascii="Arial" w:eastAsia="MS Mincho" w:hAnsi="Arial" w:cs="Arial"/>
          <w:sz w:val="24"/>
          <w:szCs w:val="24"/>
          <w:lang w:eastAsia="ja-JP"/>
        </w:rPr>
      </w:pPr>
      <w:r w:rsidRPr="00B61FF1">
        <w:rPr>
          <w:rFonts w:ascii="Arial" w:eastAsia="MS Mincho" w:hAnsi="Arial" w:cs="Arial"/>
          <w:sz w:val="24"/>
          <w:szCs w:val="24"/>
          <w:lang w:eastAsia="ja-JP"/>
        </w:rPr>
        <w:t>Where:</w:t>
      </w:r>
    </w:p>
    <w:p w14:paraId="6C14118B" w14:textId="77777777" w:rsidR="007D433C" w:rsidRPr="00B61FF1" w:rsidRDefault="007D433C" w:rsidP="007D433C">
      <w:pPr>
        <w:spacing w:line="360" w:lineRule="auto"/>
        <w:ind w:left="1584"/>
        <w:rPr>
          <w:rFonts w:ascii="Arial" w:eastAsia="MS Mincho" w:hAnsi="Arial" w:cs="Arial"/>
          <w:sz w:val="24"/>
          <w:szCs w:val="24"/>
          <w:lang w:eastAsia="ja-JP"/>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covered</w:t>
      </w:r>
      <w:r w:rsidRPr="00B61FF1">
        <w:rPr>
          <w:rFonts w:ascii="Arial" w:eastAsia="MS Mincho" w:hAnsi="Arial" w:cs="Arial"/>
          <w:sz w:val="24"/>
          <w:szCs w:val="24"/>
          <w:lang w:eastAsia="ja-JP"/>
        </w:rPr>
        <w:t xml:space="preserve"> =</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e with a compliance obligation.</w:t>
      </w:r>
    </w:p>
    <w:p w14:paraId="58F1F1D0" w14:textId="77777777" w:rsidR="007D433C" w:rsidRPr="00B61FF1" w:rsidRDefault="007D433C" w:rsidP="007D433C">
      <w:pPr>
        <w:spacing w:line="360" w:lineRule="auto"/>
        <w:ind w:left="1584"/>
        <w:rPr>
          <w:rFonts w:ascii="Arial" w:eastAsia="MS Mincho" w:hAnsi="Arial" w:cs="Arial"/>
          <w:sz w:val="24"/>
          <w:szCs w:val="24"/>
          <w:lang w:eastAsia="ja-JP"/>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unspecified</w:t>
      </w:r>
      <w:r w:rsidRPr="00B61FF1">
        <w:rPr>
          <w:rFonts w:ascii="Arial" w:eastAsia="MS Mincho" w:hAnsi="Arial" w:cs="Arial"/>
          <w:sz w:val="24"/>
          <w:szCs w:val="24"/>
          <w:lang w:eastAsia="ja-JP"/>
        </w:rPr>
        <w:t xml:space="preserve"> = </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e from unspecified imported electricity calcul</w:t>
      </w:r>
      <w:r w:rsidR="00F30BA9" w:rsidRPr="00B61FF1">
        <w:rPr>
          <w:rFonts w:ascii="Arial" w:eastAsia="MS Mincho" w:hAnsi="Arial" w:cs="Arial"/>
          <w:sz w:val="24"/>
          <w:szCs w:val="24"/>
          <w:lang w:eastAsia="ja-JP"/>
        </w:rPr>
        <w:t>ated pursuant to MRR 95111</w:t>
      </w:r>
      <w:r w:rsidRPr="00B61FF1">
        <w:rPr>
          <w:rFonts w:ascii="Arial" w:eastAsia="MS Mincho" w:hAnsi="Arial" w:cs="Arial"/>
          <w:sz w:val="24"/>
          <w:szCs w:val="24"/>
          <w:lang w:eastAsia="ja-JP"/>
        </w:rPr>
        <w:t>.</w:t>
      </w:r>
    </w:p>
    <w:p w14:paraId="54D69D31" w14:textId="77777777" w:rsidR="007D433C" w:rsidRPr="00B61FF1" w:rsidRDefault="007D433C" w:rsidP="007D433C">
      <w:pPr>
        <w:spacing w:line="360" w:lineRule="auto"/>
        <w:ind w:left="1584"/>
        <w:rPr>
          <w:rFonts w:ascii="Arial" w:eastAsia="MS Mincho" w:hAnsi="Arial" w:cs="Arial"/>
          <w:sz w:val="24"/>
          <w:szCs w:val="24"/>
          <w:lang w:eastAsia="ja-JP"/>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specified</w:t>
      </w:r>
      <w:r w:rsidRPr="00B61FF1">
        <w:rPr>
          <w:rFonts w:ascii="Arial" w:eastAsia="MS Mincho" w:hAnsi="Arial" w:cs="Arial"/>
          <w:sz w:val="24"/>
          <w:szCs w:val="24"/>
          <w:lang w:eastAsia="ja-JP"/>
        </w:rPr>
        <w:t xml:space="preserve"> =</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from imported electricity from specified sources that meet the requirements of MRR section 95111. </w:t>
      </w:r>
    </w:p>
    <w:p w14:paraId="48593877" w14:textId="77777777" w:rsidR="007D433C" w:rsidRPr="00B61FF1" w:rsidRDefault="007D433C" w:rsidP="007D433C">
      <w:pPr>
        <w:spacing w:line="360" w:lineRule="auto"/>
        <w:ind w:left="1584"/>
        <w:rPr>
          <w:rFonts w:ascii="Arial" w:eastAsia="MS Mincho" w:hAnsi="Arial" w:cs="Arial"/>
          <w:sz w:val="24"/>
          <w:szCs w:val="24"/>
          <w:lang w:eastAsia="ja-JP"/>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specified-not covered</w:t>
      </w:r>
      <w:r w:rsidRPr="00B61FF1">
        <w:rPr>
          <w:rFonts w:ascii="Arial" w:eastAsia="MS Mincho" w:hAnsi="Arial" w:cs="Arial"/>
          <w:sz w:val="24"/>
          <w:szCs w:val="24"/>
          <w:lang w:eastAsia="ja-JP"/>
        </w:rPr>
        <w:t xml:space="preserve"> = </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without a compliance obligation pursuant to section </w:t>
      </w:r>
      <w:r w:rsidRPr="00B61FF1">
        <w:rPr>
          <w:rFonts w:ascii="Arial" w:hAnsi="Arial" w:cs="Arial"/>
          <w:sz w:val="24"/>
          <w:szCs w:val="24"/>
        </w:rPr>
        <w:t>95852.2</w:t>
      </w:r>
      <w:r w:rsidRPr="00B61FF1">
        <w:rPr>
          <w:rFonts w:ascii="Arial" w:eastAsia="MS Mincho" w:hAnsi="Arial" w:cs="Arial"/>
          <w:sz w:val="24"/>
          <w:szCs w:val="24"/>
          <w:lang w:eastAsia="ja-JP"/>
        </w:rPr>
        <w:t>.from specified sources that meet the requirements in MRR section 95111,</w:t>
      </w:r>
    </w:p>
    <w:p w14:paraId="21D81B01" w14:textId="77777777" w:rsidR="007D433C" w:rsidRPr="00B61FF1" w:rsidRDefault="007D433C" w:rsidP="007D433C">
      <w:pPr>
        <w:spacing w:line="360" w:lineRule="auto"/>
        <w:ind w:left="1584"/>
        <w:rPr>
          <w:rFonts w:ascii="Arial" w:eastAsia="MS Mincho" w:hAnsi="Arial" w:cs="Arial"/>
          <w:sz w:val="24"/>
          <w:szCs w:val="24"/>
          <w:lang w:eastAsia="ja-JP"/>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 xml:space="preserve">RPS_adjustment </w:t>
      </w:r>
      <w:r w:rsidRPr="00B61FF1">
        <w:rPr>
          <w:rFonts w:ascii="Arial" w:eastAsia="MS Mincho" w:hAnsi="Arial" w:cs="Arial"/>
          <w:sz w:val="24"/>
          <w:szCs w:val="24"/>
          <w:lang w:eastAsia="ja-JP"/>
        </w:rPr>
        <w:t>=</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e calculated pursuant to MRR that meets the requirements of section 95852(b)(4).</w:t>
      </w:r>
    </w:p>
    <w:p w14:paraId="7A90ACCF" w14:textId="77777777" w:rsidR="007D433C" w:rsidRPr="00B61FF1" w:rsidRDefault="007D433C" w:rsidP="007D433C">
      <w:pPr>
        <w:spacing w:line="360" w:lineRule="auto"/>
        <w:ind w:left="1584"/>
        <w:rPr>
          <w:rFonts w:ascii="Arial" w:eastAsia="MS Mincho" w:hAnsi="Arial" w:cs="Arial"/>
          <w:sz w:val="24"/>
          <w:szCs w:val="24"/>
          <w:lang w:eastAsia="ja-JP"/>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QE_adjustment</w:t>
      </w:r>
      <w:r w:rsidRPr="00B61FF1">
        <w:rPr>
          <w:rFonts w:ascii="Arial" w:eastAsia="MS Mincho" w:hAnsi="Arial" w:cs="Arial"/>
          <w:sz w:val="24"/>
          <w:szCs w:val="24"/>
          <w:lang w:eastAsia="ja-JP"/>
        </w:rPr>
        <w:t xml:space="preserve"> =</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e from qualified exports pursuant to MRR section 95111 that meet the requirements of section 95852(b)(5).</w:t>
      </w:r>
    </w:p>
    <w:p w14:paraId="1B426AED" w14:textId="77777777" w:rsidR="007D433C" w:rsidRPr="00B61FF1" w:rsidRDefault="007D433C" w:rsidP="007D433C">
      <w:pPr>
        <w:spacing w:line="360" w:lineRule="auto"/>
        <w:ind w:left="1584"/>
        <w:rPr>
          <w:rFonts w:ascii="Arial" w:hAnsi="Arial" w:cs="Arial"/>
          <w:sz w:val="24"/>
          <w:szCs w:val="24"/>
        </w:rPr>
      </w:pPr>
      <w:r w:rsidRPr="00B61FF1">
        <w:rPr>
          <w:rFonts w:ascii="Arial" w:eastAsia="MS Mincho" w:hAnsi="Arial" w:cs="Arial"/>
          <w:sz w:val="24"/>
          <w:szCs w:val="24"/>
          <w:lang w:eastAsia="ja-JP"/>
        </w:rPr>
        <w:t>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w:t>
      </w:r>
      <w:r w:rsidRPr="00B61FF1">
        <w:rPr>
          <w:rFonts w:ascii="Arial" w:eastAsia="MS Mincho" w:hAnsi="Arial" w:cs="Arial"/>
          <w:sz w:val="24"/>
          <w:szCs w:val="24"/>
          <w:vertAlign w:val="subscript"/>
          <w:lang w:eastAsia="ja-JP"/>
        </w:rPr>
        <w:t>linked</w:t>
      </w:r>
      <w:r w:rsidRPr="00B61FF1">
        <w:rPr>
          <w:rFonts w:ascii="Arial" w:eastAsia="MS Mincho" w:hAnsi="Arial" w:cs="Arial"/>
          <w:sz w:val="24"/>
          <w:szCs w:val="24"/>
          <w:lang w:eastAsia="ja-JP"/>
        </w:rPr>
        <w:t xml:space="preserve"> = </w:t>
      </w:r>
      <w:r w:rsidR="00754E0B" w:rsidRPr="00B61FF1">
        <w:rPr>
          <w:rFonts w:ascii="Arial" w:eastAsia="MS Mincho" w:hAnsi="Arial" w:cs="Arial"/>
          <w:sz w:val="24"/>
          <w:szCs w:val="24"/>
          <w:lang w:eastAsia="ja-JP"/>
        </w:rPr>
        <w:t xml:space="preserve"> </w:t>
      </w:r>
      <w:r w:rsidRPr="00B61FF1">
        <w:rPr>
          <w:rFonts w:ascii="Arial" w:eastAsia="MS Mincho" w:hAnsi="Arial" w:cs="Arial"/>
          <w:sz w:val="24"/>
          <w:szCs w:val="24"/>
          <w:lang w:eastAsia="ja-JP"/>
        </w:rPr>
        <w:t>Annual metric tons of CO</w:t>
      </w:r>
      <w:r w:rsidRPr="00B61FF1">
        <w:rPr>
          <w:rFonts w:ascii="Arial" w:eastAsia="MS Mincho" w:hAnsi="Arial" w:cs="Arial"/>
          <w:sz w:val="24"/>
          <w:szCs w:val="24"/>
          <w:vertAlign w:val="subscript"/>
          <w:lang w:eastAsia="ja-JP"/>
        </w:rPr>
        <w:t>2</w:t>
      </w:r>
      <w:r w:rsidRPr="00B61FF1">
        <w:rPr>
          <w:rFonts w:ascii="Arial" w:eastAsia="MS Mincho" w:hAnsi="Arial" w:cs="Arial"/>
          <w:sz w:val="24"/>
          <w:szCs w:val="24"/>
          <w:lang w:eastAsia="ja-JP"/>
        </w:rPr>
        <w:t xml:space="preserve">e from electricity with a first point of receipt located in </w:t>
      </w:r>
      <w:r w:rsidRPr="00B61FF1">
        <w:rPr>
          <w:rFonts w:ascii="Arial" w:hAnsi="Arial" w:cs="Arial"/>
          <w:sz w:val="24"/>
          <w:szCs w:val="24"/>
        </w:rPr>
        <w:t>a jurisdiction where a GHG emissions trading system has been approved for linkage by the Board pursuant to subarticle 12.</w:t>
      </w:r>
    </w:p>
    <w:p w14:paraId="5E0CC4F6" w14:textId="77777777" w:rsidR="007D433C" w:rsidRPr="00B61FF1" w:rsidRDefault="007D433C" w:rsidP="007D433C">
      <w:pPr>
        <w:spacing w:line="360" w:lineRule="auto"/>
        <w:ind w:left="1800" w:hanging="720"/>
        <w:rPr>
          <w:rFonts w:ascii="Arial" w:eastAsia="MS Mincho" w:hAnsi="Arial" w:cs="Arial"/>
          <w:sz w:val="24"/>
          <w:szCs w:val="24"/>
          <w:lang w:eastAsia="ja-JP"/>
        </w:rPr>
      </w:pPr>
      <w:r w:rsidRPr="00B61FF1">
        <w:rPr>
          <w:rFonts w:ascii="Arial" w:eastAsia="MS Mincho" w:hAnsi="Arial" w:cs="Arial"/>
          <w:sz w:val="24"/>
          <w:szCs w:val="24"/>
          <w:lang w:eastAsia="ja-JP"/>
        </w:rPr>
        <w:t>(C)</w:t>
      </w:r>
      <w:r w:rsidRPr="00B61FF1">
        <w:rPr>
          <w:rFonts w:ascii="Arial" w:eastAsia="MS Mincho" w:hAnsi="Arial" w:cs="Arial"/>
          <w:sz w:val="24"/>
          <w:szCs w:val="24"/>
          <w:lang w:eastAsia="ja-JP"/>
        </w:rPr>
        <w:tab/>
        <w:t xml:space="preserve">All deliveries of electricity not meeting the requirements for specified sources pursuant to MRR will have emissions calculated using the default emission factor for unspecified electricity </w:t>
      </w:r>
      <w:r w:rsidR="003203CD" w:rsidRPr="00B61FF1">
        <w:rPr>
          <w:rFonts w:ascii="Arial" w:eastAsia="MS Mincho" w:hAnsi="Arial" w:cs="Arial"/>
          <w:sz w:val="24"/>
          <w:szCs w:val="24"/>
          <w:lang w:eastAsia="ja-JP"/>
        </w:rPr>
        <w:t>pursuant to section MRR 95111</w:t>
      </w:r>
      <w:r w:rsidRPr="00B61FF1">
        <w:rPr>
          <w:rFonts w:ascii="Arial" w:eastAsia="MS Mincho" w:hAnsi="Arial" w:cs="Arial"/>
          <w:sz w:val="24"/>
          <w:szCs w:val="24"/>
          <w:lang w:eastAsia="ja-JP"/>
        </w:rPr>
        <w:t xml:space="preserve">.  </w:t>
      </w:r>
    </w:p>
    <w:p w14:paraId="2AECFA6B" w14:textId="77777777" w:rsidR="00691F2D" w:rsidRPr="00B61FF1" w:rsidRDefault="007D433C" w:rsidP="004827F9">
      <w:pPr>
        <w:spacing w:line="360" w:lineRule="auto"/>
        <w:ind w:left="1080" w:hanging="720"/>
        <w:rPr>
          <w:rFonts w:ascii="Arial" w:hAnsi="Arial" w:cs="Arial"/>
          <w:strike/>
          <w:sz w:val="24"/>
          <w:szCs w:val="24"/>
        </w:rPr>
      </w:pPr>
      <w:r w:rsidRPr="00B61FF1">
        <w:rPr>
          <w:rFonts w:ascii="Arial" w:hAnsi="Arial" w:cs="Arial"/>
          <w:sz w:val="24"/>
          <w:szCs w:val="24"/>
        </w:rPr>
        <w:lastRenderedPageBreak/>
        <w:t>(2)</w:t>
      </w:r>
      <w:r w:rsidRPr="00B61FF1">
        <w:rPr>
          <w:rFonts w:ascii="Arial" w:hAnsi="Arial" w:cs="Arial"/>
          <w:sz w:val="24"/>
          <w:szCs w:val="24"/>
        </w:rPr>
        <w:tab/>
      </w:r>
      <w:r w:rsidR="00691F2D" w:rsidRPr="00B61FF1">
        <w:rPr>
          <w:rFonts w:ascii="Arial" w:hAnsi="Arial" w:cs="Arial"/>
          <w:sz w:val="24"/>
          <w:szCs w:val="24"/>
        </w:rPr>
        <w:t xml:space="preserve">Resource </w:t>
      </w:r>
      <w:r w:rsidRPr="00B61FF1">
        <w:rPr>
          <w:rFonts w:ascii="Arial" w:hAnsi="Arial" w:cs="Arial"/>
          <w:sz w:val="24"/>
          <w:szCs w:val="24"/>
        </w:rPr>
        <w:t xml:space="preserve">shuffling is prohibited and is a violation of this article.  </w:t>
      </w:r>
      <w:r w:rsidR="002064A3" w:rsidRPr="00B61FF1">
        <w:rPr>
          <w:rFonts w:ascii="Arial" w:hAnsi="Arial" w:cs="Arial"/>
          <w:strike/>
          <w:sz w:val="24"/>
          <w:szCs w:val="24"/>
        </w:rPr>
        <w:t>First Deliverers must submit t</w:t>
      </w:r>
      <w:r w:rsidRPr="00B61FF1">
        <w:rPr>
          <w:rFonts w:ascii="Arial" w:hAnsi="Arial" w:cs="Arial"/>
          <w:strike/>
          <w:sz w:val="24"/>
          <w:szCs w:val="24"/>
        </w:rPr>
        <w:t xml:space="preserve">he following attestations </w:t>
      </w:r>
      <w:r w:rsidR="002064A3" w:rsidRPr="00B61FF1">
        <w:rPr>
          <w:rFonts w:ascii="Arial" w:hAnsi="Arial" w:cs="Arial"/>
          <w:strike/>
          <w:sz w:val="24"/>
          <w:szCs w:val="24"/>
        </w:rPr>
        <w:t xml:space="preserve">annually </w:t>
      </w:r>
      <w:r w:rsidRPr="00B61FF1">
        <w:rPr>
          <w:rFonts w:ascii="Arial" w:hAnsi="Arial" w:cs="Arial"/>
          <w:strike/>
          <w:sz w:val="24"/>
          <w:szCs w:val="24"/>
        </w:rPr>
        <w:t>to ARB</w:t>
      </w:r>
      <w:r w:rsidR="002064A3" w:rsidRPr="00B61FF1">
        <w:rPr>
          <w:rFonts w:ascii="Arial" w:hAnsi="Arial" w:cs="Arial"/>
          <w:strike/>
          <w:sz w:val="24"/>
          <w:szCs w:val="24"/>
        </w:rPr>
        <w:t>, by June 1,</w:t>
      </w:r>
      <w:r w:rsidRPr="00B61FF1">
        <w:rPr>
          <w:rFonts w:ascii="Arial" w:hAnsi="Arial" w:cs="Arial"/>
          <w:strike/>
          <w:sz w:val="24"/>
          <w:szCs w:val="24"/>
        </w:rPr>
        <w:t xml:space="preserve"> in writing, by certified mail only:</w:t>
      </w:r>
    </w:p>
    <w:p w14:paraId="604FA7AC" w14:textId="77777777" w:rsidR="00691F2D" w:rsidRPr="00B61FF1" w:rsidRDefault="004827F9" w:rsidP="002064A3">
      <w:pPr>
        <w:spacing w:line="360" w:lineRule="auto"/>
        <w:ind w:left="1800" w:hanging="72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rPr>
        <w:tab/>
      </w:r>
      <w:r w:rsidR="00691F2D" w:rsidRPr="00B61FF1">
        <w:rPr>
          <w:rFonts w:ascii="Arial" w:hAnsi="Arial" w:cs="Arial"/>
          <w:strike/>
          <w:sz w:val="24"/>
          <w:szCs w:val="24"/>
        </w:rPr>
        <w:t>“I certify under penalty of perjury of the laws of</w:t>
      </w:r>
      <w:r w:rsidR="006B4254" w:rsidRPr="00B61FF1">
        <w:rPr>
          <w:rFonts w:ascii="Arial" w:hAnsi="Arial" w:cs="Arial"/>
          <w:strike/>
          <w:sz w:val="24"/>
          <w:szCs w:val="24"/>
        </w:rPr>
        <w:t xml:space="preserve"> the </w:t>
      </w:r>
      <w:r w:rsidR="00F47578" w:rsidRPr="00B61FF1">
        <w:rPr>
          <w:rFonts w:ascii="Arial" w:hAnsi="Arial" w:cs="Arial"/>
          <w:strike/>
          <w:sz w:val="24"/>
          <w:szCs w:val="24"/>
        </w:rPr>
        <w:t>S</w:t>
      </w:r>
      <w:r w:rsidR="006B4254" w:rsidRPr="00B61FF1">
        <w:rPr>
          <w:rFonts w:ascii="Arial" w:hAnsi="Arial" w:cs="Arial"/>
          <w:strike/>
          <w:sz w:val="24"/>
          <w:szCs w:val="24"/>
        </w:rPr>
        <w:t>tate of</w:t>
      </w:r>
      <w:r w:rsidR="00691F2D" w:rsidRPr="00B61FF1">
        <w:rPr>
          <w:rFonts w:ascii="Arial" w:hAnsi="Arial" w:cs="Arial"/>
          <w:strike/>
          <w:sz w:val="24"/>
          <w:szCs w:val="24"/>
        </w:rPr>
        <w:t xml:space="preserve"> California that </w:t>
      </w:r>
      <w:r w:rsidR="00634F56" w:rsidRPr="00B61FF1">
        <w:rPr>
          <w:rFonts w:ascii="Arial" w:hAnsi="Arial" w:cs="Arial"/>
          <w:strike/>
          <w:sz w:val="24"/>
          <w:szCs w:val="24"/>
        </w:rPr>
        <w:t xml:space="preserve">[facility or company name] </w:t>
      </w:r>
      <w:r w:rsidR="007D433C" w:rsidRPr="00B61FF1">
        <w:rPr>
          <w:rFonts w:ascii="Arial" w:hAnsi="Arial" w:cs="Arial"/>
          <w:strike/>
          <w:sz w:val="24"/>
          <w:szCs w:val="24"/>
        </w:rPr>
        <w:t xml:space="preserve">for which I am an agent </w:t>
      </w:r>
      <w:r w:rsidR="00634F56" w:rsidRPr="00B61FF1">
        <w:rPr>
          <w:rFonts w:ascii="Arial" w:hAnsi="Arial" w:cs="Arial"/>
          <w:strike/>
          <w:sz w:val="24"/>
          <w:szCs w:val="24"/>
        </w:rPr>
        <w:t>has</w:t>
      </w:r>
      <w:r w:rsidR="00691F2D" w:rsidRPr="00B61FF1">
        <w:rPr>
          <w:rFonts w:ascii="Arial" w:hAnsi="Arial" w:cs="Arial"/>
          <w:strike/>
          <w:sz w:val="24"/>
          <w:szCs w:val="24"/>
        </w:rPr>
        <w:t xml:space="preserve"> not engaged in the activity of resource shuffling to reduce compliance obligation for emissions, based on emission reductions that have not occurred</w:t>
      </w:r>
      <w:r w:rsidR="002064A3" w:rsidRPr="00B61FF1">
        <w:rPr>
          <w:rFonts w:ascii="Arial" w:hAnsi="Arial" w:cs="Arial"/>
          <w:strike/>
          <w:sz w:val="24"/>
          <w:szCs w:val="24"/>
        </w:rPr>
        <w:t xml:space="preserve"> as reported under MRR</w:t>
      </w:r>
      <w:r w:rsidR="00691F2D" w:rsidRPr="00B61FF1">
        <w:rPr>
          <w:rFonts w:ascii="Arial" w:hAnsi="Arial" w:cs="Arial"/>
          <w:strike/>
          <w:sz w:val="24"/>
          <w:szCs w:val="24"/>
        </w:rPr>
        <w:t>.”</w:t>
      </w:r>
    </w:p>
    <w:p w14:paraId="6AE0524A" w14:textId="77777777" w:rsidR="00691F2D" w:rsidRPr="00B61FF1" w:rsidRDefault="008D2F20" w:rsidP="00EA64EF">
      <w:pPr>
        <w:spacing w:line="360" w:lineRule="auto"/>
        <w:ind w:left="1800" w:hanging="720"/>
        <w:rPr>
          <w:rFonts w:ascii="Arial" w:hAnsi="Arial" w:cs="Arial"/>
          <w:strike/>
          <w:sz w:val="24"/>
          <w:szCs w:val="24"/>
        </w:rPr>
      </w:pPr>
      <w:r w:rsidRPr="00B61FF1">
        <w:rPr>
          <w:rFonts w:ascii="Arial" w:hAnsi="Arial" w:cs="Arial"/>
          <w:strike/>
          <w:sz w:val="24"/>
          <w:szCs w:val="24"/>
        </w:rPr>
        <w:t>(B)</w:t>
      </w:r>
      <w:r w:rsidR="004827F9" w:rsidRPr="00B61FF1">
        <w:rPr>
          <w:rFonts w:ascii="Arial" w:hAnsi="Arial" w:cs="Arial"/>
          <w:strike/>
          <w:sz w:val="24"/>
          <w:szCs w:val="24"/>
        </w:rPr>
        <w:tab/>
      </w:r>
      <w:r w:rsidR="007D433C" w:rsidRPr="00B61FF1">
        <w:rPr>
          <w:rFonts w:ascii="Arial" w:hAnsi="Arial" w:cs="Arial"/>
          <w:strike/>
          <w:sz w:val="24"/>
          <w:szCs w:val="24"/>
        </w:rPr>
        <w:t>“I understand [facility or company name], for which I am an agent, is participating in the Cap-and-Trade Program under title 17, California Code of Regulations, article 5, and by doing so, it now subjects itself to all regulatory requirements and enforcement mechanisms of this program and subjects itself to the jurisdiction of California as the exclusive venue to resolve disputes.”</w:t>
      </w:r>
    </w:p>
    <w:p w14:paraId="59EFAF06" w14:textId="64773A41" w:rsidR="005A4E98" w:rsidRPr="00B61FF1" w:rsidRDefault="005A4E98" w:rsidP="005A4E98">
      <w:pPr>
        <w:tabs>
          <w:tab w:val="right" w:pos="-1890"/>
        </w:tabs>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u w:val="single"/>
        </w:rPr>
        <w:t>(A)</w:t>
      </w:r>
      <w:r w:rsidRPr="007A336E">
        <w:rPr>
          <w:rFonts w:ascii="Arial" w:eastAsia="Calibri" w:hAnsi="Arial" w:cs="Arial"/>
          <w:sz w:val="24"/>
          <w:szCs w:val="24"/>
        </w:rPr>
        <w:t xml:space="preserve">  </w:t>
      </w:r>
      <w:r w:rsidRPr="007A336E">
        <w:rPr>
          <w:rFonts w:ascii="Arial" w:eastAsia="Calibri" w:hAnsi="Arial" w:cs="Arial"/>
          <w:sz w:val="24"/>
          <w:szCs w:val="24"/>
        </w:rPr>
        <w:tab/>
      </w:r>
      <w:r w:rsidRPr="00B61FF1">
        <w:rPr>
          <w:rFonts w:ascii="Arial" w:eastAsia="Calibri" w:hAnsi="Arial" w:cs="Arial"/>
          <w:sz w:val="24"/>
          <w:szCs w:val="24"/>
          <w:u w:val="single"/>
        </w:rPr>
        <w:t>The following substitutions of electricity deliveries from a lower emission resource for electricity deliveries from a higher emission resource shall not constitute resource shuffling:</w:t>
      </w:r>
    </w:p>
    <w:p w14:paraId="1C0F5711" w14:textId="487146AE"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(1)</w:t>
      </w:r>
      <w:r w:rsidRPr="007A336E">
        <w:rPr>
          <w:rFonts w:ascii="Arial" w:eastAsia="Calibri" w:hAnsi="Arial" w:cs="Arial"/>
          <w:sz w:val="24"/>
          <w:szCs w:val="24"/>
        </w:rPr>
        <w:tab/>
      </w:r>
      <w:r w:rsidRPr="00B61FF1">
        <w:rPr>
          <w:rFonts w:ascii="Arial" w:eastAsia="Calibri" w:hAnsi="Arial" w:cs="Arial"/>
          <w:sz w:val="24"/>
          <w:szCs w:val="24"/>
          <w:u w:val="single"/>
        </w:rPr>
        <w:t>Electricity deliveries that are caused by the procurement of electricity eligible to be counted towards and purchased for Renewable Portfolio Standard (RPS) compliance in California.</w:t>
      </w:r>
    </w:p>
    <w:p w14:paraId="7BF334ED" w14:textId="60C38925"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(2)</w:t>
      </w:r>
      <w:r w:rsidRPr="007A336E">
        <w:rPr>
          <w:rFonts w:ascii="Arial" w:eastAsia="Calibri" w:hAnsi="Arial" w:cs="Arial"/>
          <w:sz w:val="24"/>
          <w:szCs w:val="24"/>
        </w:rPr>
        <w:tab/>
      </w:r>
      <w:r w:rsidRPr="00B61FF1">
        <w:rPr>
          <w:rFonts w:ascii="Arial" w:eastAsia="Calibri" w:hAnsi="Arial" w:cs="Arial"/>
          <w:sz w:val="24"/>
          <w:szCs w:val="24"/>
          <w:u w:val="single"/>
        </w:rPr>
        <w:t>Electricity deliveries made for the purpose of compliance with state or federal laws and regulations, including the Emission Performance Standard (EPS) rules established by CEC and the CPUC pursuant to public utilities code section 8340 et. seq.</w:t>
      </w:r>
    </w:p>
    <w:p w14:paraId="587D5C9A" w14:textId="52AD6333"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(3)</w:t>
      </w:r>
      <w:r w:rsidRPr="007A336E">
        <w:rPr>
          <w:rFonts w:ascii="Arial" w:eastAsia="Calibri" w:hAnsi="Arial" w:cs="Arial"/>
          <w:sz w:val="24"/>
          <w:szCs w:val="24"/>
        </w:rPr>
        <w:tab/>
      </w:r>
      <w:r w:rsidRPr="00B61FF1">
        <w:rPr>
          <w:rFonts w:ascii="Arial" w:eastAsia="Calibri" w:hAnsi="Arial" w:cs="Arial"/>
          <w:sz w:val="24"/>
          <w:szCs w:val="24"/>
          <w:u w:val="single"/>
        </w:rPr>
        <w:t xml:space="preserve">Electricity deliveries made for the purpose of compliance with requirements related to maintaining reliable grid operations, such as North American Electric Reliability Corporation (NERC) Reliability Standards, and Reliability </w:t>
      </w:r>
      <w:r w:rsidRPr="00B61FF1">
        <w:rPr>
          <w:rFonts w:ascii="Arial" w:eastAsia="Calibri" w:hAnsi="Arial" w:cs="Arial"/>
          <w:sz w:val="24"/>
          <w:szCs w:val="24"/>
          <w:u w:val="single"/>
        </w:rPr>
        <w:lastRenderedPageBreak/>
        <w:t>Coordinator directives, including the provision of electricity between balancing authorities or load-serving entities when required to alleviate emergency grid conditions.</w:t>
      </w:r>
    </w:p>
    <w:p w14:paraId="7BE3F5F7" w14:textId="1D2FED40"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(4)</w:t>
      </w:r>
      <w:r w:rsidRPr="007A336E">
        <w:rPr>
          <w:rFonts w:ascii="Arial" w:eastAsia="Calibri" w:hAnsi="Arial" w:cs="Arial"/>
          <w:sz w:val="24"/>
          <w:szCs w:val="24"/>
        </w:rPr>
        <w:tab/>
      </w:r>
      <w:r w:rsidRPr="00B61FF1">
        <w:rPr>
          <w:rFonts w:ascii="Arial" w:eastAsia="Calibri" w:hAnsi="Arial" w:cs="Arial"/>
          <w:sz w:val="24"/>
          <w:szCs w:val="24"/>
          <w:u w:val="single"/>
        </w:rPr>
        <w:t>Electricity deliveries made for the purpose of compliance with either a judicially approved settlement of litigation or a settlement of a transaction dispute pursuant to the dispute resolution terms and conditions of a contract for reasons other than reducing GHG compliance obligations.</w:t>
      </w:r>
    </w:p>
    <w:p w14:paraId="47AC9F59" w14:textId="1C7059C0"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(5)</w:t>
      </w:r>
      <w:r w:rsidRPr="007A336E">
        <w:rPr>
          <w:rFonts w:ascii="Arial" w:eastAsia="Calibri" w:hAnsi="Arial" w:cs="Arial"/>
          <w:sz w:val="24"/>
          <w:szCs w:val="24"/>
        </w:rPr>
        <w:tab/>
      </w:r>
      <w:r w:rsidRPr="00B61FF1">
        <w:rPr>
          <w:rFonts w:ascii="Arial" w:eastAsia="Calibri" w:hAnsi="Arial" w:cs="Arial"/>
          <w:sz w:val="24"/>
          <w:szCs w:val="24"/>
          <w:u w:val="single"/>
        </w:rPr>
        <w:t>Electricity deliveries that substitute for power previously supplied by a specified source that has been retired.</w:t>
      </w:r>
    </w:p>
    <w:p w14:paraId="2E44006F" w14:textId="3CB14CD0"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(6)</w:t>
      </w:r>
      <w:r w:rsidRPr="007A336E">
        <w:rPr>
          <w:rFonts w:ascii="Arial" w:eastAsia="Calibri" w:hAnsi="Arial" w:cs="Arial"/>
          <w:sz w:val="24"/>
          <w:szCs w:val="24"/>
        </w:rPr>
        <w:tab/>
      </w:r>
      <w:r w:rsidRPr="00B61FF1">
        <w:rPr>
          <w:rFonts w:ascii="Arial" w:eastAsia="Calibri" w:hAnsi="Arial" w:cs="Arial"/>
          <w:sz w:val="24"/>
          <w:szCs w:val="24"/>
          <w:u w:val="single"/>
        </w:rPr>
        <w:t>Electricity deliveries that substitute for deliveries that have been discontinued because of termination of a contract or divestiture of resources for reasons other than reducing GHG compliance obligation.</w:t>
      </w:r>
    </w:p>
    <w:p w14:paraId="5D1F22B8" w14:textId="333BE942"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(7)</w:t>
      </w:r>
      <w:r w:rsidRPr="007A336E">
        <w:rPr>
          <w:rFonts w:ascii="Arial" w:eastAsia="Calibri" w:hAnsi="Arial" w:cs="Arial"/>
          <w:sz w:val="24"/>
          <w:szCs w:val="24"/>
        </w:rPr>
        <w:tab/>
      </w:r>
      <w:r w:rsidRPr="00B61FF1">
        <w:rPr>
          <w:rFonts w:ascii="Arial" w:eastAsia="Calibri" w:hAnsi="Arial" w:cs="Arial"/>
          <w:sz w:val="24"/>
          <w:szCs w:val="24"/>
          <w:u w:val="single"/>
        </w:rPr>
        <w:t>Electricity deliveries that are necessitated by early termination of a contract for, or full or partial divestiture of, resources subject to the EPS rules.</w:t>
      </w:r>
    </w:p>
    <w:p w14:paraId="75329927" w14:textId="5D6CD533"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(8)</w:t>
      </w:r>
      <w:r w:rsidRPr="007A336E">
        <w:rPr>
          <w:rFonts w:ascii="Arial" w:eastAsia="Calibri" w:hAnsi="Arial" w:cs="Arial"/>
          <w:sz w:val="24"/>
          <w:szCs w:val="24"/>
        </w:rPr>
        <w:tab/>
      </w:r>
      <w:r w:rsidRPr="00B61FF1">
        <w:rPr>
          <w:rFonts w:ascii="Arial" w:eastAsia="Calibri" w:hAnsi="Arial" w:cs="Arial"/>
          <w:sz w:val="24"/>
          <w:szCs w:val="24"/>
          <w:u w:val="single"/>
        </w:rPr>
        <w:t>Electricity deliveries that are necessitated by expiration of a contract.</w:t>
      </w:r>
    </w:p>
    <w:p w14:paraId="43A447D5" w14:textId="0C34DBCC"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(9)</w:t>
      </w:r>
      <w:r w:rsidRPr="007A336E">
        <w:rPr>
          <w:rFonts w:ascii="Arial" w:eastAsia="Calibri" w:hAnsi="Arial" w:cs="Arial"/>
          <w:sz w:val="24"/>
          <w:szCs w:val="24"/>
        </w:rPr>
        <w:tab/>
      </w:r>
      <w:r w:rsidRPr="00B61FF1">
        <w:rPr>
          <w:rFonts w:ascii="Arial" w:eastAsia="Calibri" w:hAnsi="Arial" w:cs="Arial"/>
          <w:sz w:val="24"/>
          <w:szCs w:val="24"/>
          <w:u w:val="single"/>
        </w:rPr>
        <w:t xml:space="preserve">Electricity deliveries pursuant to contracts for short term delivery of electricity with terms of no more than 12 months, for either specified or unspecified power, linked to the selling off of power from, or assigning of a contract for, electricity subject to the EPS rules from a power plant that does not meet the EPS with which  a California Electrical Distribution Utility has a contract, or in which  a California Electrical Distribution Utility has an ownership share, and based on economic decisions including congestion costs but excluding implicit and explicit GHG </w:t>
      </w:r>
      <w:r w:rsidRPr="00B61FF1">
        <w:rPr>
          <w:rFonts w:ascii="Arial" w:eastAsia="Calibri" w:hAnsi="Arial" w:cs="Arial"/>
          <w:sz w:val="24"/>
          <w:szCs w:val="24"/>
          <w:u w:val="single"/>
        </w:rPr>
        <w:lastRenderedPageBreak/>
        <w:t xml:space="preserve">costs. In evaluating these short term deliveries of electricity, ARB will consider the levels of past sales and purchases from similar resources of electricity, among other factors, to judge whether the activity is resource shuffling. </w:t>
      </w:r>
    </w:p>
    <w:p w14:paraId="7A430570" w14:textId="62E0CC44"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(10)</w:t>
      </w:r>
      <w:r w:rsidRPr="007A336E">
        <w:rPr>
          <w:rFonts w:ascii="Arial" w:eastAsia="Calibri" w:hAnsi="Arial" w:cs="Arial"/>
          <w:sz w:val="24"/>
          <w:szCs w:val="24"/>
        </w:rPr>
        <w:tab/>
      </w:r>
      <w:r w:rsidRPr="00B61FF1">
        <w:rPr>
          <w:rFonts w:ascii="Arial" w:eastAsia="Calibri" w:hAnsi="Arial" w:cs="Arial"/>
          <w:sz w:val="24"/>
          <w:szCs w:val="24"/>
          <w:u w:val="single"/>
        </w:rPr>
        <w:t>Short-term transactions and contracts for delivery of electricity with terms of no more than 12 months, or resulting from an economic bid or self-schedule that clears the CAISO day-ahead or real-time market, for either specified or</w:t>
      </w:r>
      <w:r w:rsidRPr="00B61FF1">
        <w:rPr>
          <w:rFonts w:ascii="Arial" w:eastAsia="Calibri" w:hAnsi="Arial" w:cs="Arial"/>
          <w:sz w:val="24"/>
          <w:szCs w:val="24"/>
        </w:rPr>
        <w:t xml:space="preserve"> </w:t>
      </w:r>
      <w:r w:rsidRPr="00B61FF1">
        <w:rPr>
          <w:rFonts w:ascii="Arial" w:eastAsia="Calibri" w:hAnsi="Arial" w:cs="Arial"/>
          <w:sz w:val="24"/>
          <w:szCs w:val="24"/>
          <w:u w:val="single"/>
        </w:rPr>
        <w:t>unspecified power, based on economic decisions including implicit and explicit GHG costs and congestion costs, unless such activity is linked to the selling off of power from, or assigning of a contract for, electricity subject to the EPS rules from a power plant that does not meet the EPS with which a California Electricity Distribution Utility has a contract, or in which a California Electricity Distribution Utility has an ownership share, that is not covered under paragraphs 11, 12 or 13 below.</w:t>
      </w:r>
    </w:p>
    <w:p w14:paraId="1587AB6D" w14:textId="65093E84"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(11)</w:t>
      </w:r>
      <w:r w:rsidRPr="007A336E">
        <w:rPr>
          <w:rFonts w:ascii="Arial" w:eastAsia="Calibri" w:hAnsi="Arial" w:cs="Arial"/>
          <w:sz w:val="24"/>
          <w:szCs w:val="24"/>
        </w:rPr>
        <w:tab/>
      </w:r>
      <w:r w:rsidRPr="00B61FF1">
        <w:rPr>
          <w:rFonts w:ascii="Arial" w:eastAsia="Calibri" w:hAnsi="Arial" w:cs="Arial"/>
          <w:sz w:val="24"/>
          <w:szCs w:val="24"/>
          <w:u w:val="single"/>
        </w:rPr>
        <w:t xml:space="preserve">Electricity deliveries that are necessitated by operational emergencies or transmission or distribution constraints, including constraints caused by the inability to obtain or retain transmission rights, transmission curtailments or outages, or emergencies. </w:t>
      </w:r>
    </w:p>
    <w:p w14:paraId="695FF674" w14:textId="2EB04AC9"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t>(12)</w:t>
      </w:r>
      <w:r w:rsidRPr="007A336E">
        <w:rPr>
          <w:rFonts w:ascii="Arial" w:eastAsia="Calibri" w:hAnsi="Arial" w:cs="Arial"/>
          <w:sz w:val="24"/>
          <w:szCs w:val="24"/>
        </w:rPr>
        <w:tab/>
      </w:r>
      <w:r w:rsidRPr="00B61FF1">
        <w:rPr>
          <w:rFonts w:ascii="Arial" w:eastAsia="Calibri" w:hAnsi="Arial" w:cs="Arial"/>
          <w:sz w:val="24"/>
          <w:szCs w:val="24"/>
          <w:u w:val="single"/>
        </w:rPr>
        <w:t>Electricity deliveries that are necessitated because a First Deliverer has more than enough electricity to meet demand as a result of the First Deliverer being required to take electricity from specific generating units,  including requirements due to electricity contracts with “must-take” or “must-run” provisions.</w:t>
      </w:r>
    </w:p>
    <w:p w14:paraId="121C75E4" w14:textId="3C31CC06" w:rsidR="005A4E98" w:rsidRPr="00B61FF1" w:rsidRDefault="005A4E98" w:rsidP="005A4E98">
      <w:pPr>
        <w:autoSpaceDE/>
        <w:autoSpaceDN/>
        <w:adjustRightInd/>
        <w:spacing w:line="360" w:lineRule="auto"/>
        <w:ind w:left="2520" w:hanging="720"/>
        <w:contextualSpacing/>
        <w:rPr>
          <w:rFonts w:ascii="Arial" w:eastAsia="Calibri" w:hAnsi="Arial" w:cs="Arial"/>
          <w:sz w:val="24"/>
          <w:szCs w:val="24"/>
          <w:u w:val="single"/>
        </w:rPr>
      </w:pPr>
      <w:r w:rsidRPr="00B61FF1">
        <w:rPr>
          <w:rFonts w:ascii="Arial" w:eastAsia="Calibri" w:hAnsi="Arial" w:cs="Arial"/>
          <w:sz w:val="24"/>
          <w:szCs w:val="24"/>
          <w:u w:val="single"/>
        </w:rPr>
        <w:lastRenderedPageBreak/>
        <w:t>(13)</w:t>
      </w:r>
      <w:r w:rsidRPr="007A336E">
        <w:rPr>
          <w:rFonts w:ascii="Arial" w:eastAsia="Calibri" w:hAnsi="Arial" w:cs="Arial"/>
          <w:sz w:val="24"/>
          <w:szCs w:val="24"/>
        </w:rPr>
        <w:tab/>
      </w:r>
      <w:r w:rsidRPr="00B61FF1">
        <w:rPr>
          <w:rFonts w:ascii="Arial" w:eastAsia="Calibri" w:hAnsi="Arial" w:cs="Arial"/>
          <w:sz w:val="24"/>
          <w:szCs w:val="24"/>
          <w:u w:val="single"/>
        </w:rPr>
        <w:t>Deliveries of electricity that are required to make up for transmission losses associated with electricity deliveries in California.</w:t>
      </w:r>
    </w:p>
    <w:p w14:paraId="68E36E23" w14:textId="5F223AE6" w:rsidR="005A4E98" w:rsidRPr="00B61FF1" w:rsidRDefault="005A4E98" w:rsidP="005A4E98">
      <w:pPr>
        <w:autoSpaceDE/>
        <w:autoSpaceDN/>
        <w:adjustRightInd/>
        <w:spacing w:line="360" w:lineRule="auto"/>
        <w:ind w:left="1800" w:hanging="720"/>
        <w:contextualSpacing/>
        <w:rPr>
          <w:rFonts w:ascii="Arial" w:eastAsia="Calibri" w:hAnsi="Arial" w:cs="Arial"/>
          <w:sz w:val="24"/>
          <w:szCs w:val="24"/>
          <w:u w:val="single"/>
        </w:rPr>
      </w:pPr>
      <w:r w:rsidRPr="00B61FF1">
        <w:rPr>
          <w:rFonts w:ascii="Arial" w:eastAsia="Calibri" w:hAnsi="Arial" w:cs="Arial"/>
          <w:sz w:val="24"/>
          <w:szCs w:val="24"/>
          <w:u w:val="single"/>
        </w:rPr>
        <w:t>(B)</w:t>
      </w:r>
      <w:r w:rsidRPr="007A336E">
        <w:rPr>
          <w:rFonts w:ascii="Arial" w:eastAsia="Calibri" w:hAnsi="Arial" w:cs="Arial"/>
          <w:sz w:val="24"/>
          <w:szCs w:val="24"/>
        </w:rPr>
        <w:t xml:space="preserve">  </w:t>
      </w:r>
      <w:r w:rsidR="00955C0B" w:rsidRPr="007A336E">
        <w:rPr>
          <w:rFonts w:ascii="Arial" w:eastAsia="Calibri" w:hAnsi="Arial" w:cs="Arial"/>
          <w:sz w:val="24"/>
          <w:szCs w:val="24"/>
        </w:rPr>
        <w:tab/>
      </w:r>
      <w:r w:rsidRPr="00B61FF1">
        <w:rPr>
          <w:rFonts w:ascii="Arial" w:eastAsia="Calibri" w:hAnsi="Arial" w:cs="Arial"/>
          <w:sz w:val="24"/>
          <w:szCs w:val="24"/>
          <w:u w:val="single"/>
        </w:rPr>
        <w:t>Prohibited substitutions of electricity deliveries from a higher emission resource with electricity deliveries from a lower emission resource include:</w:t>
      </w:r>
    </w:p>
    <w:p w14:paraId="78052B66" w14:textId="49D9A467" w:rsidR="005A4E98" w:rsidRPr="00B61FF1" w:rsidRDefault="005A4E98" w:rsidP="007A336E">
      <w:pPr>
        <w:autoSpaceDE/>
        <w:autoSpaceDN/>
        <w:adjustRightInd/>
        <w:spacing w:line="360" w:lineRule="auto"/>
        <w:ind w:left="2520" w:hanging="720"/>
        <w:rPr>
          <w:rFonts w:ascii="Arial" w:eastAsia="Calibri" w:hAnsi="Arial" w:cs="Arial"/>
          <w:sz w:val="24"/>
          <w:szCs w:val="24"/>
          <w:u w:val="single"/>
        </w:rPr>
      </w:pPr>
      <w:r w:rsidRPr="00B61FF1">
        <w:rPr>
          <w:rFonts w:ascii="Arial" w:eastAsia="Calibri" w:hAnsi="Arial" w:cs="Arial"/>
          <w:sz w:val="24"/>
          <w:szCs w:val="24"/>
          <w:u w:val="single"/>
        </w:rPr>
        <w:t>(1)</w:t>
      </w:r>
      <w:r w:rsidRPr="007A336E">
        <w:rPr>
          <w:rFonts w:ascii="Arial" w:eastAsia="Calibri" w:hAnsi="Arial" w:cs="Arial"/>
          <w:sz w:val="24"/>
          <w:szCs w:val="24"/>
        </w:rPr>
        <w:tab/>
      </w:r>
      <w:r w:rsidRPr="00B61FF1">
        <w:rPr>
          <w:rFonts w:ascii="Arial" w:eastAsia="Calibri" w:hAnsi="Arial" w:cs="Arial"/>
          <w:sz w:val="24"/>
          <w:szCs w:val="24"/>
          <w:u w:val="single"/>
        </w:rPr>
        <w:t xml:space="preserve">Substituting relatively lower emission electricity to replace electricity generated at a high emission power plant procured by a First Deliverer under a long-term contract or ownership arrangement, when the power plant does not meet California’s EPS, and the substitution is made to reduce a First Deliverer’s compliance obligation. </w:t>
      </w:r>
    </w:p>
    <w:p w14:paraId="5E404165" w14:textId="287A97ED" w:rsidR="005A4E98" w:rsidRPr="00B61FF1" w:rsidRDefault="005A4E98" w:rsidP="005A4E98">
      <w:pPr>
        <w:spacing w:line="360" w:lineRule="auto"/>
        <w:ind w:left="2520" w:hanging="720"/>
        <w:rPr>
          <w:rFonts w:ascii="Arial" w:hAnsi="Arial" w:cs="Arial"/>
          <w:sz w:val="24"/>
          <w:szCs w:val="24"/>
        </w:rPr>
      </w:pPr>
      <w:r w:rsidRPr="00B61FF1">
        <w:rPr>
          <w:rFonts w:ascii="Arial" w:eastAsia="Calibri" w:hAnsi="Arial" w:cs="Arial"/>
          <w:sz w:val="24"/>
          <w:szCs w:val="24"/>
          <w:u w:val="single"/>
        </w:rPr>
        <w:t>(2)</w:t>
      </w:r>
      <w:r w:rsidRPr="007A336E">
        <w:rPr>
          <w:rFonts w:ascii="Arial" w:eastAsia="Calibri" w:hAnsi="Arial" w:cs="Arial"/>
          <w:sz w:val="24"/>
          <w:szCs w:val="24"/>
        </w:rPr>
        <w:tab/>
      </w:r>
      <w:r w:rsidRPr="00B61FF1">
        <w:rPr>
          <w:rFonts w:ascii="Arial" w:eastAsia="Calibri" w:hAnsi="Arial" w:cs="Arial"/>
          <w:sz w:val="24"/>
          <w:szCs w:val="24"/>
          <w:u w:val="single"/>
        </w:rPr>
        <w:t>Assigning a long-term contract for high emission electricity specified in section 95852(b)(2)(B)(1) directly above to a third party, for the purpose of reducing a compliance obligation.</w:t>
      </w:r>
      <w:r w:rsidRPr="00B61FF1">
        <w:rPr>
          <w:rFonts w:ascii="Arial" w:hAnsi="Arial" w:cs="Arial"/>
          <w:sz w:val="24"/>
          <w:szCs w:val="24"/>
        </w:rPr>
        <w:t xml:space="preserve"> </w:t>
      </w:r>
    </w:p>
    <w:p w14:paraId="3AC1D4CC" w14:textId="2F789DE2" w:rsidR="00634F56" w:rsidRPr="00B61FF1" w:rsidRDefault="004827F9" w:rsidP="005A4E98">
      <w:pPr>
        <w:spacing w:line="360" w:lineRule="auto"/>
        <w:ind w:left="1080" w:hanging="720"/>
        <w:rPr>
          <w:rFonts w:ascii="Arial" w:hAnsi="Arial" w:cs="Arial"/>
          <w:sz w:val="24"/>
          <w:szCs w:val="24"/>
        </w:rPr>
      </w:pPr>
      <w:r w:rsidRPr="00B61FF1">
        <w:rPr>
          <w:rFonts w:ascii="Arial" w:hAnsi="Arial" w:cs="Arial"/>
          <w:sz w:val="24"/>
          <w:szCs w:val="24"/>
        </w:rPr>
        <w:t>(</w:t>
      </w:r>
      <w:r w:rsidR="007D433C" w:rsidRPr="00B61FF1">
        <w:rPr>
          <w:rFonts w:ascii="Arial" w:hAnsi="Arial" w:cs="Arial"/>
          <w:sz w:val="24"/>
          <w:szCs w:val="24"/>
        </w:rPr>
        <w:t>3</w:t>
      </w:r>
      <w:r w:rsidRPr="00B61FF1">
        <w:rPr>
          <w:rFonts w:ascii="Arial" w:hAnsi="Arial" w:cs="Arial"/>
          <w:sz w:val="24"/>
          <w:szCs w:val="24"/>
        </w:rPr>
        <w:t>)</w:t>
      </w:r>
      <w:r w:rsidRPr="00B61FF1">
        <w:rPr>
          <w:rFonts w:ascii="Arial" w:hAnsi="Arial" w:cs="Arial"/>
          <w:sz w:val="24"/>
          <w:szCs w:val="24"/>
        </w:rPr>
        <w:tab/>
      </w:r>
      <w:r w:rsidR="007D433C" w:rsidRPr="00B61FF1">
        <w:rPr>
          <w:rFonts w:ascii="Arial" w:hAnsi="Arial" w:cs="Arial"/>
          <w:sz w:val="24"/>
          <w:szCs w:val="24"/>
        </w:rPr>
        <w:t>The following criteria must be met for electricity importers to claim a compliance obligation for delivered electricity based on</w:t>
      </w:r>
      <w:r w:rsidR="0042244C" w:rsidRPr="00B61FF1">
        <w:rPr>
          <w:rFonts w:ascii="Arial" w:hAnsi="Arial" w:cs="Arial"/>
          <w:sz w:val="24"/>
          <w:szCs w:val="24"/>
        </w:rPr>
        <w:t xml:space="preserve"> a </w:t>
      </w:r>
      <w:r w:rsidR="007D433C" w:rsidRPr="00B61FF1">
        <w:rPr>
          <w:rFonts w:ascii="Arial" w:hAnsi="Arial" w:cs="Arial"/>
          <w:sz w:val="24"/>
          <w:szCs w:val="24"/>
        </w:rPr>
        <w:t>specified source emission factor</w:t>
      </w:r>
      <w:r w:rsidR="000E7420" w:rsidRPr="00B61FF1">
        <w:t xml:space="preserve"> </w:t>
      </w:r>
      <w:r w:rsidR="000E7420" w:rsidRPr="00B61FF1">
        <w:rPr>
          <w:rFonts w:ascii="Arial" w:hAnsi="Arial" w:cs="Arial"/>
          <w:sz w:val="24"/>
          <w:szCs w:val="24"/>
          <w:u w:val="single"/>
        </w:rPr>
        <w:t xml:space="preserve">or asset controlling suppler </w:t>
      </w:r>
      <w:r w:rsidR="001F3A12" w:rsidRPr="00B61FF1">
        <w:rPr>
          <w:rFonts w:ascii="Arial" w:hAnsi="Arial" w:cs="Arial"/>
          <w:sz w:val="24"/>
          <w:szCs w:val="24"/>
          <w:u w:val="single"/>
        </w:rPr>
        <w:t>emission</w:t>
      </w:r>
      <w:r w:rsidR="000E7420" w:rsidRPr="00B61FF1">
        <w:rPr>
          <w:rFonts w:ascii="Arial" w:hAnsi="Arial" w:cs="Arial"/>
          <w:sz w:val="24"/>
          <w:szCs w:val="24"/>
          <w:u w:val="single"/>
        </w:rPr>
        <w:t xml:space="preserve"> factor</w:t>
      </w:r>
      <w:r w:rsidR="00AC2CC0" w:rsidRPr="00B61FF1">
        <w:rPr>
          <w:rFonts w:ascii="Arial" w:hAnsi="Arial" w:cs="Arial"/>
          <w:sz w:val="24"/>
          <w:szCs w:val="24"/>
          <w:u w:val="single"/>
        </w:rPr>
        <w:t>.</w:t>
      </w:r>
      <w:r w:rsidR="007D433C" w:rsidRPr="00B61FF1">
        <w:rPr>
          <w:rFonts w:ascii="Arial" w:hAnsi="Arial" w:cs="Arial"/>
          <w:sz w:val="24"/>
          <w:szCs w:val="24"/>
        </w:rPr>
        <w:t xml:space="preserve"> </w:t>
      </w:r>
      <w:r w:rsidR="007D433C" w:rsidRPr="00B61FF1">
        <w:rPr>
          <w:rFonts w:ascii="Arial" w:hAnsi="Arial" w:cs="Arial"/>
          <w:strike/>
          <w:sz w:val="24"/>
          <w:szCs w:val="24"/>
        </w:rPr>
        <w:t>less than the default emission factor:</w:t>
      </w:r>
    </w:p>
    <w:p w14:paraId="390D6FF3" w14:textId="77777777" w:rsidR="00691F2D" w:rsidRPr="00B61FF1" w:rsidRDefault="00634F56" w:rsidP="008D2F20">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7D433C" w:rsidRPr="00B61FF1">
        <w:rPr>
          <w:rFonts w:ascii="Arial" w:hAnsi="Arial" w:cs="Arial"/>
          <w:sz w:val="24"/>
          <w:szCs w:val="24"/>
        </w:rPr>
        <w:t>Electricity deliveries must be reported to ARB and emissions must be calculated pursuant to MRR section 95111.</w:t>
      </w:r>
    </w:p>
    <w:p w14:paraId="538C8EF3" w14:textId="77777777" w:rsidR="00691F2D" w:rsidRPr="00B61FF1" w:rsidRDefault="0072485A" w:rsidP="004827F9">
      <w:pPr>
        <w:spacing w:line="360" w:lineRule="auto"/>
        <w:ind w:left="1800" w:hanging="720"/>
        <w:rPr>
          <w:rFonts w:ascii="Arial" w:hAnsi="Arial" w:cs="Arial"/>
          <w:sz w:val="24"/>
          <w:szCs w:val="24"/>
        </w:rPr>
      </w:pPr>
      <w:r w:rsidRPr="00B61FF1">
        <w:rPr>
          <w:rFonts w:ascii="Arial" w:hAnsi="Arial" w:cs="Arial"/>
          <w:sz w:val="24"/>
          <w:szCs w:val="24"/>
        </w:rPr>
        <w:t>(B</w:t>
      </w:r>
      <w:r w:rsidR="004827F9" w:rsidRPr="00B61FF1">
        <w:rPr>
          <w:rFonts w:ascii="Arial" w:hAnsi="Arial" w:cs="Arial"/>
          <w:sz w:val="24"/>
          <w:szCs w:val="24"/>
        </w:rPr>
        <w:t>)</w:t>
      </w:r>
      <w:r w:rsidR="004827F9" w:rsidRPr="00B61FF1">
        <w:rPr>
          <w:rFonts w:ascii="Arial" w:hAnsi="Arial" w:cs="Arial"/>
          <w:sz w:val="24"/>
          <w:szCs w:val="24"/>
        </w:rPr>
        <w:tab/>
      </w:r>
      <w:r w:rsidR="007D433C" w:rsidRPr="00B61FF1">
        <w:rPr>
          <w:rFonts w:ascii="Arial" w:hAnsi="Arial" w:cs="Arial"/>
          <w:sz w:val="24"/>
          <w:szCs w:val="24"/>
        </w:rPr>
        <w:t>The electricity importer must be the facility operator or have</w:t>
      </w:r>
      <w:r w:rsidR="00E07A6A" w:rsidRPr="00B61FF1">
        <w:rPr>
          <w:rFonts w:ascii="Arial" w:hAnsi="Arial" w:cs="Arial"/>
          <w:sz w:val="24"/>
          <w:szCs w:val="24"/>
        </w:rPr>
        <w:t xml:space="preserve"> right of</w:t>
      </w:r>
      <w:r w:rsidR="007D433C" w:rsidRPr="00B61FF1">
        <w:rPr>
          <w:rFonts w:ascii="Arial" w:hAnsi="Arial" w:cs="Arial"/>
          <w:sz w:val="24"/>
          <w:szCs w:val="24"/>
        </w:rPr>
        <w:t xml:space="preserve"> ownership or</w:t>
      </w:r>
      <w:r w:rsidR="00E07A6A" w:rsidRPr="00B61FF1">
        <w:rPr>
          <w:rFonts w:ascii="Arial" w:hAnsi="Arial" w:cs="Arial"/>
          <w:sz w:val="24"/>
          <w:szCs w:val="24"/>
        </w:rPr>
        <w:t xml:space="preserve"> a written power contract, as defined in MRR</w:t>
      </w:r>
      <w:r w:rsidR="00D44BA3" w:rsidRPr="00B61FF1">
        <w:rPr>
          <w:rFonts w:ascii="Arial" w:hAnsi="Arial" w:cs="Arial"/>
          <w:sz w:val="24"/>
          <w:szCs w:val="24"/>
        </w:rPr>
        <w:t xml:space="preserve"> section 95102(a)</w:t>
      </w:r>
      <w:r w:rsidR="00E07A6A" w:rsidRPr="00B61FF1">
        <w:rPr>
          <w:rFonts w:ascii="Arial" w:hAnsi="Arial" w:cs="Arial"/>
          <w:sz w:val="24"/>
          <w:szCs w:val="24"/>
        </w:rPr>
        <w:t>,</w:t>
      </w:r>
      <w:r w:rsidR="007D433C" w:rsidRPr="00B61FF1">
        <w:rPr>
          <w:rFonts w:ascii="Arial" w:hAnsi="Arial" w:cs="Arial"/>
          <w:sz w:val="24"/>
          <w:szCs w:val="24"/>
        </w:rPr>
        <w:t xml:space="preserve"> to the amount of electricity claimed and generated by the facility or unit claimed;</w:t>
      </w:r>
    </w:p>
    <w:p w14:paraId="5254D9AA" w14:textId="77777777" w:rsidR="00691F2D" w:rsidRPr="00B61FF1" w:rsidRDefault="0072485A" w:rsidP="004827F9">
      <w:pPr>
        <w:spacing w:line="360" w:lineRule="auto"/>
        <w:ind w:left="1800" w:hanging="720"/>
        <w:rPr>
          <w:rFonts w:ascii="Arial" w:hAnsi="Arial" w:cs="Arial"/>
          <w:dstrike/>
          <w:sz w:val="24"/>
          <w:szCs w:val="24"/>
        </w:rPr>
      </w:pPr>
      <w:r w:rsidRPr="00B61FF1">
        <w:rPr>
          <w:rFonts w:ascii="Arial" w:hAnsi="Arial" w:cs="Arial"/>
          <w:sz w:val="24"/>
          <w:szCs w:val="24"/>
        </w:rPr>
        <w:t>(C</w:t>
      </w:r>
      <w:r w:rsidR="004827F9" w:rsidRPr="00B61FF1">
        <w:rPr>
          <w:rFonts w:ascii="Arial" w:hAnsi="Arial" w:cs="Arial"/>
          <w:sz w:val="24"/>
          <w:szCs w:val="24"/>
        </w:rPr>
        <w:t>)</w:t>
      </w:r>
      <w:r w:rsidR="004827F9" w:rsidRPr="00B61FF1">
        <w:rPr>
          <w:rFonts w:ascii="Arial" w:hAnsi="Arial" w:cs="Arial"/>
          <w:sz w:val="24"/>
          <w:szCs w:val="24"/>
        </w:rPr>
        <w:tab/>
      </w:r>
      <w:r w:rsidR="00DB586C" w:rsidRPr="00B61FF1">
        <w:rPr>
          <w:rFonts w:ascii="Arial" w:hAnsi="Arial" w:cs="Arial"/>
          <w:sz w:val="24"/>
          <w:szCs w:val="24"/>
        </w:rPr>
        <w:t>The electricity must be directly delivered</w:t>
      </w:r>
      <w:r w:rsidR="00D44BA3" w:rsidRPr="00B61FF1">
        <w:rPr>
          <w:rFonts w:ascii="Arial" w:hAnsi="Arial" w:cs="Arial"/>
          <w:sz w:val="24"/>
          <w:szCs w:val="24"/>
        </w:rPr>
        <w:t xml:space="preserve">, as defined in MRR section 95102(a), </w:t>
      </w:r>
      <w:r w:rsidR="00C65794" w:rsidRPr="00B61FF1">
        <w:rPr>
          <w:rFonts w:ascii="Arial" w:hAnsi="Arial" w:cs="Arial"/>
          <w:sz w:val="24"/>
          <w:szCs w:val="24"/>
        </w:rPr>
        <w:t>to the California grid</w:t>
      </w:r>
      <w:r w:rsidR="00754E0B" w:rsidRPr="00B61FF1">
        <w:rPr>
          <w:rFonts w:ascii="Arial" w:hAnsi="Arial" w:cs="Arial"/>
          <w:sz w:val="24"/>
          <w:szCs w:val="24"/>
        </w:rPr>
        <w:t>;</w:t>
      </w:r>
      <w:r w:rsidR="00F04D16" w:rsidRPr="00B61FF1">
        <w:rPr>
          <w:rFonts w:ascii="Arial" w:hAnsi="Arial" w:cs="Arial"/>
          <w:sz w:val="24"/>
          <w:szCs w:val="24"/>
        </w:rPr>
        <w:t xml:space="preserve"> and</w:t>
      </w:r>
    </w:p>
    <w:p w14:paraId="1C2F4359" w14:textId="05F66011" w:rsidR="00F04D16" w:rsidRPr="00B61FF1" w:rsidRDefault="0072485A" w:rsidP="004827F9">
      <w:pPr>
        <w:spacing w:line="360" w:lineRule="auto"/>
        <w:ind w:left="1800" w:hanging="720"/>
        <w:rPr>
          <w:rFonts w:ascii="Arial" w:hAnsi="Arial" w:cs="Arial"/>
          <w:sz w:val="24"/>
          <w:szCs w:val="24"/>
        </w:rPr>
      </w:pPr>
      <w:r w:rsidRPr="00B61FF1">
        <w:rPr>
          <w:rFonts w:ascii="Arial" w:hAnsi="Arial" w:cs="Arial"/>
          <w:sz w:val="24"/>
          <w:szCs w:val="24"/>
        </w:rPr>
        <w:t>(D</w:t>
      </w:r>
      <w:r w:rsidR="004827F9" w:rsidRPr="00B61FF1">
        <w:rPr>
          <w:rFonts w:ascii="Arial" w:hAnsi="Arial" w:cs="Arial"/>
          <w:sz w:val="24"/>
          <w:szCs w:val="24"/>
        </w:rPr>
        <w:t>)</w:t>
      </w:r>
      <w:r w:rsidR="004827F9" w:rsidRPr="00B61FF1">
        <w:rPr>
          <w:rFonts w:ascii="Arial" w:hAnsi="Arial" w:cs="Arial"/>
          <w:sz w:val="24"/>
          <w:szCs w:val="24"/>
        </w:rPr>
        <w:tab/>
      </w:r>
      <w:r w:rsidR="00AC2CC0" w:rsidRPr="00B61FF1">
        <w:rPr>
          <w:rFonts w:ascii="Arial" w:hAnsi="Arial" w:cs="Arial"/>
          <w:sz w:val="24"/>
          <w:szCs w:val="24"/>
        </w:rPr>
        <w:t>If RECs were created for the electricity generated and reported pursuant to MRR, then the REC</w:t>
      </w:r>
      <w:r w:rsidR="00AC2CC0" w:rsidRPr="00B61FF1">
        <w:rPr>
          <w:rFonts w:ascii="Arial" w:hAnsi="Arial" w:cs="Arial"/>
          <w:strike/>
          <w:sz w:val="24"/>
          <w:szCs w:val="24"/>
        </w:rPr>
        <w:t>s</w:t>
      </w:r>
      <w:r w:rsidR="00AC2CC0" w:rsidRPr="00B61FF1">
        <w:rPr>
          <w:rFonts w:ascii="Arial" w:hAnsi="Arial" w:cs="Arial"/>
          <w:sz w:val="24"/>
          <w:szCs w:val="24"/>
        </w:rPr>
        <w:t xml:space="preserve"> </w:t>
      </w:r>
      <w:r w:rsidR="00AC2CC0" w:rsidRPr="00B61FF1">
        <w:rPr>
          <w:rFonts w:ascii="Arial" w:hAnsi="Arial" w:cs="Arial"/>
          <w:sz w:val="24"/>
          <w:szCs w:val="24"/>
          <w:u w:val="single"/>
        </w:rPr>
        <w:t>serial numbers</w:t>
      </w:r>
      <w:r w:rsidR="00AC2CC0" w:rsidRPr="00B61FF1">
        <w:rPr>
          <w:rFonts w:ascii="Arial" w:hAnsi="Arial" w:cs="Arial"/>
          <w:sz w:val="24"/>
          <w:szCs w:val="24"/>
        </w:rPr>
        <w:t xml:space="preserve"> must be </w:t>
      </w:r>
      <w:r w:rsidR="00AC2CC0" w:rsidRPr="00B61FF1">
        <w:rPr>
          <w:rFonts w:ascii="Arial" w:hAnsi="Arial" w:cs="Arial"/>
          <w:strike/>
          <w:sz w:val="24"/>
          <w:szCs w:val="24"/>
        </w:rPr>
        <w:t>retired</w:t>
      </w:r>
      <w:r w:rsidR="00AC2CC0" w:rsidRPr="00B61FF1">
        <w:rPr>
          <w:rFonts w:ascii="Arial" w:hAnsi="Arial" w:cs="Arial"/>
          <w:sz w:val="24"/>
          <w:szCs w:val="24"/>
        </w:rPr>
        <w:t xml:space="preserve"> </w:t>
      </w:r>
      <w:r w:rsidR="00AC2CC0" w:rsidRPr="00B61FF1">
        <w:rPr>
          <w:rFonts w:ascii="Arial" w:hAnsi="Arial" w:cs="Arial"/>
          <w:sz w:val="24"/>
          <w:szCs w:val="24"/>
          <w:u w:val="single"/>
        </w:rPr>
        <w:t>reported</w:t>
      </w:r>
      <w:r w:rsidR="00AC2CC0" w:rsidRPr="00B61FF1">
        <w:rPr>
          <w:rFonts w:ascii="Arial" w:hAnsi="Arial" w:cs="Arial"/>
          <w:sz w:val="24"/>
          <w:szCs w:val="24"/>
        </w:rPr>
        <w:t xml:space="preserve"> and verified pursuant to MRR. </w:t>
      </w:r>
    </w:p>
    <w:p w14:paraId="5C377915" w14:textId="77777777" w:rsidR="00691F2D" w:rsidRPr="00B61FF1" w:rsidRDefault="0042244C" w:rsidP="008D2F20">
      <w:pPr>
        <w:spacing w:line="360" w:lineRule="auto"/>
        <w:ind w:left="1080" w:hanging="720"/>
        <w:rPr>
          <w:rFonts w:ascii="Arial" w:hAnsi="Arial" w:cs="Arial"/>
          <w:dstrike/>
          <w:sz w:val="24"/>
          <w:szCs w:val="24"/>
        </w:rPr>
      </w:pPr>
      <w:r w:rsidRPr="00B61FF1">
        <w:rPr>
          <w:rFonts w:ascii="Arial" w:hAnsi="Arial" w:cs="Arial"/>
          <w:sz w:val="24"/>
          <w:szCs w:val="24"/>
        </w:rPr>
        <w:lastRenderedPageBreak/>
        <w:t xml:space="preserve"> </w:t>
      </w:r>
      <w:r w:rsidR="008D2F20" w:rsidRPr="00B61FF1">
        <w:rPr>
          <w:rFonts w:ascii="Arial" w:hAnsi="Arial" w:cs="Arial"/>
          <w:sz w:val="24"/>
          <w:szCs w:val="24"/>
        </w:rPr>
        <w:t>(</w:t>
      </w:r>
      <w:r w:rsidR="00DB586C" w:rsidRPr="00B61FF1">
        <w:rPr>
          <w:rFonts w:ascii="Arial" w:hAnsi="Arial" w:cs="Arial"/>
          <w:sz w:val="24"/>
          <w:szCs w:val="24"/>
        </w:rPr>
        <w:t>4</w:t>
      </w:r>
      <w:r w:rsidR="004827F9" w:rsidRPr="00B61FF1">
        <w:rPr>
          <w:rFonts w:ascii="Arial" w:hAnsi="Arial" w:cs="Arial"/>
          <w:sz w:val="24"/>
          <w:szCs w:val="24"/>
        </w:rPr>
        <w:t>)</w:t>
      </w:r>
      <w:r w:rsidR="004827F9" w:rsidRPr="00B61FF1">
        <w:rPr>
          <w:rFonts w:ascii="Arial" w:hAnsi="Arial" w:cs="Arial"/>
          <w:sz w:val="24"/>
          <w:szCs w:val="24"/>
        </w:rPr>
        <w:tab/>
      </w:r>
      <w:r w:rsidR="00DB586C" w:rsidRPr="00B61FF1">
        <w:rPr>
          <w:rFonts w:ascii="Arial" w:hAnsi="Arial" w:cs="Arial"/>
          <w:sz w:val="24"/>
          <w:szCs w:val="24"/>
        </w:rPr>
        <w:t xml:space="preserve">RPS adjustment. Electricity </w:t>
      </w:r>
      <w:r w:rsidR="00DB586C" w:rsidRPr="00B61FF1">
        <w:rPr>
          <w:rFonts w:ascii="Arial" w:hAnsi="Arial" w:cs="Arial"/>
          <w:strike/>
          <w:sz w:val="24"/>
          <w:szCs w:val="24"/>
        </w:rPr>
        <w:t>imported or</w:t>
      </w:r>
      <w:r w:rsidR="00DB586C" w:rsidRPr="00B61FF1">
        <w:rPr>
          <w:rFonts w:ascii="Arial" w:hAnsi="Arial" w:cs="Arial"/>
          <w:sz w:val="24"/>
          <w:szCs w:val="24"/>
        </w:rPr>
        <w:t xml:space="preserve"> procured by an electricity importer from an eligible renewable energy resource reported pursuant to MRR must meet the following conditions to be included in the calculation of the RPS adjustment:</w:t>
      </w:r>
      <w:r w:rsidR="00DB586C" w:rsidRPr="00B61FF1">
        <w:rPr>
          <w:rFonts w:ascii="Arial" w:hAnsi="Arial" w:cs="Arial"/>
          <w:szCs w:val="24"/>
        </w:rPr>
        <w:t xml:space="preserve"> </w:t>
      </w:r>
    </w:p>
    <w:p w14:paraId="572D0CF8" w14:textId="77777777" w:rsidR="00FE62A2" w:rsidRPr="00B61FF1" w:rsidRDefault="00AC662C" w:rsidP="00AC662C">
      <w:pPr>
        <w:spacing w:line="360" w:lineRule="auto"/>
        <w:ind w:left="1800" w:hanging="720"/>
        <w:rPr>
          <w:rFonts w:ascii="Arial" w:hAnsi="Arial" w:cs="Arial"/>
          <w:dstrike/>
          <w:sz w:val="24"/>
          <w:szCs w:val="24"/>
        </w:rPr>
      </w:pPr>
      <w:r w:rsidRPr="00B61FF1">
        <w:rPr>
          <w:rFonts w:ascii="Arial" w:hAnsi="Arial" w:cs="Arial"/>
          <w:sz w:val="24"/>
          <w:szCs w:val="24"/>
        </w:rPr>
        <w:t>(A)</w:t>
      </w:r>
      <w:r w:rsidR="004827F9" w:rsidRPr="00B61FF1">
        <w:rPr>
          <w:rFonts w:ascii="Arial" w:hAnsi="Arial" w:cs="Arial"/>
          <w:sz w:val="24"/>
          <w:szCs w:val="24"/>
        </w:rPr>
        <w:tab/>
      </w:r>
      <w:r w:rsidR="00AD4DA7" w:rsidRPr="00B61FF1">
        <w:rPr>
          <w:rFonts w:ascii="Arial" w:hAnsi="Arial" w:cs="Arial"/>
          <w:sz w:val="24"/>
          <w:szCs w:val="24"/>
        </w:rPr>
        <w:t xml:space="preserve">The electricity importer must have </w:t>
      </w:r>
      <w:r w:rsidR="00AD4DA7" w:rsidRPr="00B61FF1">
        <w:rPr>
          <w:rFonts w:ascii="Arial" w:hAnsi="Arial" w:cs="Arial"/>
          <w:strike/>
          <w:sz w:val="24"/>
          <w:szCs w:val="24"/>
        </w:rPr>
        <w:t>either:</w:t>
      </w:r>
    </w:p>
    <w:p w14:paraId="55BCF1FE" w14:textId="77777777" w:rsidR="00AC2CC0" w:rsidRPr="00B61FF1" w:rsidRDefault="00AC2CC0" w:rsidP="00AC2CC0">
      <w:pPr>
        <w:spacing w:line="360" w:lineRule="auto"/>
        <w:ind w:left="1800" w:hanging="720"/>
        <w:rPr>
          <w:rFonts w:ascii="Arial" w:hAnsi="Arial" w:cs="Arial"/>
          <w:sz w:val="24"/>
          <w:szCs w:val="24"/>
        </w:rPr>
      </w:pPr>
      <w:r w:rsidRPr="00B61FF1">
        <w:rPr>
          <w:rFonts w:ascii="Arial" w:hAnsi="Arial" w:cs="Arial"/>
          <w:sz w:val="24"/>
          <w:szCs w:val="24"/>
        </w:rPr>
        <w:tab/>
        <w:t xml:space="preserve">1.  Ownership or contract rights to procure the electricity </w:t>
      </w:r>
    </w:p>
    <w:p w14:paraId="4C9C8486" w14:textId="77777777" w:rsidR="00AC2CC0" w:rsidRPr="00B61FF1" w:rsidRDefault="00AC2CC0" w:rsidP="00AC2CC0">
      <w:pPr>
        <w:spacing w:line="360" w:lineRule="auto"/>
        <w:ind w:left="2160"/>
        <w:rPr>
          <w:rFonts w:ascii="Arial" w:hAnsi="Arial" w:cs="Arial"/>
          <w:dstrike/>
          <w:sz w:val="24"/>
          <w:szCs w:val="24"/>
        </w:rPr>
      </w:pPr>
      <w:r w:rsidRPr="00B61FF1">
        <w:rPr>
          <w:rFonts w:ascii="Arial" w:hAnsi="Arial" w:cs="Arial"/>
          <w:sz w:val="24"/>
          <w:szCs w:val="24"/>
          <w:u w:val="single"/>
        </w:rPr>
        <w:t>and the associated RECs</w:t>
      </w:r>
      <w:r w:rsidRPr="00B61FF1">
        <w:rPr>
          <w:rFonts w:ascii="Arial" w:hAnsi="Arial" w:cs="Arial"/>
          <w:sz w:val="24"/>
          <w:szCs w:val="24"/>
        </w:rPr>
        <w:t xml:space="preserve"> generated by the eligible renewable energy resource; or</w:t>
      </w:r>
    </w:p>
    <w:p w14:paraId="2B94EE0F" w14:textId="6C94CF6C" w:rsidR="00AC2CC0" w:rsidRPr="00B61FF1" w:rsidRDefault="00AC2CC0" w:rsidP="00AC2CC0">
      <w:pPr>
        <w:spacing w:line="360" w:lineRule="auto"/>
        <w:ind w:left="2160" w:hanging="36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Have a contract to </w:t>
      </w:r>
      <w:r w:rsidRPr="00B61FF1">
        <w:rPr>
          <w:rFonts w:ascii="Arial" w:hAnsi="Arial" w:cs="Arial"/>
          <w:strike/>
          <w:sz w:val="24"/>
          <w:szCs w:val="24"/>
        </w:rPr>
        <w:t xml:space="preserve">import </w:t>
      </w:r>
      <w:r w:rsidRPr="00B61FF1">
        <w:rPr>
          <w:rFonts w:ascii="Arial" w:hAnsi="Arial" w:cs="Arial"/>
          <w:sz w:val="24"/>
          <w:szCs w:val="24"/>
          <w:u w:val="single"/>
        </w:rPr>
        <w:t>procure</w:t>
      </w:r>
      <w:r w:rsidRPr="00B61FF1">
        <w:rPr>
          <w:rFonts w:ascii="Arial" w:hAnsi="Arial" w:cs="Arial"/>
          <w:sz w:val="24"/>
          <w:szCs w:val="24"/>
        </w:rPr>
        <w:t xml:space="preserve"> electricity </w:t>
      </w:r>
      <w:r w:rsidRPr="00B61FF1">
        <w:rPr>
          <w:rFonts w:ascii="Arial" w:hAnsi="Arial" w:cs="Arial"/>
          <w:sz w:val="24"/>
          <w:szCs w:val="24"/>
          <w:u w:val="single"/>
        </w:rPr>
        <w:t xml:space="preserve">and the associated RECs </w:t>
      </w:r>
      <w:r w:rsidRPr="00B61FF1">
        <w:rPr>
          <w:rFonts w:ascii="Arial" w:hAnsi="Arial" w:cs="Arial"/>
          <w:sz w:val="24"/>
          <w:szCs w:val="24"/>
        </w:rPr>
        <w:t>on behalf of a</w:t>
      </w:r>
      <w:r w:rsidRPr="00B61FF1">
        <w:rPr>
          <w:rFonts w:ascii="Arial" w:hAnsi="Arial" w:cs="Arial"/>
          <w:sz w:val="24"/>
          <w:szCs w:val="24"/>
          <w:u w:val="single"/>
        </w:rPr>
        <w:t>n</w:t>
      </w:r>
      <w:r w:rsidRPr="00B61FF1">
        <w:rPr>
          <w:rFonts w:ascii="Arial" w:hAnsi="Arial" w:cs="Arial"/>
          <w:sz w:val="24"/>
          <w:szCs w:val="24"/>
        </w:rPr>
        <w:t xml:space="preserve"> </w:t>
      </w:r>
      <w:r w:rsidRPr="00B61FF1">
        <w:rPr>
          <w:rFonts w:ascii="Arial" w:hAnsi="Arial" w:cs="Arial"/>
          <w:strike/>
          <w:sz w:val="24"/>
          <w:szCs w:val="24"/>
        </w:rPr>
        <w:t>California</w:t>
      </w:r>
      <w:r w:rsidRPr="00B61FF1">
        <w:rPr>
          <w:rFonts w:ascii="Arial" w:hAnsi="Arial" w:cs="Arial"/>
          <w:sz w:val="24"/>
          <w:szCs w:val="24"/>
        </w:rPr>
        <w:t xml:space="preserve"> </w:t>
      </w:r>
      <w:r w:rsidRPr="00B61FF1">
        <w:rPr>
          <w:rFonts w:ascii="Arial" w:hAnsi="Arial" w:cs="Arial"/>
          <w:sz w:val="24"/>
          <w:szCs w:val="24"/>
          <w:u w:val="single"/>
        </w:rPr>
        <w:t>entity subject to the California RPS</w:t>
      </w:r>
      <w:r w:rsidRPr="00B61FF1">
        <w:rPr>
          <w:rFonts w:ascii="Arial" w:hAnsi="Arial" w:cs="Arial"/>
          <w:sz w:val="24"/>
          <w:szCs w:val="24"/>
        </w:rPr>
        <w:t xml:space="preserve"> that has ownership or contract rights to the electricity </w:t>
      </w:r>
      <w:r w:rsidRPr="00B61FF1">
        <w:rPr>
          <w:rFonts w:ascii="Arial" w:hAnsi="Arial" w:cs="Arial"/>
          <w:sz w:val="24"/>
          <w:szCs w:val="24"/>
          <w:u w:val="single"/>
        </w:rPr>
        <w:t>and associated RECs</w:t>
      </w:r>
      <w:r w:rsidRPr="00B61FF1">
        <w:rPr>
          <w:rFonts w:ascii="Arial" w:hAnsi="Arial" w:cs="Arial"/>
          <w:sz w:val="24"/>
          <w:szCs w:val="24"/>
        </w:rPr>
        <w:t xml:space="preserve"> generated by the eligible renewable energy resource, as verified </w:t>
      </w:r>
      <w:r w:rsidRPr="00B61FF1">
        <w:rPr>
          <w:rFonts w:ascii="Arial" w:hAnsi="Arial" w:cs="Arial"/>
          <w:strike/>
          <w:sz w:val="24"/>
          <w:szCs w:val="24"/>
        </w:rPr>
        <w:t>under</w:t>
      </w:r>
      <w:r w:rsidRPr="00B61FF1">
        <w:rPr>
          <w:rFonts w:ascii="Arial" w:hAnsi="Arial" w:cs="Arial"/>
          <w:sz w:val="24"/>
          <w:szCs w:val="24"/>
        </w:rPr>
        <w:t xml:space="preserve"> </w:t>
      </w:r>
      <w:r w:rsidRPr="00B61FF1">
        <w:rPr>
          <w:rFonts w:ascii="Arial" w:hAnsi="Arial" w:cs="Arial"/>
          <w:sz w:val="24"/>
          <w:szCs w:val="24"/>
          <w:u w:val="single"/>
        </w:rPr>
        <w:t>pursuant to</w:t>
      </w:r>
      <w:r w:rsidRPr="00B61FF1">
        <w:rPr>
          <w:rFonts w:ascii="Arial" w:hAnsi="Arial" w:cs="Arial"/>
          <w:sz w:val="24"/>
          <w:szCs w:val="24"/>
        </w:rPr>
        <w:t xml:space="preserve"> MRR.</w:t>
      </w:r>
    </w:p>
    <w:p w14:paraId="489726E1" w14:textId="77777777" w:rsidR="00AC2CC0" w:rsidRPr="00B61FF1" w:rsidRDefault="00AC2CC0" w:rsidP="00AC2CC0">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The RECs associated with the electricity claimed for the RPS adjustment must be </w:t>
      </w:r>
      <w:r w:rsidRPr="00B61FF1">
        <w:rPr>
          <w:rFonts w:ascii="Arial" w:hAnsi="Arial" w:cs="Arial"/>
          <w:sz w:val="24"/>
          <w:szCs w:val="24"/>
          <w:u w:val="single"/>
        </w:rPr>
        <w:t>placed in the retirement subaccount of the entity party to the contract in 95852(b)(4)(A), in the accounting system established by the CEC pursuant to PUC 399.13 and designated as retired for the purpose of compliance with the California RPS program</w:t>
      </w:r>
      <w:r w:rsidRPr="00B61FF1">
        <w:rPr>
          <w:rFonts w:ascii="Arial" w:hAnsi="Arial" w:cs="Arial"/>
          <w:sz w:val="24"/>
          <w:szCs w:val="24"/>
        </w:rPr>
        <w:t xml:space="preserve"> </w:t>
      </w:r>
      <w:r w:rsidRPr="00B61FF1">
        <w:rPr>
          <w:rFonts w:ascii="Arial" w:hAnsi="Arial" w:cs="Arial"/>
          <w:strike/>
          <w:sz w:val="24"/>
          <w:szCs w:val="24"/>
        </w:rPr>
        <w:t>used to comply with California RPS requirements</w:t>
      </w:r>
      <w:r w:rsidRPr="00B61FF1">
        <w:rPr>
          <w:rFonts w:ascii="Arial" w:hAnsi="Arial" w:cs="Arial"/>
          <w:sz w:val="24"/>
          <w:szCs w:val="24"/>
        </w:rPr>
        <w:t xml:space="preserve"> during the same year </w:t>
      </w:r>
      <w:r w:rsidRPr="00B61FF1">
        <w:rPr>
          <w:rFonts w:ascii="Arial" w:hAnsi="Arial" w:cs="Arial"/>
          <w:strike/>
          <w:sz w:val="24"/>
          <w:szCs w:val="24"/>
        </w:rPr>
        <w:t>in</w:t>
      </w:r>
      <w:r w:rsidRPr="00B61FF1">
        <w:rPr>
          <w:rFonts w:ascii="Arial" w:hAnsi="Arial" w:cs="Arial"/>
          <w:sz w:val="24"/>
          <w:szCs w:val="24"/>
          <w:u w:val="single"/>
        </w:rPr>
        <w:t xml:space="preserve"> for</w:t>
      </w:r>
      <w:r w:rsidRPr="00B61FF1">
        <w:rPr>
          <w:rFonts w:ascii="Arial" w:hAnsi="Arial" w:cs="Arial"/>
          <w:sz w:val="24"/>
          <w:szCs w:val="24"/>
        </w:rPr>
        <w:t xml:space="preserve"> which the RPS adjustment is claimed.</w:t>
      </w:r>
    </w:p>
    <w:p w14:paraId="69BB5E60" w14:textId="77777777" w:rsidR="00AC2CC0" w:rsidRPr="00B61FF1" w:rsidRDefault="00AC2CC0" w:rsidP="00AC2CC0">
      <w:pPr>
        <w:spacing w:line="360" w:lineRule="auto"/>
        <w:ind w:left="1800" w:hanging="720"/>
        <w:rPr>
          <w:rFonts w:ascii="Arial" w:hAnsi="Arial" w:cs="Arial"/>
          <w:dstrike/>
          <w:sz w:val="24"/>
          <w:szCs w:val="24"/>
        </w:rPr>
      </w:pPr>
      <w:r w:rsidRPr="00B61FF1">
        <w:rPr>
          <w:rFonts w:ascii="Arial" w:hAnsi="Arial" w:cs="Arial"/>
          <w:sz w:val="24"/>
          <w:szCs w:val="24"/>
        </w:rPr>
        <w:t>(C)</w:t>
      </w:r>
      <w:r w:rsidRPr="00B61FF1">
        <w:rPr>
          <w:rFonts w:ascii="Arial" w:hAnsi="Arial" w:cs="Arial"/>
          <w:sz w:val="24"/>
          <w:szCs w:val="24"/>
        </w:rPr>
        <w:tab/>
        <w:t>The quantity of emissions included in the RPS adjustment is calculated as the product of the default emission factor for unspecified sources, pursuant to MRR, and the reported electricity generated (MWh) that meets the requirements of this section, 95852(b)(4).</w:t>
      </w:r>
    </w:p>
    <w:p w14:paraId="54208481" w14:textId="77777777" w:rsidR="00AC2CC0" w:rsidRPr="00B61FF1" w:rsidRDefault="00AC2CC0" w:rsidP="00AC2CC0">
      <w:pPr>
        <w:tabs>
          <w:tab w:val="left" w:pos="1800"/>
        </w:tabs>
        <w:spacing w:line="360" w:lineRule="auto"/>
        <w:ind w:left="108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No RPS adjustment may be claimed for an eligible renewable </w:t>
      </w:r>
    </w:p>
    <w:p w14:paraId="7E883DD3" w14:textId="77777777" w:rsidR="00AC2CC0" w:rsidRPr="00B61FF1" w:rsidRDefault="00AC2CC0" w:rsidP="00AC2CC0">
      <w:pPr>
        <w:tabs>
          <w:tab w:val="left" w:pos="1800"/>
        </w:tabs>
        <w:spacing w:line="360" w:lineRule="auto"/>
        <w:ind w:left="1080"/>
        <w:rPr>
          <w:rFonts w:ascii="Arial" w:hAnsi="Arial" w:cs="Arial"/>
          <w:sz w:val="24"/>
          <w:szCs w:val="24"/>
        </w:rPr>
      </w:pPr>
      <w:r w:rsidRPr="00B61FF1">
        <w:rPr>
          <w:rFonts w:ascii="Arial" w:hAnsi="Arial" w:cs="Arial"/>
          <w:sz w:val="24"/>
          <w:szCs w:val="24"/>
        </w:rPr>
        <w:tab/>
        <w:t>energy resource when its electricity is directly delivered.</w:t>
      </w:r>
    </w:p>
    <w:p w14:paraId="4BB8B63F" w14:textId="77777777" w:rsidR="00AC2CC0" w:rsidRPr="00B61FF1" w:rsidRDefault="00AC2CC0" w:rsidP="00AC2CC0">
      <w:pPr>
        <w:tabs>
          <w:tab w:val="left" w:pos="1800"/>
        </w:tabs>
        <w:spacing w:line="360" w:lineRule="auto"/>
        <w:ind w:left="108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No RPS adjustment may be claimed for electricity generated by </w:t>
      </w:r>
    </w:p>
    <w:p w14:paraId="08346CA0" w14:textId="77777777" w:rsidR="00AC2CC0" w:rsidRPr="00B61FF1" w:rsidRDefault="00AC2CC0" w:rsidP="00AC2CC0">
      <w:pPr>
        <w:tabs>
          <w:tab w:val="left" w:pos="1800"/>
        </w:tabs>
        <w:spacing w:line="360" w:lineRule="auto"/>
        <w:ind w:left="1800"/>
        <w:rPr>
          <w:rFonts w:ascii="Arial" w:hAnsi="Arial" w:cs="Arial"/>
          <w:sz w:val="24"/>
          <w:szCs w:val="24"/>
        </w:rPr>
      </w:pPr>
      <w:r w:rsidRPr="00B61FF1">
        <w:rPr>
          <w:rFonts w:ascii="Arial" w:hAnsi="Arial" w:cs="Arial"/>
          <w:sz w:val="24"/>
          <w:szCs w:val="24"/>
        </w:rPr>
        <w:lastRenderedPageBreak/>
        <w:t>an eligible renewable energy resource in a jurisdiction where a GHG emissions trading system has been approved for linkage by the Board pursuant to subarticle 12.</w:t>
      </w:r>
    </w:p>
    <w:p w14:paraId="5E37F284" w14:textId="4E9F5E38" w:rsidR="00AC2CC0" w:rsidRPr="00B61FF1" w:rsidRDefault="00AC2CC0" w:rsidP="00AC2CC0">
      <w:pPr>
        <w:tabs>
          <w:tab w:val="left" w:pos="1800"/>
        </w:tabs>
        <w:spacing w:line="360" w:lineRule="auto"/>
        <w:ind w:left="1800" w:hanging="1800"/>
        <w:rPr>
          <w:rFonts w:ascii="Arial" w:hAnsi="Arial" w:cs="Arial"/>
          <w:sz w:val="24"/>
          <w:szCs w:val="24"/>
        </w:rPr>
      </w:pPr>
      <w:r w:rsidRPr="00B61FF1">
        <w:rPr>
          <w:rFonts w:ascii="Arial" w:hAnsi="Arial" w:cs="Arial"/>
          <w:sz w:val="24"/>
          <w:szCs w:val="24"/>
        </w:rPr>
        <w:t xml:space="preserve">                </w:t>
      </w:r>
      <w:r w:rsidRPr="00B61FF1">
        <w:rPr>
          <w:rFonts w:ascii="Arial" w:hAnsi="Arial" w:cs="Arial"/>
          <w:sz w:val="24"/>
          <w:szCs w:val="24"/>
          <w:u w:val="single"/>
        </w:rPr>
        <w:t>(F)</w:t>
      </w:r>
      <w:r w:rsidR="00AD1365">
        <w:rPr>
          <w:rFonts w:ascii="Arial" w:hAnsi="Arial" w:cs="Arial"/>
          <w:sz w:val="24"/>
          <w:szCs w:val="24"/>
        </w:rPr>
        <w:tab/>
      </w:r>
      <w:r w:rsidRPr="00B61FF1">
        <w:rPr>
          <w:rFonts w:ascii="Arial" w:hAnsi="Arial" w:cs="Arial"/>
          <w:sz w:val="24"/>
          <w:szCs w:val="24"/>
          <w:u w:val="single"/>
        </w:rPr>
        <w:t>Only RECs representing electricity generated after 12/31/2012 are eligible to be used towards the RPS adjustment.</w:t>
      </w:r>
    </w:p>
    <w:p w14:paraId="0075AFC1" w14:textId="77777777" w:rsidR="0072485A" w:rsidRPr="00B61FF1" w:rsidRDefault="0042244C" w:rsidP="0057208B">
      <w:pPr>
        <w:spacing w:line="360" w:lineRule="auto"/>
        <w:ind w:left="1080" w:hanging="720"/>
        <w:rPr>
          <w:rFonts w:ascii="Arial" w:hAnsi="Arial" w:cs="Arial"/>
          <w:szCs w:val="24"/>
        </w:rPr>
      </w:pPr>
      <w:r w:rsidRPr="00B61FF1">
        <w:rPr>
          <w:rFonts w:ascii="Arial" w:hAnsi="Arial" w:cs="Arial"/>
          <w:sz w:val="24"/>
          <w:szCs w:val="24"/>
        </w:rPr>
        <w:t xml:space="preserve"> </w:t>
      </w:r>
      <w:r w:rsidR="0072485A" w:rsidRPr="00B61FF1">
        <w:rPr>
          <w:rFonts w:ascii="Arial" w:hAnsi="Arial" w:cs="Arial"/>
          <w:sz w:val="24"/>
          <w:szCs w:val="24"/>
        </w:rPr>
        <w:t>(</w:t>
      </w:r>
      <w:r w:rsidR="00930C56" w:rsidRPr="00B61FF1">
        <w:rPr>
          <w:rFonts w:ascii="Arial" w:hAnsi="Arial" w:cs="Arial"/>
          <w:sz w:val="24"/>
          <w:szCs w:val="24"/>
        </w:rPr>
        <w:t>5</w:t>
      </w:r>
      <w:r w:rsidR="004827F9" w:rsidRPr="00B61FF1">
        <w:rPr>
          <w:rFonts w:ascii="Arial" w:hAnsi="Arial" w:cs="Arial"/>
          <w:sz w:val="24"/>
          <w:szCs w:val="24"/>
        </w:rPr>
        <w:t>)</w:t>
      </w:r>
      <w:r w:rsidR="004827F9" w:rsidRPr="00B61FF1">
        <w:rPr>
          <w:rFonts w:ascii="Arial" w:hAnsi="Arial" w:cs="Arial"/>
          <w:sz w:val="24"/>
          <w:szCs w:val="24"/>
        </w:rPr>
        <w:tab/>
      </w:r>
      <w:r w:rsidR="00930C56" w:rsidRPr="00B61FF1">
        <w:rPr>
          <w:rFonts w:ascii="Arial" w:hAnsi="Arial" w:cs="Arial"/>
          <w:sz w:val="24"/>
          <w:szCs w:val="24"/>
        </w:rPr>
        <w:t>QE adjustment.</w:t>
      </w:r>
      <w:r w:rsidR="00F1353A" w:rsidRPr="00B61FF1">
        <w:rPr>
          <w:rFonts w:ascii="Arial" w:hAnsi="Arial" w:cs="Arial"/>
          <w:sz w:val="24"/>
          <w:szCs w:val="24"/>
        </w:rPr>
        <w:t xml:space="preserve"> </w:t>
      </w:r>
      <w:r w:rsidR="00B44159" w:rsidRPr="00B61FF1">
        <w:rPr>
          <w:rFonts w:ascii="Arial" w:hAnsi="Arial" w:cs="Arial"/>
          <w:sz w:val="24"/>
          <w:szCs w:val="24"/>
        </w:rPr>
        <w:t xml:space="preserve"> An adjustment to the compliance </w:t>
      </w:r>
      <w:r w:rsidR="00F04D16" w:rsidRPr="00B61FF1">
        <w:rPr>
          <w:rFonts w:ascii="Arial" w:hAnsi="Arial" w:cs="Arial"/>
          <w:sz w:val="24"/>
          <w:szCs w:val="24"/>
        </w:rPr>
        <w:t>obligation pursuant to the calculation in 95852(b)(1) may be made for exported and imported electricity during the same hour by the same PSE.</w:t>
      </w:r>
      <w:r w:rsidR="00930C56" w:rsidRPr="00B61FF1">
        <w:rPr>
          <w:rFonts w:ascii="Arial" w:hAnsi="Arial" w:cs="Arial"/>
          <w:sz w:val="24"/>
          <w:szCs w:val="24"/>
        </w:rPr>
        <w:t xml:space="preserve"> Emissions included in the QE adjustment for qualified exports claimed by a first deliverer must meet the following requirements:</w:t>
      </w:r>
      <w:r w:rsidR="00930C56" w:rsidRPr="00B61FF1">
        <w:rPr>
          <w:rFonts w:ascii="Arial" w:hAnsi="Arial" w:cs="Arial"/>
          <w:szCs w:val="24"/>
        </w:rPr>
        <w:t xml:space="preserve"> </w:t>
      </w:r>
    </w:p>
    <w:p w14:paraId="3DE43390" w14:textId="77777777" w:rsidR="00930C56" w:rsidRPr="00B61FF1" w:rsidRDefault="00930C56" w:rsidP="00930C56">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During any hour in which an electricity importer claims qualified exports and corresponding imports, the maximum amount of QE adjustment for the hour shall not exceed the product of:</w:t>
      </w:r>
    </w:p>
    <w:p w14:paraId="769AFAD8" w14:textId="77777777" w:rsidR="00930C56" w:rsidRPr="00B61FF1" w:rsidRDefault="00930C56" w:rsidP="00930C56">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lower of either the quantity of exports or imports (MWh) for the hour; multiplied by</w:t>
      </w:r>
    </w:p>
    <w:p w14:paraId="32962C7A" w14:textId="77777777" w:rsidR="00930C56" w:rsidRPr="00B61FF1" w:rsidRDefault="00930C56" w:rsidP="00930C56">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lowest emission factor of any portion of the qualified exports or corresponding imports for the hour.</w:t>
      </w:r>
    </w:p>
    <w:p w14:paraId="46350F79" w14:textId="77777777" w:rsidR="00930C56" w:rsidRPr="00B61FF1" w:rsidRDefault="00930C56" w:rsidP="00930C56">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Emissions and MWhs included in the QE adjustment must be reported</w:t>
      </w:r>
      <w:r w:rsidR="00C65794" w:rsidRPr="00B61FF1">
        <w:rPr>
          <w:rFonts w:ascii="Arial" w:hAnsi="Arial" w:cs="Arial"/>
          <w:sz w:val="24"/>
          <w:szCs w:val="24"/>
        </w:rPr>
        <w:t xml:space="preserve"> and verified or assigned</w:t>
      </w:r>
      <w:r w:rsidRPr="00B61FF1">
        <w:rPr>
          <w:rFonts w:ascii="Arial" w:hAnsi="Arial" w:cs="Arial"/>
          <w:sz w:val="24"/>
          <w:szCs w:val="24"/>
        </w:rPr>
        <w:t xml:space="preserve"> pursuant to MRR, and must be documented by hourly import and export data pursuant to MRR</w:t>
      </w:r>
      <w:r w:rsidR="00754E0B" w:rsidRPr="00B61FF1">
        <w:rPr>
          <w:rFonts w:ascii="Arial" w:hAnsi="Arial" w:cs="Arial"/>
          <w:sz w:val="24"/>
          <w:szCs w:val="24"/>
        </w:rPr>
        <w:t>.</w:t>
      </w:r>
    </w:p>
    <w:p w14:paraId="7C9F75E9" w14:textId="6B9B9AAF" w:rsidR="00FE6B15" w:rsidRPr="00B61FF1" w:rsidRDefault="0042244C" w:rsidP="00ED41AE">
      <w:pPr>
        <w:spacing w:line="360" w:lineRule="auto"/>
        <w:ind w:left="720" w:hanging="720"/>
        <w:rPr>
          <w:rFonts w:ascii="Arial" w:hAnsi="Arial" w:cs="Arial"/>
          <w:sz w:val="24"/>
          <w:szCs w:val="24"/>
        </w:rPr>
      </w:pPr>
      <w:r w:rsidRPr="00B61FF1">
        <w:rPr>
          <w:rFonts w:ascii="Arial" w:hAnsi="Arial" w:cs="Arial"/>
          <w:sz w:val="24"/>
          <w:szCs w:val="24"/>
        </w:rPr>
        <w:t xml:space="preserve"> </w:t>
      </w:r>
      <w:r w:rsidR="00ED41AE" w:rsidRPr="00B61FF1">
        <w:rPr>
          <w:rFonts w:ascii="Arial" w:hAnsi="Arial" w:cs="Arial"/>
          <w:sz w:val="24"/>
          <w:szCs w:val="24"/>
        </w:rPr>
        <w:t>(c)</w:t>
      </w:r>
      <w:r w:rsidR="00ED41AE" w:rsidRPr="00B61FF1">
        <w:rPr>
          <w:rFonts w:ascii="Arial" w:hAnsi="Arial" w:cs="Arial"/>
          <w:sz w:val="24"/>
          <w:szCs w:val="24"/>
        </w:rPr>
        <w:tab/>
      </w:r>
      <w:r w:rsidR="00FE6B15" w:rsidRPr="00B61FF1">
        <w:rPr>
          <w:rFonts w:ascii="Arial" w:hAnsi="Arial" w:cs="Arial"/>
          <w:sz w:val="24"/>
          <w:szCs w:val="24"/>
        </w:rPr>
        <w:t>Suppliers of Natural Gas.  A supplier of natural gas covered under section</w:t>
      </w:r>
      <w:r w:rsidR="007F358C" w:rsidRPr="00B61FF1">
        <w:rPr>
          <w:rFonts w:ascii="Arial" w:hAnsi="Arial" w:cs="Arial"/>
          <w:sz w:val="24"/>
          <w:szCs w:val="24"/>
        </w:rPr>
        <w:t>s</w:t>
      </w:r>
      <w:r w:rsidR="00FE6B15" w:rsidRPr="00B61FF1">
        <w:rPr>
          <w:rFonts w:ascii="Arial" w:hAnsi="Arial" w:cs="Arial"/>
          <w:sz w:val="24"/>
          <w:szCs w:val="24"/>
        </w:rPr>
        <w:t xml:space="preserve"> 95811(c) and 95812(d) has a compliance obligation for every metric ton CO</w:t>
      </w:r>
      <w:r w:rsidR="00FE6B15" w:rsidRPr="00B61FF1">
        <w:rPr>
          <w:rFonts w:ascii="Arial" w:hAnsi="Arial" w:cs="Arial"/>
          <w:sz w:val="24"/>
          <w:szCs w:val="24"/>
          <w:vertAlign w:val="subscript"/>
        </w:rPr>
        <w:t>2</w:t>
      </w:r>
      <w:r w:rsidR="00FE6B15" w:rsidRPr="00B61FF1">
        <w:rPr>
          <w:rFonts w:ascii="Arial" w:hAnsi="Arial" w:cs="Arial"/>
          <w:sz w:val="24"/>
          <w:szCs w:val="24"/>
        </w:rPr>
        <w:t>e of GHG emissions that would result from full combustion or oxidation of all fuel delivered to end users in California</w:t>
      </w:r>
      <w:r w:rsidR="004F305A" w:rsidRPr="00B61FF1">
        <w:rPr>
          <w:rFonts w:ascii="Arial" w:hAnsi="Arial" w:cs="Arial"/>
          <w:sz w:val="24"/>
          <w:szCs w:val="24"/>
        </w:rPr>
        <w:t xml:space="preserve"> contained in an emissions data report that has received a positive or qualified positive emissions data verification statement or </w:t>
      </w:r>
      <w:r w:rsidR="004472AA" w:rsidRPr="00B61FF1">
        <w:rPr>
          <w:rFonts w:ascii="Arial" w:hAnsi="Arial" w:cs="Arial"/>
          <w:sz w:val="24"/>
          <w:szCs w:val="24"/>
        </w:rPr>
        <w:t xml:space="preserve">for which emissions have been </w:t>
      </w:r>
      <w:r w:rsidR="004F305A" w:rsidRPr="00B61FF1">
        <w:rPr>
          <w:rFonts w:ascii="Arial" w:hAnsi="Arial" w:cs="Arial"/>
          <w:sz w:val="24"/>
          <w:szCs w:val="24"/>
        </w:rPr>
        <w:t>assigned</w:t>
      </w:r>
      <w:r w:rsidR="00FE6B15" w:rsidRPr="00B61FF1">
        <w:rPr>
          <w:rFonts w:ascii="Arial" w:hAnsi="Arial" w:cs="Arial"/>
          <w:sz w:val="24"/>
          <w:szCs w:val="24"/>
        </w:rPr>
        <w:t>, less the fuel that is delivered to covered entities</w:t>
      </w:r>
      <w:r w:rsidR="004F305A" w:rsidRPr="00B61FF1">
        <w:rPr>
          <w:rFonts w:ascii="Arial" w:hAnsi="Arial" w:cs="Arial"/>
          <w:sz w:val="24"/>
          <w:szCs w:val="24"/>
        </w:rPr>
        <w:t>, as follows:</w:t>
      </w:r>
    </w:p>
    <w:p w14:paraId="0C7B6D80" w14:textId="77777777" w:rsidR="00FE6B15" w:rsidRPr="00B61FF1" w:rsidRDefault="004827F9" w:rsidP="004827F9">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Suppliers of natural gas sha</w:t>
      </w:r>
      <w:r w:rsidR="0016715C" w:rsidRPr="00B61FF1">
        <w:rPr>
          <w:rFonts w:ascii="Arial" w:hAnsi="Arial" w:cs="Arial"/>
          <w:sz w:val="24"/>
          <w:szCs w:val="24"/>
        </w:rPr>
        <w:t xml:space="preserve">ll report the total metric tons </w:t>
      </w:r>
      <w:r w:rsidR="00FE6B15" w:rsidRPr="00B61FF1">
        <w:rPr>
          <w:rFonts w:ascii="Arial" w:hAnsi="Arial" w:cs="Arial"/>
          <w:sz w:val="24"/>
          <w:szCs w:val="24"/>
        </w:rPr>
        <w:t>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e of GHG emissions delivered to all end users in California </w:t>
      </w:r>
      <w:r w:rsidR="004F305A" w:rsidRPr="00B61FF1">
        <w:rPr>
          <w:rFonts w:ascii="Arial" w:hAnsi="Arial" w:cs="Arial"/>
          <w:sz w:val="24"/>
          <w:szCs w:val="24"/>
        </w:rPr>
        <w:t>pursuant to</w:t>
      </w:r>
      <w:r w:rsidR="00FE6B15" w:rsidRPr="00B61FF1">
        <w:rPr>
          <w:rFonts w:ascii="Arial" w:hAnsi="Arial" w:cs="Arial"/>
          <w:sz w:val="24"/>
          <w:szCs w:val="24"/>
        </w:rPr>
        <w:t xml:space="preserve"> section 95122</w:t>
      </w:r>
      <w:r w:rsidR="00A10FFC" w:rsidRPr="00B61FF1">
        <w:rPr>
          <w:rFonts w:ascii="Arial" w:hAnsi="Arial" w:cs="Arial"/>
          <w:sz w:val="24"/>
          <w:szCs w:val="24"/>
        </w:rPr>
        <w:t xml:space="preserve"> of </w:t>
      </w:r>
      <w:r w:rsidR="00BC267E" w:rsidRPr="00B61FF1">
        <w:rPr>
          <w:rFonts w:ascii="Arial" w:hAnsi="Arial" w:cs="Arial"/>
          <w:sz w:val="24"/>
          <w:szCs w:val="24"/>
        </w:rPr>
        <w:t>M</w:t>
      </w:r>
      <w:r w:rsidR="00A10FFC" w:rsidRPr="00B61FF1">
        <w:rPr>
          <w:rFonts w:ascii="Arial" w:hAnsi="Arial" w:cs="Arial"/>
          <w:sz w:val="24"/>
          <w:szCs w:val="24"/>
        </w:rPr>
        <w:t>RR</w:t>
      </w:r>
      <w:r w:rsidR="00FE6B15" w:rsidRPr="00B61FF1">
        <w:rPr>
          <w:rFonts w:ascii="Arial" w:hAnsi="Arial" w:cs="Arial"/>
          <w:sz w:val="24"/>
          <w:szCs w:val="24"/>
        </w:rPr>
        <w:t>;</w:t>
      </w:r>
    </w:p>
    <w:p w14:paraId="762472BB" w14:textId="77777777" w:rsidR="00FE6B15" w:rsidRPr="00B61FF1" w:rsidRDefault="004827F9" w:rsidP="0072485A">
      <w:pPr>
        <w:spacing w:line="360" w:lineRule="auto"/>
        <w:ind w:left="1080" w:hanging="720"/>
        <w:rPr>
          <w:rFonts w:ascii="Arial" w:hAnsi="Arial" w:cs="Arial"/>
          <w:sz w:val="24"/>
          <w:szCs w:val="24"/>
        </w:rPr>
      </w:pPr>
      <w:r w:rsidRPr="00B61FF1">
        <w:rPr>
          <w:rFonts w:ascii="Arial" w:hAnsi="Arial" w:cs="Arial"/>
          <w:sz w:val="24"/>
          <w:szCs w:val="24"/>
        </w:rPr>
        <w:lastRenderedPageBreak/>
        <w:t>(2)</w:t>
      </w:r>
      <w:r w:rsidRPr="00B61FF1">
        <w:rPr>
          <w:rFonts w:ascii="Arial" w:hAnsi="Arial" w:cs="Arial"/>
          <w:sz w:val="24"/>
          <w:szCs w:val="24"/>
        </w:rPr>
        <w:tab/>
      </w:r>
      <w:r w:rsidR="0072485A" w:rsidRPr="00B61FF1">
        <w:rPr>
          <w:rFonts w:ascii="Arial" w:hAnsi="Arial" w:cs="Arial"/>
          <w:sz w:val="24"/>
          <w:szCs w:val="24"/>
        </w:rPr>
        <w:t>ARB</w:t>
      </w:r>
      <w:r w:rsidR="00FE6B15" w:rsidRPr="00B61FF1">
        <w:rPr>
          <w:rFonts w:ascii="Arial" w:hAnsi="Arial" w:cs="Arial"/>
          <w:sz w:val="24"/>
          <w:szCs w:val="24"/>
        </w:rPr>
        <w:t xml:space="preserve"> shall calculate the metric tons CO</w:t>
      </w:r>
      <w:r w:rsidR="00FE6B15" w:rsidRPr="00B61FF1">
        <w:rPr>
          <w:rFonts w:ascii="Arial" w:hAnsi="Arial" w:cs="Arial"/>
          <w:sz w:val="24"/>
          <w:szCs w:val="24"/>
          <w:vertAlign w:val="subscript"/>
        </w:rPr>
        <w:t>2</w:t>
      </w:r>
      <w:r w:rsidR="00FE6B15" w:rsidRPr="00B61FF1">
        <w:rPr>
          <w:rFonts w:ascii="Arial" w:hAnsi="Arial" w:cs="Arial"/>
          <w:sz w:val="24"/>
          <w:szCs w:val="24"/>
        </w:rPr>
        <w:t>e of GHG emissions for natural gas delivered to covered entities</w:t>
      </w:r>
      <w:r w:rsidR="004472AA" w:rsidRPr="00B61FF1">
        <w:rPr>
          <w:rFonts w:ascii="Arial" w:hAnsi="Arial" w:cs="Arial"/>
          <w:sz w:val="24"/>
          <w:szCs w:val="24"/>
        </w:rPr>
        <w:t xml:space="preserve"> which are customers of the supplier</w:t>
      </w:r>
      <w:r w:rsidR="0072485A" w:rsidRPr="00B61FF1">
        <w:rPr>
          <w:rFonts w:ascii="Arial" w:hAnsi="Arial" w:cs="Arial"/>
          <w:sz w:val="24"/>
          <w:szCs w:val="24"/>
        </w:rPr>
        <w:t xml:space="preserve">.  </w:t>
      </w:r>
      <w:r w:rsidR="00FE6B15" w:rsidRPr="00B61FF1">
        <w:rPr>
          <w:rFonts w:ascii="Arial" w:hAnsi="Arial" w:cs="Arial"/>
          <w:sz w:val="24"/>
          <w:szCs w:val="24"/>
        </w:rPr>
        <w:t xml:space="preserve">The emissions </w:t>
      </w:r>
      <w:r w:rsidR="00215708" w:rsidRPr="00B61FF1">
        <w:rPr>
          <w:rFonts w:ascii="Arial" w:hAnsi="Arial" w:cs="Arial"/>
          <w:sz w:val="24"/>
          <w:szCs w:val="24"/>
        </w:rPr>
        <w:t xml:space="preserve">will be calculated according to section 95122 of MRR using the reported deliveries (in mmBtu) in emissions data reports </w:t>
      </w:r>
      <w:r w:rsidR="0072485A" w:rsidRPr="00B61FF1">
        <w:rPr>
          <w:rFonts w:ascii="Arial" w:hAnsi="Arial" w:cs="Arial"/>
          <w:sz w:val="24"/>
          <w:szCs w:val="24"/>
        </w:rPr>
        <w:t xml:space="preserve">that received a positive </w:t>
      </w:r>
      <w:r w:rsidR="00A10FFC" w:rsidRPr="00B61FF1">
        <w:rPr>
          <w:rFonts w:ascii="Arial" w:hAnsi="Arial" w:cs="Arial"/>
          <w:sz w:val="24"/>
          <w:szCs w:val="24"/>
        </w:rPr>
        <w:t xml:space="preserve">or </w:t>
      </w:r>
      <w:r w:rsidR="0072485A" w:rsidRPr="00B61FF1">
        <w:rPr>
          <w:rFonts w:ascii="Arial" w:hAnsi="Arial" w:cs="Arial"/>
          <w:sz w:val="24"/>
          <w:szCs w:val="24"/>
        </w:rPr>
        <w:t>qualified positive emissions data verification statement</w:t>
      </w:r>
      <w:r w:rsidR="00215708" w:rsidRPr="00B61FF1">
        <w:rPr>
          <w:rFonts w:ascii="Arial" w:hAnsi="Arial" w:cs="Arial"/>
          <w:sz w:val="24"/>
          <w:szCs w:val="24"/>
        </w:rPr>
        <w:t>,</w:t>
      </w:r>
      <w:r w:rsidR="0072485A" w:rsidRPr="00B61FF1">
        <w:rPr>
          <w:rFonts w:ascii="Arial" w:hAnsi="Arial" w:cs="Arial"/>
          <w:sz w:val="24"/>
          <w:szCs w:val="24"/>
        </w:rPr>
        <w:t xml:space="preserve"> or the </w:t>
      </w:r>
      <w:r w:rsidR="00A10FFC" w:rsidRPr="00B61FF1">
        <w:rPr>
          <w:rFonts w:ascii="Arial" w:hAnsi="Arial" w:cs="Arial"/>
          <w:sz w:val="24"/>
          <w:szCs w:val="24"/>
        </w:rPr>
        <w:t xml:space="preserve">assigned emissions </w:t>
      </w:r>
      <w:r w:rsidR="00FE6B15" w:rsidRPr="00B61FF1">
        <w:rPr>
          <w:rFonts w:ascii="Arial" w:hAnsi="Arial" w:cs="Arial"/>
          <w:sz w:val="24"/>
          <w:szCs w:val="24"/>
        </w:rPr>
        <w:t>from natural gas delivered to the covered entity by the supplier of natural gas;</w:t>
      </w:r>
    </w:p>
    <w:p w14:paraId="6F5268B7" w14:textId="77777777" w:rsidR="00FE6B15" w:rsidRPr="00B61FF1" w:rsidRDefault="004827F9" w:rsidP="004827F9">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9A0107" w:rsidRPr="00B61FF1">
        <w:rPr>
          <w:rFonts w:ascii="Arial" w:hAnsi="Arial" w:cs="Arial"/>
          <w:sz w:val="24"/>
          <w:szCs w:val="24"/>
        </w:rPr>
        <w:t>ARB</w:t>
      </w:r>
      <w:r w:rsidR="00FE6B15" w:rsidRPr="00B61FF1">
        <w:rPr>
          <w:rFonts w:ascii="Arial" w:hAnsi="Arial" w:cs="Arial"/>
          <w:sz w:val="24"/>
          <w:szCs w:val="24"/>
        </w:rPr>
        <w:t xml:space="preserve"> shall provide the supplier of natural gas a listing of all customers and aggregate natural gas </w:t>
      </w:r>
      <w:r w:rsidR="00215708" w:rsidRPr="00B61FF1">
        <w:rPr>
          <w:rFonts w:ascii="Arial" w:hAnsi="Arial" w:cs="Arial"/>
          <w:sz w:val="24"/>
          <w:szCs w:val="24"/>
        </w:rPr>
        <w:t xml:space="preserve">(in mmBtu) </w:t>
      </w:r>
      <w:r w:rsidR="00FE6B15" w:rsidRPr="00B61FF1">
        <w:rPr>
          <w:rFonts w:ascii="Arial" w:hAnsi="Arial" w:cs="Arial"/>
          <w:sz w:val="24"/>
          <w:szCs w:val="24"/>
        </w:rPr>
        <w:t xml:space="preserve">and emissions calculated from the supplier’s natural gas delivered to covered entities; </w:t>
      </w:r>
      <w:r w:rsidR="004F305A" w:rsidRPr="00B61FF1">
        <w:rPr>
          <w:rFonts w:ascii="Arial" w:hAnsi="Arial" w:cs="Arial"/>
          <w:sz w:val="24"/>
          <w:szCs w:val="24"/>
        </w:rPr>
        <w:t>and</w:t>
      </w:r>
    </w:p>
    <w:p w14:paraId="47882D31" w14:textId="77777777" w:rsidR="00FE6B15" w:rsidRPr="00B61FF1" w:rsidRDefault="004827F9" w:rsidP="004827F9">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215708" w:rsidRPr="00B61FF1">
        <w:rPr>
          <w:rFonts w:ascii="Arial" w:hAnsi="Arial" w:cs="Arial"/>
          <w:sz w:val="24"/>
          <w:szCs w:val="24"/>
        </w:rPr>
        <w:t>The Executive Officer shall calculate the metric tons CO</w:t>
      </w:r>
      <w:r w:rsidR="00215708" w:rsidRPr="00B61FF1">
        <w:rPr>
          <w:rFonts w:ascii="Arial" w:hAnsi="Arial" w:cs="Arial"/>
          <w:sz w:val="24"/>
          <w:szCs w:val="24"/>
          <w:vertAlign w:val="subscript"/>
        </w:rPr>
        <w:t>2</w:t>
      </w:r>
      <w:r w:rsidR="00215708" w:rsidRPr="00B61FF1">
        <w:rPr>
          <w:rFonts w:ascii="Arial" w:hAnsi="Arial" w:cs="Arial"/>
          <w:sz w:val="24"/>
          <w:szCs w:val="24"/>
        </w:rPr>
        <w:t>e for which the supplier will be required to hold a compliance obligation based on the supplier’s reported emissions less ARB’s calculated emissions from deliveries to covered entities which are customers of the supplier.  The Executive Officer shall provide this value to the supplier of natural gas within 30 days of the verificat</w:t>
      </w:r>
      <w:r w:rsidR="00F30BA9" w:rsidRPr="00B61FF1">
        <w:rPr>
          <w:rFonts w:ascii="Arial" w:hAnsi="Arial" w:cs="Arial"/>
          <w:sz w:val="24"/>
          <w:szCs w:val="24"/>
        </w:rPr>
        <w:t>ion deadline in section 95103</w:t>
      </w:r>
      <w:r w:rsidR="00215708" w:rsidRPr="00B61FF1">
        <w:rPr>
          <w:rFonts w:ascii="Arial" w:hAnsi="Arial" w:cs="Arial"/>
          <w:sz w:val="24"/>
          <w:szCs w:val="24"/>
        </w:rPr>
        <w:t xml:space="preserve"> of MRR.</w:t>
      </w:r>
    </w:p>
    <w:p w14:paraId="4E3A7C41" w14:textId="4B8A09C2" w:rsidR="00FE6B15" w:rsidRPr="00B61FF1" w:rsidRDefault="00ED41AE" w:rsidP="00ED41AE">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r>
      <w:r w:rsidR="00FE6B15" w:rsidRPr="00B61FF1">
        <w:rPr>
          <w:rFonts w:ascii="Arial" w:hAnsi="Arial" w:cs="Arial"/>
          <w:sz w:val="24"/>
          <w:szCs w:val="24"/>
        </w:rPr>
        <w:t>Suppliers of RBOB and Distillate Fuel Oils.  A supplier of petroleum products covered under section</w:t>
      </w:r>
      <w:r w:rsidR="00591BC5" w:rsidRPr="00B61FF1">
        <w:rPr>
          <w:rFonts w:ascii="Arial" w:hAnsi="Arial" w:cs="Arial"/>
          <w:sz w:val="24"/>
          <w:szCs w:val="24"/>
        </w:rPr>
        <w:t>s</w:t>
      </w:r>
      <w:r w:rsidR="00FE6B15" w:rsidRPr="00B61FF1">
        <w:rPr>
          <w:rFonts w:ascii="Arial" w:hAnsi="Arial" w:cs="Arial"/>
          <w:sz w:val="24"/>
          <w:szCs w:val="24"/>
        </w:rPr>
        <w:t xml:space="preserve"> 95811(d) or 95812(d) has a compliance obligation for every metric ton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e of GHG emissions </w:t>
      </w:r>
      <w:r w:rsidR="00591BC5" w:rsidRPr="00B61FF1">
        <w:rPr>
          <w:rFonts w:ascii="Arial" w:hAnsi="Arial" w:cs="Arial"/>
          <w:sz w:val="24"/>
          <w:szCs w:val="24"/>
        </w:rPr>
        <w:t xml:space="preserve">included in an emissions data report that has received a positive or qualified positive emissions data verification statement or </w:t>
      </w:r>
      <w:r w:rsidR="007C0AE0" w:rsidRPr="00B61FF1">
        <w:rPr>
          <w:rFonts w:ascii="Arial" w:hAnsi="Arial" w:cs="Arial"/>
          <w:sz w:val="24"/>
          <w:szCs w:val="24"/>
        </w:rPr>
        <w:t xml:space="preserve">for which emissions have been </w:t>
      </w:r>
      <w:r w:rsidR="00591BC5" w:rsidRPr="00B61FF1">
        <w:rPr>
          <w:rFonts w:ascii="Arial" w:hAnsi="Arial" w:cs="Arial"/>
          <w:sz w:val="24"/>
          <w:szCs w:val="24"/>
        </w:rPr>
        <w:t xml:space="preserve">assigned </w:t>
      </w:r>
      <w:r w:rsidR="00FE6B15" w:rsidRPr="00B61FF1">
        <w:rPr>
          <w:rFonts w:ascii="Arial" w:hAnsi="Arial" w:cs="Arial"/>
          <w:sz w:val="24"/>
          <w:szCs w:val="24"/>
        </w:rPr>
        <w:t>that would result from full combustion or oxidation of the quantities of the following fuels that are removed from the rack in California, sold to entities not licensed by the California Board of Equalization as a fuel supplier</w:t>
      </w:r>
      <w:r w:rsidR="00591BC5" w:rsidRPr="00B61FF1">
        <w:rPr>
          <w:rFonts w:ascii="Arial" w:hAnsi="Arial" w:cs="Arial"/>
          <w:sz w:val="24"/>
          <w:szCs w:val="24"/>
        </w:rPr>
        <w:t>,</w:t>
      </w:r>
      <w:r w:rsidR="00FE6B15" w:rsidRPr="00B61FF1">
        <w:rPr>
          <w:rFonts w:ascii="Arial" w:hAnsi="Arial" w:cs="Arial"/>
          <w:sz w:val="24"/>
          <w:szCs w:val="24"/>
        </w:rPr>
        <w:t xml:space="preserve"> or imported into California</w:t>
      </w:r>
      <w:r w:rsidR="007C0AE0" w:rsidRPr="00B61FF1">
        <w:rPr>
          <w:rFonts w:ascii="Arial" w:hAnsi="Arial" w:cs="Arial"/>
          <w:sz w:val="24"/>
          <w:szCs w:val="24"/>
        </w:rPr>
        <w:t xml:space="preserve"> and not directly delivered to the bulk-transfer/terminal system as defined in section 95102 of MRR</w:t>
      </w:r>
      <w:r w:rsidR="00591BC5" w:rsidRPr="00B61FF1">
        <w:rPr>
          <w:rFonts w:ascii="Arial" w:hAnsi="Arial" w:cs="Arial"/>
          <w:sz w:val="24"/>
          <w:szCs w:val="24"/>
        </w:rPr>
        <w:t>,</w:t>
      </w:r>
      <w:r w:rsidR="00FE6B15" w:rsidRPr="00B61FF1">
        <w:rPr>
          <w:rFonts w:ascii="Arial" w:hAnsi="Arial" w:cs="Arial"/>
          <w:sz w:val="24"/>
          <w:szCs w:val="24"/>
        </w:rPr>
        <w:t xml:space="preserve"> except for products for which a final destination outside California can be demonstrated: </w:t>
      </w:r>
    </w:p>
    <w:p w14:paraId="34BDA015"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RBOB;</w:t>
      </w:r>
    </w:p>
    <w:p w14:paraId="69B310A1"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Distillate Fuel Oil No. 1; </w:t>
      </w:r>
      <w:r w:rsidR="00591BC5" w:rsidRPr="00B61FF1">
        <w:rPr>
          <w:rFonts w:ascii="Arial" w:hAnsi="Arial" w:cs="Arial"/>
          <w:sz w:val="24"/>
          <w:szCs w:val="24"/>
        </w:rPr>
        <w:t>and</w:t>
      </w:r>
    </w:p>
    <w:p w14:paraId="1591E9E0"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lastRenderedPageBreak/>
        <w:t>(3)</w:t>
      </w:r>
      <w:r w:rsidRPr="00B61FF1">
        <w:rPr>
          <w:rFonts w:ascii="Arial" w:hAnsi="Arial" w:cs="Arial"/>
          <w:sz w:val="24"/>
          <w:szCs w:val="24"/>
        </w:rPr>
        <w:tab/>
      </w:r>
      <w:r w:rsidR="00FE6B15" w:rsidRPr="00B61FF1">
        <w:rPr>
          <w:rFonts w:ascii="Arial" w:hAnsi="Arial" w:cs="Arial"/>
          <w:sz w:val="24"/>
          <w:szCs w:val="24"/>
        </w:rPr>
        <w:t>Distillate Fuel Oil No. 2.</w:t>
      </w:r>
    </w:p>
    <w:p w14:paraId="19C5F3BE" w14:textId="09A53DC2" w:rsidR="00FE6B15" w:rsidRPr="00B61FF1" w:rsidRDefault="00ED41AE" w:rsidP="00ED41AE">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r>
      <w:r w:rsidR="00FE6B15" w:rsidRPr="00B61FF1">
        <w:rPr>
          <w:rFonts w:ascii="Arial" w:hAnsi="Arial" w:cs="Arial"/>
          <w:sz w:val="24"/>
          <w:szCs w:val="24"/>
        </w:rPr>
        <w:t>Suppliers of Natural Gas Liquids:</w:t>
      </w:r>
    </w:p>
    <w:p w14:paraId="5A2490CB"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A producer of liquefied petroleum gas covered under section</w:t>
      </w:r>
      <w:r w:rsidR="009F0C6E" w:rsidRPr="00B61FF1">
        <w:rPr>
          <w:rFonts w:ascii="Arial" w:hAnsi="Arial" w:cs="Arial"/>
          <w:sz w:val="24"/>
          <w:szCs w:val="24"/>
        </w:rPr>
        <w:t>s</w:t>
      </w:r>
      <w:r w:rsidR="00FE6B15" w:rsidRPr="00B61FF1">
        <w:rPr>
          <w:rFonts w:ascii="Arial" w:hAnsi="Arial" w:cs="Arial"/>
          <w:sz w:val="24"/>
          <w:szCs w:val="24"/>
        </w:rPr>
        <w:t xml:space="preserve"> 95811(e) and 95812(d) has a compliance obligation for every metric ton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e of GHG emissions </w:t>
      </w:r>
      <w:r w:rsidR="00591BC5" w:rsidRPr="00B61FF1">
        <w:rPr>
          <w:rFonts w:ascii="Arial" w:hAnsi="Arial" w:cs="Arial"/>
          <w:sz w:val="24"/>
          <w:szCs w:val="24"/>
        </w:rPr>
        <w:t xml:space="preserve">included in an emissions data report that has received a positive or qualified positive emissions data verification statement or </w:t>
      </w:r>
      <w:r w:rsidR="007C0AE0" w:rsidRPr="00B61FF1">
        <w:rPr>
          <w:rFonts w:ascii="Arial" w:hAnsi="Arial" w:cs="Arial"/>
          <w:sz w:val="24"/>
          <w:szCs w:val="24"/>
        </w:rPr>
        <w:t xml:space="preserve">for which emissions have been </w:t>
      </w:r>
      <w:r w:rsidR="00591BC5" w:rsidRPr="00B61FF1">
        <w:rPr>
          <w:rFonts w:ascii="Arial" w:hAnsi="Arial" w:cs="Arial"/>
          <w:sz w:val="24"/>
          <w:szCs w:val="24"/>
        </w:rPr>
        <w:t xml:space="preserve">assigned </w:t>
      </w:r>
      <w:r w:rsidR="00FE6B15" w:rsidRPr="00B61FF1">
        <w:rPr>
          <w:rFonts w:ascii="Arial" w:hAnsi="Arial" w:cs="Arial"/>
          <w:sz w:val="24"/>
          <w:szCs w:val="24"/>
        </w:rPr>
        <w:t>that would result from full combustion or oxidation of all fuel sold, distributed, or otherwise transferred for consumption in California; and</w:t>
      </w:r>
    </w:p>
    <w:p w14:paraId="47D3B49B"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An </w:t>
      </w:r>
      <w:r w:rsidR="00FE6B15" w:rsidRPr="00B61FF1" w:rsidDel="00C74347">
        <w:rPr>
          <w:rFonts w:ascii="Arial" w:hAnsi="Arial" w:cs="Arial"/>
          <w:sz w:val="24"/>
          <w:szCs w:val="24"/>
        </w:rPr>
        <w:t xml:space="preserve">importer </w:t>
      </w:r>
      <w:r w:rsidR="00FE6B15" w:rsidRPr="00B61FF1">
        <w:rPr>
          <w:rFonts w:ascii="Arial" w:hAnsi="Arial" w:cs="Arial"/>
          <w:sz w:val="24"/>
          <w:szCs w:val="24"/>
        </w:rPr>
        <w:t>consignee</w:t>
      </w:r>
      <w:r w:rsidR="00D3030D" w:rsidRPr="00B61FF1">
        <w:rPr>
          <w:rFonts w:ascii="Arial" w:hAnsi="Arial" w:cs="Arial"/>
          <w:sz w:val="24"/>
          <w:szCs w:val="24"/>
        </w:rPr>
        <w:t>,</w:t>
      </w:r>
      <w:r w:rsidR="00C250BD" w:rsidRPr="00B61FF1">
        <w:rPr>
          <w:rFonts w:ascii="Arial" w:hAnsi="Arial" w:cs="Arial"/>
          <w:sz w:val="24"/>
          <w:szCs w:val="24"/>
        </w:rPr>
        <w:t xml:space="preserve"> </w:t>
      </w:r>
      <w:r w:rsidR="00D3030D" w:rsidRPr="00B61FF1">
        <w:rPr>
          <w:rFonts w:ascii="Arial" w:hAnsi="Arial" w:cs="Arial"/>
          <w:sz w:val="24"/>
          <w:szCs w:val="24"/>
        </w:rPr>
        <w:t xml:space="preserve">as defined under MRR, </w:t>
      </w:r>
      <w:r w:rsidR="00FE6B15" w:rsidRPr="00B61FF1">
        <w:rPr>
          <w:rFonts w:ascii="Arial" w:hAnsi="Arial" w:cs="Arial"/>
          <w:sz w:val="24"/>
          <w:szCs w:val="24"/>
        </w:rPr>
        <w:t>of liquefied petroleum gas covered under section 95811(e) has a compliance obligation for every metric ton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e of GHG emissions </w:t>
      </w:r>
      <w:r w:rsidR="00591BC5" w:rsidRPr="00B61FF1">
        <w:rPr>
          <w:rFonts w:ascii="Arial" w:hAnsi="Arial" w:cs="Arial"/>
          <w:sz w:val="24"/>
          <w:szCs w:val="24"/>
        </w:rPr>
        <w:t xml:space="preserve">included in an emissions data report that has received a positive or qualified positive emissions data verification statement or </w:t>
      </w:r>
      <w:r w:rsidR="007C0AE0" w:rsidRPr="00B61FF1">
        <w:rPr>
          <w:rFonts w:ascii="Arial" w:hAnsi="Arial" w:cs="Arial"/>
          <w:sz w:val="24"/>
          <w:szCs w:val="24"/>
        </w:rPr>
        <w:t xml:space="preserve">for which emissions have been assigned </w:t>
      </w:r>
      <w:r w:rsidR="00FE6B15" w:rsidRPr="00B61FF1">
        <w:rPr>
          <w:rFonts w:ascii="Arial" w:hAnsi="Arial" w:cs="Arial"/>
          <w:sz w:val="24"/>
          <w:szCs w:val="24"/>
        </w:rPr>
        <w:t>that would result from full combustion or oxidation of all fuel imported into California.</w:t>
      </w:r>
    </w:p>
    <w:p w14:paraId="1FC477A0" w14:textId="233EECA2" w:rsidR="00FE6B15" w:rsidRPr="00B61FF1" w:rsidDel="00FB0117" w:rsidRDefault="00ED41AE" w:rsidP="00ED41AE">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r>
      <w:r w:rsidR="00FE6B15" w:rsidRPr="00B61FF1" w:rsidDel="00FB0117">
        <w:rPr>
          <w:rFonts w:ascii="Arial" w:hAnsi="Arial" w:cs="Arial"/>
          <w:sz w:val="24"/>
          <w:szCs w:val="24"/>
        </w:rPr>
        <w:t>Suppliers of Blended Fuels.  An entity that supplies any of the fuels covered under section</w:t>
      </w:r>
      <w:r w:rsidR="009F0C6E" w:rsidRPr="00B61FF1">
        <w:rPr>
          <w:rFonts w:ascii="Arial" w:hAnsi="Arial" w:cs="Arial"/>
          <w:sz w:val="24"/>
          <w:szCs w:val="24"/>
        </w:rPr>
        <w:t>s</w:t>
      </w:r>
      <w:r w:rsidR="00FE6B15" w:rsidRPr="00B61FF1" w:rsidDel="00FB0117">
        <w:rPr>
          <w:rFonts w:ascii="Arial" w:hAnsi="Arial" w:cs="Arial"/>
          <w:sz w:val="24"/>
          <w:szCs w:val="24"/>
        </w:rPr>
        <w:t xml:space="preserve"> 95811(f) and 95812(</w:t>
      </w:r>
      <w:r w:rsidR="00FE6B15" w:rsidRPr="00B61FF1">
        <w:rPr>
          <w:rFonts w:ascii="Arial" w:hAnsi="Arial" w:cs="Arial"/>
          <w:sz w:val="24"/>
          <w:szCs w:val="24"/>
        </w:rPr>
        <w:t>d</w:t>
      </w:r>
      <w:r w:rsidR="00FE6B15" w:rsidRPr="00B61FF1" w:rsidDel="00FB0117">
        <w:rPr>
          <w:rFonts w:ascii="Arial" w:hAnsi="Arial" w:cs="Arial"/>
          <w:sz w:val="24"/>
          <w:szCs w:val="24"/>
        </w:rPr>
        <w:t xml:space="preserve">) as blended fuels has an aggregated compliance obligation </w:t>
      </w:r>
      <w:r w:rsidR="002A7F89" w:rsidRPr="00B61FF1">
        <w:rPr>
          <w:rFonts w:ascii="Arial" w:hAnsi="Arial" w:cs="Arial"/>
          <w:sz w:val="24"/>
          <w:szCs w:val="24"/>
        </w:rPr>
        <w:t>for every metric ton of CO</w:t>
      </w:r>
      <w:r w:rsidR="002A7F89" w:rsidRPr="00B61FF1">
        <w:rPr>
          <w:rFonts w:ascii="Arial" w:hAnsi="Arial" w:cs="Arial"/>
          <w:sz w:val="24"/>
          <w:szCs w:val="24"/>
          <w:vertAlign w:val="subscript"/>
        </w:rPr>
        <w:t>2</w:t>
      </w:r>
      <w:r w:rsidR="002A7F89" w:rsidRPr="00B61FF1">
        <w:rPr>
          <w:rFonts w:ascii="Arial" w:hAnsi="Arial" w:cs="Arial"/>
          <w:sz w:val="24"/>
          <w:szCs w:val="24"/>
        </w:rPr>
        <w:t xml:space="preserve">e of GHG emissions </w:t>
      </w:r>
      <w:r w:rsidR="00FE6B15" w:rsidRPr="00B61FF1" w:rsidDel="00FB0117">
        <w:rPr>
          <w:rFonts w:ascii="Arial" w:hAnsi="Arial" w:cs="Arial"/>
          <w:sz w:val="24"/>
          <w:szCs w:val="24"/>
        </w:rPr>
        <w:t>based on the separate constituents of the blend</w:t>
      </w:r>
      <w:r w:rsidR="002A7F89" w:rsidRPr="00B61FF1">
        <w:rPr>
          <w:rFonts w:ascii="Arial" w:hAnsi="Arial" w:cs="Arial"/>
          <w:sz w:val="24"/>
          <w:szCs w:val="24"/>
        </w:rPr>
        <w:t xml:space="preserve"> included in an emissions data report that has received a positive or qualified positive emissions data verification statement or </w:t>
      </w:r>
      <w:r w:rsidR="007C0AE0" w:rsidRPr="00B61FF1">
        <w:rPr>
          <w:rFonts w:ascii="Arial" w:hAnsi="Arial" w:cs="Arial"/>
          <w:sz w:val="24"/>
          <w:szCs w:val="24"/>
        </w:rPr>
        <w:t xml:space="preserve">for which emissions have been assigned </w:t>
      </w:r>
      <w:r w:rsidR="002A7F89" w:rsidRPr="00B61FF1">
        <w:rPr>
          <w:rFonts w:ascii="Arial" w:hAnsi="Arial" w:cs="Arial"/>
          <w:sz w:val="24"/>
          <w:szCs w:val="24"/>
        </w:rPr>
        <w:t xml:space="preserve">that would result from full combustion or oxidation of </w:t>
      </w:r>
      <w:r w:rsidR="00901EDF" w:rsidRPr="00B61FF1">
        <w:rPr>
          <w:rFonts w:ascii="Arial" w:hAnsi="Arial" w:cs="Arial"/>
          <w:sz w:val="24"/>
          <w:szCs w:val="24"/>
        </w:rPr>
        <w:t>the fuel.</w:t>
      </w:r>
    </w:p>
    <w:p w14:paraId="4F2DFC62" w14:textId="4008BC52" w:rsidR="00FE6B15" w:rsidRPr="00B61FF1" w:rsidRDefault="00ED41AE" w:rsidP="00ED41AE">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r>
      <w:r w:rsidR="00FE6B15" w:rsidRPr="00B61FF1">
        <w:rPr>
          <w:rFonts w:ascii="Arial" w:hAnsi="Arial" w:cs="Arial"/>
          <w:sz w:val="24"/>
          <w:szCs w:val="24"/>
        </w:rPr>
        <w:t xml:space="preserve">Carbon Dioxide Suppliers.  </w:t>
      </w:r>
      <w:r w:rsidR="00506C7C" w:rsidRPr="00B61FF1">
        <w:rPr>
          <w:rFonts w:ascii="Arial" w:hAnsi="Arial" w:cs="Arial"/>
          <w:sz w:val="24"/>
          <w:szCs w:val="24"/>
        </w:rPr>
        <w:t>An entity that supplies carbon dioxide (defined in section 95802</w:t>
      </w:r>
      <w:r w:rsidR="00C250BD" w:rsidRPr="00B61FF1">
        <w:rPr>
          <w:rFonts w:ascii="Arial" w:hAnsi="Arial" w:cs="Arial"/>
          <w:sz w:val="24"/>
          <w:szCs w:val="24"/>
        </w:rPr>
        <w:t>(a)</w:t>
      </w:r>
      <w:r w:rsidR="00506C7C" w:rsidRPr="00B61FF1">
        <w:rPr>
          <w:rFonts w:ascii="Arial" w:hAnsi="Arial" w:cs="Arial"/>
          <w:sz w:val="24"/>
          <w:szCs w:val="24"/>
        </w:rPr>
        <w:t>(4</w:t>
      </w:r>
      <w:r w:rsidR="009167D8" w:rsidRPr="00B61FF1">
        <w:rPr>
          <w:rFonts w:ascii="Arial" w:hAnsi="Arial" w:cs="Arial"/>
          <w:sz w:val="24"/>
          <w:szCs w:val="24"/>
        </w:rPr>
        <w:t>7</w:t>
      </w:r>
      <w:r w:rsidR="00506C7C" w:rsidRPr="00B61FF1">
        <w:rPr>
          <w:rFonts w:ascii="Arial" w:hAnsi="Arial" w:cs="Arial"/>
          <w:sz w:val="24"/>
          <w:szCs w:val="24"/>
        </w:rPr>
        <w:t>) covered under sections 95811(g) and 95812(c)(3) has an aggregated compliance obligation based on the sum of  MT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included in an emissions data report that has received a positive or qualified positive emissions data verification statement or for which emissions have been assigned and which are</w:t>
      </w:r>
      <w:r w:rsidR="009167D8" w:rsidRPr="00B61FF1">
        <w:rPr>
          <w:rFonts w:ascii="Arial" w:hAnsi="Arial" w:cs="Arial"/>
          <w:sz w:val="24"/>
          <w:szCs w:val="24"/>
        </w:rPr>
        <w:t xml:space="preserve"> defined in sections 95802(a)(47)(a), 95802(a)(47</w:t>
      </w:r>
      <w:r w:rsidR="00506C7C" w:rsidRPr="00B61FF1">
        <w:rPr>
          <w:rFonts w:ascii="Arial" w:hAnsi="Arial" w:cs="Arial"/>
          <w:sz w:val="24"/>
          <w:szCs w:val="24"/>
        </w:rPr>
        <w:t>)(</w:t>
      </w:r>
      <w:r w:rsidR="009167D8" w:rsidRPr="00B61FF1">
        <w:rPr>
          <w:rFonts w:ascii="Arial" w:hAnsi="Arial" w:cs="Arial"/>
          <w:sz w:val="24"/>
          <w:szCs w:val="24"/>
        </w:rPr>
        <w:t>b), and 95802(a)(47</w:t>
      </w:r>
      <w:r w:rsidR="00506C7C" w:rsidRPr="00B61FF1">
        <w:rPr>
          <w:rFonts w:ascii="Arial" w:hAnsi="Arial" w:cs="Arial"/>
          <w:sz w:val="24"/>
          <w:szCs w:val="24"/>
        </w:rPr>
        <w:t>)(c), minus CO</w:t>
      </w:r>
      <w:r w:rsidR="00506C7C" w:rsidRPr="00B61FF1">
        <w:rPr>
          <w:rFonts w:ascii="Arial" w:hAnsi="Arial" w:cs="Arial"/>
          <w:sz w:val="24"/>
          <w:szCs w:val="24"/>
          <w:vertAlign w:val="subscript"/>
        </w:rPr>
        <w:t>2</w:t>
      </w:r>
      <w:r w:rsidR="00506C7C" w:rsidRPr="00B61FF1">
        <w:rPr>
          <w:rFonts w:ascii="Arial" w:hAnsi="Arial" w:cs="Arial"/>
          <w:sz w:val="24"/>
          <w:szCs w:val="24"/>
        </w:rPr>
        <w:t xml:space="preserve">  verified to be geologically sequestered through use of a Board-approved </w:t>
      </w:r>
      <w:r w:rsidR="00506C7C" w:rsidRPr="00B61FF1">
        <w:rPr>
          <w:rFonts w:ascii="Arial" w:hAnsi="Arial" w:cs="Arial"/>
          <w:sz w:val="24"/>
          <w:szCs w:val="24"/>
        </w:rPr>
        <w:lastRenderedPageBreak/>
        <w:t>carbon capture and geologic sequestration quantification methodology that ensures that the emissions reductions are real, permanent, quantifiable, verifiable, and enforceable.</w:t>
      </w:r>
    </w:p>
    <w:p w14:paraId="32380B7A" w14:textId="77777777" w:rsidR="00FE6B15" w:rsidRPr="00B61FF1" w:rsidRDefault="0042244C" w:rsidP="007F358C">
      <w:pPr>
        <w:spacing w:line="360" w:lineRule="auto"/>
        <w:ind w:left="720" w:hanging="720"/>
        <w:rPr>
          <w:rFonts w:ascii="Arial" w:hAnsi="Arial" w:cs="Arial"/>
          <w:sz w:val="24"/>
          <w:szCs w:val="24"/>
        </w:rPr>
      </w:pPr>
      <w:r w:rsidRPr="00B61FF1">
        <w:rPr>
          <w:rFonts w:ascii="Arial" w:hAnsi="Arial" w:cs="Arial"/>
          <w:sz w:val="24"/>
          <w:szCs w:val="24"/>
        </w:rPr>
        <w:t xml:space="preserve"> </w:t>
      </w:r>
      <w:r w:rsidR="004827F9" w:rsidRPr="00B61FF1">
        <w:rPr>
          <w:rFonts w:ascii="Arial" w:hAnsi="Arial" w:cs="Arial"/>
          <w:sz w:val="24"/>
          <w:szCs w:val="24"/>
        </w:rPr>
        <w:t>(h)</w:t>
      </w:r>
      <w:r w:rsidR="004827F9" w:rsidRPr="00B61FF1">
        <w:rPr>
          <w:rFonts w:ascii="Arial" w:hAnsi="Arial" w:cs="Arial"/>
          <w:sz w:val="24"/>
          <w:szCs w:val="24"/>
        </w:rPr>
        <w:tab/>
      </w:r>
      <w:r w:rsidR="003355DD" w:rsidRPr="00B61FF1">
        <w:rPr>
          <w:rFonts w:ascii="Arial" w:hAnsi="Arial" w:cs="Arial"/>
          <w:sz w:val="24"/>
          <w:szCs w:val="24"/>
        </w:rPr>
        <w:t xml:space="preserve">Petroleum </w:t>
      </w:r>
      <w:r w:rsidR="00FE6B15" w:rsidRPr="00B61FF1">
        <w:rPr>
          <w:rFonts w:ascii="Arial" w:hAnsi="Arial" w:cs="Arial"/>
          <w:sz w:val="24"/>
          <w:szCs w:val="24"/>
        </w:rPr>
        <w:t xml:space="preserve">and </w:t>
      </w:r>
      <w:r w:rsidR="00F46E47" w:rsidRPr="00B61FF1">
        <w:rPr>
          <w:rFonts w:ascii="Arial" w:hAnsi="Arial" w:cs="Arial"/>
          <w:sz w:val="24"/>
          <w:szCs w:val="24"/>
        </w:rPr>
        <w:t xml:space="preserve">Natural </w:t>
      </w:r>
      <w:r w:rsidR="00FE6B15" w:rsidRPr="00B61FF1">
        <w:rPr>
          <w:rFonts w:ascii="Arial" w:hAnsi="Arial" w:cs="Arial"/>
          <w:sz w:val="24"/>
          <w:szCs w:val="24"/>
        </w:rPr>
        <w:t xml:space="preserve">Gas </w:t>
      </w:r>
      <w:r w:rsidR="00006E49" w:rsidRPr="00B61FF1">
        <w:rPr>
          <w:rFonts w:ascii="Arial" w:hAnsi="Arial" w:cs="Arial"/>
          <w:sz w:val="24"/>
          <w:szCs w:val="24"/>
        </w:rPr>
        <w:t>Systems</w:t>
      </w:r>
      <w:r w:rsidR="00FE6B15" w:rsidRPr="00B61FF1">
        <w:rPr>
          <w:rFonts w:ascii="Arial" w:hAnsi="Arial" w:cs="Arial"/>
          <w:sz w:val="24"/>
          <w:szCs w:val="24"/>
        </w:rPr>
        <w:t xml:space="preserve">.  </w:t>
      </w:r>
      <w:r w:rsidR="00006E49" w:rsidRPr="00B61FF1">
        <w:rPr>
          <w:rFonts w:ascii="Arial" w:hAnsi="Arial" w:cs="Arial"/>
          <w:sz w:val="24"/>
          <w:szCs w:val="24"/>
        </w:rPr>
        <w:t xml:space="preserve">Operators of </w:t>
      </w:r>
      <w:r w:rsidR="00C52FFA" w:rsidRPr="00B61FF1">
        <w:rPr>
          <w:rFonts w:ascii="Arial" w:hAnsi="Arial" w:cs="Arial"/>
          <w:sz w:val="24"/>
          <w:szCs w:val="24"/>
        </w:rPr>
        <w:t xml:space="preserve">the </w:t>
      </w:r>
      <w:r w:rsidR="00006E49" w:rsidRPr="00B61FF1">
        <w:rPr>
          <w:rFonts w:ascii="Arial" w:hAnsi="Arial" w:cs="Arial"/>
          <w:sz w:val="24"/>
          <w:szCs w:val="24"/>
        </w:rPr>
        <w:t>facilities specified in section 951</w:t>
      </w:r>
      <w:r w:rsidR="00C52FFA" w:rsidRPr="00B61FF1">
        <w:rPr>
          <w:rFonts w:ascii="Arial" w:hAnsi="Arial" w:cs="Arial"/>
          <w:sz w:val="24"/>
          <w:szCs w:val="24"/>
        </w:rPr>
        <w:t>01</w:t>
      </w:r>
      <w:r w:rsidR="00006E49" w:rsidRPr="00B61FF1">
        <w:rPr>
          <w:rFonts w:ascii="Arial" w:hAnsi="Arial" w:cs="Arial"/>
          <w:sz w:val="24"/>
          <w:szCs w:val="24"/>
        </w:rPr>
        <w:t>(</w:t>
      </w:r>
      <w:r w:rsidR="00C52FFA" w:rsidRPr="00B61FF1">
        <w:rPr>
          <w:rFonts w:ascii="Arial" w:hAnsi="Arial" w:cs="Arial"/>
          <w:sz w:val="24"/>
          <w:szCs w:val="24"/>
        </w:rPr>
        <w:t>e</w:t>
      </w:r>
      <w:r w:rsidR="00006E49" w:rsidRPr="00B61FF1">
        <w:rPr>
          <w:rFonts w:ascii="Arial" w:hAnsi="Arial" w:cs="Arial"/>
          <w:sz w:val="24"/>
          <w:szCs w:val="24"/>
        </w:rPr>
        <w:t>)</w:t>
      </w:r>
      <w:r w:rsidR="00C52FFA" w:rsidRPr="00B61FF1">
        <w:rPr>
          <w:rFonts w:ascii="Arial" w:hAnsi="Arial" w:cs="Arial"/>
          <w:sz w:val="24"/>
          <w:szCs w:val="24"/>
        </w:rPr>
        <w:t>(2)</w:t>
      </w:r>
      <w:r w:rsidR="00006E49" w:rsidRPr="00B61FF1">
        <w:rPr>
          <w:rFonts w:ascii="Arial" w:hAnsi="Arial" w:cs="Arial"/>
          <w:sz w:val="24"/>
          <w:szCs w:val="24"/>
        </w:rPr>
        <w:t>-(</w:t>
      </w:r>
      <w:r w:rsidR="00C52FFA" w:rsidRPr="00B61FF1">
        <w:rPr>
          <w:rFonts w:ascii="Arial" w:hAnsi="Arial" w:cs="Arial"/>
          <w:sz w:val="24"/>
          <w:szCs w:val="24"/>
        </w:rPr>
        <w:t>5</w:t>
      </w:r>
      <w:r w:rsidR="00006E49" w:rsidRPr="00B61FF1">
        <w:rPr>
          <w:rFonts w:ascii="Arial" w:hAnsi="Arial" w:cs="Arial"/>
          <w:sz w:val="24"/>
          <w:szCs w:val="24"/>
        </w:rPr>
        <w:t>) of MRR have a compliance obligation for every metric ton of CO</w:t>
      </w:r>
      <w:r w:rsidR="00006E49" w:rsidRPr="00B61FF1">
        <w:rPr>
          <w:rFonts w:ascii="Arial" w:hAnsi="Arial" w:cs="Arial"/>
          <w:sz w:val="24"/>
          <w:szCs w:val="24"/>
          <w:vertAlign w:val="subscript"/>
        </w:rPr>
        <w:t>2</w:t>
      </w:r>
      <w:r w:rsidR="00006E49" w:rsidRPr="00B61FF1">
        <w:rPr>
          <w:rFonts w:ascii="Arial" w:hAnsi="Arial" w:cs="Arial"/>
          <w:sz w:val="24"/>
          <w:szCs w:val="24"/>
        </w:rPr>
        <w:t xml:space="preserve">e </w:t>
      </w:r>
      <w:r w:rsidR="00C52FFA" w:rsidRPr="00B61FF1">
        <w:rPr>
          <w:rFonts w:ascii="Arial" w:hAnsi="Arial" w:cs="Arial"/>
          <w:sz w:val="24"/>
          <w:szCs w:val="24"/>
        </w:rPr>
        <w:t>from the source types specified in section</w:t>
      </w:r>
      <w:r w:rsidR="00754E0B" w:rsidRPr="00B61FF1">
        <w:rPr>
          <w:rFonts w:ascii="Arial" w:hAnsi="Arial" w:cs="Arial"/>
          <w:sz w:val="24"/>
          <w:szCs w:val="24"/>
        </w:rPr>
        <w:t>s</w:t>
      </w:r>
      <w:r w:rsidR="00C52FFA" w:rsidRPr="00B61FF1">
        <w:rPr>
          <w:rFonts w:ascii="Arial" w:hAnsi="Arial" w:cs="Arial"/>
          <w:sz w:val="24"/>
          <w:szCs w:val="24"/>
        </w:rPr>
        <w:t xml:space="preserve"> 95152(c)-(f) of MRR, except as specified in section 95852.2 of this article, that is</w:t>
      </w:r>
      <w:r w:rsidR="00006E49" w:rsidRPr="00B61FF1">
        <w:rPr>
          <w:rFonts w:ascii="Arial" w:hAnsi="Arial" w:cs="Arial"/>
          <w:sz w:val="24"/>
          <w:szCs w:val="24"/>
        </w:rPr>
        <w:t xml:space="preserve"> contained in an emissions </w:t>
      </w:r>
      <w:r w:rsidR="00C52FFA" w:rsidRPr="00B61FF1">
        <w:rPr>
          <w:rFonts w:ascii="Arial" w:hAnsi="Arial" w:cs="Arial"/>
          <w:sz w:val="24"/>
          <w:szCs w:val="24"/>
        </w:rPr>
        <w:t>data report that has received a positive or qualified positive emissions data report, or for which emissions have been assigned.</w:t>
      </w:r>
      <w:r w:rsidR="00721B09" w:rsidRPr="00B61FF1">
        <w:rPr>
          <w:rFonts w:ascii="Arial" w:hAnsi="Arial" w:cs="Arial"/>
          <w:sz w:val="24"/>
          <w:szCs w:val="24"/>
        </w:rPr>
        <w:t xml:space="preserve"> </w:t>
      </w:r>
    </w:p>
    <w:p w14:paraId="2B1D12ED" w14:textId="77777777" w:rsidR="00FE6B15" w:rsidRPr="00B61FF1" w:rsidRDefault="00ED41AE" w:rsidP="00ED41AE">
      <w:pPr>
        <w:spacing w:line="360" w:lineRule="auto"/>
        <w:ind w:left="72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r>
      <w:r w:rsidR="00FE6B15" w:rsidRPr="00B61FF1">
        <w:rPr>
          <w:rFonts w:ascii="Arial" w:hAnsi="Arial" w:cs="Arial"/>
          <w:sz w:val="24"/>
          <w:szCs w:val="24"/>
        </w:rPr>
        <w:t>The compliance obligation</w:t>
      </w:r>
      <w:r w:rsidR="00721B09" w:rsidRPr="00B61FF1">
        <w:rPr>
          <w:rFonts w:ascii="Arial" w:hAnsi="Arial" w:cs="Arial"/>
          <w:sz w:val="24"/>
          <w:szCs w:val="24"/>
        </w:rPr>
        <w:t xml:space="preserve"> for sources specified in sections 95852(a) through (h)</w:t>
      </w:r>
      <w:r w:rsidR="00FE6B15" w:rsidRPr="00B61FF1">
        <w:rPr>
          <w:rFonts w:ascii="Arial" w:hAnsi="Arial" w:cs="Arial"/>
          <w:sz w:val="24"/>
          <w:szCs w:val="24"/>
        </w:rPr>
        <w:t xml:space="preserve"> is calculated based on the sum of the following</w:t>
      </w:r>
      <w:r w:rsidR="00721B09" w:rsidRPr="00B61FF1">
        <w:rPr>
          <w:rFonts w:ascii="Arial" w:hAnsi="Arial" w:cs="Arial"/>
          <w:sz w:val="24"/>
          <w:szCs w:val="24"/>
        </w:rPr>
        <w:t>, as applicable</w:t>
      </w:r>
      <w:r w:rsidR="00FE6B15" w:rsidRPr="00B61FF1">
        <w:rPr>
          <w:rFonts w:ascii="Arial" w:hAnsi="Arial" w:cs="Arial"/>
          <w:sz w:val="24"/>
          <w:szCs w:val="24"/>
        </w:rPr>
        <w:t>:</w:t>
      </w:r>
    </w:p>
    <w:p w14:paraId="156BCC24"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Emissions of CO</w:t>
      </w:r>
      <w:r w:rsidR="00FE6B15" w:rsidRPr="00B61FF1">
        <w:rPr>
          <w:rFonts w:ascii="Arial" w:hAnsi="Arial" w:cs="Arial"/>
          <w:sz w:val="24"/>
          <w:szCs w:val="24"/>
          <w:vertAlign w:val="subscript"/>
        </w:rPr>
        <w:t>2</w:t>
      </w:r>
      <w:r w:rsidR="00FE6B15" w:rsidRPr="00B61FF1">
        <w:rPr>
          <w:rFonts w:ascii="Arial" w:hAnsi="Arial" w:cs="Arial"/>
          <w:sz w:val="24"/>
          <w:szCs w:val="24"/>
        </w:rPr>
        <w:t>, CH</w:t>
      </w:r>
      <w:r w:rsidR="00FE6B15" w:rsidRPr="00B61FF1">
        <w:rPr>
          <w:rFonts w:ascii="Arial" w:hAnsi="Arial" w:cs="Arial"/>
          <w:sz w:val="24"/>
          <w:szCs w:val="24"/>
          <w:vertAlign w:val="subscript"/>
        </w:rPr>
        <w:t>4</w:t>
      </w:r>
      <w:r w:rsidR="00FE6B15" w:rsidRPr="00B61FF1">
        <w:rPr>
          <w:rFonts w:ascii="Arial" w:hAnsi="Arial" w:cs="Arial"/>
          <w:sz w:val="24"/>
          <w:szCs w:val="24"/>
        </w:rPr>
        <w:t>, and N</w:t>
      </w:r>
      <w:r w:rsidR="00FE6B15" w:rsidRPr="00B61FF1">
        <w:rPr>
          <w:rFonts w:ascii="Arial" w:hAnsi="Arial" w:cs="Arial"/>
          <w:sz w:val="24"/>
          <w:szCs w:val="24"/>
          <w:vertAlign w:val="subscript"/>
        </w:rPr>
        <w:t>2</w:t>
      </w:r>
      <w:r w:rsidR="00FE6B15" w:rsidRPr="00B61FF1">
        <w:rPr>
          <w:rFonts w:ascii="Arial" w:hAnsi="Arial" w:cs="Arial"/>
          <w:sz w:val="24"/>
          <w:szCs w:val="24"/>
        </w:rPr>
        <w:t xml:space="preserve">O </w:t>
      </w:r>
      <w:r w:rsidR="00A067E1" w:rsidRPr="00B61FF1">
        <w:rPr>
          <w:rFonts w:ascii="Arial" w:hAnsi="Arial" w:cs="Arial"/>
          <w:sz w:val="24"/>
          <w:szCs w:val="24"/>
        </w:rPr>
        <w:t xml:space="preserve">which </w:t>
      </w:r>
      <w:r w:rsidR="00FE6B15" w:rsidRPr="00B61FF1">
        <w:rPr>
          <w:rFonts w:ascii="Arial" w:hAnsi="Arial" w:cs="Arial"/>
          <w:sz w:val="24"/>
          <w:szCs w:val="24"/>
        </w:rPr>
        <w:t xml:space="preserve">resulted from combustion of fossil fuel; </w:t>
      </w:r>
    </w:p>
    <w:p w14:paraId="638343D6"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Emissions of CH</w:t>
      </w:r>
      <w:r w:rsidR="00FE6B15" w:rsidRPr="00B61FF1">
        <w:rPr>
          <w:rFonts w:ascii="Arial" w:hAnsi="Arial" w:cs="Arial"/>
          <w:sz w:val="24"/>
          <w:szCs w:val="24"/>
          <w:vertAlign w:val="subscript"/>
        </w:rPr>
        <w:t>4</w:t>
      </w:r>
      <w:r w:rsidR="00FE6B15" w:rsidRPr="00B61FF1">
        <w:rPr>
          <w:rFonts w:ascii="Arial" w:hAnsi="Arial" w:cs="Arial"/>
          <w:sz w:val="24"/>
          <w:szCs w:val="24"/>
        </w:rPr>
        <w:t xml:space="preserve"> and N</w:t>
      </w:r>
      <w:r w:rsidR="00FE6B15" w:rsidRPr="00B61FF1">
        <w:rPr>
          <w:rFonts w:ascii="Arial" w:hAnsi="Arial" w:cs="Arial"/>
          <w:sz w:val="24"/>
          <w:szCs w:val="24"/>
          <w:vertAlign w:val="subscript"/>
        </w:rPr>
        <w:t>2</w:t>
      </w:r>
      <w:r w:rsidR="00FE6B15" w:rsidRPr="00B61FF1">
        <w:rPr>
          <w:rFonts w:ascii="Arial" w:hAnsi="Arial" w:cs="Arial"/>
          <w:sz w:val="24"/>
          <w:szCs w:val="24"/>
        </w:rPr>
        <w:t xml:space="preserve">O </w:t>
      </w:r>
      <w:r w:rsidR="00A067E1" w:rsidRPr="00B61FF1">
        <w:rPr>
          <w:rFonts w:ascii="Arial" w:hAnsi="Arial" w:cs="Arial"/>
          <w:sz w:val="24"/>
          <w:szCs w:val="24"/>
        </w:rPr>
        <w:t xml:space="preserve">which </w:t>
      </w:r>
      <w:r w:rsidR="00FE6B15" w:rsidRPr="00B61FF1">
        <w:rPr>
          <w:rFonts w:ascii="Arial" w:hAnsi="Arial" w:cs="Arial"/>
          <w:sz w:val="24"/>
          <w:szCs w:val="24"/>
        </w:rPr>
        <w:t>resulted from combustion of all biomass-</w:t>
      </w:r>
      <w:r w:rsidR="00721B09" w:rsidRPr="00B61FF1">
        <w:rPr>
          <w:rFonts w:ascii="Arial" w:hAnsi="Arial" w:cs="Arial"/>
          <w:sz w:val="24"/>
          <w:szCs w:val="24"/>
        </w:rPr>
        <w:t>derived</w:t>
      </w:r>
      <w:r w:rsidR="00FE6B15" w:rsidRPr="00B61FF1">
        <w:rPr>
          <w:rFonts w:ascii="Arial" w:hAnsi="Arial" w:cs="Arial"/>
          <w:sz w:val="24"/>
          <w:szCs w:val="24"/>
        </w:rPr>
        <w:t xml:space="preserve"> fuel; </w:t>
      </w:r>
    </w:p>
    <w:p w14:paraId="3DCE62E0"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E6B15" w:rsidRPr="00B61FF1">
        <w:rPr>
          <w:rFonts w:ascii="Arial" w:hAnsi="Arial" w:cs="Arial"/>
          <w:sz w:val="24"/>
          <w:szCs w:val="24"/>
        </w:rPr>
        <w:t>Emissions of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 </w:t>
      </w:r>
      <w:r w:rsidR="00A067E1" w:rsidRPr="00B61FF1">
        <w:rPr>
          <w:rFonts w:ascii="Arial" w:hAnsi="Arial" w:cs="Arial"/>
          <w:sz w:val="24"/>
          <w:szCs w:val="24"/>
        </w:rPr>
        <w:t xml:space="preserve">which </w:t>
      </w:r>
      <w:r w:rsidR="00FE6B15" w:rsidRPr="00B61FF1">
        <w:rPr>
          <w:rFonts w:ascii="Arial" w:hAnsi="Arial" w:cs="Arial"/>
          <w:sz w:val="24"/>
          <w:szCs w:val="24"/>
        </w:rPr>
        <w:t>resulted from combustion of biomass-derived fuels</w:t>
      </w:r>
      <w:r w:rsidR="00432390" w:rsidRPr="00B61FF1">
        <w:rPr>
          <w:rFonts w:ascii="Arial" w:hAnsi="Arial" w:cs="Arial"/>
          <w:sz w:val="24"/>
          <w:szCs w:val="24"/>
        </w:rPr>
        <w:t xml:space="preserve"> that </w:t>
      </w:r>
      <w:r w:rsidR="00A067E1" w:rsidRPr="00B61FF1">
        <w:rPr>
          <w:rFonts w:ascii="Arial" w:hAnsi="Arial" w:cs="Arial"/>
          <w:sz w:val="24"/>
          <w:szCs w:val="24"/>
        </w:rPr>
        <w:t xml:space="preserve">do not </w:t>
      </w:r>
      <w:r w:rsidR="009A0107" w:rsidRPr="00B61FF1">
        <w:rPr>
          <w:rFonts w:ascii="Arial" w:hAnsi="Arial" w:cs="Arial"/>
          <w:sz w:val="24"/>
          <w:szCs w:val="24"/>
        </w:rPr>
        <w:t xml:space="preserve">meet the requirements in </w:t>
      </w:r>
      <w:r w:rsidR="00721B09" w:rsidRPr="00B61FF1">
        <w:rPr>
          <w:rFonts w:ascii="Arial" w:hAnsi="Arial" w:cs="Arial"/>
          <w:sz w:val="24"/>
          <w:szCs w:val="24"/>
        </w:rPr>
        <w:t>section 95852.2</w:t>
      </w:r>
      <w:r w:rsidR="00C52FFA" w:rsidRPr="00B61FF1">
        <w:rPr>
          <w:rFonts w:ascii="Arial" w:hAnsi="Arial" w:cs="Arial"/>
          <w:sz w:val="24"/>
          <w:szCs w:val="24"/>
        </w:rPr>
        <w:t>(a)</w:t>
      </w:r>
      <w:r w:rsidR="00FE6B15" w:rsidRPr="00B61FF1">
        <w:rPr>
          <w:rFonts w:ascii="Arial" w:hAnsi="Arial" w:cs="Arial"/>
          <w:sz w:val="24"/>
          <w:szCs w:val="24"/>
        </w:rPr>
        <w:t xml:space="preserve">; </w:t>
      </w:r>
    </w:p>
    <w:p w14:paraId="31B40810"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FE6B15" w:rsidRPr="00B61FF1">
        <w:rPr>
          <w:rFonts w:ascii="Arial" w:hAnsi="Arial" w:cs="Arial"/>
          <w:sz w:val="24"/>
          <w:szCs w:val="24"/>
        </w:rPr>
        <w:t>Emissions of CO</w:t>
      </w:r>
      <w:r w:rsidR="00FE6B15" w:rsidRPr="00B61FF1">
        <w:rPr>
          <w:rFonts w:ascii="Arial" w:hAnsi="Arial" w:cs="Arial"/>
          <w:sz w:val="24"/>
          <w:szCs w:val="24"/>
          <w:vertAlign w:val="subscript"/>
        </w:rPr>
        <w:t>2</w:t>
      </w:r>
      <w:r w:rsidR="00FE6B15" w:rsidRPr="00B61FF1">
        <w:rPr>
          <w:rFonts w:ascii="Arial" w:hAnsi="Arial" w:cs="Arial"/>
          <w:sz w:val="24"/>
          <w:szCs w:val="24"/>
        </w:rPr>
        <w:t xml:space="preserve"> </w:t>
      </w:r>
      <w:r w:rsidR="00A067E1" w:rsidRPr="00B61FF1">
        <w:rPr>
          <w:rFonts w:ascii="Arial" w:hAnsi="Arial" w:cs="Arial"/>
          <w:sz w:val="24"/>
          <w:szCs w:val="24"/>
        </w:rPr>
        <w:t xml:space="preserve">which </w:t>
      </w:r>
      <w:r w:rsidR="00FE6B15" w:rsidRPr="00B61FF1">
        <w:rPr>
          <w:rFonts w:ascii="Arial" w:hAnsi="Arial" w:cs="Arial"/>
          <w:sz w:val="24"/>
          <w:szCs w:val="24"/>
        </w:rPr>
        <w:t xml:space="preserve">resulted from combustion of biomass-derived fuels </w:t>
      </w:r>
      <w:r w:rsidR="006E41E2" w:rsidRPr="00B61FF1">
        <w:rPr>
          <w:rFonts w:ascii="Arial" w:hAnsi="Arial" w:cs="Arial"/>
          <w:sz w:val="24"/>
          <w:szCs w:val="24"/>
        </w:rPr>
        <w:t>pursuant to</w:t>
      </w:r>
      <w:r w:rsidR="00FE6B15" w:rsidRPr="00B61FF1">
        <w:rPr>
          <w:rFonts w:ascii="Arial" w:hAnsi="Arial" w:cs="Arial"/>
          <w:sz w:val="24"/>
          <w:szCs w:val="24"/>
        </w:rPr>
        <w:t xml:space="preserve"> section 95852.</w:t>
      </w:r>
      <w:r w:rsidR="006E41E2" w:rsidRPr="00B61FF1">
        <w:rPr>
          <w:rFonts w:ascii="Arial" w:hAnsi="Arial" w:cs="Arial"/>
          <w:sz w:val="24"/>
          <w:szCs w:val="24"/>
        </w:rPr>
        <w:t>1</w:t>
      </w:r>
      <w:r w:rsidR="00FE6B15" w:rsidRPr="00B61FF1">
        <w:rPr>
          <w:rFonts w:ascii="Arial" w:hAnsi="Arial" w:cs="Arial"/>
          <w:sz w:val="24"/>
          <w:szCs w:val="24"/>
        </w:rPr>
        <w:t xml:space="preserve">; and </w:t>
      </w:r>
    </w:p>
    <w:p w14:paraId="62A61BBC" w14:textId="77777777" w:rsidR="00FE6B15" w:rsidRPr="00B61FF1" w:rsidRDefault="00ED41AE" w:rsidP="00ED41AE">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FE6B15" w:rsidRPr="00B61FF1">
        <w:rPr>
          <w:rFonts w:ascii="Arial" w:hAnsi="Arial" w:cs="Arial"/>
          <w:sz w:val="24"/>
          <w:szCs w:val="24"/>
        </w:rPr>
        <w:t>All process and vented emissions of CO</w:t>
      </w:r>
      <w:r w:rsidR="00FE6B15" w:rsidRPr="00B61FF1">
        <w:rPr>
          <w:rFonts w:ascii="Arial" w:hAnsi="Arial" w:cs="Arial"/>
          <w:sz w:val="24"/>
          <w:szCs w:val="24"/>
          <w:vertAlign w:val="subscript"/>
        </w:rPr>
        <w:t>2</w:t>
      </w:r>
      <w:r w:rsidR="00FE6B15" w:rsidRPr="00B61FF1">
        <w:rPr>
          <w:rFonts w:ascii="Arial" w:hAnsi="Arial" w:cs="Arial"/>
          <w:sz w:val="24"/>
          <w:szCs w:val="24"/>
        </w:rPr>
        <w:t>, CH</w:t>
      </w:r>
      <w:r w:rsidR="00FE6B15" w:rsidRPr="00B61FF1">
        <w:rPr>
          <w:rFonts w:ascii="Arial" w:hAnsi="Arial" w:cs="Arial"/>
          <w:sz w:val="24"/>
          <w:szCs w:val="24"/>
          <w:vertAlign w:val="subscript"/>
        </w:rPr>
        <w:t>4</w:t>
      </w:r>
      <w:r w:rsidR="00FE6B15" w:rsidRPr="00B61FF1">
        <w:rPr>
          <w:rFonts w:ascii="Arial" w:hAnsi="Arial" w:cs="Arial"/>
          <w:sz w:val="24"/>
          <w:szCs w:val="24"/>
        </w:rPr>
        <w:t>, and N</w:t>
      </w:r>
      <w:r w:rsidR="00FE6B15" w:rsidRPr="00B61FF1">
        <w:rPr>
          <w:rFonts w:ascii="Arial" w:hAnsi="Arial" w:cs="Arial"/>
          <w:sz w:val="24"/>
          <w:szCs w:val="24"/>
          <w:vertAlign w:val="subscript"/>
        </w:rPr>
        <w:t>2</w:t>
      </w:r>
      <w:r w:rsidR="00FE6B15" w:rsidRPr="00B61FF1">
        <w:rPr>
          <w:rFonts w:ascii="Arial" w:hAnsi="Arial" w:cs="Arial"/>
          <w:sz w:val="24"/>
          <w:szCs w:val="24"/>
        </w:rPr>
        <w:t xml:space="preserve">O as specified in the </w:t>
      </w:r>
      <w:r w:rsidR="00A067E1" w:rsidRPr="00B61FF1">
        <w:rPr>
          <w:rFonts w:ascii="Arial" w:hAnsi="Arial" w:cs="Arial"/>
          <w:sz w:val="24"/>
          <w:szCs w:val="24"/>
        </w:rPr>
        <w:t>M</w:t>
      </w:r>
      <w:r w:rsidR="00E06B64" w:rsidRPr="00B61FF1">
        <w:rPr>
          <w:rFonts w:ascii="Arial" w:hAnsi="Arial" w:cs="Arial"/>
          <w:sz w:val="24"/>
          <w:szCs w:val="24"/>
        </w:rPr>
        <w:t>RR</w:t>
      </w:r>
      <w:r w:rsidR="00FE6B15" w:rsidRPr="00B61FF1">
        <w:rPr>
          <w:rFonts w:ascii="Arial" w:hAnsi="Arial" w:cs="Arial"/>
          <w:sz w:val="24"/>
          <w:szCs w:val="24"/>
        </w:rPr>
        <w:t xml:space="preserve"> except for those listed in section 9</w:t>
      </w:r>
      <w:r w:rsidR="006E41E2" w:rsidRPr="00B61FF1">
        <w:rPr>
          <w:rFonts w:ascii="Arial" w:hAnsi="Arial" w:cs="Arial"/>
          <w:sz w:val="24"/>
          <w:szCs w:val="24"/>
        </w:rPr>
        <w:t>5852.2(</w:t>
      </w:r>
      <w:r w:rsidR="00A16A8F" w:rsidRPr="00B61FF1">
        <w:rPr>
          <w:rFonts w:ascii="Arial" w:hAnsi="Arial" w:cs="Arial"/>
          <w:sz w:val="24"/>
          <w:szCs w:val="24"/>
        </w:rPr>
        <w:t>b</w:t>
      </w:r>
      <w:r w:rsidR="006E41E2" w:rsidRPr="00B61FF1">
        <w:rPr>
          <w:rFonts w:ascii="Arial" w:hAnsi="Arial" w:cs="Arial"/>
          <w:sz w:val="24"/>
          <w:szCs w:val="24"/>
        </w:rPr>
        <w:t>)</w:t>
      </w:r>
      <w:r w:rsidR="00FE6B15" w:rsidRPr="00B61FF1">
        <w:rPr>
          <w:rFonts w:ascii="Arial" w:hAnsi="Arial" w:cs="Arial"/>
          <w:sz w:val="24"/>
          <w:szCs w:val="24"/>
        </w:rPr>
        <w:t xml:space="preserve">.  </w:t>
      </w:r>
    </w:p>
    <w:p w14:paraId="15537879" w14:textId="2FAC7508" w:rsidR="00262EEC" w:rsidRPr="00B61FF1" w:rsidRDefault="00262EEC" w:rsidP="00262EEC">
      <w:pPr>
        <w:spacing w:line="360" w:lineRule="auto"/>
        <w:ind w:left="720" w:hanging="720"/>
        <w:rPr>
          <w:rFonts w:ascii="Arial" w:eastAsia="Calibri" w:hAnsi="Arial" w:cs="Arial"/>
          <w:sz w:val="24"/>
          <w:szCs w:val="24"/>
          <w:u w:val="single"/>
        </w:rPr>
      </w:pPr>
      <w:r w:rsidRPr="00B61FF1">
        <w:rPr>
          <w:rFonts w:ascii="Arial" w:hAnsi="Arial" w:cs="Arial"/>
          <w:sz w:val="24"/>
          <w:szCs w:val="24"/>
          <w:u w:val="single"/>
        </w:rPr>
        <w:t>(j)</w:t>
      </w:r>
      <w:r w:rsidRPr="00B61FF1">
        <w:rPr>
          <w:rFonts w:ascii="Arial" w:hAnsi="Arial" w:cs="Arial"/>
          <w:sz w:val="24"/>
          <w:szCs w:val="24"/>
        </w:rPr>
        <w:tab/>
      </w:r>
      <w:r w:rsidRPr="00B61FF1">
        <w:rPr>
          <w:rFonts w:ascii="Arial" w:eastAsia="Calibri" w:hAnsi="Arial" w:cs="Arial"/>
          <w:sz w:val="24"/>
          <w:szCs w:val="24"/>
          <w:u w:val="single"/>
        </w:rPr>
        <w:t xml:space="preserve">Limited Exemption of Emissions from the Production of Qualified Thermal Output During the First Compliance Period. During the first compliance period, emissions from the production of qualified thermal output from a district </w:t>
      </w:r>
      <w:r w:rsidR="0018299F" w:rsidRPr="00B61FF1">
        <w:rPr>
          <w:rFonts w:ascii="Arial" w:eastAsia="Calibri" w:hAnsi="Arial" w:cs="Arial"/>
          <w:sz w:val="24"/>
          <w:szCs w:val="24"/>
          <w:u w:val="single"/>
        </w:rPr>
        <w:t>heating</w:t>
      </w:r>
      <w:r w:rsidRPr="00B61FF1">
        <w:rPr>
          <w:rFonts w:ascii="Arial" w:eastAsia="Calibri" w:hAnsi="Arial" w:cs="Arial"/>
          <w:sz w:val="24"/>
          <w:szCs w:val="24"/>
          <w:u w:val="single"/>
        </w:rPr>
        <w:t xml:space="preserve"> facility or a facility with a cogeneration unit that meets the requirements of this section and has been approved by the Executive Officer for an emissions exemption shall not have a compliance obligation and shall not count toward the inclusion threshold of section 95812(c)(1).</w:t>
      </w:r>
    </w:p>
    <w:p w14:paraId="3E418A0E" w14:textId="7BA620E1" w:rsidR="00262EEC" w:rsidRPr="00B61FF1" w:rsidRDefault="00262EEC" w:rsidP="00262EEC">
      <w:pPr>
        <w:autoSpaceDE/>
        <w:autoSpaceDN/>
        <w:adjustRightInd/>
        <w:spacing w:line="360" w:lineRule="auto"/>
        <w:ind w:left="1080" w:hanging="720"/>
        <w:rPr>
          <w:rFonts w:ascii="Arial" w:eastAsia="Calibri" w:hAnsi="Arial" w:cs="Arial"/>
          <w:sz w:val="24"/>
          <w:szCs w:val="24"/>
          <w:u w:val="single"/>
        </w:rPr>
      </w:pPr>
      <w:r w:rsidRPr="00B61FF1">
        <w:rPr>
          <w:rFonts w:ascii="Arial" w:eastAsia="Calibri" w:hAnsi="Arial" w:cs="Arial"/>
          <w:sz w:val="24"/>
          <w:szCs w:val="24"/>
          <w:u w:val="single"/>
        </w:rPr>
        <w:t>(1)</w:t>
      </w:r>
      <w:r w:rsidRPr="00B61FF1">
        <w:rPr>
          <w:rFonts w:ascii="Arial" w:eastAsia="Calibri" w:hAnsi="Arial" w:cs="Arial"/>
          <w:sz w:val="24"/>
          <w:szCs w:val="24"/>
        </w:rPr>
        <w:t xml:space="preserve"> </w:t>
      </w:r>
      <w:r w:rsidRPr="00815366">
        <w:rPr>
          <w:rFonts w:ascii="Arial" w:eastAsia="Calibri" w:hAnsi="Arial" w:cs="Arial"/>
          <w:sz w:val="24"/>
          <w:szCs w:val="24"/>
        </w:rPr>
        <w:tab/>
      </w:r>
      <w:r w:rsidRPr="00B61FF1">
        <w:rPr>
          <w:rFonts w:ascii="Arial" w:eastAsia="Calibri" w:hAnsi="Arial" w:cs="Arial"/>
          <w:sz w:val="24"/>
          <w:szCs w:val="24"/>
          <w:u w:val="single"/>
        </w:rPr>
        <w:t xml:space="preserve">A facility with a cogeneration unit may apply for the emissions exemption for the first compliance period if it meets the following two </w:t>
      </w:r>
      <w:r w:rsidRPr="00B61FF1">
        <w:rPr>
          <w:rFonts w:ascii="Arial" w:eastAsia="Calibri" w:hAnsi="Arial" w:cs="Arial"/>
          <w:sz w:val="24"/>
          <w:szCs w:val="24"/>
          <w:u w:val="single"/>
        </w:rPr>
        <w:lastRenderedPageBreak/>
        <w:t xml:space="preserve">conditions for each year from 2008-2013, based on data reported pursuant to MRR: </w:t>
      </w:r>
    </w:p>
    <w:p w14:paraId="735A1B97" w14:textId="5E3009C2" w:rsidR="00262EEC" w:rsidRPr="00B61FF1" w:rsidRDefault="00262EEC" w:rsidP="00262EEC">
      <w:pPr>
        <w:autoSpaceDE/>
        <w:autoSpaceDN/>
        <w:adjustRightInd/>
        <w:spacing w:line="360" w:lineRule="auto"/>
        <w:ind w:left="1710" w:hanging="630"/>
        <w:rPr>
          <w:rFonts w:ascii="Arial" w:eastAsia="Calibri" w:hAnsi="Arial" w:cs="Arial"/>
          <w:sz w:val="24"/>
          <w:szCs w:val="24"/>
          <w:u w:val="single"/>
        </w:rPr>
      </w:pPr>
      <w:r w:rsidRPr="00B61FF1">
        <w:rPr>
          <w:rFonts w:ascii="Arial" w:eastAsia="Calibri" w:hAnsi="Arial" w:cs="Arial"/>
          <w:sz w:val="24"/>
          <w:szCs w:val="24"/>
          <w:u w:val="single"/>
        </w:rPr>
        <w:t>(A)</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The facility’s annual emissions associated with the production of qualified thermal output, calculated using the following equation,  are less than 25,000 metric tons of CO</w:t>
      </w:r>
      <w:r w:rsidRPr="00B61FF1">
        <w:rPr>
          <w:rFonts w:ascii="Arial" w:eastAsia="Calibri" w:hAnsi="Arial" w:cs="Arial"/>
          <w:sz w:val="24"/>
          <w:szCs w:val="24"/>
          <w:u w:val="single"/>
          <w:vertAlign w:val="subscript"/>
        </w:rPr>
        <w:t>2</w:t>
      </w:r>
      <w:r w:rsidRPr="00B61FF1">
        <w:rPr>
          <w:rFonts w:ascii="Arial" w:eastAsia="Calibri" w:hAnsi="Arial" w:cs="Arial"/>
          <w:sz w:val="24"/>
          <w:szCs w:val="24"/>
          <w:u w:val="single"/>
        </w:rPr>
        <w:t xml:space="preserve">e: </w:t>
      </w:r>
    </w:p>
    <w:p w14:paraId="2CA10518" w14:textId="77777777" w:rsidR="00262EEC" w:rsidRPr="00B61FF1" w:rsidRDefault="00262EEC" w:rsidP="00262EEC">
      <w:pPr>
        <w:autoSpaceDE/>
        <w:autoSpaceDN/>
        <w:adjustRightInd/>
        <w:spacing w:line="360" w:lineRule="auto"/>
        <w:ind w:left="1530" w:hanging="630"/>
        <w:rPr>
          <w:rFonts w:ascii="Arial" w:eastAsia="Calibri" w:hAnsi="Arial" w:cs="Arial"/>
          <w:sz w:val="24"/>
          <w:szCs w:val="24"/>
          <w:u w:val="single"/>
        </w:rPr>
      </w:pPr>
    </w:p>
    <w:p w14:paraId="62E16E42" w14:textId="57568108" w:rsidR="00262EEC" w:rsidRPr="00B61FF1" w:rsidRDefault="00661852" w:rsidP="00262EEC">
      <w:pPr>
        <w:autoSpaceDE/>
        <w:autoSpaceDN/>
        <w:adjustRightInd/>
        <w:spacing w:line="360" w:lineRule="auto"/>
        <w:ind w:left="720"/>
        <w:rPr>
          <w:rFonts w:ascii="Arial" w:eastAsia="Times New Roman" w:hAnsi="Arial" w:cs="Arial"/>
          <w:sz w:val="24"/>
          <w:szCs w:val="24"/>
          <w:u w:val="single"/>
        </w:rPr>
      </w:pPr>
      <m:oMathPara>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GHG</m:t>
              </m:r>
            </m:e>
            <m:sub>
              <m:r>
                <w:rPr>
                  <w:rFonts w:ascii="Cambria Math" w:eastAsia="Calibri" w:hAnsi="Cambria Math" w:cs="Arial"/>
                  <w:sz w:val="24"/>
                  <w:szCs w:val="24"/>
                  <w:u w:val="single"/>
                </w:rPr>
                <m:t>QTO</m:t>
              </m:r>
            </m:sub>
          </m:sSub>
          <m:r>
            <w:rPr>
              <w:rFonts w:ascii="Cambria Math" w:eastAsia="Calibri" w:hAnsi="Cambria Math" w:cs="Arial"/>
              <w:sz w:val="24"/>
              <w:szCs w:val="24"/>
              <w:u w:val="single"/>
            </w:rPr>
            <m:t xml:space="preserve"> = </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Q</m:t>
              </m:r>
            </m:e>
            <m:sub>
              <m:r>
                <w:rPr>
                  <w:rFonts w:ascii="Cambria Math" w:eastAsia="Calibri" w:hAnsi="Cambria Math" w:cs="Arial"/>
                  <w:sz w:val="24"/>
                  <w:szCs w:val="24"/>
                  <w:u w:val="single"/>
                </w:rPr>
                <m:t xml:space="preserve">produced </m:t>
              </m:r>
            </m:sub>
          </m:sSub>
          <m:r>
            <w:rPr>
              <w:rFonts w:ascii="Cambria Math" w:eastAsia="Calibri" w:hAnsi="Cambria Math" w:cs="Arial"/>
              <w:sz w:val="24"/>
              <w:szCs w:val="24"/>
              <w:u w:val="single"/>
            </w:rPr>
            <m:t xml:space="preserve">*0.06244 </m:t>
          </m:r>
        </m:oMath>
      </m:oMathPara>
    </w:p>
    <w:p w14:paraId="7D4FC44C" w14:textId="77777777" w:rsidR="00262EEC" w:rsidRPr="00B61FF1" w:rsidRDefault="00262EEC" w:rsidP="00262EEC">
      <w:pPr>
        <w:autoSpaceDE/>
        <w:autoSpaceDN/>
        <w:adjustRightInd/>
        <w:spacing w:line="360" w:lineRule="auto"/>
        <w:ind w:left="720"/>
        <w:rPr>
          <w:rFonts w:ascii="Arial" w:eastAsia="Times New Roman" w:hAnsi="Arial" w:cs="Arial"/>
          <w:sz w:val="24"/>
          <w:szCs w:val="24"/>
        </w:rPr>
      </w:pPr>
    </w:p>
    <w:p w14:paraId="782A8E25" w14:textId="77777777" w:rsidR="00262EEC" w:rsidRPr="00B61FF1" w:rsidRDefault="00262EEC" w:rsidP="00262EEC">
      <w:pPr>
        <w:autoSpaceDE/>
        <w:autoSpaceDN/>
        <w:adjustRightInd/>
        <w:spacing w:line="360" w:lineRule="auto"/>
        <w:ind w:left="1710"/>
        <w:rPr>
          <w:rFonts w:ascii="Arial" w:eastAsia="Times New Roman" w:hAnsi="Arial" w:cs="Arial"/>
          <w:sz w:val="24"/>
          <w:szCs w:val="24"/>
          <w:u w:val="single"/>
        </w:rPr>
      </w:pPr>
      <w:r w:rsidRPr="00B61FF1">
        <w:rPr>
          <w:rFonts w:ascii="Arial" w:eastAsia="Times New Roman" w:hAnsi="Arial" w:cs="Arial"/>
          <w:sz w:val="24"/>
          <w:szCs w:val="24"/>
          <w:u w:val="single"/>
        </w:rPr>
        <w:t>Where:</w:t>
      </w:r>
    </w:p>
    <w:p w14:paraId="384D46DB" w14:textId="77777777" w:rsidR="00262EEC" w:rsidRPr="00B61FF1" w:rsidRDefault="00262EEC" w:rsidP="00262EEC">
      <w:pPr>
        <w:autoSpaceDE/>
        <w:autoSpaceDN/>
        <w:adjustRightInd/>
        <w:spacing w:line="360" w:lineRule="auto"/>
        <w:ind w:left="1710"/>
        <w:rPr>
          <w:rFonts w:ascii="Arial" w:eastAsia="Times New Roman" w:hAnsi="Arial" w:cs="Arial"/>
          <w:sz w:val="24"/>
          <w:szCs w:val="24"/>
          <w:u w:val="single"/>
        </w:rPr>
      </w:pPr>
    </w:p>
    <w:p w14:paraId="139C08EC" w14:textId="271ED802" w:rsidR="00262EEC" w:rsidRPr="00B61FF1" w:rsidRDefault="00262EEC" w:rsidP="00262EEC">
      <w:pPr>
        <w:autoSpaceDE/>
        <w:autoSpaceDN/>
        <w:adjustRightInd/>
        <w:spacing w:line="360" w:lineRule="auto"/>
        <w:ind w:left="1710"/>
        <w:rPr>
          <w:rFonts w:ascii="Arial" w:eastAsia="Times New Roman" w:hAnsi="Arial" w:cs="Arial"/>
          <w:sz w:val="24"/>
          <w:szCs w:val="24"/>
          <w:u w:val="single"/>
        </w:rPr>
      </w:pPr>
      <w:r w:rsidRPr="00B61FF1">
        <w:rPr>
          <w:rFonts w:ascii="Arial" w:eastAsia="Times New Roman" w:hAnsi="Arial" w:cs="Arial"/>
          <w:sz w:val="24"/>
          <w:szCs w:val="24"/>
          <w:u w:val="single"/>
        </w:rPr>
        <w:t>“GHG</w:t>
      </w:r>
      <w:r w:rsidRPr="00B61FF1">
        <w:rPr>
          <w:rFonts w:ascii="Arial" w:eastAsia="Times New Roman" w:hAnsi="Arial" w:cs="Arial"/>
          <w:sz w:val="24"/>
          <w:szCs w:val="24"/>
          <w:u w:val="single"/>
          <w:vertAlign w:val="subscript"/>
        </w:rPr>
        <w:t>QTO</w:t>
      </w:r>
      <w:r w:rsidRPr="00B61FF1">
        <w:rPr>
          <w:rFonts w:ascii="Arial" w:eastAsia="Times New Roman" w:hAnsi="Arial" w:cs="Arial"/>
          <w:sz w:val="24"/>
          <w:szCs w:val="24"/>
          <w:u w:val="single"/>
        </w:rPr>
        <w:t>” is the annual emissions for each calendar year, in metric tons of CO</w:t>
      </w:r>
      <w:r w:rsidRPr="00B61FF1">
        <w:rPr>
          <w:rFonts w:ascii="Arial" w:eastAsia="Times New Roman" w:hAnsi="Arial" w:cs="Arial"/>
          <w:sz w:val="24"/>
          <w:szCs w:val="24"/>
          <w:u w:val="single"/>
          <w:vertAlign w:val="subscript"/>
        </w:rPr>
        <w:t>2</w:t>
      </w:r>
      <w:r w:rsidRPr="00B61FF1">
        <w:rPr>
          <w:rFonts w:ascii="Arial" w:eastAsia="Times New Roman" w:hAnsi="Arial" w:cs="Arial"/>
          <w:sz w:val="24"/>
          <w:szCs w:val="24"/>
          <w:u w:val="single"/>
        </w:rPr>
        <w:t>e, associated with the production of qualified thermal output;</w:t>
      </w:r>
    </w:p>
    <w:p w14:paraId="655191C0" w14:textId="77777777" w:rsidR="00262EEC" w:rsidRPr="00B61FF1" w:rsidRDefault="00262EEC" w:rsidP="00262EEC">
      <w:pPr>
        <w:autoSpaceDE/>
        <w:autoSpaceDN/>
        <w:adjustRightInd/>
        <w:spacing w:line="360" w:lineRule="auto"/>
        <w:ind w:left="1710"/>
        <w:rPr>
          <w:rFonts w:ascii="Arial" w:eastAsia="Times New Roman" w:hAnsi="Arial" w:cs="Arial"/>
          <w:sz w:val="24"/>
          <w:szCs w:val="24"/>
          <w:u w:val="single"/>
        </w:rPr>
      </w:pPr>
    </w:p>
    <w:p w14:paraId="640EF35D" w14:textId="719667AC" w:rsidR="00262EEC" w:rsidRPr="00B61FF1" w:rsidRDefault="00262EEC" w:rsidP="00262EEC">
      <w:pPr>
        <w:autoSpaceDE/>
        <w:autoSpaceDN/>
        <w:adjustRightInd/>
        <w:spacing w:line="360" w:lineRule="auto"/>
        <w:ind w:left="1710"/>
        <w:rPr>
          <w:rFonts w:ascii="Arial" w:eastAsia="Times New Roman" w:hAnsi="Arial" w:cs="Arial"/>
          <w:sz w:val="24"/>
          <w:szCs w:val="24"/>
          <w:u w:val="single"/>
        </w:rPr>
      </w:pPr>
      <w:r w:rsidRPr="00B61FF1">
        <w:rPr>
          <w:rFonts w:ascii="Arial" w:eastAsia="Times New Roman" w:hAnsi="Arial" w:cs="Arial"/>
          <w:sz w:val="24"/>
          <w:szCs w:val="24"/>
          <w:u w:val="single"/>
        </w:rPr>
        <w:t>Q</w:t>
      </w:r>
      <w:r w:rsidRPr="00B61FF1">
        <w:rPr>
          <w:rFonts w:ascii="Arial" w:eastAsia="Times New Roman" w:hAnsi="Arial" w:cs="Arial"/>
          <w:sz w:val="24"/>
          <w:szCs w:val="24"/>
          <w:u w:val="single"/>
          <w:vertAlign w:val="subscript"/>
        </w:rPr>
        <w:t>produced</w:t>
      </w:r>
      <w:r w:rsidRPr="00B61FF1">
        <w:rPr>
          <w:rFonts w:ascii="Arial" w:eastAsia="Times New Roman" w:hAnsi="Arial" w:cs="Arial"/>
          <w:sz w:val="24"/>
          <w:szCs w:val="24"/>
          <w:u w:val="single"/>
        </w:rPr>
        <w:t xml:space="preserve"> is the </w:t>
      </w:r>
      <w:r w:rsidR="00BD04A9" w:rsidRPr="00B61FF1">
        <w:rPr>
          <w:rFonts w:ascii="Arial" w:eastAsia="Times New Roman" w:hAnsi="Arial" w:cs="Arial"/>
          <w:sz w:val="24"/>
          <w:szCs w:val="24"/>
          <w:u w:val="single"/>
        </w:rPr>
        <w:t>annual</w:t>
      </w:r>
      <w:r w:rsidRPr="00B61FF1">
        <w:rPr>
          <w:rFonts w:ascii="Arial" w:eastAsia="Times New Roman" w:hAnsi="Arial" w:cs="Arial"/>
          <w:sz w:val="24"/>
          <w:szCs w:val="24"/>
          <w:u w:val="single"/>
        </w:rPr>
        <w:t xml:space="preserve"> amount of qualified thermal output produced</w:t>
      </w:r>
      <w:r w:rsidR="00BD04A9" w:rsidRPr="00B61FF1">
        <w:rPr>
          <w:rFonts w:ascii="Arial" w:eastAsia="Times New Roman" w:hAnsi="Arial" w:cs="Arial"/>
          <w:sz w:val="24"/>
          <w:szCs w:val="24"/>
          <w:u w:val="single"/>
        </w:rPr>
        <w:t xml:space="preserve"> for each calendar year</w:t>
      </w:r>
      <w:r w:rsidRPr="00B61FF1">
        <w:rPr>
          <w:rFonts w:ascii="Arial" w:eastAsia="Times New Roman" w:hAnsi="Arial" w:cs="Arial"/>
          <w:sz w:val="24"/>
          <w:szCs w:val="24"/>
          <w:u w:val="single"/>
        </w:rPr>
        <w:t>, measured in MMBtu, at the cogeneration facility; and,</w:t>
      </w:r>
    </w:p>
    <w:p w14:paraId="5768D2CD" w14:textId="73F33DFA" w:rsidR="00262EEC" w:rsidRPr="00B61FF1" w:rsidRDefault="00262EEC" w:rsidP="00262EEC">
      <w:pPr>
        <w:spacing w:line="360" w:lineRule="auto"/>
        <w:ind w:left="1710" w:hanging="630"/>
        <w:rPr>
          <w:rFonts w:ascii="Arial" w:eastAsia="Calibri" w:hAnsi="Arial" w:cs="Arial"/>
          <w:bCs/>
          <w:sz w:val="24"/>
          <w:szCs w:val="24"/>
          <w:u w:val="single"/>
        </w:rPr>
      </w:pPr>
      <w:r w:rsidRPr="00B61FF1">
        <w:rPr>
          <w:rFonts w:ascii="Arial" w:eastAsia="Calibri" w:hAnsi="Arial" w:cs="Arial"/>
          <w:bCs/>
          <w:sz w:val="24"/>
          <w:szCs w:val="24"/>
          <w:u w:val="single"/>
        </w:rPr>
        <w:t>(B)</w:t>
      </w:r>
      <w:r w:rsidRPr="00B61FF1">
        <w:rPr>
          <w:rFonts w:ascii="Arial" w:eastAsia="Calibri" w:hAnsi="Arial" w:cs="Arial"/>
          <w:bCs/>
          <w:sz w:val="24"/>
          <w:szCs w:val="24"/>
        </w:rPr>
        <w:t xml:space="preserve">  </w:t>
      </w:r>
      <w:r w:rsidRPr="00B61FF1">
        <w:rPr>
          <w:rFonts w:ascii="Arial" w:eastAsia="Calibri" w:hAnsi="Arial" w:cs="Arial"/>
          <w:bCs/>
          <w:sz w:val="24"/>
          <w:szCs w:val="24"/>
        </w:rPr>
        <w:tab/>
      </w:r>
      <w:r w:rsidRPr="00B61FF1">
        <w:rPr>
          <w:rFonts w:ascii="Arial" w:eastAsia="Calibri" w:hAnsi="Arial" w:cs="Arial"/>
          <w:bCs/>
          <w:sz w:val="24"/>
          <w:szCs w:val="24"/>
          <w:u w:val="single"/>
        </w:rPr>
        <w:t>The facility’s remaining emissions, calculated pursuant to the following equation, are less than 25,000 metric tons of CO2e:</w:t>
      </w:r>
    </w:p>
    <w:p w14:paraId="559D8C3E" w14:textId="77777777" w:rsidR="00262EEC" w:rsidRPr="00B61FF1" w:rsidRDefault="00262EEC" w:rsidP="00262EEC">
      <w:pPr>
        <w:spacing w:line="360" w:lineRule="auto"/>
        <w:ind w:left="1530" w:hanging="630"/>
        <w:rPr>
          <w:rFonts w:ascii="Arial" w:eastAsia="Calibri" w:hAnsi="Arial" w:cs="Arial"/>
          <w:sz w:val="24"/>
          <w:szCs w:val="24"/>
          <w:u w:val="single"/>
        </w:rPr>
      </w:pPr>
    </w:p>
    <w:p w14:paraId="6B6BD9D6" w14:textId="77777777" w:rsidR="00262EEC" w:rsidRPr="00B61FF1" w:rsidRDefault="00661852" w:rsidP="00262EEC">
      <w:pPr>
        <w:autoSpaceDE/>
        <w:autoSpaceDN/>
        <w:adjustRightInd/>
        <w:spacing w:line="360" w:lineRule="auto"/>
        <w:ind w:left="720"/>
        <w:rPr>
          <w:rFonts w:ascii="Arial" w:eastAsia="Times New Roman" w:hAnsi="Arial" w:cs="Arial"/>
          <w:sz w:val="24"/>
          <w:szCs w:val="24"/>
          <w:u w:val="single"/>
        </w:rPr>
      </w:pPr>
      <m:oMathPara>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GHG</m:t>
              </m:r>
            </m:e>
            <m:sub>
              <m:r>
                <w:rPr>
                  <w:rFonts w:ascii="Cambria Math" w:eastAsia="Calibri" w:hAnsi="Cambria Math" w:cs="Arial"/>
                  <w:sz w:val="24"/>
                  <w:szCs w:val="24"/>
                  <w:u w:val="single"/>
                </w:rPr>
                <m:t>R</m:t>
              </m:r>
            </m:sub>
          </m:sSub>
          <m:r>
            <w:rPr>
              <w:rFonts w:ascii="Cambria Math" w:eastAsia="Calibri" w:hAnsi="Cambria Math" w:cs="Arial"/>
              <w:sz w:val="24"/>
              <w:szCs w:val="24"/>
              <w:u w:val="single"/>
            </w:rPr>
            <m:t xml:space="preserve"> = </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GHG</m:t>
              </m:r>
            </m:e>
            <m:sub>
              <m:r>
                <w:rPr>
                  <w:rFonts w:ascii="Cambria Math" w:eastAsia="Calibri" w:hAnsi="Cambria Math" w:cs="Arial"/>
                  <w:sz w:val="24"/>
                  <w:szCs w:val="24"/>
                  <w:u w:val="single"/>
                </w:rPr>
                <m:t>Total</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GHG</m:t>
              </m:r>
            </m:e>
            <m:sub>
              <m:r>
                <w:rPr>
                  <w:rFonts w:ascii="Cambria Math" w:eastAsia="Calibri" w:hAnsi="Cambria Math" w:cs="Arial"/>
                  <w:sz w:val="24"/>
                  <w:szCs w:val="24"/>
                  <w:u w:val="single"/>
                </w:rPr>
                <m:t>QTO</m:t>
              </m:r>
            </m:sub>
          </m:sSub>
          <m:r>
            <w:rPr>
              <w:rFonts w:ascii="Cambria Math" w:eastAsia="Calibri" w:hAnsi="Cambria Math" w:cs="Arial"/>
              <w:sz w:val="24"/>
              <w:szCs w:val="24"/>
              <w:u w:val="single"/>
            </w:rPr>
            <m:t xml:space="preserve"> </m:t>
          </m:r>
        </m:oMath>
      </m:oMathPara>
    </w:p>
    <w:p w14:paraId="1819FA12" w14:textId="77777777" w:rsidR="00262EEC" w:rsidRPr="00B61FF1" w:rsidRDefault="00262EEC" w:rsidP="00262EEC">
      <w:pPr>
        <w:autoSpaceDE/>
        <w:autoSpaceDN/>
        <w:adjustRightInd/>
        <w:spacing w:line="360" w:lineRule="auto"/>
        <w:ind w:left="1530"/>
        <w:rPr>
          <w:rFonts w:ascii="Arial" w:eastAsia="Times New Roman" w:hAnsi="Arial" w:cs="Arial"/>
          <w:sz w:val="24"/>
          <w:szCs w:val="24"/>
          <w:u w:val="single"/>
        </w:rPr>
      </w:pPr>
    </w:p>
    <w:p w14:paraId="07C7F160" w14:textId="77777777" w:rsidR="00262EEC" w:rsidRPr="00B61FF1" w:rsidRDefault="00262EEC" w:rsidP="00262EEC">
      <w:pPr>
        <w:tabs>
          <w:tab w:val="right" w:pos="1710"/>
        </w:tabs>
        <w:autoSpaceDE/>
        <w:autoSpaceDN/>
        <w:adjustRightInd/>
        <w:spacing w:line="360" w:lineRule="auto"/>
        <w:ind w:left="1620"/>
        <w:rPr>
          <w:rFonts w:ascii="Arial" w:eastAsia="Times New Roman" w:hAnsi="Arial" w:cs="Arial"/>
          <w:sz w:val="24"/>
          <w:szCs w:val="24"/>
          <w:u w:val="single"/>
        </w:rPr>
      </w:pPr>
      <w:r w:rsidRPr="00B61FF1">
        <w:rPr>
          <w:rFonts w:ascii="Arial" w:eastAsia="Times New Roman" w:hAnsi="Arial" w:cs="Arial"/>
          <w:sz w:val="24"/>
          <w:szCs w:val="24"/>
          <w:u w:val="single"/>
        </w:rPr>
        <w:t>Where:</w:t>
      </w:r>
    </w:p>
    <w:p w14:paraId="379B4C52" w14:textId="77777777" w:rsidR="00262EEC" w:rsidRPr="00B61FF1" w:rsidRDefault="00262EEC" w:rsidP="00262EEC">
      <w:pPr>
        <w:tabs>
          <w:tab w:val="right" w:pos="1710"/>
        </w:tabs>
        <w:autoSpaceDE/>
        <w:autoSpaceDN/>
        <w:adjustRightInd/>
        <w:spacing w:line="360" w:lineRule="auto"/>
        <w:ind w:left="1620"/>
        <w:rPr>
          <w:rFonts w:ascii="Arial" w:eastAsia="Times New Roman" w:hAnsi="Arial" w:cs="Arial"/>
          <w:sz w:val="24"/>
          <w:szCs w:val="24"/>
          <w:u w:val="single"/>
        </w:rPr>
      </w:pPr>
    </w:p>
    <w:p w14:paraId="1C839258" w14:textId="6ED2C2D5" w:rsidR="00262EEC" w:rsidRPr="00B61FF1" w:rsidRDefault="00262EEC" w:rsidP="00262EEC">
      <w:pPr>
        <w:tabs>
          <w:tab w:val="right" w:pos="1710"/>
        </w:tabs>
        <w:autoSpaceDE/>
        <w:autoSpaceDN/>
        <w:adjustRightInd/>
        <w:spacing w:line="360" w:lineRule="auto"/>
        <w:ind w:left="1620"/>
        <w:rPr>
          <w:rFonts w:ascii="Arial" w:eastAsia="Times New Roman" w:hAnsi="Arial" w:cs="Arial"/>
          <w:sz w:val="24"/>
          <w:szCs w:val="24"/>
          <w:u w:val="single"/>
        </w:rPr>
      </w:pPr>
      <w:r w:rsidRPr="00B61FF1">
        <w:rPr>
          <w:rFonts w:ascii="Arial" w:eastAsia="Times New Roman" w:hAnsi="Arial" w:cs="Arial"/>
          <w:sz w:val="24"/>
          <w:szCs w:val="24"/>
          <w:u w:val="single"/>
        </w:rPr>
        <w:t>“GHG</w:t>
      </w:r>
      <w:r w:rsidRPr="00B61FF1">
        <w:rPr>
          <w:rFonts w:ascii="Arial" w:eastAsia="Times New Roman" w:hAnsi="Arial" w:cs="Arial"/>
          <w:sz w:val="24"/>
          <w:szCs w:val="24"/>
          <w:u w:val="single"/>
          <w:vertAlign w:val="subscript"/>
        </w:rPr>
        <w:t>R</w:t>
      </w:r>
      <w:r w:rsidRPr="00B61FF1">
        <w:rPr>
          <w:rFonts w:ascii="Arial" w:eastAsia="Times New Roman" w:hAnsi="Arial" w:cs="Arial"/>
          <w:sz w:val="24"/>
          <w:szCs w:val="24"/>
          <w:u w:val="single"/>
        </w:rPr>
        <w:t>” is the annual remaining emissions, in metric tons of CO</w:t>
      </w:r>
      <w:r w:rsidRPr="00B61FF1">
        <w:rPr>
          <w:rFonts w:ascii="Arial" w:eastAsia="Times New Roman" w:hAnsi="Arial" w:cs="Arial"/>
          <w:sz w:val="24"/>
          <w:szCs w:val="24"/>
          <w:u w:val="single"/>
          <w:vertAlign w:val="subscript"/>
        </w:rPr>
        <w:t>2</w:t>
      </w:r>
      <w:r w:rsidRPr="00B61FF1">
        <w:rPr>
          <w:rFonts w:ascii="Arial" w:eastAsia="Times New Roman" w:hAnsi="Arial" w:cs="Arial"/>
          <w:sz w:val="24"/>
          <w:szCs w:val="24"/>
          <w:u w:val="single"/>
        </w:rPr>
        <w:t>e.</w:t>
      </w:r>
    </w:p>
    <w:p w14:paraId="32949463" w14:textId="77777777" w:rsidR="00262EEC" w:rsidRPr="00B61FF1" w:rsidRDefault="00262EEC" w:rsidP="00262EEC">
      <w:pPr>
        <w:tabs>
          <w:tab w:val="right" w:pos="1710"/>
        </w:tabs>
        <w:autoSpaceDE/>
        <w:autoSpaceDN/>
        <w:adjustRightInd/>
        <w:spacing w:line="360" w:lineRule="auto"/>
        <w:ind w:left="1620"/>
        <w:rPr>
          <w:rFonts w:ascii="Arial" w:eastAsia="Times New Roman" w:hAnsi="Arial" w:cs="Arial"/>
          <w:sz w:val="24"/>
          <w:szCs w:val="24"/>
          <w:u w:val="single"/>
        </w:rPr>
      </w:pPr>
    </w:p>
    <w:p w14:paraId="7E9202B8" w14:textId="43048377" w:rsidR="00262EEC" w:rsidRPr="00B61FF1" w:rsidRDefault="00262EEC" w:rsidP="00262EEC">
      <w:pPr>
        <w:tabs>
          <w:tab w:val="right" w:pos="1710"/>
        </w:tabs>
        <w:autoSpaceDE/>
        <w:autoSpaceDN/>
        <w:adjustRightInd/>
        <w:spacing w:line="360" w:lineRule="auto"/>
        <w:ind w:left="1620"/>
        <w:rPr>
          <w:rFonts w:ascii="Arial" w:eastAsia="Times New Roman" w:hAnsi="Arial" w:cs="Arial"/>
          <w:sz w:val="24"/>
          <w:szCs w:val="24"/>
          <w:u w:val="single"/>
        </w:rPr>
      </w:pPr>
      <w:r w:rsidRPr="00B61FF1">
        <w:rPr>
          <w:rFonts w:ascii="Arial" w:eastAsia="Times New Roman" w:hAnsi="Arial" w:cs="Arial"/>
          <w:sz w:val="24"/>
          <w:szCs w:val="24"/>
          <w:u w:val="single"/>
        </w:rPr>
        <w:t>“GHG</w:t>
      </w:r>
      <w:r w:rsidRPr="00B61FF1">
        <w:rPr>
          <w:rFonts w:ascii="Arial" w:eastAsia="Times New Roman" w:hAnsi="Arial" w:cs="Arial"/>
          <w:sz w:val="24"/>
          <w:szCs w:val="24"/>
          <w:u w:val="single"/>
          <w:vertAlign w:val="subscript"/>
        </w:rPr>
        <w:t>Total</w:t>
      </w:r>
      <w:r w:rsidRPr="00B61FF1">
        <w:rPr>
          <w:rFonts w:ascii="Arial" w:eastAsia="Times New Roman" w:hAnsi="Arial" w:cs="Arial"/>
          <w:sz w:val="24"/>
          <w:szCs w:val="24"/>
          <w:u w:val="single"/>
        </w:rPr>
        <w:t>” is total annual emissions, in metric tons of CO</w:t>
      </w:r>
      <w:r w:rsidRPr="00B61FF1">
        <w:rPr>
          <w:rFonts w:ascii="Arial" w:eastAsia="Times New Roman" w:hAnsi="Arial" w:cs="Arial"/>
          <w:sz w:val="24"/>
          <w:szCs w:val="24"/>
          <w:u w:val="single"/>
          <w:vertAlign w:val="subscript"/>
        </w:rPr>
        <w:t>2</w:t>
      </w:r>
      <w:r w:rsidRPr="00B61FF1">
        <w:rPr>
          <w:rFonts w:ascii="Arial" w:eastAsia="Times New Roman" w:hAnsi="Arial" w:cs="Arial"/>
          <w:sz w:val="24"/>
          <w:szCs w:val="24"/>
          <w:u w:val="single"/>
        </w:rPr>
        <w:t>e.</w:t>
      </w:r>
    </w:p>
    <w:p w14:paraId="090D5AA2" w14:textId="77777777" w:rsidR="00262EEC" w:rsidRPr="00B61FF1" w:rsidRDefault="00262EEC" w:rsidP="00262EEC">
      <w:pPr>
        <w:autoSpaceDE/>
        <w:autoSpaceDN/>
        <w:adjustRightInd/>
        <w:spacing w:line="360" w:lineRule="auto"/>
        <w:ind w:left="1530"/>
        <w:rPr>
          <w:rFonts w:ascii="Arial" w:eastAsia="Times New Roman" w:hAnsi="Arial" w:cs="Arial"/>
          <w:sz w:val="24"/>
          <w:szCs w:val="24"/>
          <w:u w:val="single"/>
        </w:rPr>
      </w:pPr>
    </w:p>
    <w:p w14:paraId="427F5B5C" w14:textId="26894657" w:rsidR="00262EEC" w:rsidRPr="00B61FF1" w:rsidRDefault="00262EEC" w:rsidP="00262EEC">
      <w:pPr>
        <w:autoSpaceDE/>
        <w:autoSpaceDN/>
        <w:adjustRightInd/>
        <w:spacing w:line="360" w:lineRule="auto"/>
        <w:ind w:left="1080" w:hanging="720"/>
        <w:rPr>
          <w:rFonts w:ascii="Arial" w:eastAsia="Calibri" w:hAnsi="Arial" w:cs="Arial"/>
          <w:sz w:val="24"/>
          <w:szCs w:val="24"/>
          <w:u w:val="single"/>
        </w:rPr>
      </w:pPr>
      <w:r w:rsidRPr="00B61FF1">
        <w:rPr>
          <w:rFonts w:ascii="Arial" w:eastAsia="Calibri" w:hAnsi="Arial" w:cs="Arial"/>
          <w:sz w:val="24"/>
          <w:szCs w:val="24"/>
          <w:u w:val="single"/>
        </w:rPr>
        <w:t>(2)</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 xml:space="preserve">A district energy facility may apply for the emissions exemption for the first compliance period if the annual emissions associated with energy </w:t>
      </w:r>
      <w:r w:rsidRPr="00B61FF1">
        <w:rPr>
          <w:rFonts w:ascii="Arial" w:eastAsia="Calibri" w:hAnsi="Arial" w:cs="Arial"/>
          <w:sz w:val="24"/>
          <w:szCs w:val="24"/>
          <w:u w:val="single"/>
        </w:rPr>
        <w:lastRenderedPageBreak/>
        <w:t>distributed to each single facility on its system do not exceed 25,000 MTCO2e:</w:t>
      </w:r>
    </w:p>
    <w:p w14:paraId="2AE09E55" w14:textId="7B5C2CBA" w:rsidR="00262EEC" w:rsidRPr="00B61FF1" w:rsidRDefault="00262EEC" w:rsidP="00262EEC">
      <w:pPr>
        <w:autoSpaceDE/>
        <w:autoSpaceDN/>
        <w:adjustRightInd/>
        <w:spacing w:line="360" w:lineRule="auto"/>
        <w:ind w:left="1710" w:hanging="630"/>
        <w:rPr>
          <w:rFonts w:ascii="Arial" w:eastAsia="Calibri" w:hAnsi="Arial" w:cs="Arial"/>
          <w:sz w:val="24"/>
          <w:szCs w:val="24"/>
          <w:u w:val="single"/>
        </w:rPr>
      </w:pPr>
      <w:r w:rsidRPr="00B61FF1">
        <w:rPr>
          <w:rFonts w:ascii="Arial" w:eastAsia="Calibri" w:hAnsi="Arial" w:cs="Arial"/>
          <w:sz w:val="24"/>
          <w:szCs w:val="24"/>
          <w:u w:val="single"/>
        </w:rPr>
        <w:t>(A)</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Emissions associated with a single facility are calculated using the following equation:</w:t>
      </w:r>
    </w:p>
    <w:p w14:paraId="1A2CD375" w14:textId="77777777" w:rsidR="00262EEC" w:rsidRPr="00B61FF1" w:rsidRDefault="00262EEC" w:rsidP="00262EEC">
      <w:pPr>
        <w:autoSpaceDE/>
        <w:autoSpaceDN/>
        <w:adjustRightInd/>
        <w:spacing w:line="360" w:lineRule="auto"/>
        <w:ind w:left="1710" w:hanging="630"/>
        <w:rPr>
          <w:rFonts w:ascii="Arial" w:eastAsia="Calibri" w:hAnsi="Arial" w:cs="Arial"/>
          <w:sz w:val="24"/>
          <w:szCs w:val="24"/>
          <w:u w:val="single"/>
        </w:rPr>
      </w:pPr>
    </w:p>
    <w:p w14:paraId="0626E86B" w14:textId="77777777" w:rsidR="00262EEC" w:rsidRPr="00B61FF1" w:rsidRDefault="00262EEC" w:rsidP="002F31DB">
      <w:pPr>
        <w:autoSpaceDE/>
        <w:autoSpaceDN/>
        <w:adjustRightInd/>
        <w:spacing w:line="360" w:lineRule="auto"/>
        <w:ind w:left="1710"/>
        <w:jc w:val="center"/>
        <w:rPr>
          <w:rFonts w:ascii="Arial" w:eastAsia="Calibri" w:hAnsi="Arial" w:cs="Arial"/>
          <w:sz w:val="24"/>
          <w:szCs w:val="24"/>
          <w:u w:val="single"/>
          <w:vertAlign w:val="subscript"/>
        </w:rPr>
      </w:pPr>
      <w:r w:rsidRPr="00B61FF1">
        <w:rPr>
          <w:rFonts w:ascii="Arial" w:eastAsia="Calibri" w:hAnsi="Arial" w:cs="Arial"/>
          <w:sz w:val="24"/>
          <w:szCs w:val="24"/>
          <w:u w:val="single"/>
        </w:rPr>
        <w:t>GHG</w:t>
      </w:r>
      <w:r w:rsidRPr="00B61FF1">
        <w:rPr>
          <w:rFonts w:ascii="Arial" w:eastAsia="Calibri" w:hAnsi="Arial" w:cs="Arial"/>
          <w:sz w:val="24"/>
          <w:szCs w:val="24"/>
          <w:u w:val="single"/>
          <w:vertAlign w:val="subscript"/>
        </w:rPr>
        <w:t>sf</w:t>
      </w:r>
      <w:r w:rsidRPr="00B61FF1">
        <w:rPr>
          <w:rFonts w:ascii="Arial" w:eastAsia="Calibri" w:hAnsi="Arial" w:cs="Arial"/>
          <w:sz w:val="24"/>
          <w:szCs w:val="24"/>
          <w:u w:val="single"/>
        </w:rPr>
        <w:t xml:space="preserve"> = Q</w:t>
      </w:r>
      <w:r w:rsidRPr="00B61FF1">
        <w:rPr>
          <w:rFonts w:ascii="Arial" w:eastAsia="Calibri" w:hAnsi="Arial" w:cs="Arial"/>
          <w:sz w:val="24"/>
          <w:szCs w:val="24"/>
          <w:u w:val="single"/>
          <w:vertAlign w:val="subscript"/>
        </w:rPr>
        <w:t>sf</w:t>
      </w:r>
      <w:r w:rsidRPr="00B61FF1">
        <w:rPr>
          <w:rFonts w:ascii="Arial" w:eastAsia="Calibri" w:hAnsi="Arial" w:cs="Arial"/>
          <w:sz w:val="24"/>
          <w:szCs w:val="24"/>
          <w:u w:val="single"/>
        </w:rPr>
        <w:t xml:space="preserve"> * 0.06244 + e</w:t>
      </w:r>
      <w:r w:rsidRPr="00B61FF1">
        <w:rPr>
          <w:rFonts w:ascii="Arial" w:eastAsia="Calibri" w:hAnsi="Arial" w:cs="Arial"/>
          <w:sz w:val="24"/>
          <w:szCs w:val="24"/>
          <w:u w:val="single"/>
          <w:vertAlign w:val="subscript"/>
        </w:rPr>
        <w:t>sf</w:t>
      </w:r>
      <w:r w:rsidRPr="00B61FF1">
        <w:rPr>
          <w:rFonts w:ascii="Arial" w:eastAsia="Calibri" w:hAnsi="Arial" w:cs="Arial"/>
          <w:sz w:val="24"/>
          <w:szCs w:val="24"/>
          <w:u w:val="single"/>
        </w:rPr>
        <w:t xml:space="preserve"> * B</w:t>
      </w:r>
      <w:r w:rsidRPr="00B61FF1">
        <w:rPr>
          <w:rFonts w:ascii="Arial" w:eastAsia="Calibri" w:hAnsi="Arial" w:cs="Arial"/>
          <w:sz w:val="24"/>
          <w:szCs w:val="24"/>
          <w:u w:val="single"/>
          <w:vertAlign w:val="subscript"/>
        </w:rPr>
        <w:t>electricity</w:t>
      </w:r>
    </w:p>
    <w:p w14:paraId="44B8FAF5"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p>
    <w:p w14:paraId="1DAEF391"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r w:rsidRPr="00B61FF1">
        <w:rPr>
          <w:rFonts w:ascii="Arial" w:eastAsia="Calibri" w:hAnsi="Arial" w:cs="Arial"/>
          <w:sz w:val="24"/>
          <w:szCs w:val="24"/>
          <w:u w:val="single"/>
        </w:rPr>
        <w:t>Where:</w:t>
      </w:r>
    </w:p>
    <w:p w14:paraId="07805F7A"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p>
    <w:p w14:paraId="5BC2B8F9"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r w:rsidRPr="00B61FF1">
        <w:rPr>
          <w:rFonts w:ascii="Arial" w:eastAsia="Calibri" w:hAnsi="Arial" w:cs="Arial"/>
          <w:sz w:val="24"/>
          <w:szCs w:val="24"/>
          <w:u w:val="single"/>
        </w:rPr>
        <w:t>“GHG</w:t>
      </w:r>
      <w:r w:rsidRPr="00B61FF1">
        <w:rPr>
          <w:rFonts w:ascii="Arial" w:eastAsia="Calibri" w:hAnsi="Arial" w:cs="Arial"/>
          <w:sz w:val="24"/>
          <w:szCs w:val="24"/>
          <w:u w:val="single"/>
          <w:vertAlign w:val="subscript"/>
        </w:rPr>
        <w:t>sf</w:t>
      </w:r>
      <w:r w:rsidRPr="00B61FF1">
        <w:rPr>
          <w:rFonts w:ascii="Arial" w:eastAsia="Calibri" w:hAnsi="Arial" w:cs="Arial"/>
          <w:sz w:val="24"/>
          <w:szCs w:val="24"/>
          <w:u w:val="single"/>
        </w:rPr>
        <w:t>” is the emissions associated with a single facility</w:t>
      </w:r>
    </w:p>
    <w:p w14:paraId="62DB6FF5"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p>
    <w:p w14:paraId="583F043E"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r w:rsidRPr="00B61FF1">
        <w:rPr>
          <w:rFonts w:ascii="Arial" w:eastAsia="Calibri" w:hAnsi="Arial" w:cs="Arial"/>
          <w:sz w:val="24"/>
          <w:szCs w:val="24"/>
          <w:u w:val="single"/>
        </w:rPr>
        <w:t>“Q</w:t>
      </w:r>
      <w:r w:rsidRPr="00B61FF1">
        <w:rPr>
          <w:rFonts w:ascii="Arial" w:eastAsia="Calibri" w:hAnsi="Arial" w:cs="Arial"/>
          <w:sz w:val="24"/>
          <w:szCs w:val="24"/>
          <w:u w:val="single"/>
          <w:vertAlign w:val="subscript"/>
        </w:rPr>
        <w:t>sf</w:t>
      </w:r>
      <w:r w:rsidRPr="00B61FF1">
        <w:rPr>
          <w:rFonts w:ascii="Arial" w:eastAsia="Calibri" w:hAnsi="Arial" w:cs="Arial"/>
          <w:sz w:val="24"/>
          <w:szCs w:val="24"/>
          <w:u w:val="single"/>
        </w:rPr>
        <w:t>” is the amount of Qualified Thermal Output provided to a single facility, measured in MMBtu.</w:t>
      </w:r>
    </w:p>
    <w:p w14:paraId="17630364"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p>
    <w:p w14:paraId="0492ABEC"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r w:rsidRPr="00B61FF1">
        <w:rPr>
          <w:rFonts w:ascii="Arial" w:eastAsia="Calibri" w:hAnsi="Arial" w:cs="Arial"/>
          <w:sz w:val="24"/>
          <w:szCs w:val="24"/>
          <w:u w:val="single"/>
        </w:rPr>
        <w:t>“e</w:t>
      </w:r>
      <w:r w:rsidRPr="00B61FF1">
        <w:rPr>
          <w:rFonts w:ascii="Arial" w:eastAsia="Calibri" w:hAnsi="Arial" w:cs="Arial"/>
          <w:sz w:val="24"/>
          <w:szCs w:val="24"/>
          <w:u w:val="single"/>
          <w:vertAlign w:val="subscript"/>
        </w:rPr>
        <w:t>sf</w:t>
      </w:r>
      <w:r w:rsidRPr="00B61FF1">
        <w:rPr>
          <w:rFonts w:ascii="Arial" w:eastAsia="Calibri" w:hAnsi="Arial" w:cs="Arial"/>
          <w:sz w:val="24"/>
          <w:szCs w:val="24"/>
          <w:u w:val="single"/>
        </w:rPr>
        <w:t>” is the amount of electricity provided to a single facility, in MWh</w:t>
      </w:r>
    </w:p>
    <w:p w14:paraId="4C85D0B2"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p>
    <w:p w14:paraId="09DA37B5"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r w:rsidRPr="00B61FF1">
        <w:rPr>
          <w:rFonts w:ascii="Arial" w:eastAsia="Calibri" w:hAnsi="Arial" w:cs="Arial"/>
          <w:sz w:val="24"/>
          <w:szCs w:val="24"/>
          <w:u w:val="single"/>
        </w:rPr>
        <w:t>“B</w:t>
      </w:r>
      <w:r w:rsidRPr="00B61FF1">
        <w:rPr>
          <w:rFonts w:ascii="Arial" w:eastAsia="Calibri" w:hAnsi="Arial" w:cs="Arial"/>
          <w:sz w:val="24"/>
          <w:szCs w:val="24"/>
          <w:u w:val="single"/>
          <w:vertAlign w:val="subscript"/>
        </w:rPr>
        <w:t>electricity</w:t>
      </w:r>
      <w:r w:rsidRPr="00B61FF1">
        <w:rPr>
          <w:rFonts w:ascii="Arial" w:eastAsia="Calibri" w:hAnsi="Arial" w:cs="Arial"/>
          <w:sz w:val="24"/>
          <w:szCs w:val="24"/>
          <w:u w:val="single"/>
        </w:rPr>
        <w:t>“ is the emissions efficiency benchmark per unit of electricity sold or provided to off-site end users, 0.431 California GHG Allowances per MWh</w:t>
      </w:r>
    </w:p>
    <w:p w14:paraId="44A40D70" w14:textId="77777777" w:rsidR="00262EEC" w:rsidRPr="00B61FF1" w:rsidRDefault="00262EEC" w:rsidP="00262EEC">
      <w:pPr>
        <w:autoSpaceDE/>
        <w:autoSpaceDN/>
        <w:adjustRightInd/>
        <w:spacing w:line="360" w:lineRule="auto"/>
        <w:ind w:left="1710"/>
        <w:rPr>
          <w:rFonts w:ascii="Arial" w:eastAsia="Calibri" w:hAnsi="Arial" w:cs="Arial"/>
          <w:sz w:val="24"/>
          <w:szCs w:val="24"/>
          <w:u w:val="single"/>
        </w:rPr>
      </w:pPr>
    </w:p>
    <w:p w14:paraId="1397CC5C" w14:textId="64A4542E" w:rsidR="00262EEC" w:rsidRPr="00B61FF1" w:rsidRDefault="00262EEC" w:rsidP="00262EEC">
      <w:pPr>
        <w:autoSpaceDE/>
        <w:autoSpaceDN/>
        <w:adjustRightInd/>
        <w:spacing w:line="360" w:lineRule="auto"/>
        <w:ind w:left="1080" w:hanging="720"/>
        <w:rPr>
          <w:rFonts w:ascii="Arial" w:eastAsia="Calibri" w:hAnsi="Arial" w:cs="Arial"/>
          <w:sz w:val="24"/>
          <w:szCs w:val="24"/>
          <w:u w:val="single"/>
        </w:rPr>
      </w:pPr>
      <w:r w:rsidRPr="00B61FF1">
        <w:rPr>
          <w:rFonts w:ascii="Arial" w:eastAsia="Calibri" w:hAnsi="Arial" w:cs="Arial"/>
          <w:sz w:val="24"/>
          <w:szCs w:val="24"/>
          <w:u w:val="single"/>
        </w:rPr>
        <w:t>(3)</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Data Sources. The Executive Officer may employ all available data reported to ARB under MRR for data years 2008-2013 to determine a facility’s eligibility for the limited exemption of emissions from the production of qualified thermal output.</w:t>
      </w:r>
    </w:p>
    <w:p w14:paraId="4187A257" w14:textId="0796B83D" w:rsidR="00262EEC" w:rsidRPr="00B61FF1" w:rsidRDefault="00262EEC" w:rsidP="00262EEC">
      <w:pPr>
        <w:autoSpaceDE/>
        <w:autoSpaceDN/>
        <w:adjustRightInd/>
        <w:spacing w:line="360" w:lineRule="auto"/>
        <w:ind w:left="1080" w:hanging="720"/>
        <w:rPr>
          <w:rFonts w:ascii="Arial" w:eastAsia="Calibri" w:hAnsi="Arial" w:cs="Arial"/>
          <w:sz w:val="24"/>
          <w:szCs w:val="24"/>
          <w:u w:val="single"/>
        </w:rPr>
      </w:pPr>
      <w:r w:rsidRPr="00B61FF1">
        <w:rPr>
          <w:rFonts w:ascii="Arial" w:eastAsia="Calibri" w:hAnsi="Arial" w:cs="Arial"/>
          <w:sz w:val="24"/>
          <w:szCs w:val="24"/>
          <w:u w:val="single"/>
        </w:rPr>
        <w:t>(4)</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 xml:space="preserve">A facility with a cogeneration unit or a district energy facility must apply to the Executive </w:t>
      </w:r>
      <w:r w:rsidR="006B25CF" w:rsidRPr="00B61FF1">
        <w:rPr>
          <w:rFonts w:ascii="Arial" w:eastAsia="Calibri" w:hAnsi="Arial" w:cs="Arial"/>
          <w:sz w:val="24"/>
          <w:szCs w:val="24"/>
          <w:u w:val="single"/>
        </w:rPr>
        <w:t>Officer</w:t>
      </w:r>
      <w:r w:rsidRPr="00B61FF1">
        <w:rPr>
          <w:rFonts w:ascii="Arial" w:eastAsia="Calibri" w:hAnsi="Arial" w:cs="Arial"/>
          <w:sz w:val="24"/>
          <w:szCs w:val="24"/>
          <w:u w:val="single"/>
        </w:rPr>
        <w:t xml:space="preserve"> for the emissions exemption for the first compliance period by providing the following data:</w:t>
      </w:r>
    </w:p>
    <w:p w14:paraId="0B6BB0EF" w14:textId="5B2885D8" w:rsidR="00262EEC" w:rsidRPr="00B61FF1" w:rsidRDefault="00262EEC" w:rsidP="002F31DB">
      <w:pPr>
        <w:tabs>
          <w:tab w:val="right" w:pos="-3240"/>
        </w:tabs>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u w:val="single"/>
        </w:rPr>
        <w:t xml:space="preserve">(A)  </w:t>
      </w:r>
      <w:r w:rsidR="002F31DB" w:rsidRPr="00B61FF1">
        <w:rPr>
          <w:rFonts w:ascii="Arial" w:eastAsia="Calibri" w:hAnsi="Arial" w:cs="Arial"/>
          <w:sz w:val="24"/>
          <w:szCs w:val="24"/>
          <w:u w:val="single"/>
        </w:rPr>
        <w:tab/>
      </w:r>
      <w:r w:rsidRPr="00B61FF1">
        <w:rPr>
          <w:rFonts w:ascii="Arial" w:eastAsia="Calibri" w:hAnsi="Arial" w:cs="Arial"/>
          <w:sz w:val="24"/>
          <w:szCs w:val="24"/>
          <w:u w:val="single"/>
        </w:rPr>
        <w:t>Annual qualified thermal output for each year from 2009 to 2013, in MMBtu.</w:t>
      </w:r>
    </w:p>
    <w:p w14:paraId="3D6F85AF" w14:textId="3CA388B5" w:rsidR="00262EEC" w:rsidRPr="00B61FF1" w:rsidRDefault="00262EEC" w:rsidP="002F31DB">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u w:val="single"/>
        </w:rPr>
        <w:lastRenderedPageBreak/>
        <w:t>(B)</w:t>
      </w:r>
      <w:r w:rsidRPr="00B61FF1">
        <w:rPr>
          <w:rFonts w:ascii="Arial" w:eastAsia="Calibri" w:hAnsi="Arial" w:cs="Arial"/>
          <w:sz w:val="24"/>
          <w:szCs w:val="24"/>
        </w:rPr>
        <w:t xml:space="preserve"> </w:t>
      </w:r>
      <w:r w:rsidR="002F31DB" w:rsidRPr="00B61FF1">
        <w:rPr>
          <w:rFonts w:ascii="Arial" w:eastAsia="Calibri" w:hAnsi="Arial" w:cs="Arial"/>
          <w:sz w:val="24"/>
          <w:szCs w:val="24"/>
        </w:rPr>
        <w:tab/>
      </w:r>
      <w:r w:rsidRPr="00B61FF1">
        <w:rPr>
          <w:rFonts w:ascii="Arial" w:eastAsia="Calibri" w:hAnsi="Arial" w:cs="Arial"/>
          <w:sz w:val="24"/>
          <w:szCs w:val="24"/>
          <w:u w:val="single"/>
        </w:rPr>
        <w:t xml:space="preserve">A district energy facility must provide the amount of qualified thermal output and electricity provided to each single facility it serves. </w:t>
      </w:r>
    </w:p>
    <w:p w14:paraId="7A6861A3" w14:textId="68C06E67" w:rsidR="00262EEC" w:rsidRPr="00B61FF1" w:rsidRDefault="00262EEC" w:rsidP="002F31DB">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u w:val="single"/>
        </w:rPr>
        <w:t>(C)</w:t>
      </w:r>
      <w:r w:rsidRPr="00B61FF1">
        <w:rPr>
          <w:rFonts w:ascii="Arial" w:eastAsia="Calibri" w:hAnsi="Arial" w:cs="Arial"/>
          <w:sz w:val="24"/>
          <w:szCs w:val="24"/>
        </w:rPr>
        <w:t xml:space="preserve">  </w:t>
      </w:r>
      <w:r w:rsidR="002F31DB" w:rsidRPr="00B61FF1">
        <w:rPr>
          <w:rFonts w:ascii="Arial" w:eastAsia="Calibri" w:hAnsi="Arial" w:cs="Arial"/>
          <w:sz w:val="24"/>
          <w:szCs w:val="24"/>
        </w:rPr>
        <w:tab/>
      </w:r>
      <w:r w:rsidRPr="00B61FF1">
        <w:rPr>
          <w:rFonts w:ascii="Arial" w:eastAsia="Calibri" w:hAnsi="Arial" w:cs="Arial"/>
          <w:sz w:val="24"/>
          <w:szCs w:val="24"/>
          <w:u w:val="single"/>
        </w:rPr>
        <w:t>The application must include the following attestation:</w:t>
      </w:r>
    </w:p>
    <w:p w14:paraId="1176ACF8" w14:textId="39585FC7" w:rsidR="00262EEC" w:rsidRPr="00B61FF1" w:rsidRDefault="00262EEC" w:rsidP="002F31DB">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rPr>
        <w:t xml:space="preserve"> </w:t>
      </w:r>
      <w:r w:rsidR="002F31DB" w:rsidRPr="00B61FF1">
        <w:rPr>
          <w:rFonts w:ascii="Arial" w:eastAsia="Calibri" w:hAnsi="Arial" w:cs="Arial"/>
          <w:sz w:val="24"/>
          <w:szCs w:val="24"/>
        </w:rPr>
        <w:tab/>
      </w:r>
      <w:r w:rsidRPr="00B61FF1">
        <w:rPr>
          <w:rFonts w:ascii="Arial" w:eastAsia="Calibri" w:hAnsi="Arial" w:cs="Arial"/>
          <w:sz w:val="24"/>
          <w:szCs w:val="24"/>
          <w:u w:val="single"/>
        </w:rPr>
        <w:t>“ I certify under penalty of perjury of the laws of the State of California that I am duly authorized by [name of entity] to sign this attestation on behalf of [name of entity], and that the information submitted herein is true, accurate, and complete.”</w:t>
      </w:r>
    </w:p>
    <w:p w14:paraId="2A2D7BD8" w14:textId="0E5F2086" w:rsidR="00262EEC" w:rsidRPr="00B61FF1" w:rsidRDefault="00262EEC" w:rsidP="002F31DB">
      <w:pPr>
        <w:spacing w:line="360" w:lineRule="auto"/>
        <w:ind w:left="1080" w:hanging="720"/>
        <w:rPr>
          <w:rFonts w:ascii="Arial" w:hAnsi="Arial" w:cs="Arial"/>
          <w:sz w:val="24"/>
          <w:szCs w:val="24"/>
        </w:rPr>
      </w:pPr>
      <w:r w:rsidRPr="00B61FF1">
        <w:rPr>
          <w:rFonts w:ascii="Arial" w:eastAsia="Calibri" w:hAnsi="Arial" w:cs="Arial"/>
          <w:sz w:val="24"/>
          <w:szCs w:val="24"/>
          <w:u w:val="single"/>
        </w:rPr>
        <w:t>(5)</w:t>
      </w:r>
      <w:r w:rsidRPr="00B61FF1">
        <w:rPr>
          <w:rFonts w:ascii="Arial" w:eastAsia="Calibri" w:hAnsi="Arial" w:cs="Arial"/>
          <w:sz w:val="24"/>
          <w:szCs w:val="24"/>
        </w:rPr>
        <w:t xml:space="preserve">  </w:t>
      </w:r>
      <w:r w:rsidR="002F31DB" w:rsidRPr="00B61FF1">
        <w:rPr>
          <w:rFonts w:ascii="Arial" w:eastAsia="Calibri" w:hAnsi="Arial" w:cs="Arial"/>
          <w:sz w:val="24"/>
          <w:szCs w:val="24"/>
        </w:rPr>
        <w:tab/>
      </w:r>
      <w:r w:rsidRPr="00B61FF1">
        <w:rPr>
          <w:rFonts w:ascii="Arial" w:eastAsia="Calibri" w:hAnsi="Arial" w:cs="Arial"/>
          <w:sz w:val="24"/>
          <w:szCs w:val="24"/>
          <w:u w:val="single"/>
        </w:rPr>
        <w:t>A facility that is approved for an emissions exemption that has received an industrial allocation of allowances for the 2013 or 2014 budget years will have its future allocations reduced by an equivalent amount.  Allowances shall be subtracted from the facility’s budget year 2015 allocation and from subsequent budget year’s industrial allocations each year until the total amount subtracted equals the sum of the facility’s 2013 and 2014 allowance allocations.</w:t>
      </w:r>
    </w:p>
    <w:p w14:paraId="1982F7E8" w14:textId="77777777" w:rsidR="00FE6B15" w:rsidRPr="00B61FF1" w:rsidRDefault="00FE6B15" w:rsidP="00262EEC">
      <w:pPr>
        <w:spacing w:line="360" w:lineRule="auto"/>
        <w:rPr>
          <w:rFonts w:ascii="Arial" w:hAnsi="Arial" w:cs="Arial"/>
          <w:sz w:val="24"/>
          <w:szCs w:val="24"/>
        </w:rPr>
      </w:pPr>
    </w:p>
    <w:p w14:paraId="506D3561"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8A5A9A0" w14:textId="77777777" w:rsidR="00EA64EF" w:rsidRPr="00B61FF1" w:rsidRDefault="00FE6B15" w:rsidP="0030797F">
      <w:pPr>
        <w:rPr>
          <w:rFonts w:ascii="Arial" w:hAnsi="Arial" w:cs="Arial"/>
        </w:rPr>
      </w:pPr>
      <w:r w:rsidRPr="00B61FF1">
        <w:rPr>
          <w:rFonts w:ascii="Arial" w:hAnsi="Arial" w:cs="Arial"/>
        </w:rPr>
        <w:t>Reference:  Sections 38530, 38560.5, 38564, 38565, 38570 and 39600, Health and Safety Code.</w:t>
      </w:r>
      <w:bookmarkStart w:id="194" w:name="_Toc299094931"/>
      <w:bookmarkStart w:id="195" w:name="_Toc302746784"/>
    </w:p>
    <w:p w14:paraId="56691B5E" w14:textId="77777777" w:rsidR="00FE6B15" w:rsidRPr="00B61FF1" w:rsidRDefault="00FE6B15" w:rsidP="004E3B67">
      <w:pPr>
        <w:pStyle w:val="Heading2"/>
        <w:keepNext w:val="0"/>
        <w:rPr>
          <w:i/>
          <w:szCs w:val="24"/>
        </w:rPr>
      </w:pPr>
      <w:bookmarkStart w:id="196" w:name="_Toc352146246"/>
      <w:bookmarkStart w:id="197" w:name="_Toc361659847"/>
      <w:r w:rsidRPr="00B61FF1">
        <w:rPr>
          <w:szCs w:val="24"/>
        </w:rPr>
        <w:t>§ 95852.1.  Compliance Obligations for Biomass-Derived Fuels</w:t>
      </w:r>
      <w:r w:rsidR="00D42E23" w:rsidRPr="00B61FF1">
        <w:rPr>
          <w:szCs w:val="24"/>
        </w:rPr>
        <w:t>.</w:t>
      </w:r>
      <w:bookmarkEnd w:id="194"/>
      <w:bookmarkEnd w:id="195"/>
      <w:bookmarkEnd w:id="196"/>
      <w:bookmarkEnd w:id="197"/>
    </w:p>
    <w:p w14:paraId="194BC07D"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 xml:space="preserve">An entity that has emissions from </w:t>
      </w:r>
      <w:r w:rsidR="0075237B" w:rsidRPr="00B61FF1">
        <w:rPr>
          <w:rFonts w:ascii="Arial" w:hAnsi="Arial" w:cs="Arial"/>
          <w:sz w:val="24"/>
          <w:szCs w:val="24"/>
        </w:rPr>
        <w:t xml:space="preserve">combustion of </w:t>
      </w:r>
      <w:r w:rsidRPr="00B61FF1">
        <w:rPr>
          <w:rFonts w:ascii="Arial" w:hAnsi="Arial" w:cs="Arial"/>
          <w:sz w:val="24"/>
          <w:szCs w:val="24"/>
        </w:rPr>
        <w:t>biomass-derived fuels is required to report and verify its emissions pursuant to MRR and has a compliance obligation for every metric ton of CO</w:t>
      </w:r>
      <w:r w:rsidRPr="00B61FF1">
        <w:rPr>
          <w:rFonts w:ascii="Arial" w:hAnsi="Arial" w:cs="Arial"/>
          <w:sz w:val="24"/>
          <w:szCs w:val="24"/>
          <w:vertAlign w:val="subscript"/>
        </w:rPr>
        <w:t>2</w:t>
      </w:r>
      <w:r w:rsidRPr="00B61FF1">
        <w:rPr>
          <w:rFonts w:ascii="Arial" w:hAnsi="Arial" w:cs="Arial"/>
          <w:sz w:val="24"/>
          <w:szCs w:val="24"/>
        </w:rPr>
        <w:t>e emissions</w:t>
      </w:r>
      <w:r w:rsidR="00E13B3E" w:rsidRPr="00B61FF1">
        <w:rPr>
          <w:rFonts w:ascii="Arial" w:hAnsi="Arial" w:cs="Arial"/>
          <w:sz w:val="24"/>
          <w:szCs w:val="24"/>
        </w:rPr>
        <w:t>:</w:t>
      </w:r>
      <w:r w:rsidRPr="00B61FF1">
        <w:rPr>
          <w:rFonts w:ascii="Arial" w:hAnsi="Arial" w:cs="Arial"/>
          <w:dstrike/>
          <w:sz w:val="24"/>
          <w:szCs w:val="24"/>
        </w:rPr>
        <w:t xml:space="preserve">  </w:t>
      </w:r>
    </w:p>
    <w:p w14:paraId="0A243F00" w14:textId="77777777" w:rsidR="00FE6B15" w:rsidRPr="00B61FF1" w:rsidRDefault="0075237B" w:rsidP="00FE6A4C">
      <w:pPr>
        <w:numPr>
          <w:ilvl w:val="0"/>
          <w:numId w:val="25"/>
        </w:numPr>
        <w:spacing w:line="360" w:lineRule="auto"/>
        <w:rPr>
          <w:rFonts w:ascii="Arial" w:hAnsi="Arial" w:cs="Arial"/>
          <w:sz w:val="24"/>
          <w:szCs w:val="24"/>
        </w:rPr>
      </w:pPr>
      <w:r w:rsidRPr="00B61FF1">
        <w:rPr>
          <w:rFonts w:ascii="Arial" w:hAnsi="Arial" w:cs="Arial"/>
          <w:sz w:val="24"/>
          <w:szCs w:val="24"/>
        </w:rPr>
        <w:t>From combust</w:t>
      </w:r>
      <w:r w:rsidR="0042244C" w:rsidRPr="00B61FF1">
        <w:rPr>
          <w:rFonts w:ascii="Arial" w:hAnsi="Arial" w:cs="Arial"/>
          <w:sz w:val="24"/>
          <w:szCs w:val="24"/>
        </w:rPr>
        <w:t xml:space="preserve">ion of </w:t>
      </w:r>
      <w:r w:rsidR="006E41E2" w:rsidRPr="00B61FF1">
        <w:rPr>
          <w:rFonts w:ascii="Arial" w:hAnsi="Arial" w:cs="Arial"/>
          <w:sz w:val="24"/>
          <w:szCs w:val="24"/>
        </w:rPr>
        <w:t xml:space="preserve">fuel types </w:t>
      </w:r>
      <w:r w:rsidR="00FE6B15" w:rsidRPr="00B61FF1">
        <w:rPr>
          <w:rFonts w:ascii="Arial" w:hAnsi="Arial" w:cs="Arial"/>
          <w:sz w:val="24"/>
          <w:szCs w:val="24"/>
        </w:rPr>
        <w:t>that are n</w:t>
      </w:r>
      <w:r w:rsidR="0042244C" w:rsidRPr="00B61FF1">
        <w:rPr>
          <w:rFonts w:ascii="Arial" w:hAnsi="Arial" w:cs="Arial"/>
          <w:sz w:val="24"/>
          <w:szCs w:val="24"/>
        </w:rPr>
        <w:t>ot listed under section 95852.2</w:t>
      </w:r>
      <w:r w:rsidR="00FE6B15" w:rsidRPr="00B61FF1">
        <w:rPr>
          <w:rFonts w:ascii="Arial" w:hAnsi="Arial" w:cs="Arial"/>
          <w:sz w:val="24"/>
          <w:szCs w:val="24"/>
        </w:rPr>
        <w:t xml:space="preserve">; or </w:t>
      </w:r>
    </w:p>
    <w:p w14:paraId="2B919055" w14:textId="77777777" w:rsidR="0075237B" w:rsidRPr="00B61FF1" w:rsidRDefault="0075237B" w:rsidP="00FE6A4C">
      <w:pPr>
        <w:numPr>
          <w:ilvl w:val="0"/>
          <w:numId w:val="25"/>
        </w:numPr>
        <w:spacing w:line="360" w:lineRule="auto"/>
        <w:rPr>
          <w:rFonts w:ascii="Arial" w:hAnsi="Arial" w:cs="Arial"/>
          <w:dstrike/>
          <w:sz w:val="24"/>
          <w:szCs w:val="24"/>
        </w:rPr>
      </w:pPr>
      <w:r w:rsidRPr="00B61FF1">
        <w:rPr>
          <w:rFonts w:ascii="Arial" w:hAnsi="Arial" w:cs="Arial"/>
          <w:sz w:val="24"/>
          <w:szCs w:val="24"/>
        </w:rPr>
        <w:t>From combustion of</w:t>
      </w:r>
      <w:r w:rsidR="0042244C" w:rsidRPr="00B61FF1">
        <w:rPr>
          <w:rFonts w:ascii="Arial" w:hAnsi="Arial" w:cs="Arial"/>
          <w:sz w:val="24"/>
          <w:szCs w:val="24"/>
        </w:rPr>
        <w:t xml:space="preserve"> </w:t>
      </w:r>
      <w:r w:rsidR="006E41E2" w:rsidRPr="00B61FF1">
        <w:rPr>
          <w:rFonts w:ascii="Arial" w:hAnsi="Arial" w:cs="Arial"/>
          <w:sz w:val="24"/>
          <w:szCs w:val="24"/>
        </w:rPr>
        <w:t>fuels that do not meet the requirements of section 95852.1.1</w:t>
      </w:r>
      <w:r w:rsidRPr="00B61FF1">
        <w:rPr>
          <w:rFonts w:ascii="Arial" w:hAnsi="Arial" w:cs="Arial"/>
          <w:sz w:val="24"/>
          <w:szCs w:val="24"/>
        </w:rPr>
        <w:t>;</w:t>
      </w:r>
      <w:r w:rsidR="006E41E2" w:rsidRPr="00B61FF1">
        <w:rPr>
          <w:rFonts w:ascii="Arial" w:hAnsi="Arial" w:cs="Arial"/>
          <w:sz w:val="24"/>
          <w:szCs w:val="24"/>
        </w:rPr>
        <w:t xml:space="preserve"> or</w:t>
      </w:r>
    </w:p>
    <w:p w14:paraId="0A5AE29A" w14:textId="77777777" w:rsidR="00FE6B15" w:rsidRPr="00B61FF1" w:rsidRDefault="0075237B" w:rsidP="0075237B">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w:t>
      </w:r>
      <w:r w:rsidR="006E41E2" w:rsidRPr="00B61FF1">
        <w:rPr>
          <w:rFonts w:ascii="Arial" w:hAnsi="Arial" w:cs="Arial"/>
          <w:sz w:val="24"/>
          <w:szCs w:val="24"/>
        </w:rPr>
        <w:t xml:space="preserve">hat are reported as </w:t>
      </w:r>
      <w:r w:rsidR="00C52FFA" w:rsidRPr="00B61FF1">
        <w:rPr>
          <w:rFonts w:ascii="Arial" w:hAnsi="Arial" w:cs="Arial"/>
          <w:sz w:val="24"/>
          <w:szCs w:val="24"/>
        </w:rPr>
        <w:t>non-exempt biomass derived CO</w:t>
      </w:r>
      <w:r w:rsidR="00C52FFA" w:rsidRPr="00B61FF1">
        <w:rPr>
          <w:rFonts w:ascii="Arial" w:hAnsi="Arial" w:cs="Arial"/>
          <w:sz w:val="24"/>
          <w:szCs w:val="24"/>
          <w:vertAlign w:val="subscript"/>
        </w:rPr>
        <w:t>2</w:t>
      </w:r>
      <w:r w:rsidR="00C52FFA" w:rsidRPr="00B61FF1">
        <w:rPr>
          <w:rFonts w:ascii="Arial" w:hAnsi="Arial" w:cs="Arial"/>
          <w:sz w:val="24"/>
          <w:szCs w:val="24"/>
        </w:rPr>
        <w:t xml:space="preserve"> </w:t>
      </w:r>
      <w:r w:rsidR="006E41E2" w:rsidRPr="00B61FF1">
        <w:rPr>
          <w:rFonts w:ascii="Arial" w:hAnsi="Arial" w:cs="Arial"/>
          <w:sz w:val="24"/>
          <w:szCs w:val="24"/>
        </w:rPr>
        <w:t>under MRR.</w:t>
      </w:r>
    </w:p>
    <w:p w14:paraId="5BB3D9A1" w14:textId="77777777" w:rsidR="00FE6B15" w:rsidRPr="00B61FF1" w:rsidRDefault="00FE6B15" w:rsidP="004E3B67">
      <w:pPr>
        <w:spacing w:line="360" w:lineRule="auto"/>
        <w:rPr>
          <w:rFonts w:ascii="Arial" w:hAnsi="Arial" w:cs="Arial"/>
          <w:sz w:val="24"/>
          <w:szCs w:val="24"/>
        </w:rPr>
      </w:pPr>
    </w:p>
    <w:p w14:paraId="1DB0CB5C"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2276420B"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2DD06DA0" w14:textId="77777777" w:rsidR="007C2F50" w:rsidRPr="00B61FF1" w:rsidRDefault="007C2F50">
      <w:pPr>
        <w:autoSpaceDE/>
        <w:autoSpaceDN/>
        <w:adjustRightInd/>
        <w:rPr>
          <w:rFonts w:ascii="Arial" w:hAnsi="Arial" w:cs="Arial"/>
          <w:b/>
          <w:bCs/>
          <w:iCs/>
          <w:sz w:val="24"/>
          <w:szCs w:val="24"/>
        </w:rPr>
      </w:pPr>
      <w:bookmarkStart w:id="198" w:name="_Toc299094932"/>
      <w:bookmarkStart w:id="199" w:name="_Toc302746785"/>
    </w:p>
    <w:p w14:paraId="300A4D7F" w14:textId="77777777" w:rsidR="00944ECE" w:rsidRPr="00B61FF1" w:rsidRDefault="00944ECE">
      <w:pPr>
        <w:autoSpaceDE/>
        <w:autoSpaceDN/>
        <w:adjustRightInd/>
        <w:rPr>
          <w:rFonts w:ascii="Arial" w:hAnsi="Arial" w:cs="Arial"/>
          <w:b/>
          <w:bCs/>
          <w:iCs/>
          <w:sz w:val="24"/>
          <w:szCs w:val="24"/>
        </w:rPr>
      </w:pPr>
      <w:bookmarkStart w:id="200" w:name="_Toc352146247"/>
      <w:r w:rsidRPr="00B61FF1">
        <w:rPr>
          <w:szCs w:val="24"/>
        </w:rPr>
        <w:br w:type="page"/>
      </w:r>
    </w:p>
    <w:p w14:paraId="164BC7B9" w14:textId="77777777" w:rsidR="00FE6B15" w:rsidRPr="00B61FF1" w:rsidRDefault="00FE6B15" w:rsidP="004E3B67">
      <w:pPr>
        <w:pStyle w:val="Heading2"/>
        <w:keepNext w:val="0"/>
        <w:rPr>
          <w:i/>
          <w:szCs w:val="24"/>
        </w:rPr>
      </w:pPr>
      <w:bookmarkStart w:id="201" w:name="_Toc361659848"/>
      <w:r w:rsidRPr="00B61FF1">
        <w:rPr>
          <w:szCs w:val="24"/>
        </w:rPr>
        <w:lastRenderedPageBreak/>
        <w:t>§ 95852.1.1</w:t>
      </w:r>
      <w:r w:rsidR="00D42E23" w:rsidRPr="00B61FF1">
        <w:rPr>
          <w:szCs w:val="24"/>
        </w:rPr>
        <w:t xml:space="preserve">. </w:t>
      </w:r>
      <w:r w:rsidRPr="00B61FF1">
        <w:rPr>
          <w:szCs w:val="24"/>
        </w:rPr>
        <w:t xml:space="preserve"> Eligibility Requirements for Biomass-Derived Fuels</w:t>
      </w:r>
      <w:r w:rsidR="00D42E23" w:rsidRPr="00B61FF1">
        <w:rPr>
          <w:szCs w:val="24"/>
        </w:rPr>
        <w:t>.</w:t>
      </w:r>
      <w:bookmarkEnd w:id="198"/>
      <w:bookmarkEnd w:id="199"/>
      <w:bookmarkEnd w:id="200"/>
      <w:bookmarkEnd w:id="201"/>
      <w:r w:rsidRPr="00B61FF1">
        <w:rPr>
          <w:szCs w:val="24"/>
        </w:rPr>
        <w:t xml:space="preserve"> </w:t>
      </w:r>
    </w:p>
    <w:p w14:paraId="7439BBBA" w14:textId="77777777" w:rsidR="0002619A" w:rsidRPr="00B61FF1" w:rsidRDefault="00D42E23" w:rsidP="0002619A">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1B6278" w:rsidRPr="00B61FF1">
        <w:rPr>
          <w:rFonts w:ascii="Arial" w:hAnsi="Arial" w:cs="Arial"/>
          <w:sz w:val="24"/>
          <w:szCs w:val="24"/>
        </w:rPr>
        <w:t>Biomass-derived fuel procured under c</w:t>
      </w:r>
      <w:r w:rsidR="00FE6B15" w:rsidRPr="00B61FF1">
        <w:rPr>
          <w:rFonts w:ascii="Arial" w:hAnsi="Arial" w:cs="Arial"/>
          <w:sz w:val="24"/>
          <w:szCs w:val="24"/>
        </w:rPr>
        <w:t xml:space="preserve">ontracts for </w:t>
      </w:r>
      <w:r w:rsidR="0002619A" w:rsidRPr="00B61FF1">
        <w:rPr>
          <w:rFonts w:ascii="Arial" w:hAnsi="Arial" w:cs="Arial"/>
          <w:sz w:val="24"/>
          <w:szCs w:val="24"/>
        </w:rPr>
        <w:t>biogas and biomethane</w:t>
      </w:r>
      <w:r w:rsidR="0041359B" w:rsidRPr="00B61FF1">
        <w:rPr>
          <w:rFonts w:ascii="Arial" w:hAnsi="Arial" w:cs="Arial"/>
          <w:sz w:val="24"/>
          <w:szCs w:val="24"/>
        </w:rPr>
        <w:t xml:space="preserve"> </w:t>
      </w:r>
      <w:r w:rsidR="00FE6B15" w:rsidRPr="00B61FF1">
        <w:rPr>
          <w:rFonts w:ascii="Arial" w:hAnsi="Arial" w:cs="Arial"/>
          <w:sz w:val="24"/>
          <w:szCs w:val="24"/>
        </w:rPr>
        <w:t xml:space="preserve">must meet one of the following </w:t>
      </w:r>
      <w:r w:rsidR="00E93275" w:rsidRPr="00B61FF1">
        <w:rPr>
          <w:rFonts w:ascii="Arial" w:hAnsi="Arial" w:cs="Arial"/>
          <w:sz w:val="24"/>
          <w:szCs w:val="24"/>
        </w:rPr>
        <w:t>criteria</w:t>
      </w:r>
      <w:r w:rsidR="006B24F2" w:rsidRPr="00B61FF1">
        <w:rPr>
          <w:rFonts w:ascii="Arial" w:hAnsi="Arial" w:cs="Arial"/>
          <w:sz w:val="24"/>
          <w:szCs w:val="24"/>
        </w:rPr>
        <w:t>.  Only the port</w:t>
      </w:r>
      <w:r w:rsidR="008C4D9D" w:rsidRPr="00B61FF1">
        <w:rPr>
          <w:rFonts w:ascii="Arial" w:hAnsi="Arial" w:cs="Arial"/>
          <w:sz w:val="24"/>
          <w:szCs w:val="24"/>
        </w:rPr>
        <w:t xml:space="preserve">ion of the fuel that meets </w:t>
      </w:r>
      <w:r w:rsidR="00006E49" w:rsidRPr="00B61FF1">
        <w:rPr>
          <w:rFonts w:ascii="Arial" w:hAnsi="Arial" w:cs="Arial"/>
          <w:sz w:val="24"/>
          <w:szCs w:val="24"/>
        </w:rPr>
        <w:t xml:space="preserve">one of these </w:t>
      </w:r>
      <w:r w:rsidR="00E93275" w:rsidRPr="00B61FF1">
        <w:rPr>
          <w:rFonts w:ascii="Arial" w:hAnsi="Arial" w:cs="Arial"/>
          <w:sz w:val="24"/>
          <w:szCs w:val="24"/>
        </w:rPr>
        <w:t>criteria</w:t>
      </w:r>
      <w:r w:rsidR="006B24F2" w:rsidRPr="00B61FF1">
        <w:rPr>
          <w:rFonts w:ascii="Arial" w:hAnsi="Arial" w:cs="Arial"/>
          <w:sz w:val="24"/>
          <w:szCs w:val="24"/>
        </w:rPr>
        <w:t xml:space="preserve"> will be considered a biomass-derived fuel</w:t>
      </w:r>
      <w:r w:rsidR="00006E49" w:rsidRPr="00B61FF1">
        <w:rPr>
          <w:rFonts w:ascii="Arial" w:hAnsi="Arial" w:cs="Arial"/>
          <w:sz w:val="24"/>
          <w:szCs w:val="24"/>
        </w:rPr>
        <w:t>.</w:t>
      </w:r>
      <w:r w:rsidR="006B24F2" w:rsidRPr="00B61FF1">
        <w:rPr>
          <w:rFonts w:ascii="Arial" w:hAnsi="Arial" w:cs="Arial"/>
          <w:sz w:val="24"/>
          <w:szCs w:val="24"/>
        </w:rPr>
        <w:t xml:space="preserve"> </w:t>
      </w:r>
      <w:r w:rsidR="00006E49" w:rsidRPr="00B61FF1">
        <w:rPr>
          <w:rFonts w:ascii="Arial" w:hAnsi="Arial" w:cs="Arial"/>
          <w:sz w:val="24"/>
          <w:szCs w:val="24"/>
        </w:rPr>
        <w:t xml:space="preserve">Emissions from combustion of this fuel will not be </w:t>
      </w:r>
      <w:r w:rsidR="006B24F2" w:rsidRPr="00B61FF1">
        <w:rPr>
          <w:rFonts w:ascii="Arial" w:hAnsi="Arial" w:cs="Arial"/>
          <w:sz w:val="24"/>
          <w:szCs w:val="24"/>
        </w:rPr>
        <w:t xml:space="preserve">subject to a compliance obligation </w:t>
      </w:r>
      <w:r w:rsidR="00006E49" w:rsidRPr="00B61FF1">
        <w:rPr>
          <w:rFonts w:ascii="Arial" w:hAnsi="Arial" w:cs="Arial"/>
          <w:sz w:val="24"/>
          <w:szCs w:val="24"/>
        </w:rPr>
        <w:t xml:space="preserve">when </w:t>
      </w:r>
      <w:r w:rsidR="00676077" w:rsidRPr="00B61FF1">
        <w:rPr>
          <w:rFonts w:ascii="Arial" w:hAnsi="Arial" w:cs="Arial"/>
          <w:sz w:val="24"/>
          <w:szCs w:val="24"/>
        </w:rPr>
        <w:t xml:space="preserve">reported as </w:t>
      </w:r>
      <w:r w:rsidR="00D65360" w:rsidRPr="00B61FF1">
        <w:rPr>
          <w:rFonts w:ascii="Arial" w:hAnsi="Arial" w:cs="Arial"/>
          <w:sz w:val="24"/>
          <w:szCs w:val="24"/>
        </w:rPr>
        <w:t>B</w:t>
      </w:r>
      <w:r w:rsidR="00676077" w:rsidRPr="00B61FF1">
        <w:rPr>
          <w:rFonts w:ascii="Arial" w:hAnsi="Arial" w:cs="Arial"/>
          <w:sz w:val="24"/>
          <w:szCs w:val="24"/>
        </w:rPr>
        <w:t>iomass CO</w:t>
      </w:r>
      <w:r w:rsidR="00676077" w:rsidRPr="00B61FF1">
        <w:rPr>
          <w:rFonts w:ascii="Arial" w:hAnsi="Arial" w:cs="Arial"/>
          <w:sz w:val="24"/>
          <w:szCs w:val="24"/>
          <w:vertAlign w:val="subscript"/>
        </w:rPr>
        <w:t xml:space="preserve">2 </w:t>
      </w:r>
      <w:r w:rsidR="00676077" w:rsidRPr="00B61FF1">
        <w:rPr>
          <w:rFonts w:ascii="Arial" w:hAnsi="Arial" w:cs="Arial"/>
          <w:sz w:val="24"/>
          <w:szCs w:val="24"/>
        </w:rPr>
        <w:t>in an emissions data report that has received a positive or qualified positive emissions data verification statement</w:t>
      </w:r>
      <w:r w:rsidR="00694315" w:rsidRPr="00B61FF1">
        <w:rPr>
          <w:rFonts w:ascii="Arial" w:hAnsi="Arial" w:cs="Arial"/>
          <w:sz w:val="24"/>
          <w:szCs w:val="24"/>
        </w:rPr>
        <w:t xml:space="preserve"> and </w:t>
      </w:r>
      <w:r w:rsidR="00006E49" w:rsidRPr="00B61FF1">
        <w:rPr>
          <w:rFonts w:ascii="Arial" w:hAnsi="Arial" w:cs="Arial"/>
          <w:sz w:val="24"/>
          <w:szCs w:val="24"/>
        </w:rPr>
        <w:t>determined as exempt pursuant to section 95852.2</w:t>
      </w:r>
      <w:r w:rsidR="00D65360" w:rsidRPr="00B61FF1">
        <w:rPr>
          <w:rFonts w:ascii="Arial" w:hAnsi="Arial" w:cs="Arial"/>
          <w:sz w:val="24"/>
          <w:szCs w:val="24"/>
        </w:rPr>
        <w:t xml:space="preserve"> and 95103(g)</w:t>
      </w:r>
      <w:r w:rsidR="00210A7A" w:rsidRPr="00B61FF1">
        <w:rPr>
          <w:rFonts w:ascii="Arial" w:hAnsi="Arial" w:cs="Arial"/>
          <w:sz w:val="24"/>
          <w:szCs w:val="24"/>
        </w:rPr>
        <w:t xml:space="preserve"> of MRR</w:t>
      </w:r>
      <w:r w:rsidR="00006E49" w:rsidRPr="00B61FF1">
        <w:rPr>
          <w:rFonts w:ascii="Arial" w:hAnsi="Arial" w:cs="Arial"/>
          <w:sz w:val="24"/>
          <w:szCs w:val="24"/>
        </w:rPr>
        <w:t>.</w:t>
      </w:r>
    </w:p>
    <w:p w14:paraId="65E3BF43" w14:textId="77777777" w:rsidR="0002619A" w:rsidRPr="00B61FF1" w:rsidRDefault="00D42E23" w:rsidP="00D42E23">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The contract for purchasing any biomass-derived fuel must be </w:t>
      </w:r>
      <w:r w:rsidR="008E7565" w:rsidRPr="00B61FF1">
        <w:rPr>
          <w:rFonts w:ascii="Arial" w:hAnsi="Arial" w:cs="Arial"/>
          <w:sz w:val="24"/>
          <w:szCs w:val="24"/>
        </w:rPr>
        <w:t xml:space="preserve">executed </w:t>
      </w:r>
      <w:r w:rsidR="00FE6B15" w:rsidRPr="00B61FF1">
        <w:rPr>
          <w:rFonts w:ascii="Arial" w:hAnsi="Arial" w:cs="Arial"/>
          <w:sz w:val="24"/>
          <w:szCs w:val="24"/>
        </w:rPr>
        <w:t>prior to January 1, 2012 and remain in effect or have been renegotiated with the same California operator within o</w:t>
      </w:r>
      <w:r w:rsidR="0002619A" w:rsidRPr="00B61FF1">
        <w:rPr>
          <w:rFonts w:ascii="Arial" w:hAnsi="Arial" w:cs="Arial"/>
          <w:sz w:val="24"/>
          <w:szCs w:val="24"/>
        </w:rPr>
        <w:t>ne year of contract expiration</w:t>
      </w:r>
      <w:r w:rsidR="008C4D9D" w:rsidRPr="00B61FF1">
        <w:rPr>
          <w:rFonts w:ascii="Arial" w:hAnsi="Arial" w:cs="Arial"/>
          <w:sz w:val="24"/>
          <w:szCs w:val="24"/>
        </w:rPr>
        <w:t xml:space="preserve">.  The delivery of the fuel under the contract must </w:t>
      </w:r>
      <w:r w:rsidR="008E7565" w:rsidRPr="00B61FF1">
        <w:rPr>
          <w:rFonts w:ascii="Arial" w:hAnsi="Arial" w:cs="Arial"/>
          <w:sz w:val="24"/>
          <w:szCs w:val="24"/>
        </w:rPr>
        <w:t>commence by one of the following dates to be eligible under this provision:</w:t>
      </w:r>
    </w:p>
    <w:p w14:paraId="6D2D4E5F" w14:textId="77777777" w:rsidR="0002619A" w:rsidRPr="00B61FF1" w:rsidRDefault="0002619A" w:rsidP="0002619A">
      <w:pPr>
        <w:tabs>
          <w:tab w:val="left" w:pos="108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8027B2" w:rsidRPr="00B61FF1">
        <w:rPr>
          <w:rFonts w:ascii="Arial" w:hAnsi="Arial" w:cs="Arial"/>
          <w:sz w:val="24"/>
          <w:szCs w:val="24"/>
        </w:rPr>
        <w:t>9</w:t>
      </w:r>
      <w:r w:rsidRPr="00B61FF1">
        <w:rPr>
          <w:rFonts w:ascii="Arial" w:hAnsi="Arial" w:cs="Arial"/>
          <w:sz w:val="24"/>
          <w:szCs w:val="24"/>
        </w:rPr>
        <w:t xml:space="preserve">0 days after </w:t>
      </w:r>
      <w:r w:rsidR="00D65360" w:rsidRPr="00B61FF1">
        <w:rPr>
          <w:rFonts w:ascii="Arial" w:hAnsi="Arial" w:cs="Arial"/>
          <w:sz w:val="24"/>
          <w:szCs w:val="24"/>
        </w:rPr>
        <w:t xml:space="preserve">the </w:t>
      </w:r>
      <w:r w:rsidR="008E7565" w:rsidRPr="00B61FF1">
        <w:rPr>
          <w:rFonts w:ascii="Arial" w:hAnsi="Arial" w:cs="Arial"/>
          <w:sz w:val="24"/>
          <w:szCs w:val="24"/>
        </w:rPr>
        <w:t xml:space="preserve">execution </w:t>
      </w:r>
      <w:r w:rsidR="00D65360" w:rsidRPr="00B61FF1">
        <w:rPr>
          <w:rFonts w:ascii="Arial" w:hAnsi="Arial" w:cs="Arial"/>
          <w:sz w:val="24"/>
          <w:szCs w:val="24"/>
        </w:rPr>
        <w:t>date of</w:t>
      </w:r>
      <w:r w:rsidR="008E7565" w:rsidRPr="00B61FF1">
        <w:rPr>
          <w:rFonts w:ascii="Arial" w:hAnsi="Arial" w:cs="Arial"/>
          <w:sz w:val="24"/>
          <w:szCs w:val="24"/>
        </w:rPr>
        <w:t xml:space="preserve"> the</w:t>
      </w:r>
      <w:r w:rsidR="00D65360" w:rsidRPr="00B61FF1">
        <w:rPr>
          <w:rFonts w:ascii="Arial" w:hAnsi="Arial" w:cs="Arial"/>
          <w:sz w:val="24"/>
          <w:szCs w:val="24"/>
        </w:rPr>
        <w:t xml:space="preserve"> </w:t>
      </w:r>
      <w:r w:rsidRPr="00B61FF1">
        <w:rPr>
          <w:rFonts w:ascii="Arial" w:hAnsi="Arial" w:cs="Arial"/>
          <w:sz w:val="24"/>
          <w:szCs w:val="24"/>
        </w:rPr>
        <w:t>signed contract;</w:t>
      </w:r>
      <w:r w:rsidR="002E2084" w:rsidRPr="00B61FF1">
        <w:rPr>
          <w:rFonts w:ascii="Arial" w:hAnsi="Arial" w:cs="Arial"/>
          <w:sz w:val="24"/>
          <w:szCs w:val="24"/>
        </w:rPr>
        <w:t xml:space="preserve"> </w:t>
      </w:r>
      <w:r w:rsidR="00006E49" w:rsidRPr="00B61FF1">
        <w:rPr>
          <w:rFonts w:ascii="Arial" w:hAnsi="Arial" w:cs="Arial"/>
          <w:sz w:val="24"/>
          <w:szCs w:val="24"/>
        </w:rPr>
        <w:t>or</w:t>
      </w:r>
    </w:p>
    <w:p w14:paraId="7E2474F7" w14:textId="77777777" w:rsidR="001B6278" w:rsidRPr="00B61FF1" w:rsidRDefault="0002619A" w:rsidP="00417789">
      <w:pPr>
        <w:tabs>
          <w:tab w:val="left" w:pos="1080"/>
        </w:tabs>
        <w:spacing w:line="360" w:lineRule="auto"/>
        <w:ind w:left="1800" w:hanging="720"/>
        <w:rPr>
          <w:rFonts w:ascii="Arial" w:hAnsi="Arial" w:cs="Arial"/>
          <w:dstrike/>
          <w:sz w:val="24"/>
          <w:szCs w:val="24"/>
        </w:rPr>
      </w:pPr>
      <w:r w:rsidRPr="00B61FF1">
        <w:rPr>
          <w:rFonts w:ascii="Arial" w:hAnsi="Arial" w:cs="Arial"/>
          <w:sz w:val="24"/>
          <w:szCs w:val="24"/>
        </w:rPr>
        <w:t>(B)</w:t>
      </w:r>
      <w:r w:rsidRPr="00B61FF1">
        <w:rPr>
          <w:rFonts w:ascii="Arial" w:hAnsi="Arial" w:cs="Arial"/>
          <w:sz w:val="24"/>
          <w:szCs w:val="24"/>
        </w:rPr>
        <w:tab/>
      </w:r>
      <w:r w:rsidR="00D4436E" w:rsidRPr="00B61FF1">
        <w:rPr>
          <w:rFonts w:ascii="Arial" w:hAnsi="Arial" w:cs="Arial"/>
          <w:sz w:val="24"/>
          <w:szCs w:val="24"/>
        </w:rPr>
        <w:t>January 1, 2012</w:t>
      </w:r>
      <w:r w:rsidR="00265610" w:rsidRPr="00B61FF1">
        <w:rPr>
          <w:rFonts w:ascii="Arial" w:hAnsi="Arial" w:cs="Arial"/>
          <w:sz w:val="24"/>
          <w:szCs w:val="24"/>
        </w:rPr>
        <w:t>; or</w:t>
      </w:r>
    </w:p>
    <w:p w14:paraId="57A81BA5" w14:textId="77777777" w:rsidR="008E7565" w:rsidRPr="00B61FF1" w:rsidRDefault="008E7565" w:rsidP="00417789">
      <w:pPr>
        <w:tabs>
          <w:tab w:val="left" w:pos="1080"/>
        </w:tabs>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10 days after the date on which the CEC provides notice that the operator’s electricity generating facility is certified as eligible for California’s Renewables Portfolio Standard </w:t>
      </w:r>
      <w:r w:rsidR="00DC20CA" w:rsidRPr="00B61FF1">
        <w:rPr>
          <w:rFonts w:ascii="Arial" w:hAnsi="Arial" w:cs="Arial"/>
          <w:sz w:val="24"/>
          <w:szCs w:val="24"/>
        </w:rPr>
        <w:t>for</w:t>
      </w:r>
      <w:r w:rsidRPr="00B61FF1">
        <w:rPr>
          <w:rFonts w:ascii="Arial" w:hAnsi="Arial" w:cs="Arial"/>
          <w:sz w:val="24"/>
          <w:szCs w:val="24"/>
        </w:rPr>
        <w:t xml:space="preserve"> the contracted biomass-derived fuel, or cannot be so certified, provided that the application for certification was submitted to the CEC before January 1, 2012.  </w:t>
      </w:r>
    </w:p>
    <w:p w14:paraId="673962C7" w14:textId="198B9489" w:rsidR="00381BE9" w:rsidRPr="00B61FF1" w:rsidRDefault="00D42E23" w:rsidP="00676077">
      <w:pPr>
        <w:spacing w:line="360" w:lineRule="auto"/>
        <w:ind w:left="1080" w:hanging="720"/>
        <w:rPr>
          <w:rFonts w:ascii="Arial" w:hAnsi="Arial" w:cs="Arial"/>
          <w:dstrike/>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trike/>
          <w:sz w:val="24"/>
          <w:szCs w:val="24"/>
        </w:rPr>
        <w:t xml:space="preserve">The fuel being provided under a contract dated </w:t>
      </w:r>
      <w:r w:rsidR="00CE1396" w:rsidRPr="00B61FF1">
        <w:rPr>
          <w:rFonts w:ascii="Arial" w:hAnsi="Arial" w:cs="Arial"/>
          <w:strike/>
          <w:sz w:val="24"/>
          <w:szCs w:val="24"/>
        </w:rPr>
        <w:t xml:space="preserve">on or </w:t>
      </w:r>
      <w:r w:rsidR="00FE6B15" w:rsidRPr="00B61FF1">
        <w:rPr>
          <w:rFonts w:ascii="Arial" w:hAnsi="Arial" w:cs="Arial"/>
          <w:strike/>
          <w:sz w:val="24"/>
          <w:szCs w:val="24"/>
        </w:rPr>
        <w:t>after January 1, 2012 must only be for an amount of fuel that is associated with</w:t>
      </w:r>
      <w:r w:rsidR="007B51FF" w:rsidRPr="00B61FF1">
        <w:rPr>
          <w:rFonts w:ascii="Arial" w:hAnsi="Arial" w:cs="Arial"/>
          <w:strike/>
          <w:sz w:val="24"/>
          <w:szCs w:val="24"/>
        </w:rPr>
        <w:t xml:space="preserve"> </w:t>
      </w:r>
      <w:r w:rsidR="007B51FF" w:rsidRPr="00B61FF1">
        <w:rPr>
          <w:rFonts w:ascii="Arial" w:hAnsi="Arial" w:cs="Arial"/>
          <w:sz w:val="24"/>
          <w:szCs w:val="24"/>
          <w:u w:val="single"/>
        </w:rPr>
        <w:t>If the biomass-derived fuel does not meet the requirements of 95852.1.1(a)(1) then the biomass-derived fuel must meet one of the following requirements and the entity claiming the biomass-derived fuel must be the first entity to contract for the biomass-derived fuel</w:t>
      </w:r>
      <w:r w:rsidR="00D4436E" w:rsidRPr="00B61FF1">
        <w:rPr>
          <w:rFonts w:ascii="Arial" w:hAnsi="Arial" w:cs="Arial"/>
          <w:sz w:val="24"/>
          <w:szCs w:val="24"/>
        </w:rPr>
        <w:t>:</w:t>
      </w:r>
    </w:p>
    <w:p w14:paraId="1F8F6455" w14:textId="77777777" w:rsidR="00210327" w:rsidRPr="00B61FF1" w:rsidRDefault="00210327" w:rsidP="00210327">
      <w:pPr>
        <w:tabs>
          <w:tab w:val="left" w:pos="1080"/>
        </w:tabs>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An increase in th</w:t>
      </w:r>
      <w:r w:rsidR="00694315" w:rsidRPr="00B61FF1">
        <w:rPr>
          <w:rFonts w:ascii="Arial" w:hAnsi="Arial" w:cs="Arial"/>
          <w:sz w:val="24"/>
          <w:szCs w:val="24"/>
        </w:rPr>
        <w:t>e biomass derived fuel production</w:t>
      </w:r>
      <w:r w:rsidRPr="00B61FF1">
        <w:rPr>
          <w:rFonts w:ascii="Arial" w:hAnsi="Arial" w:cs="Arial"/>
          <w:sz w:val="24"/>
          <w:szCs w:val="24"/>
        </w:rPr>
        <w:t xml:space="preserve"> capacity</w:t>
      </w:r>
      <w:r w:rsidR="00694315" w:rsidRPr="00B61FF1">
        <w:rPr>
          <w:rFonts w:ascii="Arial" w:hAnsi="Arial" w:cs="Arial"/>
          <w:sz w:val="24"/>
          <w:szCs w:val="24"/>
        </w:rPr>
        <w:t>, at a particular site,</w:t>
      </w:r>
      <w:r w:rsidRPr="00B61FF1">
        <w:rPr>
          <w:rFonts w:ascii="Arial" w:hAnsi="Arial" w:cs="Arial"/>
          <w:sz w:val="24"/>
          <w:szCs w:val="24"/>
        </w:rPr>
        <w:t xml:space="preserve"> where</w:t>
      </w:r>
      <w:r w:rsidR="00CE1396" w:rsidRPr="00B61FF1">
        <w:rPr>
          <w:rFonts w:ascii="Arial" w:hAnsi="Arial" w:cs="Arial"/>
          <w:sz w:val="24"/>
          <w:szCs w:val="24"/>
        </w:rPr>
        <w:t xml:space="preserve"> an</w:t>
      </w:r>
      <w:r w:rsidRPr="00B61FF1">
        <w:rPr>
          <w:rFonts w:ascii="Arial" w:hAnsi="Arial" w:cs="Arial"/>
          <w:sz w:val="24"/>
          <w:szCs w:val="24"/>
        </w:rPr>
        <w:t xml:space="preserve"> increase is considered any amount </w:t>
      </w:r>
      <w:r w:rsidRPr="00B61FF1">
        <w:rPr>
          <w:rFonts w:ascii="Arial" w:hAnsi="Arial" w:cs="Arial"/>
          <w:sz w:val="24"/>
          <w:szCs w:val="24"/>
        </w:rPr>
        <w:lastRenderedPageBreak/>
        <w:t xml:space="preserve">over the </w:t>
      </w:r>
      <w:r w:rsidR="00694315" w:rsidRPr="00B61FF1">
        <w:rPr>
          <w:rFonts w:ascii="Arial" w:hAnsi="Arial" w:cs="Arial"/>
          <w:sz w:val="24"/>
          <w:szCs w:val="24"/>
        </w:rPr>
        <w:t>average production at that site over</w:t>
      </w:r>
      <w:r w:rsidR="00DC20CA" w:rsidRPr="00B61FF1">
        <w:rPr>
          <w:rFonts w:ascii="Arial" w:hAnsi="Arial" w:cs="Arial"/>
          <w:sz w:val="24"/>
          <w:szCs w:val="24"/>
        </w:rPr>
        <w:t xml:space="preserve"> the</w:t>
      </w:r>
      <w:r w:rsidR="00694315" w:rsidRPr="00B61FF1">
        <w:rPr>
          <w:rFonts w:ascii="Arial" w:hAnsi="Arial" w:cs="Arial"/>
          <w:sz w:val="24"/>
          <w:szCs w:val="24"/>
        </w:rPr>
        <w:t xml:space="preserve"> </w:t>
      </w:r>
      <w:r w:rsidRPr="00B61FF1">
        <w:rPr>
          <w:rFonts w:ascii="Arial" w:hAnsi="Arial" w:cs="Arial"/>
          <w:sz w:val="24"/>
          <w:szCs w:val="24"/>
        </w:rPr>
        <w:t>last three years;</w:t>
      </w:r>
      <w:r w:rsidR="00B868DF" w:rsidRPr="00B61FF1">
        <w:rPr>
          <w:rFonts w:ascii="Arial" w:hAnsi="Arial" w:cs="Arial"/>
          <w:sz w:val="24"/>
          <w:szCs w:val="24"/>
        </w:rPr>
        <w:t xml:space="preserve"> or</w:t>
      </w:r>
    </w:p>
    <w:p w14:paraId="5B08C3E7" w14:textId="581CA2E9" w:rsidR="00210327" w:rsidRPr="00B61FF1" w:rsidRDefault="00210327" w:rsidP="00B868DF">
      <w:pPr>
        <w:tabs>
          <w:tab w:val="left" w:pos="1080"/>
        </w:tabs>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Recovery of the fuel </w:t>
      </w:r>
      <w:r w:rsidR="00CE1396" w:rsidRPr="00B61FF1">
        <w:rPr>
          <w:rFonts w:ascii="Arial" w:hAnsi="Arial" w:cs="Arial"/>
          <w:sz w:val="24"/>
          <w:szCs w:val="24"/>
        </w:rPr>
        <w:t xml:space="preserve">at a site where the </w:t>
      </w:r>
      <w:r w:rsidR="00694315" w:rsidRPr="00B61FF1">
        <w:rPr>
          <w:rFonts w:ascii="Arial" w:hAnsi="Arial" w:cs="Arial"/>
          <w:sz w:val="24"/>
          <w:szCs w:val="24"/>
        </w:rPr>
        <w:t xml:space="preserve">fuel </w:t>
      </w:r>
      <w:r w:rsidRPr="00B61FF1">
        <w:rPr>
          <w:rFonts w:ascii="Arial" w:hAnsi="Arial" w:cs="Arial"/>
          <w:sz w:val="24"/>
          <w:szCs w:val="24"/>
        </w:rPr>
        <w:t xml:space="preserve">was </w:t>
      </w:r>
      <w:r w:rsidR="00694315" w:rsidRPr="00B61FF1">
        <w:rPr>
          <w:rFonts w:ascii="Arial" w:hAnsi="Arial" w:cs="Arial"/>
          <w:sz w:val="24"/>
          <w:szCs w:val="24"/>
        </w:rPr>
        <w:t xml:space="preserve">previously </w:t>
      </w:r>
      <w:r w:rsidRPr="00B61FF1">
        <w:rPr>
          <w:rFonts w:ascii="Arial" w:hAnsi="Arial" w:cs="Arial"/>
          <w:sz w:val="24"/>
          <w:szCs w:val="24"/>
        </w:rPr>
        <w:t xml:space="preserve">being </w:t>
      </w:r>
      <w:r w:rsidR="00694315" w:rsidRPr="00B61FF1">
        <w:rPr>
          <w:rFonts w:ascii="Arial" w:hAnsi="Arial" w:cs="Arial"/>
          <w:sz w:val="24"/>
          <w:szCs w:val="24"/>
        </w:rPr>
        <w:t xml:space="preserve">vented or </w:t>
      </w:r>
      <w:r w:rsidRPr="00B61FF1">
        <w:rPr>
          <w:rFonts w:ascii="Arial" w:hAnsi="Arial" w:cs="Arial"/>
          <w:sz w:val="24"/>
          <w:szCs w:val="24"/>
        </w:rPr>
        <w:t>destroyed</w:t>
      </w:r>
      <w:r w:rsidR="007B51FF" w:rsidRPr="00B61FF1">
        <w:t xml:space="preserve"> </w:t>
      </w:r>
      <w:r w:rsidR="007B51FF" w:rsidRPr="00B61FF1">
        <w:rPr>
          <w:rFonts w:ascii="Arial" w:hAnsi="Arial" w:cs="Arial"/>
          <w:sz w:val="24"/>
          <w:szCs w:val="24"/>
          <w:u w:val="single"/>
        </w:rPr>
        <w:t xml:space="preserve">for at least three years or since commencement of fuel recovery operations, whichever is shorter, </w:t>
      </w:r>
      <w:r w:rsidRPr="00B61FF1">
        <w:rPr>
          <w:rFonts w:ascii="Arial" w:hAnsi="Arial" w:cs="Arial"/>
          <w:sz w:val="24"/>
          <w:szCs w:val="24"/>
        </w:rPr>
        <w:t xml:space="preserve">without producing </w:t>
      </w:r>
      <w:r w:rsidR="00B868DF" w:rsidRPr="00B61FF1">
        <w:rPr>
          <w:rFonts w:ascii="Arial" w:hAnsi="Arial" w:cs="Arial"/>
          <w:sz w:val="24"/>
          <w:szCs w:val="24"/>
        </w:rPr>
        <w:t>useful energy transfer.</w:t>
      </w:r>
    </w:p>
    <w:p w14:paraId="7A506981" w14:textId="77777777" w:rsidR="0002619A" w:rsidRPr="00B61FF1" w:rsidRDefault="00D42E23" w:rsidP="00D42E23">
      <w:pPr>
        <w:spacing w:line="360" w:lineRule="auto"/>
        <w:ind w:left="1080" w:hanging="720"/>
        <w:rPr>
          <w:rFonts w:ascii="Arial" w:hAnsi="Arial" w:cs="Arial"/>
          <w:strike/>
          <w:sz w:val="24"/>
          <w:szCs w:val="24"/>
        </w:rPr>
      </w:pPr>
      <w:r w:rsidRPr="00B61FF1">
        <w:rPr>
          <w:rFonts w:ascii="Arial" w:hAnsi="Arial" w:cs="Arial"/>
          <w:strike/>
          <w:sz w:val="24"/>
          <w:szCs w:val="24"/>
        </w:rPr>
        <w:t>(3)</w:t>
      </w:r>
      <w:r w:rsidRPr="00B61FF1">
        <w:rPr>
          <w:rFonts w:ascii="Arial" w:hAnsi="Arial" w:cs="Arial"/>
          <w:strike/>
          <w:sz w:val="24"/>
          <w:szCs w:val="24"/>
        </w:rPr>
        <w:tab/>
      </w:r>
      <w:r w:rsidR="0002619A" w:rsidRPr="00B61FF1">
        <w:rPr>
          <w:rFonts w:ascii="Arial" w:hAnsi="Arial" w:cs="Arial"/>
          <w:strike/>
          <w:sz w:val="24"/>
          <w:szCs w:val="24"/>
        </w:rPr>
        <w:t xml:space="preserve">The fuel being provided under a contract is for a fuel that was previously eligible under </w:t>
      </w:r>
      <w:r w:rsidR="008C4D9D" w:rsidRPr="00B61FF1">
        <w:rPr>
          <w:rFonts w:ascii="Arial" w:hAnsi="Arial" w:cs="Arial"/>
          <w:strike/>
          <w:sz w:val="24"/>
          <w:szCs w:val="24"/>
        </w:rPr>
        <w:t>sections 95852.1.1(a)(1) or (2)</w:t>
      </w:r>
      <w:r w:rsidR="0002619A" w:rsidRPr="00B61FF1">
        <w:rPr>
          <w:rFonts w:ascii="Arial" w:hAnsi="Arial" w:cs="Arial"/>
          <w:strike/>
          <w:sz w:val="24"/>
          <w:szCs w:val="24"/>
        </w:rPr>
        <w:t>, and the verifier is able to track the fuel to the previously eligible contract</w:t>
      </w:r>
      <w:r w:rsidR="002E2084" w:rsidRPr="00B61FF1">
        <w:rPr>
          <w:rFonts w:ascii="Arial" w:hAnsi="Arial" w:cs="Arial"/>
          <w:strike/>
          <w:sz w:val="24"/>
          <w:szCs w:val="24"/>
        </w:rPr>
        <w:t>;</w:t>
      </w:r>
      <w:r w:rsidR="0064463F" w:rsidRPr="00B61FF1">
        <w:rPr>
          <w:rFonts w:ascii="Arial" w:hAnsi="Arial" w:cs="Arial"/>
          <w:strike/>
          <w:sz w:val="24"/>
          <w:szCs w:val="24"/>
        </w:rPr>
        <w:t xml:space="preserve"> or</w:t>
      </w:r>
    </w:p>
    <w:p w14:paraId="79EC6BFA" w14:textId="122AFA37" w:rsidR="00FE6B15" w:rsidRPr="00B61FF1" w:rsidRDefault="00D42E23" w:rsidP="00D42E23">
      <w:pPr>
        <w:spacing w:line="360" w:lineRule="auto"/>
        <w:ind w:left="1080" w:hanging="720"/>
        <w:rPr>
          <w:rFonts w:ascii="Arial" w:hAnsi="Arial" w:cs="Arial"/>
          <w:sz w:val="24"/>
          <w:szCs w:val="24"/>
        </w:rPr>
      </w:pPr>
      <w:r w:rsidRPr="00B61FF1">
        <w:rPr>
          <w:rFonts w:ascii="Arial" w:hAnsi="Arial" w:cs="Arial"/>
          <w:strike/>
          <w:sz w:val="24"/>
          <w:szCs w:val="24"/>
        </w:rPr>
        <w:t>(</w:t>
      </w:r>
      <w:r w:rsidR="00006E49" w:rsidRPr="00B61FF1">
        <w:rPr>
          <w:rFonts w:ascii="Arial" w:hAnsi="Arial" w:cs="Arial"/>
          <w:strike/>
          <w:sz w:val="24"/>
          <w:szCs w:val="24"/>
        </w:rPr>
        <w:t>4</w:t>
      </w:r>
      <w:r w:rsidR="00BA7D26" w:rsidRPr="00B61FF1">
        <w:rPr>
          <w:rFonts w:ascii="Arial" w:hAnsi="Arial" w:cs="Arial"/>
          <w:strike/>
          <w:sz w:val="24"/>
          <w:szCs w:val="24"/>
        </w:rPr>
        <w:t>)</w:t>
      </w:r>
      <w:r w:rsidR="00BA7D26" w:rsidRPr="00B61FF1">
        <w:rPr>
          <w:rFonts w:ascii="Arial" w:hAnsi="Arial" w:cs="Arial"/>
          <w:sz w:val="24"/>
          <w:szCs w:val="24"/>
          <w:u w:val="single"/>
        </w:rPr>
        <w:t>(3</w:t>
      </w:r>
      <w:r w:rsidRPr="00B61FF1">
        <w:rPr>
          <w:rFonts w:ascii="Arial" w:hAnsi="Arial" w:cs="Arial"/>
          <w:sz w:val="24"/>
          <w:szCs w:val="24"/>
          <w:u w:val="single"/>
        </w:rPr>
        <w:t>)</w:t>
      </w:r>
      <w:r w:rsidRPr="00B61FF1">
        <w:rPr>
          <w:rFonts w:ascii="Arial" w:hAnsi="Arial" w:cs="Arial"/>
          <w:sz w:val="24"/>
          <w:szCs w:val="24"/>
        </w:rPr>
        <w:tab/>
      </w:r>
      <w:r w:rsidR="00FE6B15" w:rsidRPr="00B61FF1">
        <w:rPr>
          <w:rFonts w:ascii="Arial" w:hAnsi="Arial" w:cs="Arial"/>
          <w:sz w:val="24"/>
          <w:szCs w:val="24"/>
        </w:rPr>
        <w:t xml:space="preserve">If the </w:t>
      </w:r>
      <w:r w:rsidR="008B65F1" w:rsidRPr="00B61FF1">
        <w:rPr>
          <w:rFonts w:ascii="Arial" w:hAnsi="Arial" w:cs="Arial"/>
          <w:sz w:val="24"/>
          <w:szCs w:val="24"/>
        </w:rPr>
        <w:t>biogas or biomethane</w:t>
      </w:r>
      <w:r w:rsidR="00FE6B15" w:rsidRPr="00B61FF1">
        <w:rPr>
          <w:rFonts w:ascii="Arial" w:hAnsi="Arial" w:cs="Arial"/>
          <w:sz w:val="24"/>
          <w:szCs w:val="24"/>
        </w:rPr>
        <w:t xml:space="preserve"> is used at the site of production, and not transferred to another operator</w:t>
      </w:r>
      <w:r w:rsidR="008C4D9D" w:rsidRPr="00B61FF1">
        <w:rPr>
          <w:rFonts w:ascii="Arial" w:hAnsi="Arial" w:cs="Arial"/>
          <w:sz w:val="24"/>
          <w:szCs w:val="24"/>
        </w:rPr>
        <w:t>,</w:t>
      </w:r>
      <w:r w:rsidR="00FE6B15" w:rsidRPr="00B61FF1">
        <w:rPr>
          <w:rFonts w:ascii="Arial" w:hAnsi="Arial" w:cs="Arial"/>
          <w:sz w:val="24"/>
          <w:szCs w:val="24"/>
        </w:rPr>
        <w:t xml:space="preserve"> thus not requiring a contract, the operator must demonstrate one of the following:</w:t>
      </w:r>
    </w:p>
    <w:p w14:paraId="7DF7483B" w14:textId="77777777" w:rsidR="00FE6B15" w:rsidRPr="00B61FF1" w:rsidRDefault="00D42E23" w:rsidP="00D42E2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16715C" w:rsidRPr="00B61FF1">
        <w:rPr>
          <w:rFonts w:ascii="Arial" w:hAnsi="Arial" w:cs="Arial"/>
          <w:sz w:val="24"/>
          <w:szCs w:val="24"/>
        </w:rPr>
        <w:t>T</w:t>
      </w:r>
      <w:r w:rsidR="00FE6B15" w:rsidRPr="00B61FF1">
        <w:rPr>
          <w:rFonts w:ascii="Arial" w:hAnsi="Arial" w:cs="Arial"/>
          <w:sz w:val="24"/>
          <w:szCs w:val="24"/>
        </w:rPr>
        <w:t>he fuel has been combusted in California prior to January 1, 2012;</w:t>
      </w:r>
      <w:r w:rsidR="008B65F1" w:rsidRPr="00B61FF1">
        <w:rPr>
          <w:rFonts w:ascii="Arial" w:hAnsi="Arial" w:cs="Arial"/>
          <w:sz w:val="24"/>
          <w:szCs w:val="24"/>
        </w:rPr>
        <w:t xml:space="preserve"> or</w:t>
      </w:r>
    </w:p>
    <w:p w14:paraId="129B0DBA" w14:textId="1D3384BB" w:rsidR="00FE6B15" w:rsidRPr="00B61FF1" w:rsidRDefault="00D42E23" w:rsidP="00D42E23">
      <w:pPr>
        <w:spacing w:line="360" w:lineRule="auto"/>
        <w:ind w:left="1800" w:hanging="720"/>
        <w:rPr>
          <w:rFonts w:ascii="Arial" w:hAnsi="Arial" w:cs="Arial"/>
          <w:sz w:val="24"/>
          <w:szCs w:val="24"/>
        </w:rPr>
      </w:pPr>
      <w:r w:rsidRPr="00B61FF1">
        <w:rPr>
          <w:rFonts w:ascii="Arial" w:hAnsi="Arial" w:cs="Arial"/>
          <w:sz w:val="24"/>
          <w:szCs w:val="24"/>
        </w:rPr>
        <w:t>(</w:t>
      </w:r>
      <w:r w:rsidR="008B65F1"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676077" w:rsidRPr="00B61FF1">
        <w:rPr>
          <w:rFonts w:ascii="Arial" w:hAnsi="Arial" w:cs="Arial"/>
          <w:sz w:val="24"/>
          <w:szCs w:val="24"/>
        </w:rPr>
        <w:t>The</w:t>
      </w:r>
      <w:r w:rsidR="008B65F1" w:rsidRPr="00B61FF1">
        <w:rPr>
          <w:rFonts w:ascii="Arial" w:hAnsi="Arial" w:cs="Arial"/>
          <w:sz w:val="24"/>
          <w:szCs w:val="24"/>
        </w:rPr>
        <w:t xml:space="preserve"> fuel </w:t>
      </w:r>
      <w:r w:rsidR="00676077" w:rsidRPr="00B61FF1">
        <w:rPr>
          <w:rFonts w:ascii="Arial" w:hAnsi="Arial" w:cs="Arial"/>
          <w:sz w:val="24"/>
          <w:szCs w:val="24"/>
        </w:rPr>
        <w:t>was</w:t>
      </w:r>
      <w:r w:rsidR="008B65F1" w:rsidRPr="00B61FF1">
        <w:rPr>
          <w:rFonts w:ascii="Arial" w:hAnsi="Arial" w:cs="Arial"/>
          <w:sz w:val="24"/>
          <w:szCs w:val="24"/>
        </w:rPr>
        <w:t xml:space="preserve"> not previously used to </w:t>
      </w:r>
      <w:r w:rsidR="00FE6B15" w:rsidRPr="00B61FF1">
        <w:rPr>
          <w:rFonts w:ascii="Arial" w:hAnsi="Arial" w:cs="Arial"/>
          <w:sz w:val="24"/>
          <w:szCs w:val="24"/>
        </w:rPr>
        <w:t>produce useful energy transfer</w:t>
      </w:r>
      <w:r w:rsidR="00BA7D26" w:rsidRPr="00B61FF1">
        <w:t xml:space="preserve"> </w:t>
      </w:r>
      <w:r w:rsidR="00BA7D26" w:rsidRPr="00B61FF1">
        <w:rPr>
          <w:rFonts w:ascii="Arial" w:hAnsi="Arial" w:cs="Arial"/>
          <w:sz w:val="24"/>
          <w:szCs w:val="24"/>
          <w:u w:val="single"/>
        </w:rPr>
        <w:t>for at least three years or since commencement of fuel recovery operations, whichever is shorter</w:t>
      </w:r>
      <w:r w:rsidR="00FE6B15" w:rsidRPr="00B61FF1">
        <w:rPr>
          <w:rFonts w:ascii="Arial" w:hAnsi="Arial" w:cs="Arial"/>
          <w:sz w:val="24"/>
          <w:szCs w:val="24"/>
        </w:rPr>
        <w:t>.</w:t>
      </w:r>
    </w:p>
    <w:p w14:paraId="7D4EE1F0" w14:textId="030F5E1F" w:rsidR="00BA7D26" w:rsidRPr="00B61FF1" w:rsidRDefault="00BA7D26" w:rsidP="00BA7D26">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The fuel being provided under a contract is for a fuel that was previously eligible under sections 95852.1.1(a)(1),(2) or (3), and the verifier is able to track the fuel to the previously eligible contract.</w:t>
      </w:r>
    </w:p>
    <w:p w14:paraId="616A49A6" w14:textId="747F7B32" w:rsidR="008B65F1" w:rsidRPr="00B61FF1" w:rsidRDefault="00D42E23" w:rsidP="00694315">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C40EFB" w:rsidRPr="00B61FF1">
        <w:rPr>
          <w:rFonts w:ascii="Arial" w:hAnsi="Arial" w:cs="Arial"/>
          <w:sz w:val="24"/>
          <w:szCs w:val="24"/>
        </w:rPr>
        <w:t>An entity may not sell, trade, give away, claim</w:t>
      </w:r>
      <w:r w:rsidR="009322B5" w:rsidRPr="00B61FF1">
        <w:rPr>
          <w:rFonts w:ascii="Arial" w:hAnsi="Arial" w:cs="Arial"/>
          <w:sz w:val="24"/>
          <w:szCs w:val="24"/>
        </w:rPr>
        <w:t>,</w:t>
      </w:r>
      <w:r w:rsidR="00C40EFB" w:rsidRPr="00B61FF1">
        <w:rPr>
          <w:rFonts w:ascii="Arial" w:hAnsi="Arial" w:cs="Arial"/>
          <w:sz w:val="24"/>
          <w:szCs w:val="24"/>
        </w:rPr>
        <w:t xml:space="preserve"> or otherwise dispose of any of the carbon credits, carbon benefits, carbon emissions reductions, carbon offsets or allowances, howsoever entitled, attributed to the fuel production that would, when combined with the </w:t>
      </w:r>
      <w:r w:rsidR="00CE1396" w:rsidRPr="00B61FF1">
        <w:rPr>
          <w:rFonts w:ascii="Arial" w:hAnsi="Arial" w:cs="Arial"/>
          <w:sz w:val="24"/>
          <w:szCs w:val="24"/>
        </w:rPr>
        <w:t>CO</w:t>
      </w:r>
      <w:r w:rsidR="00CE1396" w:rsidRPr="00B61FF1">
        <w:rPr>
          <w:rFonts w:ascii="Arial" w:hAnsi="Arial" w:cs="Arial"/>
          <w:sz w:val="24"/>
          <w:szCs w:val="24"/>
          <w:vertAlign w:val="subscript"/>
        </w:rPr>
        <w:t>2</w:t>
      </w:r>
      <w:r w:rsidR="00C40EFB" w:rsidRPr="00B61FF1">
        <w:rPr>
          <w:rFonts w:ascii="Arial" w:hAnsi="Arial" w:cs="Arial"/>
          <w:sz w:val="24"/>
          <w:szCs w:val="24"/>
        </w:rPr>
        <w:t xml:space="preserve"> emissions from complete combustion of the fuel, result in more </w:t>
      </w:r>
      <w:r w:rsidR="00CE1396" w:rsidRPr="00B61FF1">
        <w:rPr>
          <w:rFonts w:ascii="Arial" w:hAnsi="Arial" w:cs="Arial"/>
          <w:sz w:val="24"/>
          <w:szCs w:val="24"/>
        </w:rPr>
        <w:t>CO</w:t>
      </w:r>
      <w:r w:rsidR="00CE1396" w:rsidRPr="00B61FF1">
        <w:rPr>
          <w:rFonts w:ascii="Arial" w:hAnsi="Arial" w:cs="Arial"/>
          <w:sz w:val="24"/>
          <w:szCs w:val="24"/>
          <w:vertAlign w:val="subscript"/>
        </w:rPr>
        <w:t>2</w:t>
      </w:r>
      <w:r w:rsidR="00CE1396" w:rsidRPr="00B61FF1">
        <w:rPr>
          <w:rFonts w:ascii="Arial" w:hAnsi="Arial" w:cs="Arial"/>
          <w:sz w:val="24"/>
          <w:szCs w:val="24"/>
        </w:rPr>
        <w:t>e</w:t>
      </w:r>
      <w:r w:rsidR="00C40EFB" w:rsidRPr="00B61FF1">
        <w:rPr>
          <w:rFonts w:ascii="Arial" w:hAnsi="Arial" w:cs="Arial"/>
          <w:sz w:val="24"/>
          <w:szCs w:val="24"/>
        </w:rPr>
        <w:t xml:space="preserve"> emissions than would have occurred in the a</w:t>
      </w:r>
      <w:r w:rsidR="00196827" w:rsidRPr="00B61FF1">
        <w:rPr>
          <w:rFonts w:ascii="Arial" w:hAnsi="Arial" w:cs="Arial"/>
          <w:sz w:val="24"/>
          <w:szCs w:val="24"/>
        </w:rPr>
        <w:t xml:space="preserve">bsence of the fuel production. </w:t>
      </w:r>
      <w:r w:rsidR="00754E0B" w:rsidRPr="00B61FF1">
        <w:rPr>
          <w:rFonts w:ascii="Arial" w:hAnsi="Arial" w:cs="Arial"/>
          <w:sz w:val="24"/>
          <w:szCs w:val="24"/>
        </w:rPr>
        <w:t xml:space="preserve"> </w:t>
      </w:r>
      <w:r w:rsidR="00694315" w:rsidRPr="00B61FF1">
        <w:rPr>
          <w:rFonts w:ascii="Arial" w:hAnsi="Arial" w:cs="Arial"/>
          <w:sz w:val="24"/>
          <w:szCs w:val="24"/>
        </w:rPr>
        <w:t>In the case of biomethane or biogas produced from digesters or landfills</w:t>
      </w:r>
      <w:r w:rsidR="00CE1396" w:rsidRPr="00B61FF1">
        <w:rPr>
          <w:rFonts w:ascii="Arial" w:hAnsi="Arial" w:cs="Arial"/>
          <w:sz w:val="24"/>
          <w:szCs w:val="24"/>
        </w:rPr>
        <w:t>,</w:t>
      </w:r>
      <w:r w:rsidR="00694315" w:rsidRPr="00B61FF1">
        <w:rPr>
          <w:rFonts w:ascii="Arial" w:hAnsi="Arial" w:cs="Arial"/>
          <w:sz w:val="24"/>
          <w:szCs w:val="24"/>
        </w:rPr>
        <w:t xml:space="preserve"> the resulting </w:t>
      </w:r>
      <w:r w:rsidR="00196827" w:rsidRPr="00B61FF1">
        <w:rPr>
          <w:rFonts w:ascii="Arial" w:hAnsi="Arial" w:cs="Arial"/>
          <w:sz w:val="24"/>
          <w:szCs w:val="24"/>
        </w:rPr>
        <w:t>credit for avoided methane emissions</w:t>
      </w:r>
      <w:r w:rsidR="00694315" w:rsidRPr="00B61FF1">
        <w:rPr>
          <w:rFonts w:ascii="Arial" w:hAnsi="Arial" w:cs="Arial"/>
          <w:sz w:val="24"/>
          <w:szCs w:val="24"/>
        </w:rPr>
        <w:t xml:space="preserve"> may not exceed </w:t>
      </w:r>
      <w:r w:rsidR="00694315" w:rsidRPr="00B61FF1">
        <w:rPr>
          <w:rFonts w:ascii="Arial" w:hAnsi="Arial" w:cs="Arial"/>
          <w:strike/>
          <w:sz w:val="24"/>
          <w:szCs w:val="24"/>
        </w:rPr>
        <w:t>23.75</w:t>
      </w:r>
      <w:r w:rsidR="00DD3599" w:rsidRPr="00B61FF1">
        <w:rPr>
          <w:rFonts w:ascii="Arial" w:hAnsi="Arial" w:cs="Arial"/>
          <w:sz w:val="24"/>
          <w:szCs w:val="24"/>
        </w:rPr>
        <w:t xml:space="preserve"> </w:t>
      </w:r>
      <w:r w:rsidR="00DD3599" w:rsidRPr="00B61FF1">
        <w:rPr>
          <w:rFonts w:ascii="Arial" w:hAnsi="Arial" w:cs="Arial"/>
          <w:sz w:val="24"/>
          <w:szCs w:val="24"/>
          <w:u w:val="single"/>
        </w:rPr>
        <w:t xml:space="preserve">the global warming potential </w:t>
      </w:r>
      <w:r w:rsidR="001E7950">
        <w:rPr>
          <w:rFonts w:ascii="Arial" w:hAnsi="Arial" w:cs="Arial"/>
          <w:sz w:val="24"/>
          <w:szCs w:val="24"/>
          <w:u w:val="single"/>
        </w:rPr>
        <w:t xml:space="preserve">as listed in MRR </w:t>
      </w:r>
      <w:r w:rsidR="00DD3599" w:rsidRPr="00B61FF1">
        <w:rPr>
          <w:rFonts w:ascii="Arial" w:hAnsi="Arial" w:cs="Arial"/>
          <w:sz w:val="24"/>
          <w:szCs w:val="24"/>
          <w:u w:val="single"/>
        </w:rPr>
        <w:t>for methane</w:t>
      </w:r>
      <w:r w:rsidR="00BA7D26" w:rsidRPr="00B61FF1">
        <w:rPr>
          <w:rFonts w:ascii="Arial" w:hAnsi="Arial" w:cs="Arial"/>
          <w:sz w:val="24"/>
          <w:szCs w:val="24"/>
          <w:u w:val="single"/>
        </w:rPr>
        <w:t xml:space="preserve"> plus 2.75</w:t>
      </w:r>
      <w:r w:rsidR="009B42D6" w:rsidRPr="00B61FF1">
        <w:rPr>
          <w:rFonts w:ascii="Arial" w:hAnsi="Arial" w:cs="Arial"/>
          <w:sz w:val="24"/>
          <w:szCs w:val="24"/>
          <w:u w:val="single"/>
        </w:rPr>
        <w:t xml:space="preserve"> in</w:t>
      </w:r>
      <w:r w:rsidR="00694315" w:rsidRPr="00B61FF1">
        <w:rPr>
          <w:rFonts w:ascii="Arial" w:hAnsi="Arial" w:cs="Arial"/>
          <w:sz w:val="24"/>
          <w:szCs w:val="24"/>
        </w:rPr>
        <w:t xml:space="preserve"> metric tons of CO</w:t>
      </w:r>
      <w:r w:rsidR="00694315" w:rsidRPr="00B61FF1">
        <w:rPr>
          <w:rFonts w:ascii="Arial" w:hAnsi="Arial" w:cs="Arial"/>
          <w:sz w:val="24"/>
          <w:szCs w:val="24"/>
          <w:vertAlign w:val="subscript"/>
        </w:rPr>
        <w:t>2</w:t>
      </w:r>
      <w:r w:rsidR="00694315" w:rsidRPr="00B61FF1">
        <w:rPr>
          <w:rFonts w:ascii="Arial" w:hAnsi="Arial" w:cs="Arial"/>
          <w:sz w:val="24"/>
          <w:szCs w:val="24"/>
        </w:rPr>
        <w:t>e per ton of captured methane.</w:t>
      </w:r>
      <w:r w:rsidR="00D65360" w:rsidRPr="00B61FF1">
        <w:rPr>
          <w:rFonts w:ascii="Arial" w:hAnsi="Arial" w:cs="Arial"/>
          <w:sz w:val="24"/>
          <w:szCs w:val="24"/>
        </w:rPr>
        <w:t xml:space="preserve">  </w:t>
      </w:r>
      <w:r w:rsidR="00BA7D26" w:rsidRPr="00B61FF1">
        <w:rPr>
          <w:rFonts w:ascii="Arial" w:hAnsi="Arial" w:cs="Arial"/>
          <w:sz w:val="24"/>
          <w:szCs w:val="24"/>
          <w:u w:val="single"/>
        </w:rPr>
        <w:t xml:space="preserve">This includes any credit received </w:t>
      </w:r>
      <w:r w:rsidR="001E7950">
        <w:rPr>
          <w:rFonts w:ascii="Arial" w:hAnsi="Arial" w:cs="Arial"/>
          <w:sz w:val="24"/>
          <w:szCs w:val="24"/>
          <w:u w:val="single"/>
        </w:rPr>
        <w:t xml:space="preserve">by an entity </w:t>
      </w:r>
      <w:r w:rsidR="00BA7D26" w:rsidRPr="00B61FF1">
        <w:rPr>
          <w:rFonts w:ascii="Arial" w:hAnsi="Arial" w:cs="Arial"/>
          <w:sz w:val="24"/>
          <w:szCs w:val="24"/>
          <w:u w:val="single"/>
        </w:rPr>
        <w:t xml:space="preserve">in the Carbon Intensity calculation under the Low Carbon Fuel </w:t>
      </w:r>
      <w:r w:rsidR="00BA7D26" w:rsidRPr="00B61FF1">
        <w:rPr>
          <w:rFonts w:ascii="Arial" w:hAnsi="Arial" w:cs="Arial"/>
          <w:sz w:val="24"/>
          <w:szCs w:val="24"/>
          <w:u w:val="single"/>
        </w:rPr>
        <w:lastRenderedPageBreak/>
        <w:t xml:space="preserve">Standard Regulation (title 17, California Code of Regulations (CCR), sections 95480-95490) for methane capture. </w:t>
      </w:r>
      <w:r w:rsidR="00BA7D26" w:rsidRPr="00B61FF1">
        <w:rPr>
          <w:rFonts w:ascii="Arial" w:hAnsi="Arial" w:cs="Arial"/>
          <w:sz w:val="24"/>
          <w:szCs w:val="24"/>
        </w:rPr>
        <w:t xml:space="preserve">  </w:t>
      </w:r>
      <w:r w:rsidR="00C40EFB" w:rsidRPr="00B61FF1">
        <w:rPr>
          <w:rFonts w:ascii="Arial" w:hAnsi="Arial" w:cs="Arial"/>
          <w:sz w:val="24"/>
          <w:szCs w:val="24"/>
        </w:rPr>
        <w:t xml:space="preserve">All calculations of </w:t>
      </w:r>
      <w:r w:rsidR="00CE1396" w:rsidRPr="00B61FF1">
        <w:rPr>
          <w:rFonts w:ascii="Arial" w:hAnsi="Arial" w:cs="Arial"/>
          <w:sz w:val="24"/>
          <w:szCs w:val="24"/>
        </w:rPr>
        <w:t>CO</w:t>
      </w:r>
      <w:r w:rsidR="00CE1396" w:rsidRPr="00B61FF1">
        <w:rPr>
          <w:rFonts w:ascii="Arial" w:hAnsi="Arial" w:cs="Arial"/>
          <w:sz w:val="24"/>
          <w:szCs w:val="24"/>
          <w:vertAlign w:val="subscript"/>
        </w:rPr>
        <w:t>2</w:t>
      </w:r>
      <w:r w:rsidR="00CE1396" w:rsidRPr="00B61FF1">
        <w:rPr>
          <w:rFonts w:ascii="Arial" w:hAnsi="Arial" w:cs="Arial"/>
          <w:sz w:val="24"/>
          <w:szCs w:val="24"/>
        </w:rPr>
        <w:t>e</w:t>
      </w:r>
      <w:r w:rsidR="00C40EFB" w:rsidRPr="00B61FF1">
        <w:rPr>
          <w:rFonts w:ascii="Arial" w:hAnsi="Arial" w:cs="Arial"/>
          <w:sz w:val="24"/>
          <w:szCs w:val="24"/>
        </w:rPr>
        <w:t xml:space="preserve"> emissions are base</w:t>
      </w:r>
      <w:r w:rsidR="00D504EE" w:rsidRPr="00B61FF1">
        <w:rPr>
          <w:rFonts w:ascii="Arial" w:hAnsi="Arial" w:cs="Arial"/>
          <w:sz w:val="24"/>
          <w:szCs w:val="24"/>
        </w:rPr>
        <w:t>d o</w:t>
      </w:r>
      <w:r w:rsidR="00C40EFB" w:rsidRPr="00B61FF1">
        <w:rPr>
          <w:rFonts w:ascii="Arial" w:hAnsi="Arial" w:cs="Arial"/>
          <w:sz w:val="24"/>
          <w:szCs w:val="24"/>
        </w:rPr>
        <w:t xml:space="preserve">n the 100-year global warming potentials </w:t>
      </w:r>
      <w:r w:rsidR="00DC20CA" w:rsidRPr="00B61FF1">
        <w:rPr>
          <w:rFonts w:ascii="Arial" w:hAnsi="Arial" w:cs="Arial"/>
          <w:sz w:val="24"/>
          <w:szCs w:val="24"/>
        </w:rPr>
        <w:t>included</w:t>
      </w:r>
      <w:r w:rsidR="00210A7A" w:rsidRPr="00B61FF1">
        <w:rPr>
          <w:rFonts w:ascii="Arial" w:hAnsi="Arial" w:cs="Arial"/>
          <w:sz w:val="24"/>
          <w:szCs w:val="24"/>
        </w:rPr>
        <w:t xml:space="preserve"> in MRR</w:t>
      </w:r>
      <w:r w:rsidR="00C40EFB" w:rsidRPr="00B61FF1">
        <w:rPr>
          <w:rFonts w:ascii="Arial" w:hAnsi="Arial" w:cs="Arial"/>
          <w:sz w:val="24"/>
          <w:szCs w:val="24"/>
        </w:rPr>
        <w:t xml:space="preserve">. Generation of Renewable Energy Credits is excluded from this analysis and will not prevent a biomass-derived fuel that meets the requirements in this section from being exempt from a compliance obligation.  </w:t>
      </w:r>
    </w:p>
    <w:p w14:paraId="45983E2B" w14:textId="77777777" w:rsidR="00FE6B15" w:rsidRPr="00B61FF1" w:rsidRDefault="00FE6B15" w:rsidP="004E3B67">
      <w:pPr>
        <w:spacing w:line="360" w:lineRule="auto"/>
        <w:ind w:left="720"/>
        <w:rPr>
          <w:rFonts w:ascii="Arial" w:hAnsi="Arial" w:cs="Arial"/>
          <w:sz w:val="24"/>
          <w:szCs w:val="24"/>
        </w:rPr>
      </w:pPr>
    </w:p>
    <w:p w14:paraId="7C95E1CB"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D041159"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401A4CB0" w14:textId="77777777" w:rsidR="00BD1FA4" w:rsidRPr="00B61FF1" w:rsidRDefault="00BD1FA4" w:rsidP="00EC7AFC">
      <w:pPr>
        <w:rPr>
          <w:rFonts w:ascii="Arial" w:hAnsi="Arial" w:cs="Arial"/>
        </w:rPr>
      </w:pPr>
    </w:p>
    <w:p w14:paraId="4BFCCF1C" w14:textId="77777777" w:rsidR="00FE6B15" w:rsidRPr="00B61FF1" w:rsidRDefault="00FE6B15" w:rsidP="00302FE6">
      <w:pPr>
        <w:pStyle w:val="Heading2"/>
        <w:rPr>
          <w:i/>
          <w:szCs w:val="24"/>
        </w:rPr>
      </w:pPr>
      <w:bookmarkStart w:id="202" w:name="_Toc299094933"/>
      <w:bookmarkStart w:id="203" w:name="_Toc302746786"/>
      <w:bookmarkStart w:id="204" w:name="_Toc352146248"/>
      <w:bookmarkStart w:id="205" w:name="_Toc361659849"/>
      <w:r w:rsidRPr="00B61FF1">
        <w:rPr>
          <w:szCs w:val="24"/>
        </w:rPr>
        <w:t>§ 95852.2.  Emissions w</w:t>
      </w:r>
      <w:r w:rsidRPr="00B61FF1" w:rsidDel="00FB0117">
        <w:rPr>
          <w:szCs w:val="24"/>
        </w:rPr>
        <w:t>i</w:t>
      </w:r>
      <w:r w:rsidRPr="00B61FF1">
        <w:rPr>
          <w:szCs w:val="24"/>
        </w:rPr>
        <w:t xml:space="preserve">thout a </w:t>
      </w:r>
      <w:bookmarkEnd w:id="202"/>
      <w:r w:rsidR="00D65360" w:rsidRPr="00B61FF1">
        <w:rPr>
          <w:szCs w:val="24"/>
        </w:rPr>
        <w:t>Compliance Obligation.</w:t>
      </w:r>
      <w:bookmarkEnd w:id="203"/>
      <w:bookmarkEnd w:id="204"/>
      <w:bookmarkEnd w:id="205"/>
    </w:p>
    <w:p w14:paraId="3CA2307A"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Emissions from the following source categories</w:t>
      </w:r>
      <w:r w:rsidR="00156520" w:rsidRPr="00B61FF1">
        <w:rPr>
          <w:rFonts w:ascii="Arial" w:hAnsi="Arial" w:cs="Arial"/>
          <w:sz w:val="24"/>
          <w:szCs w:val="24"/>
        </w:rPr>
        <w:t xml:space="preserve"> and </w:t>
      </w:r>
      <w:r w:rsidR="00D8016F" w:rsidRPr="00B61FF1">
        <w:rPr>
          <w:rFonts w:ascii="Arial" w:hAnsi="Arial" w:cs="Arial"/>
          <w:sz w:val="24"/>
          <w:szCs w:val="24"/>
        </w:rPr>
        <w:t xml:space="preserve">from the combustion of the following </w:t>
      </w:r>
      <w:r w:rsidR="00156520" w:rsidRPr="00B61FF1">
        <w:rPr>
          <w:rFonts w:ascii="Arial" w:hAnsi="Arial" w:cs="Arial"/>
          <w:sz w:val="24"/>
          <w:szCs w:val="24"/>
        </w:rPr>
        <w:t>fuel types</w:t>
      </w:r>
      <w:r w:rsidRPr="00B61FF1">
        <w:rPr>
          <w:rFonts w:ascii="Arial" w:hAnsi="Arial" w:cs="Arial"/>
          <w:sz w:val="24"/>
          <w:szCs w:val="24"/>
        </w:rPr>
        <w:t xml:space="preserve"> count toward applicab</w:t>
      </w:r>
      <w:r w:rsidR="00717BB5" w:rsidRPr="00B61FF1">
        <w:rPr>
          <w:rFonts w:ascii="Arial" w:hAnsi="Arial" w:cs="Arial"/>
          <w:sz w:val="24"/>
          <w:szCs w:val="24"/>
        </w:rPr>
        <w:t>le reporting thresholds</w:t>
      </w:r>
      <w:r w:rsidR="00940ECD" w:rsidRPr="00B61FF1">
        <w:rPr>
          <w:rFonts w:ascii="Arial" w:hAnsi="Arial" w:cs="Arial"/>
          <w:sz w:val="24"/>
          <w:szCs w:val="24"/>
        </w:rPr>
        <w:t>, as applicable in MRR,</w:t>
      </w:r>
      <w:r w:rsidR="00717BB5" w:rsidRPr="00B61FF1">
        <w:rPr>
          <w:rFonts w:ascii="Arial" w:hAnsi="Arial" w:cs="Arial"/>
          <w:sz w:val="24"/>
          <w:szCs w:val="24"/>
        </w:rPr>
        <w:t xml:space="preserve"> but do not count</w:t>
      </w:r>
      <w:r w:rsidRPr="00B61FF1">
        <w:rPr>
          <w:rFonts w:ascii="Arial" w:hAnsi="Arial" w:cs="Arial"/>
          <w:sz w:val="24"/>
          <w:szCs w:val="24"/>
        </w:rPr>
        <w:t xml:space="preserve"> toward a covered entity’s compliance obligation set forth in this </w:t>
      </w:r>
      <w:r w:rsidR="006B33D7" w:rsidRPr="00B61FF1">
        <w:rPr>
          <w:rFonts w:ascii="Arial" w:hAnsi="Arial" w:cs="Arial"/>
          <w:sz w:val="24"/>
          <w:szCs w:val="24"/>
        </w:rPr>
        <w:t>article</w:t>
      </w:r>
      <w:r w:rsidR="00676077" w:rsidRPr="00B61FF1">
        <w:rPr>
          <w:rFonts w:ascii="Arial" w:hAnsi="Arial" w:cs="Arial"/>
          <w:sz w:val="24"/>
          <w:szCs w:val="24"/>
        </w:rPr>
        <w:t xml:space="preserve"> unless t</w:t>
      </w:r>
      <w:r w:rsidR="00C64C59" w:rsidRPr="00B61FF1">
        <w:rPr>
          <w:rFonts w:ascii="Arial" w:hAnsi="Arial" w:cs="Arial"/>
          <w:sz w:val="24"/>
          <w:szCs w:val="24"/>
        </w:rPr>
        <w:t xml:space="preserve">hose emissions are reported as </w:t>
      </w:r>
      <w:r w:rsidR="00997935" w:rsidRPr="00B61FF1">
        <w:rPr>
          <w:rFonts w:ascii="Arial" w:hAnsi="Arial" w:cs="Arial"/>
          <w:sz w:val="24"/>
          <w:szCs w:val="24"/>
        </w:rPr>
        <w:t>non-exempt biomass</w:t>
      </w:r>
      <w:r w:rsidR="009322B5" w:rsidRPr="00B61FF1">
        <w:rPr>
          <w:rFonts w:ascii="Arial" w:hAnsi="Arial" w:cs="Arial"/>
          <w:sz w:val="24"/>
          <w:szCs w:val="24"/>
        </w:rPr>
        <w:t>-</w:t>
      </w:r>
      <w:r w:rsidR="00997935" w:rsidRPr="00B61FF1">
        <w:rPr>
          <w:rFonts w:ascii="Arial" w:hAnsi="Arial" w:cs="Arial"/>
          <w:sz w:val="24"/>
          <w:szCs w:val="24"/>
        </w:rPr>
        <w:t xml:space="preserve"> derived CO</w:t>
      </w:r>
      <w:r w:rsidR="00997935" w:rsidRPr="00B61FF1">
        <w:rPr>
          <w:rFonts w:ascii="Arial" w:hAnsi="Arial" w:cs="Arial"/>
          <w:sz w:val="24"/>
          <w:szCs w:val="24"/>
          <w:vertAlign w:val="subscript"/>
        </w:rPr>
        <w:t>2</w:t>
      </w:r>
      <w:r w:rsidR="00997935" w:rsidRPr="00B61FF1">
        <w:rPr>
          <w:rFonts w:ascii="Arial" w:hAnsi="Arial" w:cs="Arial"/>
          <w:sz w:val="24"/>
          <w:szCs w:val="24"/>
        </w:rPr>
        <w:t xml:space="preserve"> </w:t>
      </w:r>
      <w:r w:rsidR="00676077" w:rsidRPr="00B61FF1">
        <w:rPr>
          <w:rFonts w:ascii="Arial" w:hAnsi="Arial" w:cs="Arial"/>
          <w:sz w:val="24"/>
          <w:szCs w:val="24"/>
        </w:rPr>
        <w:t>under MRR</w:t>
      </w:r>
      <w:r w:rsidRPr="00B61FF1">
        <w:rPr>
          <w:rFonts w:ascii="Arial" w:hAnsi="Arial" w:cs="Arial"/>
          <w:sz w:val="24"/>
          <w:szCs w:val="24"/>
        </w:rPr>
        <w:t>.</w:t>
      </w:r>
      <w:r w:rsidR="00C45FB8" w:rsidRPr="00B61FF1">
        <w:rPr>
          <w:rFonts w:ascii="Arial" w:hAnsi="Arial" w:cs="Arial"/>
          <w:sz w:val="24"/>
          <w:szCs w:val="24"/>
        </w:rPr>
        <w:t xml:space="preserve">  </w:t>
      </w:r>
      <w:r w:rsidRPr="00B61FF1">
        <w:rPr>
          <w:rFonts w:ascii="Arial" w:hAnsi="Arial" w:cs="Arial"/>
          <w:sz w:val="24"/>
          <w:szCs w:val="24"/>
        </w:rPr>
        <w:t>Emissions without a compliance obligation include:</w:t>
      </w:r>
    </w:p>
    <w:p w14:paraId="352A80DA" w14:textId="77777777" w:rsidR="00FE6B15" w:rsidRPr="00B61FF1" w:rsidRDefault="00E7331B" w:rsidP="00E7331B">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CO</w:t>
      </w:r>
      <w:r w:rsidR="00FE6B15" w:rsidRPr="00B61FF1">
        <w:rPr>
          <w:rFonts w:ascii="Arial" w:hAnsi="Arial" w:cs="Arial"/>
          <w:sz w:val="24"/>
          <w:szCs w:val="24"/>
          <w:vertAlign w:val="subscript"/>
        </w:rPr>
        <w:t>2</w:t>
      </w:r>
      <w:r w:rsidR="00F27FD9" w:rsidRPr="00B61FF1">
        <w:rPr>
          <w:rFonts w:ascii="Arial" w:hAnsi="Arial" w:cs="Arial"/>
          <w:sz w:val="24"/>
          <w:szCs w:val="24"/>
        </w:rPr>
        <w:t xml:space="preserve"> </w:t>
      </w:r>
      <w:r w:rsidR="00FE6B15" w:rsidRPr="00B61FF1">
        <w:rPr>
          <w:rFonts w:ascii="Arial" w:hAnsi="Arial" w:cs="Arial"/>
          <w:sz w:val="24"/>
          <w:szCs w:val="24"/>
        </w:rPr>
        <w:t xml:space="preserve">emissions from </w:t>
      </w:r>
      <w:r w:rsidR="00D8016F" w:rsidRPr="00B61FF1">
        <w:rPr>
          <w:rFonts w:ascii="Arial" w:hAnsi="Arial" w:cs="Arial"/>
          <w:sz w:val="24"/>
          <w:szCs w:val="24"/>
        </w:rPr>
        <w:t xml:space="preserve">combustion of </w:t>
      </w:r>
      <w:r w:rsidR="00FE6B15" w:rsidRPr="00B61FF1">
        <w:rPr>
          <w:rFonts w:ascii="Arial" w:hAnsi="Arial" w:cs="Arial"/>
          <w:sz w:val="24"/>
          <w:szCs w:val="24"/>
        </w:rPr>
        <w:t>the following biomass-derived fuels:</w:t>
      </w:r>
    </w:p>
    <w:p w14:paraId="3A9DFE71" w14:textId="77777777" w:rsidR="00FE6B15" w:rsidRPr="00B61FF1" w:rsidRDefault="00E7331B" w:rsidP="00E7331B">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1804DE" w:rsidRPr="00B61FF1">
        <w:rPr>
          <w:rFonts w:ascii="Arial" w:hAnsi="Arial" w:cs="Arial"/>
          <w:sz w:val="24"/>
          <w:szCs w:val="24"/>
        </w:rPr>
        <w:t>The biogenic fraction of solid waste materials as reported under MRR;</w:t>
      </w:r>
    </w:p>
    <w:p w14:paraId="5A370752" w14:textId="77777777" w:rsidR="00FE6B15" w:rsidRPr="00B61FF1" w:rsidRDefault="00E7331B" w:rsidP="00D07C41">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Waste pallets, crates, dunnage, manufacturing and construction wood wastes, tree trimmings, mill residues, and range land maintenance residues;</w:t>
      </w:r>
    </w:p>
    <w:p w14:paraId="0C20BF91" w14:textId="77777777" w:rsidR="00FE6B15" w:rsidRPr="00B61FF1" w:rsidRDefault="00E7331B" w:rsidP="00E7331B">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E6B15" w:rsidRPr="00B61FF1">
        <w:rPr>
          <w:rFonts w:ascii="Arial" w:hAnsi="Arial" w:cs="Arial"/>
          <w:sz w:val="24"/>
          <w:szCs w:val="24"/>
        </w:rPr>
        <w:t>All agricultural crops or waste;</w:t>
      </w:r>
    </w:p>
    <w:p w14:paraId="5F61CAEE" w14:textId="77777777" w:rsidR="00FE6B15" w:rsidRPr="00B61FF1" w:rsidRDefault="00E7331B" w:rsidP="00E7331B">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FE6B15" w:rsidRPr="00B61FF1">
        <w:rPr>
          <w:rFonts w:ascii="Arial" w:hAnsi="Arial" w:cs="Arial"/>
          <w:sz w:val="24"/>
          <w:szCs w:val="24"/>
        </w:rPr>
        <w:t>Wood and wood wastes identified to follow</w:t>
      </w:r>
      <w:r w:rsidR="009322B5" w:rsidRPr="00B61FF1">
        <w:rPr>
          <w:rFonts w:ascii="Arial" w:hAnsi="Arial" w:cs="Arial"/>
          <w:sz w:val="24"/>
          <w:szCs w:val="24"/>
        </w:rPr>
        <w:t xml:space="preserve"> all of the following practices:</w:t>
      </w:r>
    </w:p>
    <w:p w14:paraId="45B30193"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Harvested pursuant to an approved timber management plan prepared in accordance with the Z’berg-Nejedly Forest Practice Act of 1973 or other locally or nationally approved plan;</w:t>
      </w:r>
      <w:r w:rsidR="00D504EE" w:rsidRPr="00B61FF1">
        <w:rPr>
          <w:rFonts w:ascii="Arial" w:hAnsi="Arial" w:cs="Arial"/>
          <w:sz w:val="24"/>
          <w:szCs w:val="24"/>
        </w:rPr>
        <w:t xml:space="preserve"> and</w:t>
      </w:r>
    </w:p>
    <w:p w14:paraId="7F503A91"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Harvested for the purpose of forest fire fuel reduction or forest stand improvement</w:t>
      </w:r>
      <w:r w:rsidR="00D504EE" w:rsidRPr="00B61FF1">
        <w:rPr>
          <w:rFonts w:ascii="Arial" w:hAnsi="Arial" w:cs="Arial"/>
          <w:sz w:val="24"/>
          <w:szCs w:val="24"/>
        </w:rPr>
        <w:t>.</w:t>
      </w:r>
    </w:p>
    <w:p w14:paraId="43E3C888" w14:textId="77777777" w:rsidR="00FE6B15" w:rsidRPr="00B61FF1" w:rsidRDefault="00E7331B" w:rsidP="00E7331B">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FE6B15" w:rsidRPr="00B61FF1">
        <w:rPr>
          <w:rFonts w:ascii="Arial" w:hAnsi="Arial" w:cs="Arial"/>
          <w:sz w:val="24"/>
          <w:szCs w:val="24"/>
        </w:rPr>
        <w:t>Biodiesel:</w:t>
      </w:r>
    </w:p>
    <w:p w14:paraId="1490ECFD"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lastRenderedPageBreak/>
        <w:t>(A)</w:t>
      </w:r>
      <w:r w:rsidRPr="00B61FF1">
        <w:rPr>
          <w:rFonts w:ascii="Arial" w:hAnsi="Arial" w:cs="Arial"/>
          <w:sz w:val="24"/>
          <w:szCs w:val="24"/>
        </w:rPr>
        <w:tab/>
      </w:r>
      <w:r w:rsidR="00FE6B15" w:rsidRPr="00B61FF1">
        <w:rPr>
          <w:rFonts w:ascii="Arial" w:hAnsi="Arial" w:cs="Arial"/>
          <w:sz w:val="24"/>
          <w:szCs w:val="24"/>
        </w:rPr>
        <w:t xml:space="preserve">Agri-biodiesel derived solely from virgin oils, including esters derived from virgin vegetable oils from corn, soybeans, sunflower seeds, cottonseeds, canola, cramble, rapeseeds, safflowers, flaxseeds, rice bran, mustard seeds, and camelina, and from animal fats. </w:t>
      </w:r>
    </w:p>
    <w:p w14:paraId="16E068C0"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 xml:space="preserve">Biodiesel </w:t>
      </w:r>
      <w:r w:rsidR="00FE6B15" w:rsidRPr="00B61FF1" w:rsidDel="00C74347">
        <w:rPr>
          <w:rFonts w:ascii="Arial" w:hAnsi="Arial" w:cs="Arial"/>
          <w:sz w:val="24"/>
          <w:szCs w:val="24"/>
        </w:rPr>
        <w:t xml:space="preserve">is defined as monoalkyl esters of long chain fatty acids derived from </w:t>
      </w:r>
      <w:r w:rsidR="002B6235" w:rsidRPr="00B61FF1">
        <w:rPr>
          <w:rFonts w:ascii="Arial" w:hAnsi="Arial" w:cs="Arial"/>
          <w:sz w:val="24"/>
          <w:szCs w:val="24"/>
        </w:rPr>
        <w:t xml:space="preserve">the </w:t>
      </w:r>
      <w:r w:rsidR="00FE6B15" w:rsidRPr="00B61FF1" w:rsidDel="00C74347">
        <w:rPr>
          <w:rFonts w:ascii="Arial" w:hAnsi="Arial" w:cs="Arial"/>
          <w:sz w:val="24"/>
          <w:szCs w:val="24"/>
        </w:rPr>
        <w:t xml:space="preserve">following plant or animal matter </w:t>
      </w:r>
      <w:r w:rsidR="00FE6B15" w:rsidRPr="00B61FF1">
        <w:rPr>
          <w:rFonts w:ascii="Arial" w:hAnsi="Arial" w:cs="Arial"/>
          <w:sz w:val="24"/>
          <w:szCs w:val="24"/>
        </w:rPr>
        <w:t>that meets the requirements of the American Society of Testing Materials (ASTM) D6751:</w:t>
      </w:r>
    </w:p>
    <w:p w14:paraId="3A1F4220" w14:textId="77777777" w:rsidR="00FE6B15" w:rsidRPr="00B61FF1" w:rsidRDefault="00FE6B15" w:rsidP="002A1C6A">
      <w:pPr>
        <w:spacing w:line="360" w:lineRule="auto"/>
        <w:ind w:left="2610" w:hanging="81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Waste oils;</w:t>
      </w:r>
    </w:p>
    <w:p w14:paraId="5C389E30" w14:textId="77777777" w:rsidR="00FE6B15" w:rsidRPr="00B61FF1" w:rsidRDefault="00FE6B15" w:rsidP="002A1C6A">
      <w:pPr>
        <w:spacing w:line="360" w:lineRule="auto"/>
        <w:ind w:left="2610" w:hanging="81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Tallow; or</w:t>
      </w:r>
    </w:p>
    <w:p w14:paraId="03198C1B" w14:textId="77777777" w:rsidR="00FE6B15" w:rsidRPr="00B61FF1" w:rsidRDefault="00FE6B15" w:rsidP="002A1C6A">
      <w:pPr>
        <w:spacing w:line="360" w:lineRule="auto"/>
        <w:ind w:left="2610" w:hanging="81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Virgin oils.</w:t>
      </w:r>
    </w:p>
    <w:p w14:paraId="0620942C" w14:textId="77777777" w:rsidR="00FE6B15" w:rsidRPr="00B61FF1" w:rsidRDefault="00E7331B" w:rsidP="00E7331B">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r>
      <w:r w:rsidR="00FE6B15" w:rsidRPr="00B61FF1">
        <w:rPr>
          <w:rFonts w:ascii="Arial" w:hAnsi="Arial" w:cs="Arial"/>
          <w:sz w:val="24"/>
          <w:szCs w:val="24"/>
        </w:rPr>
        <w:t>Fuel ethanol</w:t>
      </w:r>
      <w:r w:rsidR="002B6235" w:rsidRPr="00B61FF1">
        <w:rPr>
          <w:rFonts w:ascii="Arial" w:hAnsi="Arial" w:cs="Arial"/>
          <w:sz w:val="24"/>
          <w:szCs w:val="24"/>
        </w:rPr>
        <w:t xml:space="preserve"> </w:t>
      </w:r>
      <w:r w:rsidR="00FE6B15" w:rsidRPr="00B61FF1">
        <w:rPr>
          <w:rFonts w:ascii="Arial" w:hAnsi="Arial" w:cs="Arial"/>
          <w:sz w:val="24"/>
          <w:szCs w:val="24"/>
        </w:rPr>
        <w:t>(including denaturant):</w:t>
      </w:r>
    </w:p>
    <w:p w14:paraId="2AE0FD7B"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Cellulosic biofuel produced from lignocellulosic or hemicellulosic material that has a proof of at least 150 without regard to denaturants;</w:t>
      </w:r>
    </w:p>
    <w:p w14:paraId="14692993"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Corn starch; or</w:t>
      </w:r>
    </w:p>
    <w:p w14:paraId="216CA516" w14:textId="77777777" w:rsidR="00FE6B15" w:rsidRPr="00B61FF1" w:rsidRDefault="00E7331B" w:rsidP="00E7331B">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FE6B15" w:rsidRPr="00B61FF1">
        <w:rPr>
          <w:rFonts w:ascii="Arial" w:hAnsi="Arial" w:cs="Arial"/>
          <w:sz w:val="24"/>
          <w:szCs w:val="24"/>
        </w:rPr>
        <w:t>Sugar cane.</w:t>
      </w:r>
    </w:p>
    <w:p w14:paraId="6006136C" w14:textId="77777777" w:rsidR="00FE6B15" w:rsidRPr="00B61FF1" w:rsidRDefault="00E7331B" w:rsidP="00D4436E">
      <w:pPr>
        <w:spacing w:line="360" w:lineRule="auto"/>
        <w:ind w:left="1080" w:hanging="720"/>
        <w:rPr>
          <w:rFonts w:ascii="Arial" w:hAnsi="Arial" w:cs="Arial"/>
          <w:strike/>
          <w:sz w:val="24"/>
          <w:szCs w:val="24"/>
        </w:rPr>
      </w:pPr>
      <w:r w:rsidRPr="00B61FF1">
        <w:rPr>
          <w:rFonts w:ascii="Arial" w:hAnsi="Arial" w:cs="Arial"/>
          <w:sz w:val="24"/>
          <w:szCs w:val="24"/>
        </w:rPr>
        <w:t>(7)</w:t>
      </w:r>
      <w:r w:rsidRPr="00B61FF1">
        <w:rPr>
          <w:rFonts w:ascii="Arial" w:hAnsi="Arial" w:cs="Arial"/>
          <w:sz w:val="24"/>
          <w:szCs w:val="24"/>
        </w:rPr>
        <w:tab/>
      </w:r>
      <w:r w:rsidR="00CA6BEC" w:rsidRPr="00B61FF1">
        <w:rPr>
          <w:rFonts w:ascii="Arial" w:hAnsi="Arial" w:cs="Arial"/>
          <w:sz w:val="24"/>
          <w:szCs w:val="24"/>
        </w:rPr>
        <w:t>The biogenic fraction of municipal solid waste as reported under MRR, including MSW directly combusted or converted to a cleaner-burning fuel;</w:t>
      </w:r>
    </w:p>
    <w:p w14:paraId="6423F0EF" w14:textId="77777777" w:rsidR="00FE6B15" w:rsidRPr="00B61FF1" w:rsidRDefault="00E7331B" w:rsidP="002A1C6A">
      <w:pPr>
        <w:keepNext/>
        <w:spacing w:line="360" w:lineRule="auto"/>
        <w:ind w:left="1080" w:hanging="720"/>
        <w:rPr>
          <w:rFonts w:ascii="Arial" w:hAnsi="Arial" w:cs="Arial"/>
          <w:sz w:val="24"/>
          <w:szCs w:val="24"/>
        </w:rPr>
      </w:pPr>
      <w:r w:rsidRPr="00B61FF1">
        <w:rPr>
          <w:rFonts w:ascii="Arial" w:hAnsi="Arial" w:cs="Arial"/>
          <w:sz w:val="24"/>
          <w:szCs w:val="24"/>
        </w:rPr>
        <w:t>(8)</w:t>
      </w:r>
      <w:r w:rsidRPr="00B61FF1">
        <w:rPr>
          <w:rFonts w:ascii="Arial" w:hAnsi="Arial" w:cs="Arial"/>
          <w:sz w:val="24"/>
          <w:szCs w:val="24"/>
        </w:rPr>
        <w:tab/>
      </w:r>
      <w:r w:rsidR="00FE6B15" w:rsidRPr="00B61FF1">
        <w:rPr>
          <w:rFonts w:ascii="Arial" w:hAnsi="Arial" w:cs="Arial"/>
          <w:sz w:val="24"/>
          <w:szCs w:val="24"/>
        </w:rPr>
        <w:t>Biomethane and biogas from the following sources:</w:t>
      </w:r>
    </w:p>
    <w:p w14:paraId="51DEE920" w14:textId="77777777" w:rsidR="00FE6B15" w:rsidRPr="00B61FF1" w:rsidRDefault="002B6235" w:rsidP="002A1C6A">
      <w:pPr>
        <w:spacing w:line="360" w:lineRule="auto"/>
        <w:ind w:left="1800" w:hanging="108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All animal</w:t>
      </w:r>
      <w:r w:rsidR="00B868DF" w:rsidRPr="00B61FF1">
        <w:rPr>
          <w:rFonts w:ascii="Arial" w:hAnsi="Arial" w:cs="Arial"/>
          <w:sz w:val="24"/>
          <w:szCs w:val="24"/>
        </w:rPr>
        <w:t>, plant</w:t>
      </w:r>
      <w:r w:rsidR="00FE6B15" w:rsidRPr="00B61FF1">
        <w:rPr>
          <w:rFonts w:ascii="Arial" w:hAnsi="Arial" w:cs="Arial"/>
          <w:sz w:val="24"/>
          <w:szCs w:val="24"/>
        </w:rPr>
        <w:t xml:space="preserve"> and other organic waste; or</w:t>
      </w:r>
    </w:p>
    <w:p w14:paraId="6FA24478" w14:textId="77777777" w:rsidR="00FE6B15" w:rsidRPr="00B61FF1" w:rsidRDefault="002B6235" w:rsidP="002A1C6A">
      <w:pPr>
        <w:spacing w:line="360" w:lineRule="auto"/>
        <w:ind w:left="1800" w:hanging="108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Landfill</w:t>
      </w:r>
      <w:r w:rsidRPr="00B61FF1">
        <w:rPr>
          <w:rFonts w:ascii="Arial" w:hAnsi="Arial" w:cs="Arial"/>
          <w:sz w:val="24"/>
          <w:szCs w:val="24"/>
        </w:rPr>
        <w:t xml:space="preserve">s </w:t>
      </w:r>
      <w:r w:rsidR="00FE6B15" w:rsidRPr="00B61FF1">
        <w:rPr>
          <w:rFonts w:ascii="Arial" w:hAnsi="Arial" w:cs="Arial"/>
          <w:sz w:val="24"/>
          <w:szCs w:val="24"/>
        </w:rPr>
        <w:t>and wastewater treatment plants</w:t>
      </w:r>
      <w:r w:rsidR="00A16A8F" w:rsidRPr="00B61FF1">
        <w:rPr>
          <w:rFonts w:ascii="Arial" w:hAnsi="Arial" w:cs="Arial"/>
          <w:sz w:val="24"/>
          <w:szCs w:val="24"/>
        </w:rPr>
        <w:t>;</w:t>
      </w:r>
    </w:p>
    <w:p w14:paraId="3F299340" w14:textId="77777777" w:rsidR="00FE6B15" w:rsidRPr="00B61FF1" w:rsidRDefault="003B635B" w:rsidP="002A1C6A">
      <w:pPr>
        <w:spacing w:line="360" w:lineRule="auto"/>
        <w:ind w:left="720" w:hanging="720"/>
        <w:rPr>
          <w:rFonts w:ascii="Arial" w:hAnsi="Arial" w:cs="Arial"/>
          <w:sz w:val="24"/>
          <w:szCs w:val="24"/>
        </w:rPr>
      </w:pPr>
      <w:r w:rsidRPr="00B61FF1">
        <w:rPr>
          <w:rFonts w:ascii="Arial" w:hAnsi="Arial" w:cs="Arial"/>
          <w:sz w:val="24"/>
          <w:szCs w:val="24"/>
        </w:rPr>
        <w:t>(</w:t>
      </w:r>
      <w:r w:rsidR="00A16A8F"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CA6BEC" w:rsidRPr="00B61FF1">
        <w:rPr>
          <w:rFonts w:ascii="Arial" w:hAnsi="Arial" w:cs="Arial"/>
          <w:sz w:val="24"/>
          <w:szCs w:val="24"/>
        </w:rPr>
        <w:t>The following additional process, vented, and fugitive emissions:</w:t>
      </w:r>
      <w:r w:rsidR="00FE6B15" w:rsidRPr="00B61FF1">
        <w:rPr>
          <w:rFonts w:ascii="Arial" w:hAnsi="Arial" w:cs="Arial"/>
          <w:dstrike/>
          <w:sz w:val="24"/>
          <w:szCs w:val="24"/>
        </w:rPr>
        <w:t xml:space="preserve"> </w:t>
      </w:r>
    </w:p>
    <w:p w14:paraId="3902C834" w14:textId="77777777" w:rsidR="00FE6B15" w:rsidRPr="00B61FF1" w:rsidRDefault="002E2084" w:rsidP="009E2D5E">
      <w:pPr>
        <w:spacing w:line="360" w:lineRule="auto"/>
        <w:ind w:left="1080" w:hanging="720"/>
        <w:rPr>
          <w:rFonts w:ascii="Arial" w:hAnsi="Arial" w:cs="Arial"/>
          <w:dstrike/>
          <w:sz w:val="24"/>
          <w:szCs w:val="24"/>
        </w:rPr>
      </w:pPr>
      <w:r w:rsidRPr="00B61FF1">
        <w:rPr>
          <w:rFonts w:ascii="Arial" w:hAnsi="Arial" w:cs="Arial"/>
          <w:sz w:val="24"/>
          <w:szCs w:val="24"/>
        </w:rPr>
        <w:t>(</w:t>
      </w:r>
      <w:r w:rsidR="00A16A8F" w:rsidRPr="00B61FF1">
        <w:rPr>
          <w:rFonts w:ascii="Arial" w:hAnsi="Arial" w:cs="Arial"/>
          <w:sz w:val="24"/>
          <w:szCs w:val="24"/>
        </w:rPr>
        <w:t>1</w:t>
      </w:r>
      <w:r w:rsidRPr="00B61FF1">
        <w:rPr>
          <w:rFonts w:ascii="Arial" w:hAnsi="Arial" w:cs="Arial"/>
          <w:sz w:val="24"/>
          <w:szCs w:val="24"/>
        </w:rPr>
        <w:t>)</w:t>
      </w:r>
      <w:r w:rsidR="00A73D70" w:rsidRPr="00B61FF1">
        <w:rPr>
          <w:rFonts w:ascii="Arial" w:hAnsi="Arial" w:cs="Arial"/>
          <w:sz w:val="24"/>
          <w:szCs w:val="24"/>
        </w:rPr>
        <w:tab/>
      </w:r>
      <w:r w:rsidR="00CA6BEC" w:rsidRPr="00B61FF1">
        <w:rPr>
          <w:rFonts w:ascii="Arial" w:hAnsi="Arial" w:cs="Arial"/>
          <w:sz w:val="24"/>
          <w:szCs w:val="24"/>
        </w:rPr>
        <w:t>Emissions from geothermal generating units and geothermal facilities, including geothermal geyser steam or fluids;</w:t>
      </w:r>
    </w:p>
    <w:p w14:paraId="3AC75772" w14:textId="77777777" w:rsidR="00FE6B15" w:rsidRPr="00B61FF1" w:rsidRDefault="002E2084" w:rsidP="002A1C6A">
      <w:pPr>
        <w:spacing w:line="360" w:lineRule="auto"/>
        <w:ind w:left="1080" w:hanging="720"/>
        <w:rPr>
          <w:rFonts w:ascii="Arial" w:hAnsi="Arial" w:cs="Arial"/>
          <w:sz w:val="24"/>
          <w:szCs w:val="24"/>
        </w:rPr>
      </w:pPr>
      <w:r w:rsidRPr="00B61FF1">
        <w:rPr>
          <w:rFonts w:ascii="Arial" w:hAnsi="Arial" w:cs="Arial"/>
          <w:sz w:val="24"/>
          <w:szCs w:val="24"/>
        </w:rPr>
        <w:t>(</w:t>
      </w:r>
      <w:r w:rsidR="00A16A8F" w:rsidRPr="00B61FF1">
        <w:rPr>
          <w:rFonts w:ascii="Arial" w:hAnsi="Arial" w:cs="Arial"/>
          <w:sz w:val="24"/>
          <w:szCs w:val="24"/>
        </w:rPr>
        <w:t>2</w:t>
      </w:r>
      <w:r w:rsidRPr="00B61FF1">
        <w:rPr>
          <w:rFonts w:ascii="Arial" w:hAnsi="Arial" w:cs="Arial"/>
          <w:sz w:val="24"/>
          <w:szCs w:val="24"/>
        </w:rPr>
        <w:t>)</w:t>
      </w:r>
      <w:r w:rsidRPr="00B61FF1">
        <w:rPr>
          <w:rFonts w:ascii="Arial" w:hAnsi="Arial" w:cs="Arial"/>
          <w:sz w:val="24"/>
          <w:szCs w:val="24"/>
        </w:rPr>
        <w:tab/>
      </w:r>
      <w:r w:rsidR="009E2D5E" w:rsidRPr="00B61FF1">
        <w:rPr>
          <w:rFonts w:ascii="Arial" w:hAnsi="Arial" w:cs="Arial"/>
          <w:sz w:val="24"/>
          <w:szCs w:val="24"/>
        </w:rPr>
        <w:t>Emiss</w:t>
      </w:r>
      <w:r w:rsidR="005135A9" w:rsidRPr="00B61FF1">
        <w:rPr>
          <w:rFonts w:ascii="Arial" w:hAnsi="Arial" w:cs="Arial"/>
          <w:sz w:val="24"/>
          <w:szCs w:val="24"/>
        </w:rPr>
        <w:t>ions from natural gas hydrogen f</w:t>
      </w:r>
      <w:r w:rsidR="009E2D5E" w:rsidRPr="00B61FF1">
        <w:rPr>
          <w:rFonts w:ascii="Arial" w:hAnsi="Arial" w:cs="Arial"/>
          <w:sz w:val="24"/>
          <w:szCs w:val="24"/>
        </w:rPr>
        <w:t xml:space="preserve">uel cells; </w:t>
      </w:r>
    </w:p>
    <w:p w14:paraId="0C72811E" w14:textId="77777777" w:rsidR="00FE6B15" w:rsidRPr="00B61FF1" w:rsidRDefault="003B635B" w:rsidP="002A1C6A">
      <w:pPr>
        <w:tabs>
          <w:tab w:val="left" w:pos="1350"/>
          <w:tab w:val="left" w:pos="1440"/>
        </w:tabs>
        <w:spacing w:line="360" w:lineRule="auto"/>
        <w:ind w:left="1080" w:hanging="720"/>
        <w:rPr>
          <w:rFonts w:ascii="Arial" w:hAnsi="Arial" w:cs="Arial"/>
          <w:dstrike/>
          <w:sz w:val="24"/>
          <w:szCs w:val="24"/>
        </w:rPr>
      </w:pPr>
      <w:r w:rsidRPr="00B61FF1">
        <w:rPr>
          <w:rFonts w:ascii="Arial" w:hAnsi="Arial" w:cs="Arial"/>
          <w:sz w:val="24"/>
          <w:szCs w:val="24"/>
        </w:rPr>
        <w:t>(</w:t>
      </w:r>
      <w:r w:rsidR="00A16A8F" w:rsidRPr="00B61FF1">
        <w:rPr>
          <w:rFonts w:ascii="Arial" w:hAnsi="Arial" w:cs="Arial"/>
          <w:sz w:val="24"/>
          <w:szCs w:val="24"/>
        </w:rPr>
        <w:t>3</w:t>
      </w:r>
      <w:r w:rsidRPr="00B61FF1">
        <w:rPr>
          <w:rFonts w:ascii="Arial" w:hAnsi="Arial" w:cs="Arial"/>
          <w:sz w:val="24"/>
          <w:szCs w:val="24"/>
        </w:rPr>
        <w:t>)</w:t>
      </w:r>
      <w:r w:rsidRPr="00B61FF1">
        <w:rPr>
          <w:rFonts w:ascii="Arial" w:hAnsi="Arial" w:cs="Arial"/>
          <w:sz w:val="24"/>
          <w:szCs w:val="24"/>
        </w:rPr>
        <w:tab/>
      </w:r>
      <w:r w:rsidR="00526D2B" w:rsidRPr="00B61FF1">
        <w:rPr>
          <w:rFonts w:ascii="Arial" w:hAnsi="Arial" w:cs="Arial"/>
          <w:sz w:val="24"/>
          <w:szCs w:val="24"/>
        </w:rPr>
        <w:t>Vented and fugitive emissions from storage tanks used in petroleum and natural gas production and natural gas transmission;</w:t>
      </w:r>
      <w:r w:rsidR="009E2D5E" w:rsidRPr="00B61FF1">
        <w:rPr>
          <w:rFonts w:ascii="Arial" w:hAnsi="Arial" w:cs="Arial"/>
          <w:sz w:val="24"/>
          <w:szCs w:val="24"/>
        </w:rPr>
        <w:t xml:space="preserve"> </w:t>
      </w:r>
    </w:p>
    <w:p w14:paraId="1FD00111" w14:textId="77777777" w:rsidR="00FE6B15" w:rsidRPr="00B61FF1" w:rsidRDefault="003B635B" w:rsidP="002A1C6A">
      <w:pPr>
        <w:spacing w:line="360" w:lineRule="auto"/>
        <w:ind w:left="1080" w:hanging="720"/>
        <w:rPr>
          <w:rFonts w:ascii="Arial" w:hAnsi="Arial" w:cs="Arial"/>
          <w:sz w:val="24"/>
          <w:szCs w:val="24"/>
        </w:rPr>
      </w:pPr>
      <w:r w:rsidRPr="00B61FF1">
        <w:rPr>
          <w:rFonts w:ascii="Arial" w:hAnsi="Arial" w:cs="Arial"/>
          <w:sz w:val="24"/>
          <w:szCs w:val="24"/>
        </w:rPr>
        <w:lastRenderedPageBreak/>
        <w:t>(</w:t>
      </w:r>
      <w:r w:rsidR="00A16A8F" w:rsidRPr="00B61FF1">
        <w:rPr>
          <w:rFonts w:ascii="Arial" w:hAnsi="Arial" w:cs="Arial"/>
          <w:sz w:val="24"/>
          <w:szCs w:val="24"/>
        </w:rPr>
        <w:t>4</w:t>
      </w:r>
      <w:r w:rsidRPr="00B61FF1">
        <w:rPr>
          <w:rFonts w:ascii="Arial" w:hAnsi="Arial" w:cs="Arial"/>
          <w:sz w:val="24"/>
          <w:szCs w:val="24"/>
        </w:rPr>
        <w:t>)</w:t>
      </w:r>
      <w:r w:rsidRPr="00B61FF1">
        <w:rPr>
          <w:rFonts w:ascii="Arial" w:hAnsi="Arial" w:cs="Arial"/>
          <w:sz w:val="24"/>
          <w:szCs w:val="24"/>
        </w:rPr>
        <w:tab/>
      </w:r>
      <w:r w:rsidR="005135A9" w:rsidRPr="00B61FF1">
        <w:rPr>
          <w:rFonts w:ascii="Arial" w:hAnsi="Arial" w:cs="Arial"/>
          <w:sz w:val="24"/>
          <w:szCs w:val="24"/>
        </w:rPr>
        <w:t xml:space="preserve">Vented and fugitive emissions reported under section 95153 of MRR by local distribution companies that report under section 95122 of MRR; </w:t>
      </w:r>
    </w:p>
    <w:p w14:paraId="09C5A040" w14:textId="77777777" w:rsidR="00FE6B15" w:rsidRPr="00B61FF1" w:rsidRDefault="003B635B" w:rsidP="002A1C6A">
      <w:pPr>
        <w:spacing w:line="360" w:lineRule="auto"/>
        <w:ind w:left="1080" w:hanging="720"/>
        <w:rPr>
          <w:rFonts w:ascii="Arial" w:hAnsi="Arial" w:cs="Arial"/>
          <w:dstrike/>
          <w:sz w:val="24"/>
          <w:szCs w:val="24"/>
        </w:rPr>
      </w:pPr>
      <w:r w:rsidRPr="00B61FF1">
        <w:rPr>
          <w:rFonts w:ascii="Arial" w:hAnsi="Arial" w:cs="Arial"/>
          <w:sz w:val="24"/>
          <w:szCs w:val="24"/>
        </w:rPr>
        <w:t>(</w:t>
      </w:r>
      <w:r w:rsidR="002A1C6A" w:rsidRPr="00B61FF1">
        <w:rPr>
          <w:rFonts w:ascii="Arial" w:hAnsi="Arial" w:cs="Arial"/>
          <w:sz w:val="24"/>
          <w:szCs w:val="24"/>
        </w:rPr>
        <w:t>5</w:t>
      </w:r>
      <w:r w:rsidRPr="00B61FF1">
        <w:rPr>
          <w:rFonts w:ascii="Arial" w:hAnsi="Arial" w:cs="Arial"/>
          <w:sz w:val="24"/>
          <w:szCs w:val="24"/>
        </w:rPr>
        <w:t>)</w:t>
      </w:r>
      <w:r w:rsidRPr="00B61FF1">
        <w:rPr>
          <w:rFonts w:ascii="Arial" w:hAnsi="Arial" w:cs="Arial"/>
          <w:sz w:val="24"/>
          <w:szCs w:val="24"/>
        </w:rPr>
        <w:tab/>
      </w:r>
      <w:r w:rsidR="005135A9" w:rsidRPr="00B61FF1">
        <w:rPr>
          <w:rFonts w:ascii="Arial" w:hAnsi="Arial" w:cs="Arial"/>
          <w:sz w:val="24"/>
          <w:szCs w:val="24"/>
        </w:rPr>
        <w:t>Vented and fugitive emissions from natural gas transmission storage tanks</w:t>
      </w:r>
      <w:r w:rsidR="002F3CAE" w:rsidRPr="00B61FF1">
        <w:rPr>
          <w:rFonts w:ascii="Arial" w:hAnsi="Arial" w:cs="Arial"/>
          <w:sz w:val="24"/>
          <w:szCs w:val="24"/>
        </w:rPr>
        <w:t xml:space="preserve"> used in petroleum and natural gas production and natural gas transmission, and from produced water</w:t>
      </w:r>
      <w:r w:rsidR="00D4436E" w:rsidRPr="00B61FF1">
        <w:rPr>
          <w:rFonts w:ascii="Arial" w:hAnsi="Arial" w:cs="Arial"/>
          <w:sz w:val="24"/>
          <w:szCs w:val="24"/>
        </w:rPr>
        <w:t>;</w:t>
      </w:r>
    </w:p>
    <w:p w14:paraId="7DA17E21" w14:textId="77777777" w:rsidR="00B97F29" w:rsidRPr="00B61FF1" w:rsidRDefault="003B635B" w:rsidP="002A1C6A">
      <w:pPr>
        <w:spacing w:line="360" w:lineRule="auto"/>
        <w:ind w:left="1080" w:hanging="720"/>
        <w:rPr>
          <w:rFonts w:ascii="Arial" w:hAnsi="Arial" w:cs="Arial"/>
          <w:sz w:val="24"/>
          <w:szCs w:val="24"/>
        </w:rPr>
      </w:pPr>
      <w:r w:rsidRPr="00B61FF1">
        <w:rPr>
          <w:rFonts w:ascii="Arial" w:hAnsi="Arial" w:cs="Arial"/>
          <w:sz w:val="24"/>
          <w:szCs w:val="24"/>
        </w:rPr>
        <w:t>(</w:t>
      </w:r>
      <w:r w:rsidR="002A1C6A" w:rsidRPr="00B61FF1">
        <w:rPr>
          <w:rFonts w:ascii="Arial" w:hAnsi="Arial" w:cs="Arial"/>
          <w:sz w:val="24"/>
          <w:szCs w:val="24"/>
        </w:rPr>
        <w:t>6</w:t>
      </w:r>
      <w:r w:rsidRPr="00B61FF1">
        <w:rPr>
          <w:rFonts w:ascii="Arial" w:hAnsi="Arial" w:cs="Arial"/>
          <w:sz w:val="24"/>
          <w:szCs w:val="24"/>
        </w:rPr>
        <w:t>)</w:t>
      </w:r>
      <w:r w:rsidRPr="00B61FF1">
        <w:rPr>
          <w:rFonts w:ascii="Arial" w:hAnsi="Arial" w:cs="Arial"/>
          <w:sz w:val="24"/>
          <w:szCs w:val="24"/>
        </w:rPr>
        <w:tab/>
      </w:r>
      <w:r w:rsidR="005135A9" w:rsidRPr="00B61FF1">
        <w:rPr>
          <w:rFonts w:ascii="Arial" w:hAnsi="Arial" w:cs="Arial"/>
          <w:sz w:val="24"/>
          <w:szCs w:val="24"/>
        </w:rPr>
        <w:t xml:space="preserve">Emissions reported by petroleum refineries from asphalt blowing operations, equipment leaks, storage tanks, and loading operations; </w:t>
      </w:r>
    </w:p>
    <w:p w14:paraId="3770B1BF" w14:textId="77777777" w:rsidR="00696246" w:rsidRPr="00B61FF1" w:rsidRDefault="003B635B" w:rsidP="002A1C6A">
      <w:pPr>
        <w:spacing w:line="360" w:lineRule="auto"/>
        <w:ind w:left="1080" w:hanging="720"/>
        <w:rPr>
          <w:rFonts w:ascii="Arial" w:hAnsi="Arial" w:cs="Arial"/>
          <w:sz w:val="24"/>
          <w:szCs w:val="24"/>
        </w:rPr>
      </w:pPr>
      <w:r w:rsidRPr="00B61FF1">
        <w:rPr>
          <w:rFonts w:ascii="Arial" w:hAnsi="Arial" w:cs="Arial"/>
          <w:sz w:val="24"/>
          <w:szCs w:val="24"/>
        </w:rPr>
        <w:t>(</w:t>
      </w:r>
      <w:r w:rsidR="002A1C6A" w:rsidRPr="00B61FF1">
        <w:rPr>
          <w:rFonts w:ascii="Arial" w:hAnsi="Arial" w:cs="Arial"/>
          <w:sz w:val="24"/>
          <w:szCs w:val="24"/>
        </w:rPr>
        <w:t>7</w:t>
      </w:r>
      <w:r w:rsidRPr="00B61FF1">
        <w:rPr>
          <w:rFonts w:ascii="Arial" w:hAnsi="Arial" w:cs="Arial"/>
          <w:sz w:val="24"/>
          <w:szCs w:val="24"/>
        </w:rPr>
        <w:t>)</w:t>
      </w:r>
      <w:r w:rsidRPr="00B61FF1">
        <w:rPr>
          <w:rFonts w:ascii="Arial" w:hAnsi="Arial" w:cs="Arial"/>
          <w:sz w:val="24"/>
          <w:szCs w:val="24"/>
        </w:rPr>
        <w:tab/>
      </w:r>
      <w:r w:rsidR="005135A9" w:rsidRPr="00B61FF1">
        <w:rPr>
          <w:rFonts w:ascii="Arial" w:hAnsi="Arial" w:cs="Arial"/>
          <w:sz w:val="24"/>
          <w:szCs w:val="24"/>
        </w:rPr>
        <w:t xml:space="preserve">Emissions from low bleed pneumatic devices; </w:t>
      </w:r>
    </w:p>
    <w:p w14:paraId="795FCCAB" w14:textId="77777777" w:rsidR="00A158CE" w:rsidRPr="00B61FF1" w:rsidRDefault="00A158CE" w:rsidP="002A1C6A">
      <w:pPr>
        <w:spacing w:line="360" w:lineRule="auto"/>
        <w:ind w:left="1080" w:hanging="720"/>
        <w:rPr>
          <w:rFonts w:ascii="Arial" w:hAnsi="Arial" w:cs="Arial"/>
          <w:sz w:val="24"/>
          <w:szCs w:val="24"/>
        </w:rPr>
      </w:pPr>
      <w:r w:rsidRPr="00B61FF1">
        <w:rPr>
          <w:rFonts w:ascii="Arial" w:hAnsi="Arial" w:cs="Arial"/>
          <w:sz w:val="24"/>
          <w:szCs w:val="24"/>
        </w:rPr>
        <w:t>(</w:t>
      </w:r>
      <w:r w:rsidR="002A1C6A" w:rsidRPr="00B61FF1">
        <w:rPr>
          <w:rFonts w:ascii="Arial" w:hAnsi="Arial" w:cs="Arial"/>
          <w:sz w:val="24"/>
          <w:szCs w:val="24"/>
        </w:rPr>
        <w:t>8</w:t>
      </w:r>
      <w:r w:rsidRPr="00B61FF1">
        <w:rPr>
          <w:rFonts w:ascii="Arial" w:hAnsi="Arial" w:cs="Arial"/>
          <w:sz w:val="24"/>
          <w:szCs w:val="24"/>
        </w:rPr>
        <w:t>)</w:t>
      </w:r>
      <w:r w:rsidRPr="00B61FF1">
        <w:rPr>
          <w:rFonts w:ascii="Arial" w:hAnsi="Arial" w:cs="Arial"/>
          <w:sz w:val="24"/>
          <w:szCs w:val="24"/>
        </w:rPr>
        <w:tab/>
      </w:r>
      <w:r w:rsidR="005135A9" w:rsidRPr="00B61FF1">
        <w:rPr>
          <w:rFonts w:ascii="Arial" w:hAnsi="Arial" w:cs="Arial"/>
          <w:sz w:val="24"/>
          <w:szCs w:val="24"/>
        </w:rPr>
        <w:t xml:space="preserve">Emissions from high bleed pneumatic devices reported prior to January 1, 2015; </w:t>
      </w:r>
    </w:p>
    <w:p w14:paraId="6B3BA59E" w14:textId="77777777" w:rsidR="00A158CE" w:rsidRPr="00B61FF1" w:rsidRDefault="00A158CE" w:rsidP="002A1C6A">
      <w:pPr>
        <w:spacing w:line="360" w:lineRule="auto"/>
        <w:ind w:left="1080" w:hanging="720"/>
        <w:rPr>
          <w:rFonts w:ascii="Arial" w:hAnsi="Arial" w:cs="Arial"/>
          <w:sz w:val="24"/>
          <w:szCs w:val="24"/>
        </w:rPr>
      </w:pPr>
      <w:r w:rsidRPr="00B61FF1">
        <w:rPr>
          <w:rFonts w:ascii="Arial" w:hAnsi="Arial" w:cs="Arial"/>
          <w:sz w:val="24"/>
          <w:szCs w:val="24"/>
        </w:rPr>
        <w:t>(</w:t>
      </w:r>
      <w:r w:rsidR="002A1C6A" w:rsidRPr="00B61FF1">
        <w:rPr>
          <w:rFonts w:ascii="Arial" w:hAnsi="Arial" w:cs="Arial"/>
          <w:sz w:val="24"/>
          <w:szCs w:val="24"/>
        </w:rPr>
        <w:t>9</w:t>
      </w:r>
      <w:r w:rsidRPr="00B61FF1">
        <w:rPr>
          <w:rFonts w:ascii="Arial" w:hAnsi="Arial" w:cs="Arial"/>
          <w:sz w:val="24"/>
          <w:szCs w:val="24"/>
        </w:rPr>
        <w:t>)</w:t>
      </w:r>
      <w:r w:rsidRPr="00B61FF1">
        <w:rPr>
          <w:rFonts w:ascii="Arial" w:hAnsi="Arial" w:cs="Arial"/>
          <w:sz w:val="24"/>
          <w:szCs w:val="24"/>
        </w:rPr>
        <w:tab/>
      </w:r>
      <w:r w:rsidR="005135A9" w:rsidRPr="00B61FF1">
        <w:rPr>
          <w:rFonts w:ascii="Arial" w:hAnsi="Arial" w:cs="Arial"/>
          <w:sz w:val="24"/>
          <w:szCs w:val="24"/>
        </w:rPr>
        <w:t>Vented emissions from well-site centrifugal and reciprocating compressors with a rated horsepower less than 250hp;</w:t>
      </w:r>
    </w:p>
    <w:p w14:paraId="6A4D9502" w14:textId="5746DF66" w:rsidR="00A158CE" w:rsidRPr="00B61FF1" w:rsidRDefault="00A158CE" w:rsidP="002A1C6A">
      <w:pPr>
        <w:spacing w:line="360" w:lineRule="auto"/>
        <w:ind w:left="1080" w:hanging="720"/>
        <w:rPr>
          <w:rFonts w:ascii="Arial" w:hAnsi="Arial" w:cs="Arial"/>
          <w:sz w:val="24"/>
          <w:szCs w:val="24"/>
        </w:rPr>
      </w:pPr>
      <w:r w:rsidRPr="00B61FF1">
        <w:rPr>
          <w:rFonts w:ascii="Arial" w:hAnsi="Arial" w:cs="Arial"/>
          <w:sz w:val="24"/>
          <w:szCs w:val="24"/>
        </w:rPr>
        <w:t>(</w:t>
      </w:r>
      <w:r w:rsidR="002A1C6A" w:rsidRPr="00B61FF1">
        <w:rPr>
          <w:rFonts w:ascii="Arial" w:hAnsi="Arial" w:cs="Arial"/>
          <w:sz w:val="24"/>
          <w:szCs w:val="24"/>
        </w:rPr>
        <w:t>10</w:t>
      </w:r>
      <w:r w:rsidRPr="00B61FF1">
        <w:rPr>
          <w:rFonts w:ascii="Arial" w:hAnsi="Arial" w:cs="Arial"/>
          <w:sz w:val="24"/>
          <w:szCs w:val="24"/>
        </w:rPr>
        <w:t>)</w:t>
      </w:r>
      <w:r w:rsidRPr="00B61FF1">
        <w:rPr>
          <w:rFonts w:ascii="Arial" w:hAnsi="Arial" w:cs="Arial"/>
          <w:sz w:val="24"/>
          <w:szCs w:val="24"/>
        </w:rPr>
        <w:tab/>
      </w:r>
      <w:r w:rsidR="00E43334" w:rsidRPr="00B61FF1">
        <w:rPr>
          <w:rFonts w:ascii="Arial" w:eastAsia="Calibri" w:hAnsi="Arial"/>
          <w:sz w:val="24"/>
          <w:szCs w:val="22"/>
        </w:rPr>
        <w:t xml:space="preserve">Sources for which </w:t>
      </w:r>
      <w:r w:rsidR="00E43334" w:rsidRPr="00B61FF1">
        <w:rPr>
          <w:rFonts w:ascii="Arial" w:eastAsia="Calibri" w:hAnsi="Arial"/>
          <w:sz w:val="24"/>
          <w:szCs w:val="22"/>
          <w:u w:val="single"/>
        </w:rPr>
        <w:t>fugitive</w:t>
      </w:r>
      <w:r w:rsidR="00E43334" w:rsidRPr="00B61FF1">
        <w:rPr>
          <w:rFonts w:ascii="Arial" w:eastAsia="Calibri" w:hAnsi="Arial"/>
          <w:sz w:val="24"/>
          <w:szCs w:val="22"/>
        </w:rPr>
        <w:t xml:space="preserve"> emissions are estimated using leak detection and leaker emission factors, as required by section 95153(</w:t>
      </w:r>
      <w:r w:rsidR="00E43334" w:rsidRPr="00B61FF1">
        <w:rPr>
          <w:rFonts w:ascii="Arial" w:eastAsia="Calibri" w:hAnsi="Arial"/>
          <w:strike/>
          <w:sz w:val="24"/>
          <w:szCs w:val="22"/>
        </w:rPr>
        <w:t>q</w:t>
      </w:r>
      <w:r w:rsidR="00E43334" w:rsidRPr="00B61FF1">
        <w:rPr>
          <w:rFonts w:ascii="Arial" w:eastAsia="Calibri" w:hAnsi="Arial"/>
          <w:sz w:val="24"/>
          <w:szCs w:val="22"/>
          <w:u w:val="single"/>
        </w:rPr>
        <w:t>o</w:t>
      </w:r>
      <w:r w:rsidR="00E43334" w:rsidRPr="00B61FF1">
        <w:rPr>
          <w:rFonts w:ascii="Arial" w:eastAsia="Calibri" w:hAnsi="Arial"/>
          <w:sz w:val="24"/>
          <w:szCs w:val="22"/>
        </w:rPr>
        <w:t>) of MRR</w:t>
      </w:r>
      <w:r w:rsidR="00E43334" w:rsidRPr="00B61FF1">
        <w:rPr>
          <w:rFonts w:ascii="Arial" w:eastAsia="Calibri" w:hAnsi="Arial"/>
          <w:sz w:val="24"/>
          <w:szCs w:val="22"/>
          <w:u w:val="single"/>
        </w:rPr>
        <w:t>, and sources for which vented and fugitive emissions are estimated using a population count and emissions factor</w:t>
      </w:r>
      <w:r w:rsidR="001E7950">
        <w:rPr>
          <w:rFonts w:ascii="Arial" w:eastAsia="Calibri" w:hAnsi="Arial"/>
          <w:sz w:val="24"/>
          <w:szCs w:val="22"/>
          <w:u w:val="single"/>
        </w:rPr>
        <w:t>s, as required by section 95153</w:t>
      </w:r>
      <w:r w:rsidR="00E43334" w:rsidRPr="00B61FF1">
        <w:rPr>
          <w:rFonts w:ascii="Arial" w:eastAsia="Calibri" w:hAnsi="Arial"/>
          <w:sz w:val="24"/>
          <w:szCs w:val="22"/>
          <w:u w:val="single"/>
        </w:rPr>
        <w:t>(p) of MRR</w:t>
      </w:r>
      <w:r w:rsidR="00E43334" w:rsidRPr="00B61FF1">
        <w:rPr>
          <w:rFonts w:ascii="Arial" w:eastAsia="Calibri" w:hAnsi="Arial"/>
          <w:sz w:val="24"/>
          <w:szCs w:val="22"/>
        </w:rPr>
        <w:t xml:space="preserve">; </w:t>
      </w:r>
      <w:r w:rsidR="00E43334" w:rsidRPr="00B61FF1">
        <w:rPr>
          <w:rFonts w:ascii="Arial" w:eastAsia="Calibri" w:hAnsi="Arial"/>
          <w:strike/>
          <w:sz w:val="24"/>
          <w:szCs w:val="22"/>
        </w:rPr>
        <w:t>and</w:t>
      </w:r>
      <w:r w:rsidR="00DC20CA" w:rsidRPr="00B61FF1">
        <w:rPr>
          <w:rFonts w:ascii="Arial" w:hAnsi="Arial" w:cs="Arial"/>
          <w:sz w:val="24"/>
          <w:szCs w:val="24"/>
        </w:rPr>
        <w:t xml:space="preserve"> </w:t>
      </w:r>
    </w:p>
    <w:p w14:paraId="50AFE7E5" w14:textId="50D9C550" w:rsidR="00E43334" w:rsidRPr="00B61FF1" w:rsidRDefault="00E43334" w:rsidP="002A1C6A">
      <w:pPr>
        <w:spacing w:line="360" w:lineRule="auto"/>
        <w:ind w:left="1080" w:hanging="720"/>
        <w:rPr>
          <w:rFonts w:ascii="Arial" w:hAnsi="Arial" w:cs="Arial"/>
          <w:sz w:val="24"/>
          <w:szCs w:val="24"/>
        </w:rPr>
      </w:pPr>
      <w:r w:rsidRPr="00B61FF1">
        <w:rPr>
          <w:rFonts w:ascii="Arial" w:hAnsi="Arial" w:cs="Arial"/>
          <w:sz w:val="24"/>
          <w:szCs w:val="24"/>
          <w:u w:val="single"/>
        </w:rPr>
        <w:t>(11)</w:t>
      </w:r>
      <w:r w:rsidRPr="00B61FF1">
        <w:rPr>
          <w:rFonts w:ascii="Arial" w:hAnsi="Arial" w:cs="Arial"/>
          <w:sz w:val="24"/>
          <w:szCs w:val="24"/>
        </w:rPr>
        <w:tab/>
      </w:r>
      <w:r w:rsidRPr="00B61FF1">
        <w:rPr>
          <w:rFonts w:ascii="Arial" w:eastAsia="Calibri" w:hAnsi="Arial"/>
          <w:sz w:val="24"/>
          <w:szCs w:val="22"/>
          <w:u w:val="single"/>
        </w:rPr>
        <w:t>Sources for which emissions originate from offshore petroleum and natural gas production facilities, as provided in section 95153(q) of MRR; and</w:t>
      </w:r>
    </w:p>
    <w:p w14:paraId="3D5A5C3F" w14:textId="4D737743" w:rsidR="00A158CE" w:rsidRPr="00B61FF1" w:rsidRDefault="00A158CE" w:rsidP="002A1C6A">
      <w:pPr>
        <w:spacing w:line="360" w:lineRule="auto"/>
        <w:ind w:left="1080" w:hanging="720"/>
        <w:rPr>
          <w:rFonts w:ascii="Arial" w:hAnsi="Arial" w:cs="Arial"/>
          <w:dstrike/>
          <w:sz w:val="24"/>
          <w:szCs w:val="24"/>
        </w:rPr>
      </w:pPr>
      <w:r w:rsidRPr="00B61FF1">
        <w:rPr>
          <w:rFonts w:ascii="Arial" w:hAnsi="Arial" w:cs="Arial"/>
          <w:sz w:val="24"/>
          <w:szCs w:val="24"/>
        </w:rPr>
        <w:t>(</w:t>
      </w:r>
      <w:r w:rsidR="002A1C6A" w:rsidRPr="00B61FF1">
        <w:rPr>
          <w:rFonts w:ascii="Arial" w:hAnsi="Arial" w:cs="Arial"/>
          <w:sz w:val="24"/>
          <w:szCs w:val="24"/>
        </w:rPr>
        <w:t>1</w:t>
      </w:r>
      <w:r w:rsidR="002A1C6A" w:rsidRPr="00B61FF1">
        <w:rPr>
          <w:rFonts w:ascii="Arial" w:hAnsi="Arial" w:cs="Arial"/>
          <w:strike/>
          <w:sz w:val="24"/>
          <w:szCs w:val="24"/>
        </w:rPr>
        <w:t>1</w:t>
      </w:r>
      <w:r w:rsidR="00E43334" w:rsidRPr="00B61FF1">
        <w:rPr>
          <w:rFonts w:ascii="Arial" w:hAnsi="Arial" w:cs="Arial"/>
          <w:sz w:val="24"/>
          <w:szCs w:val="24"/>
          <w:u w:val="single"/>
        </w:rPr>
        <w:t>2</w:t>
      </w:r>
      <w:r w:rsidRPr="00B61FF1">
        <w:rPr>
          <w:rFonts w:ascii="Arial" w:hAnsi="Arial" w:cs="Arial"/>
          <w:sz w:val="24"/>
          <w:szCs w:val="24"/>
        </w:rPr>
        <w:t>)</w:t>
      </w:r>
      <w:r w:rsidRPr="00B61FF1">
        <w:rPr>
          <w:rFonts w:ascii="Arial" w:hAnsi="Arial" w:cs="Arial"/>
          <w:sz w:val="24"/>
          <w:szCs w:val="24"/>
        </w:rPr>
        <w:tab/>
      </w:r>
      <w:r w:rsidR="008B5F55" w:rsidRPr="00B61FF1">
        <w:rPr>
          <w:rFonts w:ascii="Arial" w:hAnsi="Arial" w:cs="Arial"/>
          <w:sz w:val="24"/>
          <w:szCs w:val="24"/>
        </w:rPr>
        <w:t xml:space="preserve">Carbon dioxide that is imported, or </w:t>
      </w:r>
      <w:r w:rsidR="00506C7C" w:rsidRPr="00B61FF1">
        <w:rPr>
          <w:rFonts w:ascii="Arial" w:hAnsi="Arial" w:cs="Arial"/>
          <w:sz w:val="24"/>
          <w:szCs w:val="24"/>
        </w:rPr>
        <w:t xml:space="preserve">that is </w:t>
      </w:r>
      <w:r w:rsidR="008B5F55" w:rsidRPr="00B61FF1">
        <w:rPr>
          <w:rFonts w:ascii="Arial" w:hAnsi="Arial" w:cs="Arial"/>
          <w:sz w:val="24"/>
          <w:szCs w:val="24"/>
        </w:rPr>
        <w:t>exported for purposes other than geologic sequestration</w:t>
      </w:r>
      <w:r w:rsidR="00DF376A" w:rsidRPr="00B61FF1">
        <w:rPr>
          <w:rFonts w:ascii="Arial" w:hAnsi="Arial" w:cs="Arial"/>
          <w:sz w:val="24"/>
          <w:szCs w:val="24"/>
        </w:rPr>
        <w:t>.</w:t>
      </w:r>
      <w:r w:rsidR="008B5F55" w:rsidRPr="00B61FF1">
        <w:rPr>
          <w:rFonts w:ascii="Arial" w:hAnsi="Arial" w:cs="Arial"/>
          <w:sz w:val="24"/>
          <w:szCs w:val="24"/>
        </w:rPr>
        <w:t xml:space="preserve"> </w:t>
      </w:r>
    </w:p>
    <w:p w14:paraId="77238CEE" w14:textId="4E2DDFB9" w:rsidR="00421FC4" w:rsidRPr="00B61FF1" w:rsidRDefault="00740200" w:rsidP="00740200">
      <w:pPr>
        <w:spacing w:line="360" w:lineRule="auto"/>
        <w:ind w:left="720" w:hanging="720"/>
        <w:rPr>
          <w:rFonts w:ascii="Arial" w:hAnsi="Arial" w:cs="Arial"/>
          <w:sz w:val="24"/>
          <w:szCs w:val="24"/>
          <w:u w:val="single"/>
        </w:rPr>
      </w:pPr>
      <w:r w:rsidRPr="00B61FF1">
        <w:rPr>
          <w:rFonts w:ascii="Arial" w:hAnsi="Arial" w:cs="Arial"/>
          <w:sz w:val="24"/>
          <w:szCs w:val="24"/>
        </w:rPr>
        <w:t>(c)</w:t>
      </w:r>
      <w:r w:rsidRPr="00B61FF1">
        <w:rPr>
          <w:rFonts w:ascii="Arial" w:hAnsi="Arial" w:cs="Arial"/>
          <w:sz w:val="24"/>
          <w:szCs w:val="24"/>
        </w:rPr>
        <w:tab/>
      </w:r>
      <w:r w:rsidR="00421FC4" w:rsidRPr="00B61FF1">
        <w:rPr>
          <w:rFonts w:ascii="Arial" w:hAnsi="Arial" w:cs="Arial"/>
          <w:strike/>
          <w:sz w:val="24"/>
          <w:szCs w:val="24"/>
        </w:rPr>
        <w:t>Additional</w:t>
      </w:r>
      <w:r w:rsidR="00421FC4" w:rsidRPr="00B61FF1">
        <w:rPr>
          <w:rFonts w:ascii="Arial" w:hAnsi="Arial" w:cs="Arial"/>
          <w:sz w:val="24"/>
          <w:szCs w:val="24"/>
        </w:rPr>
        <w:t xml:space="preserve"> </w:t>
      </w:r>
      <w:r w:rsidR="004A1E5F" w:rsidRPr="00B61FF1">
        <w:rPr>
          <w:rFonts w:ascii="Arial" w:hAnsi="Arial" w:cs="Arial"/>
          <w:sz w:val="24"/>
          <w:szCs w:val="24"/>
          <w:u w:val="single"/>
        </w:rPr>
        <w:t>Other</w:t>
      </w:r>
      <w:r w:rsidR="004A1E5F" w:rsidRPr="00B61FF1">
        <w:rPr>
          <w:rFonts w:ascii="Arial" w:hAnsi="Arial" w:cs="Arial"/>
          <w:sz w:val="24"/>
          <w:szCs w:val="24"/>
        </w:rPr>
        <w:t xml:space="preserve"> </w:t>
      </w:r>
      <w:r w:rsidR="00421FC4" w:rsidRPr="00B61FF1">
        <w:rPr>
          <w:rFonts w:ascii="Arial" w:hAnsi="Arial" w:cs="Arial"/>
          <w:sz w:val="24"/>
          <w:szCs w:val="24"/>
        </w:rPr>
        <w:t>Exemption</w:t>
      </w:r>
      <w:r w:rsidR="004A1E5F" w:rsidRPr="00B61FF1">
        <w:rPr>
          <w:rFonts w:ascii="Arial" w:hAnsi="Arial" w:cs="Arial"/>
          <w:sz w:val="24"/>
          <w:szCs w:val="24"/>
          <w:u w:val="single"/>
        </w:rPr>
        <w:t>s</w:t>
      </w:r>
      <w:r w:rsidR="00421FC4" w:rsidRPr="00B61FF1">
        <w:rPr>
          <w:rFonts w:ascii="Arial" w:hAnsi="Arial" w:cs="Arial"/>
          <w:sz w:val="24"/>
          <w:szCs w:val="24"/>
        </w:rPr>
        <w:t>. The operators of facilities with</w:t>
      </w:r>
      <w:r w:rsidR="004A1E5F" w:rsidRPr="00B61FF1">
        <w:rPr>
          <w:rFonts w:ascii="Arial" w:hAnsi="Arial" w:cs="Arial"/>
          <w:sz w:val="24"/>
          <w:szCs w:val="24"/>
        </w:rPr>
        <w:t xml:space="preserve"> </w:t>
      </w:r>
      <w:r w:rsidR="004A1E5F" w:rsidRPr="00B61FF1">
        <w:rPr>
          <w:rFonts w:ascii="Arial" w:hAnsi="Arial" w:cs="Arial"/>
          <w:sz w:val="24"/>
          <w:szCs w:val="24"/>
          <w:u w:val="single"/>
        </w:rPr>
        <w:t>any of</w:t>
      </w:r>
      <w:r w:rsidR="00421FC4" w:rsidRPr="00B61FF1">
        <w:rPr>
          <w:rFonts w:ascii="Arial" w:hAnsi="Arial" w:cs="Arial"/>
          <w:sz w:val="24"/>
          <w:szCs w:val="24"/>
          <w:u w:val="single"/>
        </w:rPr>
        <w:t xml:space="preserve"> </w:t>
      </w:r>
      <w:r w:rsidR="00421FC4" w:rsidRPr="00B61FF1">
        <w:rPr>
          <w:rFonts w:ascii="Arial" w:hAnsi="Arial" w:cs="Arial"/>
          <w:sz w:val="24"/>
          <w:szCs w:val="24"/>
        </w:rPr>
        <w:t>the</w:t>
      </w:r>
      <w:r w:rsidR="00421FC4" w:rsidRPr="00B61FF1">
        <w:rPr>
          <w:rFonts w:ascii="Arial" w:hAnsi="Arial" w:cs="Arial"/>
          <w:sz w:val="24"/>
          <w:szCs w:val="24"/>
          <w:u w:val="single"/>
        </w:rPr>
        <w:t xml:space="preserve"> following activit</w:t>
      </w:r>
      <w:r w:rsidR="004A1E5F" w:rsidRPr="00B61FF1">
        <w:rPr>
          <w:rFonts w:ascii="Arial" w:hAnsi="Arial" w:cs="Arial"/>
          <w:sz w:val="24"/>
          <w:szCs w:val="24"/>
          <w:u w:val="single"/>
        </w:rPr>
        <w:t>ies</w:t>
      </w:r>
      <w:r w:rsidR="00421FC4" w:rsidRPr="00B61FF1">
        <w:rPr>
          <w:rFonts w:ascii="Arial" w:hAnsi="Arial" w:cs="Arial"/>
          <w:sz w:val="24"/>
          <w:szCs w:val="24"/>
          <w:u w:val="single"/>
        </w:rPr>
        <w:t xml:space="preserve"> </w:t>
      </w:r>
      <w:r w:rsidR="00421FC4" w:rsidRPr="00B61FF1">
        <w:rPr>
          <w:rFonts w:ascii="Arial" w:hAnsi="Arial" w:cs="Arial"/>
          <w:strike/>
          <w:sz w:val="24"/>
          <w:szCs w:val="24"/>
        </w:rPr>
        <w:t>NAICS code 92811</w:t>
      </w:r>
      <w:r w:rsidR="00421FC4" w:rsidRPr="00B61FF1">
        <w:rPr>
          <w:rFonts w:ascii="Arial" w:hAnsi="Arial" w:cs="Arial"/>
          <w:sz w:val="24"/>
          <w:szCs w:val="24"/>
        </w:rPr>
        <w:t xml:space="preserve"> are exempt from compliance with this article </w:t>
      </w:r>
      <w:r w:rsidR="00421FC4" w:rsidRPr="00B61FF1">
        <w:rPr>
          <w:rFonts w:ascii="Arial" w:hAnsi="Arial" w:cs="Arial"/>
          <w:strike/>
          <w:sz w:val="24"/>
          <w:szCs w:val="24"/>
        </w:rPr>
        <w:t>through December 31, 2013.</w:t>
      </w:r>
      <w:r w:rsidR="00421FC4" w:rsidRPr="00B61FF1">
        <w:rPr>
          <w:rFonts w:ascii="Arial" w:hAnsi="Arial" w:cs="Arial"/>
          <w:sz w:val="24"/>
          <w:szCs w:val="24"/>
          <w:u w:val="single"/>
        </w:rPr>
        <w:t>:</w:t>
      </w:r>
    </w:p>
    <w:p w14:paraId="0E0B0F9F" w14:textId="6FCDBF9A" w:rsidR="00421FC4" w:rsidRPr="00B61FF1" w:rsidRDefault="00421FC4" w:rsidP="00421FC4">
      <w:pPr>
        <w:spacing w:line="360" w:lineRule="auto"/>
        <w:ind w:left="144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 xml:space="preserve"> </w:t>
      </w:r>
      <w:r w:rsidRPr="00B61FF1">
        <w:rPr>
          <w:rFonts w:ascii="Arial" w:hAnsi="Arial" w:cs="Arial"/>
          <w:sz w:val="24"/>
          <w:szCs w:val="24"/>
        </w:rPr>
        <w:tab/>
      </w:r>
      <w:r w:rsidR="00955C0B" w:rsidRPr="00B61FF1">
        <w:rPr>
          <w:rFonts w:ascii="Arial" w:hAnsi="Arial" w:cs="Arial"/>
          <w:sz w:val="24"/>
          <w:szCs w:val="24"/>
          <w:u w:val="single"/>
        </w:rPr>
        <w:t>NAICS Code 92811,</w:t>
      </w:r>
    </w:p>
    <w:p w14:paraId="5962EF39" w14:textId="77777777" w:rsidR="00421FC4" w:rsidRPr="00B61FF1" w:rsidRDefault="00421FC4" w:rsidP="00421FC4">
      <w:pPr>
        <w:spacing w:line="360" w:lineRule="auto"/>
        <w:ind w:left="144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Emissions reported and verified in the first compliance period for the direct combustion of municipal solid waste in a waste-to-energy facility  that had started operation before 2009. The exempted waste-to-energy facility must meet the following criteria:</w:t>
      </w:r>
    </w:p>
    <w:p w14:paraId="43803AD8" w14:textId="4ECB66D8" w:rsidR="00421FC4" w:rsidRPr="00B61FF1" w:rsidRDefault="00421FC4" w:rsidP="00421FC4">
      <w:pPr>
        <w:spacing w:line="360" w:lineRule="auto"/>
        <w:ind w:left="2160" w:hanging="720"/>
        <w:rPr>
          <w:rFonts w:ascii="Arial" w:hAnsi="Arial" w:cs="Arial"/>
          <w:sz w:val="24"/>
          <w:szCs w:val="24"/>
          <w:u w:val="single"/>
        </w:rPr>
      </w:pPr>
      <w:r w:rsidRPr="00B61FF1">
        <w:rPr>
          <w:rFonts w:ascii="Arial" w:hAnsi="Arial" w:cs="Arial"/>
          <w:sz w:val="24"/>
          <w:szCs w:val="24"/>
          <w:u w:val="single"/>
        </w:rPr>
        <w:lastRenderedPageBreak/>
        <w:t>(</w:t>
      </w:r>
      <w:r w:rsidR="00CD1CF0" w:rsidRPr="00B61FF1">
        <w:rPr>
          <w:rFonts w:ascii="Arial" w:hAnsi="Arial" w:cs="Arial"/>
          <w:sz w:val="24"/>
          <w:szCs w:val="24"/>
          <w:u w:val="single"/>
        </w:rPr>
        <w:t>A</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Report and verify emissions pursuant to MRR</w:t>
      </w:r>
    </w:p>
    <w:p w14:paraId="295E41D8" w14:textId="55581988" w:rsidR="00421FC4" w:rsidRPr="00B61FF1" w:rsidRDefault="00421FC4" w:rsidP="00421FC4">
      <w:pPr>
        <w:spacing w:line="360" w:lineRule="auto"/>
        <w:ind w:left="2160" w:hanging="720"/>
        <w:rPr>
          <w:rFonts w:ascii="Arial" w:hAnsi="Arial" w:cs="Arial"/>
          <w:sz w:val="24"/>
          <w:szCs w:val="24"/>
          <w:u w:val="single"/>
        </w:rPr>
      </w:pPr>
      <w:r w:rsidRPr="00B61FF1">
        <w:rPr>
          <w:rFonts w:ascii="Arial" w:hAnsi="Arial" w:cs="Arial"/>
          <w:sz w:val="24"/>
          <w:szCs w:val="24"/>
          <w:u w:val="single"/>
        </w:rPr>
        <w:t>(</w:t>
      </w:r>
      <w:r w:rsidR="00CD1CF0" w:rsidRPr="00B61FF1">
        <w:rPr>
          <w:rFonts w:ascii="Arial" w:hAnsi="Arial" w:cs="Arial"/>
          <w:sz w:val="24"/>
          <w:szCs w:val="24"/>
          <w:u w:val="single"/>
        </w:rPr>
        <w:t>B</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 xml:space="preserve">The generated electricity must be provided or sold to a retail provider or electricity marketer who distributes the electricity over the electric power grid for wholesale or retail customers of the grid.  </w:t>
      </w:r>
    </w:p>
    <w:p w14:paraId="2010B8FD" w14:textId="18BF103C" w:rsidR="00421FC4" w:rsidRPr="00B61FF1" w:rsidRDefault="00421FC4" w:rsidP="00421FC4">
      <w:pPr>
        <w:spacing w:line="360" w:lineRule="auto"/>
        <w:ind w:left="2160" w:hanging="720"/>
        <w:rPr>
          <w:rFonts w:ascii="Arial" w:hAnsi="Arial" w:cs="Arial"/>
          <w:sz w:val="24"/>
          <w:szCs w:val="24"/>
          <w:u w:val="single"/>
        </w:rPr>
      </w:pPr>
      <w:r w:rsidRPr="00B61FF1">
        <w:rPr>
          <w:rFonts w:ascii="Arial" w:hAnsi="Arial" w:cs="Arial"/>
          <w:sz w:val="24"/>
          <w:szCs w:val="24"/>
          <w:u w:val="single"/>
        </w:rPr>
        <w:t>(</w:t>
      </w:r>
      <w:r w:rsidR="00CD1CF0" w:rsidRPr="00B61FF1">
        <w:rPr>
          <w:rFonts w:ascii="Arial" w:hAnsi="Arial" w:cs="Arial"/>
          <w:sz w:val="24"/>
          <w:szCs w:val="24"/>
          <w:u w:val="single"/>
        </w:rPr>
        <w:t>C</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Must be operating under a current permit issued by the local Air Pollution Control District or Air Quality Management District.</w:t>
      </w:r>
    </w:p>
    <w:p w14:paraId="18720AB1" w14:textId="55C3E3A8" w:rsidR="00CD1CF0" w:rsidRPr="00B61FF1" w:rsidRDefault="00421FC4" w:rsidP="00421FC4">
      <w:pPr>
        <w:spacing w:line="360" w:lineRule="auto"/>
        <w:ind w:left="2160" w:hanging="720"/>
        <w:rPr>
          <w:rFonts w:ascii="Arial" w:hAnsi="Arial" w:cs="Arial"/>
          <w:sz w:val="24"/>
          <w:szCs w:val="24"/>
          <w:u w:val="single"/>
        </w:rPr>
      </w:pPr>
      <w:r w:rsidRPr="00B61FF1">
        <w:rPr>
          <w:rFonts w:ascii="Arial" w:hAnsi="Arial" w:cs="Arial"/>
          <w:sz w:val="24"/>
          <w:szCs w:val="24"/>
          <w:u w:val="single"/>
        </w:rPr>
        <w:t>(</w:t>
      </w:r>
      <w:r w:rsidR="00CD1CF0" w:rsidRPr="00B61FF1">
        <w:rPr>
          <w:rFonts w:ascii="Arial" w:hAnsi="Arial" w:cs="Arial"/>
          <w:sz w:val="24"/>
          <w:szCs w:val="24"/>
          <w:u w:val="single"/>
        </w:rPr>
        <w:t>D</w:t>
      </w:r>
      <w:r w:rsidRPr="00B61FF1">
        <w:rPr>
          <w:rFonts w:ascii="Arial" w:hAnsi="Arial" w:cs="Arial"/>
          <w:sz w:val="24"/>
          <w:szCs w:val="24"/>
          <w:u w:val="single"/>
        </w:rPr>
        <w:t>)</w:t>
      </w:r>
      <w:r w:rsidRPr="00B61FF1">
        <w:rPr>
          <w:rFonts w:ascii="Arial" w:hAnsi="Arial" w:cs="Arial"/>
          <w:sz w:val="24"/>
          <w:szCs w:val="24"/>
        </w:rPr>
        <w:tab/>
      </w:r>
      <w:r w:rsidRPr="00B61FF1">
        <w:rPr>
          <w:rFonts w:ascii="Arial" w:hAnsi="Arial" w:cs="Arial"/>
          <w:sz w:val="24"/>
          <w:szCs w:val="24"/>
          <w:u w:val="single"/>
        </w:rPr>
        <w:t xml:space="preserve">Municipal solid waste fuel must be derived from a municipal solid waste facility, as defined in the PUC – or as defined in the definition section of </w:t>
      </w:r>
      <w:r w:rsidR="00B80CC5" w:rsidRPr="00B61FF1">
        <w:rPr>
          <w:rFonts w:ascii="Arial" w:hAnsi="Arial" w:cs="Arial"/>
          <w:sz w:val="24"/>
          <w:szCs w:val="24"/>
          <w:u w:val="single"/>
        </w:rPr>
        <w:t xml:space="preserve">this </w:t>
      </w:r>
      <w:r w:rsidR="00955C0B" w:rsidRPr="00B61FF1">
        <w:rPr>
          <w:rFonts w:ascii="Arial" w:hAnsi="Arial" w:cs="Arial"/>
          <w:sz w:val="24"/>
          <w:szCs w:val="24"/>
          <w:u w:val="single"/>
        </w:rPr>
        <w:t>article and MRR</w:t>
      </w:r>
      <w:r w:rsidR="00B80CC5" w:rsidRPr="00B61FF1">
        <w:rPr>
          <w:rFonts w:ascii="Arial" w:hAnsi="Arial" w:cs="Arial"/>
          <w:sz w:val="24"/>
          <w:szCs w:val="24"/>
          <w:u w:val="single"/>
        </w:rPr>
        <w:t>.</w:t>
      </w:r>
    </w:p>
    <w:p w14:paraId="46A5F48B" w14:textId="77777777" w:rsidR="00D274D8" w:rsidRPr="00B61FF1" w:rsidRDefault="00D274D8" w:rsidP="00EC7AFC">
      <w:pPr>
        <w:rPr>
          <w:rFonts w:ascii="Arial" w:hAnsi="Arial" w:cs="Arial"/>
        </w:rPr>
      </w:pPr>
    </w:p>
    <w:p w14:paraId="67A36165"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1DC44EC"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7A4CD46B" w14:textId="77777777" w:rsidR="00BD1FA4" w:rsidRPr="00B61FF1" w:rsidRDefault="00BD1FA4" w:rsidP="00EC7AFC">
      <w:pPr>
        <w:rPr>
          <w:rFonts w:ascii="Arial" w:hAnsi="Arial" w:cs="Arial"/>
        </w:rPr>
      </w:pPr>
    </w:p>
    <w:p w14:paraId="707E0009" w14:textId="77777777" w:rsidR="00FE6B15" w:rsidRPr="00B61FF1" w:rsidRDefault="00FE6B15" w:rsidP="004E3B67">
      <w:pPr>
        <w:pStyle w:val="Heading2"/>
        <w:keepNext w:val="0"/>
        <w:rPr>
          <w:i/>
          <w:szCs w:val="24"/>
        </w:rPr>
      </w:pPr>
      <w:bookmarkStart w:id="206" w:name="_Toc299094935"/>
      <w:bookmarkStart w:id="207" w:name="_Toc302746788"/>
      <w:bookmarkStart w:id="208" w:name="_Toc352146249"/>
      <w:bookmarkStart w:id="209" w:name="_Toc361659850"/>
      <w:r w:rsidRPr="00B61FF1">
        <w:rPr>
          <w:szCs w:val="24"/>
        </w:rPr>
        <w:t>§ 95853.  Calculation of Covered Entity’s Triennial Compliance Obligation</w:t>
      </w:r>
      <w:r w:rsidR="0090128E" w:rsidRPr="00B61FF1">
        <w:rPr>
          <w:szCs w:val="24"/>
        </w:rPr>
        <w:t>.</w:t>
      </w:r>
      <w:bookmarkEnd w:id="206"/>
      <w:bookmarkEnd w:id="207"/>
      <w:bookmarkEnd w:id="208"/>
      <w:bookmarkEnd w:id="209"/>
    </w:p>
    <w:p w14:paraId="2CD45115" w14:textId="77777777" w:rsidR="00FE6B15" w:rsidRPr="00B61FF1" w:rsidRDefault="00FE6B15" w:rsidP="00635712">
      <w:pPr>
        <w:numPr>
          <w:ilvl w:val="0"/>
          <w:numId w:val="1"/>
        </w:numPr>
        <w:spacing w:line="360" w:lineRule="auto"/>
        <w:rPr>
          <w:rFonts w:ascii="Arial" w:hAnsi="Arial" w:cs="Arial"/>
          <w:sz w:val="24"/>
          <w:szCs w:val="24"/>
        </w:rPr>
      </w:pPr>
      <w:r w:rsidRPr="00B61FF1">
        <w:rPr>
          <w:rFonts w:ascii="Arial" w:hAnsi="Arial" w:cs="Arial"/>
          <w:sz w:val="24"/>
          <w:szCs w:val="24"/>
        </w:rPr>
        <w:t xml:space="preserve">A covered entity that exceeds the threshold in section 95812 in any of the three data years preceding the start of a compliance period is a covered entity for the entire compliance period.  The covered entity’s triennial compliance obligation in this situation is calculated as the total of the </w:t>
      </w:r>
      <w:r w:rsidR="00E13B3E" w:rsidRPr="00B61FF1">
        <w:rPr>
          <w:rFonts w:ascii="Arial" w:hAnsi="Arial" w:cs="Arial"/>
          <w:sz w:val="24"/>
          <w:szCs w:val="24"/>
        </w:rPr>
        <w:t xml:space="preserve">emissions </w:t>
      </w:r>
      <w:r w:rsidR="00442B64" w:rsidRPr="00B61FF1">
        <w:rPr>
          <w:rFonts w:ascii="Arial" w:hAnsi="Arial" w:cs="Arial"/>
          <w:sz w:val="24"/>
          <w:szCs w:val="24"/>
        </w:rPr>
        <w:t>with a compliance obligation</w:t>
      </w:r>
      <w:r w:rsidR="00E13B3E" w:rsidRPr="00B61FF1">
        <w:rPr>
          <w:rFonts w:ascii="Arial" w:hAnsi="Arial" w:cs="Arial"/>
          <w:sz w:val="24"/>
          <w:szCs w:val="24"/>
        </w:rPr>
        <w:t xml:space="preserve"> </w:t>
      </w:r>
      <w:r w:rsidRPr="00B61FF1">
        <w:rPr>
          <w:rFonts w:ascii="Arial" w:hAnsi="Arial" w:cs="Arial"/>
          <w:sz w:val="24"/>
          <w:szCs w:val="24"/>
        </w:rPr>
        <w:t xml:space="preserve">that received a positive or qualified positive </w:t>
      </w:r>
      <w:r w:rsidR="003E59B9" w:rsidRPr="00B61FF1">
        <w:rPr>
          <w:rFonts w:ascii="Arial" w:hAnsi="Arial" w:cs="Arial"/>
          <w:sz w:val="24"/>
          <w:szCs w:val="24"/>
        </w:rPr>
        <w:t>emissions data verification</w:t>
      </w:r>
      <w:r w:rsidRPr="00B61FF1">
        <w:rPr>
          <w:rFonts w:ascii="Arial" w:hAnsi="Arial" w:cs="Arial"/>
          <w:sz w:val="24"/>
          <w:szCs w:val="24"/>
        </w:rPr>
        <w:t xml:space="preserve"> statement, or were assigned</w:t>
      </w:r>
      <w:r w:rsidR="00214B58" w:rsidRPr="00B61FF1">
        <w:rPr>
          <w:rFonts w:ascii="Arial" w:hAnsi="Arial" w:cs="Arial"/>
          <w:sz w:val="24"/>
          <w:szCs w:val="24"/>
        </w:rPr>
        <w:t xml:space="preserve"> emissions</w:t>
      </w:r>
      <w:r w:rsidR="00971AE5" w:rsidRPr="00B61FF1">
        <w:rPr>
          <w:rFonts w:ascii="Arial" w:hAnsi="Arial" w:cs="Arial"/>
          <w:sz w:val="24"/>
          <w:szCs w:val="24"/>
        </w:rPr>
        <w:t xml:space="preserve"> </w:t>
      </w:r>
      <w:r w:rsidR="002E1AB4" w:rsidRPr="00B61FF1">
        <w:rPr>
          <w:rFonts w:ascii="Arial" w:hAnsi="Arial" w:cs="Arial"/>
          <w:sz w:val="24"/>
          <w:szCs w:val="24"/>
        </w:rPr>
        <w:t>p</w:t>
      </w:r>
      <w:r w:rsidR="00656BA6" w:rsidRPr="00B61FF1">
        <w:rPr>
          <w:rFonts w:ascii="Arial" w:hAnsi="Arial" w:cs="Arial"/>
          <w:sz w:val="24"/>
          <w:szCs w:val="24"/>
        </w:rPr>
        <w:t>ursuan</w:t>
      </w:r>
      <w:r w:rsidR="002E1AB4" w:rsidRPr="00B61FF1">
        <w:rPr>
          <w:rFonts w:ascii="Arial" w:hAnsi="Arial" w:cs="Arial"/>
          <w:sz w:val="24"/>
          <w:szCs w:val="24"/>
        </w:rPr>
        <w:t>t</w:t>
      </w:r>
      <w:r w:rsidR="00971AE5" w:rsidRPr="00B61FF1">
        <w:rPr>
          <w:rFonts w:ascii="Arial" w:hAnsi="Arial" w:cs="Arial"/>
          <w:sz w:val="24"/>
          <w:szCs w:val="24"/>
        </w:rPr>
        <w:t xml:space="preserve"> to section </w:t>
      </w:r>
      <w:r w:rsidR="002E1AB4" w:rsidRPr="00B61FF1">
        <w:rPr>
          <w:rFonts w:ascii="Arial" w:hAnsi="Arial" w:cs="Arial"/>
          <w:sz w:val="24"/>
          <w:szCs w:val="24"/>
        </w:rPr>
        <w:t>95131</w:t>
      </w:r>
      <w:r w:rsidR="0090128E" w:rsidRPr="00B61FF1">
        <w:rPr>
          <w:rFonts w:ascii="Arial" w:hAnsi="Arial" w:cs="Arial"/>
          <w:sz w:val="24"/>
          <w:szCs w:val="24"/>
        </w:rPr>
        <w:t xml:space="preserve"> </w:t>
      </w:r>
      <w:r w:rsidR="00971AE5" w:rsidRPr="00B61FF1">
        <w:rPr>
          <w:rFonts w:ascii="Arial" w:hAnsi="Arial" w:cs="Arial"/>
          <w:sz w:val="24"/>
          <w:szCs w:val="24"/>
        </w:rPr>
        <w:t>of MRR</w:t>
      </w:r>
      <w:r w:rsidRPr="00B61FF1">
        <w:rPr>
          <w:rFonts w:ascii="Arial" w:hAnsi="Arial" w:cs="Arial"/>
          <w:sz w:val="24"/>
          <w:szCs w:val="24"/>
        </w:rPr>
        <w:t xml:space="preserve"> from all data years of the compliance period.</w:t>
      </w:r>
    </w:p>
    <w:p w14:paraId="68375730" w14:textId="77777777" w:rsidR="00FE6B15" w:rsidRPr="00B61FF1" w:rsidRDefault="00FE6B15" w:rsidP="00635712">
      <w:pPr>
        <w:numPr>
          <w:ilvl w:val="0"/>
          <w:numId w:val="1"/>
        </w:numPr>
        <w:spacing w:line="360" w:lineRule="auto"/>
        <w:rPr>
          <w:rFonts w:ascii="Arial" w:hAnsi="Arial" w:cs="Arial"/>
          <w:sz w:val="24"/>
          <w:szCs w:val="24"/>
        </w:rPr>
      </w:pPr>
      <w:r w:rsidRPr="00B61FF1">
        <w:rPr>
          <w:rFonts w:ascii="Arial" w:hAnsi="Arial" w:cs="Arial"/>
          <w:sz w:val="24"/>
          <w:szCs w:val="24"/>
        </w:rPr>
        <w:t>A covered entity that initially exceeds the threshold in section 95812 in the first year of a compliance period is a covered entity for the entire compliance period.  The covered entity’s triennial compliance obligation in this situation is calculated as the total of the emissions that received a positive or qualified positive</w:t>
      </w:r>
      <w:r w:rsidR="003E59B9" w:rsidRPr="00B61FF1">
        <w:rPr>
          <w:rFonts w:ascii="Arial" w:hAnsi="Arial" w:cs="Arial"/>
          <w:sz w:val="24"/>
          <w:szCs w:val="24"/>
        </w:rPr>
        <w:t xml:space="preserve"> emissions data verification</w:t>
      </w:r>
      <w:r w:rsidRPr="00B61FF1">
        <w:rPr>
          <w:rFonts w:ascii="Arial" w:hAnsi="Arial" w:cs="Arial"/>
          <w:sz w:val="24"/>
          <w:szCs w:val="24"/>
        </w:rPr>
        <w:t xml:space="preserve"> statement, or were assigned</w:t>
      </w:r>
      <w:r w:rsidR="00214B58" w:rsidRPr="00B61FF1">
        <w:rPr>
          <w:rFonts w:ascii="Arial" w:hAnsi="Arial" w:cs="Arial"/>
          <w:sz w:val="24"/>
          <w:szCs w:val="24"/>
        </w:rPr>
        <w:t xml:space="preserve"> emissions</w:t>
      </w:r>
      <w:r w:rsidRPr="00B61FF1">
        <w:rPr>
          <w:rFonts w:ascii="Arial" w:hAnsi="Arial" w:cs="Arial"/>
          <w:sz w:val="24"/>
          <w:szCs w:val="24"/>
        </w:rPr>
        <w:t xml:space="preserve"> </w:t>
      </w:r>
      <w:r w:rsidR="0090128E" w:rsidRPr="00B61FF1">
        <w:rPr>
          <w:rFonts w:ascii="Arial" w:hAnsi="Arial" w:cs="Arial"/>
          <w:sz w:val="24"/>
          <w:szCs w:val="24"/>
        </w:rPr>
        <w:t xml:space="preserve">pursuant to section 95131 of MRR </w:t>
      </w:r>
      <w:r w:rsidRPr="00B61FF1">
        <w:rPr>
          <w:rFonts w:ascii="Arial" w:hAnsi="Arial" w:cs="Arial"/>
          <w:sz w:val="24"/>
          <w:szCs w:val="24"/>
        </w:rPr>
        <w:t>from all data years of the compliance period.</w:t>
      </w:r>
    </w:p>
    <w:p w14:paraId="2E18ADFF" w14:textId="77777777" w:rsidR="002E4677" w:rsidRPr="00B61FF1" w:rsidRDefault="002E4677" w:rsidP="002E4677">
      <w:pPr>
        <w:numPr>
          <w:ilvl w:val="0"/>
          <w:numId w:val="1"/>
        </w:numPr>
        <w:spacing w:line="360" w:lineRule="auto"/>
        <w:rPr>
          <w:rFonts w:ascii="Arial" w:hAnsi="Arial" w:cs="Arial"/>
          <w:sz w:val="24"/>
          <w:szCs w:val="24"/>
        </w:rPr>
      </w:pPr>
      <w:r w:rsidRPr="00B61FF1">
        <w:rPr>
          <w:rFonts w:ascii="Arial" w:hAnsi="Arial" w:cs="Arial"/>
          <w:sz w:val="24"/>
          <w:szCs w:val="24"/>
        </w:rPr>
        <w:lastRenderedPageBreak/>
        <w:t xml:space="preserve">A covered entity that initially exceeds the threshold in section 95812 in the second year of the second or </w:t>
      </w:r>
      <w:r w:rsidR="00442B64" w:rsidRPr="00B61FF1">
        <w:rPr>
          <w:rFonts w:ascii="Arial" w:hAnsi="Arial" w:cs="Arial"/>
          <w:sz w:val="24"/>
          <w:szCs w:val="24"/>
        </w:rPr>
        <w:t>subsequent</w:t>
      </w:r>
      <w:r w:rsidR="00D4436E" w:rsidRPr="00B61FF1">
        <w:rPr>
          <w:rFonts w:ascii="Arial" w:hAnsi="Arial" w:cs="Arial"/>
          <w:sz w:val="24"/>
          <w:szCs w:val="24"/>
        </w:rPr>
        <w:t xml:space="preserve"> </w:t>
      </w:r>
      <w:r w:rsidRPr="00B61FF1">
        <w:rPr>
          <w:rFonts w:ascii="Arial" w:hAnsi="Arial" w:cs="Arial"/>
          <w:sz w:val="24"/>
          <w:szCs w:val="24"/>
        </w:rPr>
        <w:t>compliance period is a covered entity for the second and third years of th</w:t>
      </w:r>
      <w:r w:rsidR="0090128E" w:rsidRPr="00B61FF1">
        <w:rPr>
          <w:rFonts w:ascii="Arial" w:hAnsi="Arial" w:cs="Arial"/>
          <w:sz w:val="24"/>
          <w:szCs w:val="24"/>
        </w:rPr>
        <w:t>is</w:t>
      </w:r>
      <w:r w:rsidRPr="00B61FF1">
        <w:rPr>
          <w:rFonts w:ascii="Arial" w:hAnsi="Arial" w:cs="Arial"/>
          <w:sz w:val="24"/>
          <w:szCs w:val="24"/>
        </w:rPr>
        <w:t xml:space="preserve"> compliance period.  The covered entity’s triennial compliance obligation in this situation is calculated as the total of the emissions that received a positive or qualified positive emissions data verification statement, or were assigned emissions </w:t>
      </w:r>
      <w:r w:rsidR="0090128E" w:rsidRPr="00B61FF1">
        <w:rPr>
          <w:rFonts w:ascii="Arial" w:hAnsi="Arial" w:cs="Arial"/>
          <w:sz w:val="24"/>
          <w:szCs w:val="24"/>
        </w:rPr>
        <w:t>pursuant to section 95131 of MRR</w:t>
      </w:r>
      <w:r w:rsidRPr="00B61FF1">
        <w:rPr>
          <w:rFonts w:ascii="Arial" w:hAnsi="Arial" w:cs="Arial"/>
          <w:sz w:val="24"/>
          <w:szCs w:val="24"/>
        </w:rPr>
        <w:t xml:space="preserve"> </w:t>
      </w:r>
      <w:r w:rsidR="0090128E" w:rsidRPr="00B61FF1">
        <w:rPr>
          <w:rFonts w:ascii="Arial" w:hAnsi="Arial" w:cs="Arial"/>
          <w:sz w:val="24"/>
          <w:szCs w:val="24"/>
        </w:rPr>
        <w:t xml:space="preserve">for </w:t>
      </w:r>
      <w:r w:rsidRPr="00B61FF1">
        <w:rPr>
          <w:rFonts w:ascii="Arial" w:hAnsi="Arial" w:cs="Arial"/>
          <w:sz w:val="24"/>
          <w:szCs w:val="24"/>
        </w:rPr>
        <w:t xml:space="preserve">the second and third data years of the compliance period.  </w:t>
      </w:r>
    </w:p>
    <w:p w14:paraId="03D7D626" w14:textId="77777777" w:rsidR="002E4677" w:rsidRPr="00B61FF1" w:rsidRDefault="002E4677" w:rsidP="002E4677">
      <w:pPr>
        <w:numPr>
          <w:ilvl w:val="0"/>
          <w:numId w:val="1"/>
        </w:numPr>
        <w:spacing w:line="360" w:lineRule="auto"/>
        <w:rPr>
          <w:rFonts w:ascii="Arial" w:hAnsi="Arial" w:cs="Arial"/>
          <w:sz w:val="24"/>
          <w:szCs w:val="24"/>
        </w:rPr>
      </w:pPr>
      <w:r w:rsidRPr="00B61FF1">
        <w:rPr>
          <w:rFonts w:ascii="Arial" w:hAnsi="Arial" w:cs="Arial"/>
          <w:sz w:val="24"/>
          <w:szCs w:val="24"/>
        </w:rPr>
        <w:t xml:space="preserve">A covered entity that initially exceeds the threshold in section 95812 in the second year of the first compliance period or the third year of a later compliance period has a compliance obligation for its emissions that received a positive or qualified positive emissions data verification statement, or were assigned emissions </w:t>
      </w:r>
      <w:r w:rsidR="0090128E" w:rsidRPr="00B61FF1">
        <w:rPr>
          <w:rFonts w:ascii="Arial" w:hAnsi="Arial" w:cs="Arial"/>
          <w:sz w:val="24"/>
          <w:szCs w:val="24"/>
        </w:rPr>
        <w:t>pursuant to section 95131 of MRR</w:t>
      </w:r>
      <w:r w:rsidRPr="00B61FF1">
        <w:rPr>
          <w:rFonts w:ascii="Arial" w:hAnsi="Arial" w:cs="Arial"/>
          <w:sz w:val="24"/>
          <w:szCs w:val="24"/>
        </w:rPr>
        <w:t xml:space="preserve"> for that year, but the entity’s triennial </w:t>
      </w:r>
      <w:r w:rsidR="0090128E" w:rsidRPr="00B61FF1">
        <w:rPr>
          <w:rFonts w:ascii="Arial" w:hAnsi="Arial" w:cs="Arial"/>
          <w:sz w:val="24"/>
          <w:szCs w:val="24"/>
        </w:rPr>
        <w:t xml:space="preserve">compliance </w:t>
      </w:r>
      <w:r w:rsidRPr="00B61FF1">
        <w:rPr>
          <w:rFonts w:ascii="Arial" w:hAnsi="Arial" w:cs="Arial"/>
          <w:sz w:val="24"/>
          <w:szCs w:val="24"/>
        </w:rPr>
        <w:t>obligation for the current compliance period is not due the following year.  Instead the entity’s reported and verified or assigned emissions for</w:t>
      </w:r>
      <w:r w:rsidR="000352D6" w:rsidRPr="00B61FF1">
        <w:rPr>
          <w:rFonts w:ascii="Arial" w:hAnsi="Arial" w:cs="Arial"/>
          <w:sz w:val="24"/>
          <w:szCs w:val="24"/>
        </w:rPr>
        <w:t xml:space="preserve"> </w:t>
      </w:r>
      <w:r w:rsidRPr="00B61FF1">
        <w:rPr>
          <w:rFonts w:ascii="Arial" w:hAnsi="Arial" w:cs="Arial"/>
          <w:sz w:val="24"/>
          <w:szCs w:val="24"/>
        </w:rPr>
        <w:t>this year will be added to the entity’s triennial obligation for the subsequent compliance period.</w:t>
      </w:r>
    </w:p>
    <w:p w14:paraId="0A3F205D" w14:textId="77777777" w:rsidR="00FE6B15" w:rsidRPr="00B61FF1" w:rsidRDefault="00FE6B15" w:rsidP="00635712">
      <w:pPr>
        <w:numPr>
          <w:ilvl w:val="0"/>
          <w:numId w:val="1"/>
        </w:numPr>
        <w:spacing w:line="360" w:lineRule="auto"/>
        <w:rPr>
          <w:rFonts w:ascii="Arial" w:hAnsi="Arial" w:cs="Arial"/>
          <w:strike/>
          <w:sz w:val="24"/>
          <w:szCs w:val="24"/>
        </w:rPr>
      </w:pPr>
      <w:r w:rsidRPr="00B61FF1">
        <w:rPr>
          <w:rFonts w:ascii="Arial" w:hAnsi="Arial" w:cs="Arial"/>
          <w:strike/>
          <w:sz w:val="24"/>
          <w:szCs w:val="24"/>
        </w:rPr>
        <w:t xml:space="preserve">For a new entrant that is eligible to receive free allowances pursuant to subarticles 8 and 9, the first year for this entity to receive free allowances is the year following the first year in which its emissions exceed the threshold in section 95812.  The number of free allowances for this new entrant to receive in that year is twice the number calculated pursuant to section 95891. </w:t>
      </w:r>
    </w:p>
    <w:p w14:paraId="32C937DF" w14:textId="77777777" w:rsidR="00FE6B15" w:rsidRPr="00B61FF1" w:rsidRDefault="00FE6B15" w:rsidP="004E3B67">
      <w:pPr>
        <w:spacing w:line="360" w:lineRule="auto"/>
        <w:rPr>
          <w:rFonts w:ascii="Arial" w:hAnsi="Arial" w:cs="Arial"/>
          <w:sz w:val="24"/>
          <w:szCs w:val="24"/>
        </w:rPr>
      </w:pPr>
    </w:p>
    <w:p w14:paraId="6C7146AB"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50B0F419"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2F91452A" w14:textId="77777777" w:rsidR="00BD1FA4" w:rsidRPr="00B61FF1" w:rsidRDefault="00BD1FA4" w:rsidP="00EC7AFC">
      <w:pPr>
        <w:rPr>
          <w:rFonts w:ascii="Arial" w:hAnsi="Arial" w:cs="Arial"/>
        </w:rPr>
      </w:pPr>
    </w:p>
    <w:p w14:paraId="15B8C3E4" w14:textId="77777777" w:rsidR="00B60AEB" w:rsidRPr="00B61FF1" w:rsidRDefault="00B60AEB" w:rsidP="00EC59CC">
      <w:pPr>
        <w:pStyle w:val="Heading2"/>
        <w:keepNext w:val="0"/>
        <w:rPr>
          <w:szCs w:val="24"/>
        </w:rPr>
      </w:pPr>
      <w:bookmarkStart w:id="210" w:name="_Toc299094936"/>
      <w:bookmarkStart w:id="211" w:name="_Toc302746789"/>
      <w:bookmarkStart w:id="212" w:name="_Toc352146250"/>
    </w:p>
    <w:p w14:paraId="6C3FC87C" w14:textId="77777777" w:rsidR="00B60AEB" w:rsidRPr="00B61FF1" w:rsidRDefault="00B60AEB" w:rsidP="00EC59CC">
      <w:pPr>
        <w:pStyle w:val="Heading2"/>
        <w:keepNext w:val="0"/>
        <w:rPr>
          <w:szCs w:val="24"/>
        </w:rPr>
      </w:pPr>
    </w:p>
    <w:p w14:paraId="73172D2D" w14:textId="77777777" w:rsidR="00EC59CC" w:rsidRPr="00B61FF1" w:rsidRDefault="00EC59CC" w:rsidP="00EC59CC">
      <w:pPr>
        <w:pStyle w:val="Heading2"/>
        <w:keepNext w:val="0"/>
        <w:rPr>
          <w:i/>
          <w:szCs w:val="24"/>
        </w:rPr>
      </w:pPr>
      <w:bookmarkStart w:id="213" w:name="_Toc361659851"/>
      <w:r w:rsidRPr="00B61FF1">
        <w:rPr>
          <w:szCs w:val="24"/>
        </w:rPr>
        <w:lastRenderedPageBreak/>
        <w:t>§ 95854.  Quantitative Usage Limit on Designated Compliance Instruments—Including Offset Credits</w:t>
      </w:r>
      <w:r w:rsidR="000352D6" w:rsidRPr="00B61FF1">
        <w:rPr>
          <w:szCs w:val="24"/>
        </w:rPr>
        <w:t>.</w:t>
      </w:r>
      <w:bookmarkEnd w:id="210"/>
      <w:bookmarkEnd w:id="211"/>
      <w:bookmarkEnd w:id="212"/>
      <w:bookmarkEnd w:id="213"/>
    </w:p>
    <w:p w14:paraId="5B2D1E24" w14:textId="77777777" w:rsidR="00EC59CC" w:rsidRPr="00B61FF1" w:rsidRDefault="00EC59CC" w:rsidP="00EC59C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Compliance instruments identified in section 95820(b) and sections 95821 (b), (c), and (d) are subject to a quantitative usage limit when used to meet a compliance obligation.</w:t>
      </w:r>
    </w:p>
    <w:p w14:paraId="6CEA4296" w14:textId="77777777" w:rsidR="00EC59CC" w:rsidRPr="00B61FF1" w:rsidRDefault="00EC59CC" w:rsidP="00EC59C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total number of compliance instruments identified in section 95854(a) that each covered entity may surrender to fulfill the entity’s compliance obligation for a compliance period must conform to the following limit:</w:t>
      </w:r>
    </w:p>
    <w:p w14:paraId="720969D4" w14:textId="77777777" w:rsidR="00EC59CC" w:rsidRPr="00B61FF1" w:rsidRDefault="00EC59CC" w:rsidP="00EC59CC">
      <w:pPr>
        <w:spacing w:line="360" w:lineRule="auto"/>
        <w:rPr>
          <w:rFonts w:ascii="Arial" w:hAnsi="Arial" w:cs="Arial"/>
          <w:sz w:val="24"/>
          <w:szCs w:val="24"/>
        </w:rPr>
      </w:pPr>
    </w:p>
    <w:p w14:paraId="6E2DD53C" w14:textId="77777777" w:rsidR="00EC59CC" w:rsidRPr="00B61FF1" w:rsidRDefault="00EC59CC" w:rsidP="00EC59CC">
      <w:pPr>
        <w:spacing w:line="360" w:lineRule="auto"/>
        <w:jc w:val="center"/>
        <w:rPr>
          <w:rFonts w:ascii="Arial" w:hAnsi="Arial" w:cs="Arial"/>
          <w:sz w:val="24"/>
          <w:szCs w:val="24"/>
        </w:rPr>
      </w:pPr>
      <w:r w:rsidRPr="00B61FF1">
        <w:rPr>
          <w:rFonts w:ascii="Arial" w:hAnsi="Arial" w:cs="Arial"/>
          <w:sz w:val="24"/>
          <w:szCs w:val="24"/>
        </w:rPr>
        <w:t>O</w:t>
      </w:r>
      <w:r w:rsidRPr="00B61FF1">
        <w:rPr>
          <w:rFonts w:ascii="Arial" w:hAnsi="Arial" w:cs="Arial"/>
          <w:sz w:val="24"/>
          <w:szCs w:val="24"/>
          <w:vertAlign w:val="subscript"/>
        </w:rPr>
        <w:t>O</w:t>
      </w:r>
      <w:r w:rsidRPr="00B61FF1">
        <w:rPr>
          <w:rFonts w:ascii="Arial" w:hAnsi="Arial" w:cs="Arial"/>
          <w:sz w:val="24"/>
          <w:szCs w:val="24"/>
        </w:rPr>
        <w:t>/S must be less than or equal to L</w:t>
      </w:r>
      <w:r w:rsidRPr="00B61FF1">
        <w:rPr>
          <w:rFonts w:ascii="Arial" w:hAnsi="Arial" w:cs="Arial"/>
          <w:sz w:val="24"/>
          <w:szCs w:val="24"/>
          <w:vertAlign w:val="subscript"/>
        </w:rPr>
        <w:t>O</w:t>
      </w:r>
      <w:r w:rsidRPr="00B61FF1">
        <w:rPr>
          <w:rFonts w:ascii="Arial" w:hAnsi="Arial" w:cs="Arial"/>
          <w:sz w:val="24"/>
          <w:szCs w:val="24"/>
        </w:rPr>
        <w:t xml:space="preserve"> </w:t>
      </w:r>
    </w:p>
    <w:p w14:paraId="6F5A5C4D" w14:textId="77777777" w:rsidR="00EC59CC" w:rsidRPr="00B61FF1" w:rsidRDefault="00EC59CC" w:rsidP="00815366">
      <w:pPr>
        <w:spacing w:line="360" w:lineRule="auto"/>
        <w:ind w:firstLine="720"/>
        <w:rPr>
          <w:rFonts w:ascii="Arial" w:hAnsi="Arial" w:cs="Arial"/>
          <w:sz w:val="24"/>
          <w:szCs w:val="24"/>
        </w:rPr>
      </w:pPr>
      <w:r w:rsidRPr="00B61FF1">
        <w:rPr>
          <w:rFonts w:ascii="Arial" w:hAnsi="Arial" w:cs="Arial"/>
          <w:sz w:val="24"/>
          <w:szCs w:val="24"/>
        </w:rPr>
        <w:t>In which:</w:t>
      </w:r>
    </w:p>
    <w:p w14:paraId="7893D966" w14:textId="77777777" w:rsidR="00EC59CC" w:rsidRPr="00B61FF1" w:rsidRDefault="00EC59CC" w:rsidP="00D4436E">
      <w:pPr>
        <w:spacing w:line="360" w:lineRule="auto"/>
        <w:ind w:left="720"/>
        <w:rPr>
          <w:strike/>
        </w:rPr>
      </w:pPr>
      <w:bookmarkStart w:id="214" w:name="_Toc288656991"/>
      <w:bookmarkStart w:id="215" w:name="_Toc289081525"/>
      <w:bookmarkStart w:id="216" w:name="_Toc289081731"/>
      <w:bookmarkStart w:id="217" w:name="_Toc290038733"/>
      <w:bookmarkStart w:id="218" w:name="_Toc290276479"/>
      <w:bookmarkStart w:id="219" w:name="_Toc291233534"/>
      <w:bookmarkStart w:id="220" w:name="_Toc291245654"/>
      <w:bookmarkStart w:id="221" w:name="_Toc291854160"/>
      <w:r w:rsidRPr="00B61FF1">
        <w:rPr>
          <w:rFonts w:ascii="Arial" w:hAnsi="Arial" w:cs="Arial"/>
          <w:sz w:val="24"/>
          <w:szCs w:val="24"/>
        </w:rPr>
        <w:t>O</w:t>
      </w:r>
      <w:r w:rsidRPr="00B61FF1">
        <w:rPr>
          <w:rFonts w:ascii="Arial" w:hAnsi="Arial" w:cs="Arial"/>
          <w:sz w:val="24"/>
          <w:szCs w:val="24"/>
          <w:vertAlign w:val="subscript"/>
        </w:rPr>
        <w:t>O</w:t>
      </w:r>
      <w:r w:rsidRPr="00B61FF1">
        <w:rPr>
          <w:rFonts w:ascii="Arial" w:hAnsi="Arial" w:cs="Arial"/>
          <w:sz w:val="24"/>
          <w:szCs w:val="24"/>
        </w:rPr>
        <w:t xml:space="preserve"> = Total number of compliance instruments identified in section 95854(a) submitted to fulfill the entity’s compliance obligation for the compliance period</w:t>
      </w:r>
      <w:r w:rsidR="00D4436E" w:rsidRPr="00B61FF1">
        <w:rPr>
          <w:rFonts w:ascii="Arial" w:hAnsi="Arial" w:cs="Arial"/>
          <w:sz w:val="24"/>
          <w:szCs w:val="24"/>
        </w:rPr>
        <w:t>.</w:t>
      </w:r>
      <w:r w:rsidRPr="00B61FF1">
        <w:rPr>
          <w:rFonts w:ascii="Arial" w:hAnsi="Arial" w:cs="Arial"/>
          <w:sz w:val="24"/>
          <w:szCs w:val="24"/>
        </w:rPr>
        <w:t xml:space="preserve"> </w:t>
      </w:r>
      <w:bookmarkEnd w:id="214"/>
      <w:bookmarkEnd w:id="215"/>
      <w:bookmarkEnd w:id="216"/>
      <w:bookmarkEnd w:id="217"/>
      <w:bookmarkEnd w:id="218"/>
      <w:bookmarkEnd w:id="219"/>
      <w:bookmarkEnd w:id="220"/>
      <w:bookmarkEnd w:id="221"/>
    </w:p>
    <w:p w14:paraId="5B081FC1" w14:textId="77777777" w:rsidR="00EC59CC" w:rsidRPr="00B61FF1" w:rsidRDefault="00EC59CC" w:rsidP="00EC59CC">
      <w:pPr>
        <w:spacing w:line="360" w:lineRule="auto"/>
        <w:ind w:firstLine="720"/>
        <w:rPr>
          <w:rFonts w:ascii="Arial" w:hAnsi="Arial" w:cs="Arial"/>
          <w:b/>
          <w:i/>
          <w:sz w:val="24"/>
          <w:szCs w:val="24"/>
        </w:rPr>
      </w:pPr>
      <w:bookmarkStart w:id="222" w:name="_Toc288656992"/>
      <w:bookmarkStart w:id="223" w:name="_Toc289081526"/>
      <w:bookmarkStart w:id="224" w:name="_Toc289081732"/>
      <w:bookmarkStart w:id="225" w:name="_Toc290038734"/>
      <w:bookmarkStart w:id="226" w:name="_Toc290276480"/>
      <w:bookmarkStart w:id="227" w:name="_Toc291233535"/>
      <w:bookmarkStart w:id="228" w:name="_Toc291245655"/>
      <w:bookmarkStart w:id="229" w:name="_Toc291854161"/>
      <w:r w:rsidRPr="00B61FF1">
        <w:rPr>
          <w:rFonts w:ascii="Arial" w:hAnsi="Arial" w:cs="Arial"/>
          <w:sz w:val="24"/>
          <w:szCs w:val="24"/>
        </w:rPr>
        <w:t>S = Covered entity’s compliance obligation.</w:t>
      </w:r>
      <w:bookmarkEnd w:id="222"/>
      <w:bookmarkEnd w:id="223"/>
      <w:bookmarkEnd w:id="224"/>
      <w:bookmarkEnd w:id="225"/>
      <w:bookmarkEnd w:id="226"/>
      <w:bookmarkEnd w:id="227"/>
      <w:bookmarkEnd w:id="228"/>
      <w:bookmarkEnd w:id="229"/>
    </w:p>
    <w:p w14:paraId="61B71923" w14:textId="77777777" w:rsidR="00EC59CC" w:rsidRPr="00B61FF1" w:rsidRDefault="00EC59CC" w:rsidP="00F715F3">
      <w:pPr>
        <w:spacing w:line="360" w:lineRule="auto"/>
        <w:ind w:left="720"/>
        <w:rPr>
          <w:rFonts w:ascii="Arial" w:hAnsi="Arial" w:cs="Arial"/>
          <w:b/>
          <w:i/>
          <w:sz w:val="24"/>
          <w:szCs w:val="24"/>
        </w:rPr>
      </w:pPr>
      <w:bookmarkStart w:id="230" w:name="_Toc288656993"/>
      <w:bookmarkStart w:id="231" w:name="_Toc289081527"/>
      <w:bookmarkStart w:id="232" w:name="_Toc289081733"/>
      <w:bookmarkStart w:id="233" w:name="_Toc290038735"/>
      <w:bookmarkStart w:id="234" w:name="_Toc290276481"/>
      <w:bookmarkStart w:id="235" w:name="_Toc291233536"/>
      <w:bookmarkStart w:id="236" w:name="_Toc291245656"/>
      <w:bookmarkStart w:id="237" w:name="_Toc291854162"/>
      <w:r w:rsidRPr="00B61FF1">
        <w:rPr>
          <w:rFonts w:ascii="Arial" w:hAnsi="Arial" w:cs="Arial"/>
          <w:sz w:val="24"/>
          <w:szCs w:val="24"/>
        </w:rPr>
        <w:t>L</w:t>
      </w:r>
      <w:r w:rsidRPr="00B61FF1">
        <w:rPr>
          <w:rFonts w:ascii="Arial" w:hAnsi="Arial" w:cs="Arial"/>
          <w:sz w:val="24"/>
          <w:szCs w:val="24"/>
          <w:vertAlign w:val="subscript"/>
        </w:rPr>
        <w:t>O</w:t>
      </w:r>
      <w:r w:rsidRPr="00B61FF1">
        <w:rPr>
          <w:rFonts w:ascii="Arial" w:hAnsi="Arial" w:cs="Arial"/>
          <w:sz w:val="24"/>
          <w:szCs w:val="24"/>
        </w:rPr>
        <w:t xml:space="preserve"> = Quantitative usage limit on compliance instruments identified in section 95854(a), set at 0.08.</w:t>
      </w:r>
      <w:bookmarkEnd w:id="230"/>
      <w:bookmarkEnd w:id="231"/>
      <w:bookmarkEnd w:id="232"/>
      <w:bookmarkEnd w:id="233"/>
      <w:bookmarkEnd w:id="234"/>
      <w:bookmarkEnd w:id="235"/>
      <w:bookmarkEnd w:id="236"/>
      <w:bookmarkEnd w:id="237"/>
    </w:p>
    <w:p w14:paraId="484C2E61" w14:textId="77777777" w:rsidR="00EC59CC" w:rsidRPr="00B61FF1" w:rsidRDefault="00EC59CC" w:rsidP="00EC59CC">
      <w:pPr>
        <w:spacing w:line="360" w:lineRule="auto"/>
        <w:ind w:left="720" w:hanging="720"/>
        <w:rPr>
          <w:rFonts w:ascii="Arial" w:hAnsi="Arial" w:cs="Arial"/>
        </w:rPr>
      </w:pPr>
      <w:r w:rsidRPr="00B61FF1">
        <w:rPr>
          <w:rFonts w:ascii="Arial" w:hAnsi="Arial" w:cs="Arial"/>
          <w:sz w:val="24"/>
          <w:szCs w:val="24"/>
        </w:rPr>
        <w:t>(c)</w:t>
      </w:r>
      <w:r w:rsidRPr="00B61FF1">
        <w:rPr>
          <w:rFonts w:ascii="Arial" w:hAnsi="Arial" w:cs="Arial"/>
          <w:sz w:val="24"/>
          <w:szCs w:val="24"/>
        </w:rPr>
        <w:tab/>
        <w:t>The number of sector-based offset credits that each covered entity may surrender to meet the entity’s compliance obligation for a compliance period must not be greater than 0.25 of the L</w:t>
      </w:r>
      <w:r w:rsidRPr="00B61FF1">
        <w:rPr>
          <w:rFonts w:ascii="Arial" w:hAnsi="Arial" w:cs="Arial"/>
          <w:sz w:val="24"/>
          <w:szCs w:val="24"/>
          <w:vertAlign w:val="subscript"/>
        </w:rPr>
        <w:t>O</w:t>
      </w:r>
      <w:r w:rsidRPr="00B61FF1">
        <w:rPr>
          <w:rFonts w:ascii="Arial" w:hAnsi="Arial" w:cs="Arial"/>
          <w:sz w:val="24"/>
          <w:szCs w:val="24"/>
        </w:rPr>
        <w:t xml:space="preserve"> for the first </w:t>
      </w:r>
      <w:r w:rsidR="00B3776E" w:rsidRPr="00B61FF1">
        <w:rPr>
          <w:rFonts w:ascii="Arial" w:hAnsi="Arial" w:cs="Arial"/>
          <w:sz w:val="24"/>
          <w:szCs w:val="24"/>
        </w:rPr>
        <w:t xml:space="preserve">and second </w:t>
      </w:r>
      <w:r w:rsidRPr="00B61FF1">
        <w:rPr>
          <w:rFonts w:ascii="Arial" w:hAnsi="Arial" w:cs="Arial"/>
          <w:sz w:val="24"/>
          <w:szCs w:val="24"/>
        </w:rPr>
        <w:t>compliance period</w:t>
      </w:r>
      <w:r w:rsidR="00B3776E" w:rsidRPr="00B61FF1">
        <w:rPr>
          <w:rFonts w:ascii="Arial" w:hAnsi="Arial" w:cs="Arial"/>
          <w:sz w:val="24"/>
          <w:szCs w:val="24"/>
        </w:rPr>
        <w:t>s</w:t>
      </w:r>
      <w:r w:rsidRPr="00B61FF1">
        <w:rPr>
          <w:rFonts w:ascii="Arial" w:hAnsi="Arial" w:cs="Arial"/>
          <w:sz w:val="24"/>
          <w:szCs w:val="24"/>
        </w:rPr>
        <w:t xml:space="preserve"> and not more than 0.50 of the L</w:t>
      </w:r>
      <w:r w:rsidRPr="00B61FF1">
        <w:rPr>
          <w:rFonts w:ascii="Arial" w:hAnsi="Arial" w:cs="Arial"/>
          <w:sz w:val="24"/>
          <w:szCs w:val="24"/>
          <w:vertAlign w:val="subscript"/>
        </w:rPr>
        <w:t>O</w:t>
      </w:r>
      <w:r w:rsidRPr="00B61FF1">
        <w:rPr>
          <w:rFonts w:ascii="Arial" w:hAnsi="Arial" w:cs="Arial"/>
          <w:sz w:val="24"/>
          <w:szCs w:val="24"/>
        </w:rPr>
        <w:t xml:space="preserve"> for subsequent compliance periods.</w:t>
      </w:r>
    </w:p>
    <w:p w14:paraId="2D9C10D6" w14:textId="77777777" w:rsidR="00D94A4C" w:rsidRPr="00B61FF1" w:rsidRDefault="00D94A4C" w:rsidP="00D94A4C">
      <w:pPr>
        <w:spacing w:line="360" w:lineRule="auto"/>
        <w:rPr>
          <w:rFonts w:ascii="Arial" w:hAnsi="Arial" w:cs="Arial"/>
          <w:sz w:val="24"/>
          <w:szCs w:val="24"/>
        </w:rPr>
      </w:pPr>
    </w:p>
    <w:p w14:paraId="573EB42A"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B92819B"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5E82E2AF" w14:textId="77777777" w:rsidR="00DB5D54" w:rsidRPr="00B61FF1" w:rsidRDefault="00DB5D54">
      <w:pPr>
        <w:autoSpaceDE/>
        <w:autoSpaceDN/>
        <w:adjustRightInd/>
        <w:rPr>
          <w:rFonts w:ascii="Arial" w:hAnsi="Arial" w:cs="Arial"/>
          <w:b/>
          <w:bCs/>
          <w:iCs/>
          <w:sz w:val="24"/>
          <w:szCs w:val="24"/>
        </w:rPr>
      </w:pPr>
    </w:p>
    <w:p w14:paraId="5E3F496F" w14:textId="77777777" w:rsidR="00FE6B15" w:rsidRPr="00B61FF1" w:rsidRDefault="00FE6B15" w:rsidP="004E3B67">
      <w:pPr>
        <w:pStyle w:val="Heading2"/>
        <w:keepNext w:val="0"/>
        <w:rPr>
          <w:i/>
          <w:szCs w:val="24"/>
        </w:rPr>
      </w:pPr>
      <w:bookmarkStart w:id="238" w:name="_Toc299094937"/>
      <w:bookmarkStart w:id="239" w:name="_Toc302746790"/>
      <w:bookmarkStart w:id="240" w:name="_Toc352146251"/>
      <w:bookmarkStart w:id="241" w:name="_Toc361659852"/>
      <w:r w:rsidRPr="00B61FF1">
        <w:rPr>
          <w:szCs w:val="24"/>
        </w:rPr>
        <w:t>§ 95855.  Annual Compliance Obligation</w:t>
      </w:r>
      <w:r w:rsidR="000352D6" w:rsidRPr="00B61FF1">
        <w:rPr>
          <w:szCs w:val="24"/>
        </w:rPr>
        <w:t>.</w:t>
      </w:r>
      <w:bookmarkEnd w:id="238"/>
      <w:bookmarkEnd w:id="239"/>
      <w:bookmarkEnd w:id="240"/>
      <w:bookmarkEnd w:id="241"/>
    </w:p>
    <w:p w14:paraId="3CF11CD0" w14:textId="77777777" w:rsidR="00FE6B15" w:rsidRPr="00B61FF1" w:rsidRDefault="00FE6B15" w:rsidP="00FE6A4C">
      <w:pPr>
        <w:numPr>
          <w:ilvl w:val="0"/>
          <w:numId w:val="15"/>
        </w:numPr>
        <w:spacing w:line="360" w:lineRule="auto"/>
        <w:rPr>
          <w:rFonts w:ascii="Arial" w:hAnsi="Arial" w:cs="Arial"/>
          <w:sz w:val="24"/>
          <w:szCs w:val="24"/>
        </w:rPr>
      </w:pPr>
      <w:r w:rsidRPr="00B61FF1">
        <w:rPr>
          <w:rFonts w:ascii="Arial" w:hAnsi="Arial" w:cs="Arial"/>
          <w:sz w:val="24"/>
          <w:szCs w:val="24"/>
        </w:rPr>
        <w:t>An entity has an annual compliance obligation for any year when the entity is a covered entity except for the condition specified in section 95853(d); and</w:t>
      </w:r>
    </w:p>
    <w:p w14:paraId="08EB2A36" w14:textId="77777777" w:rsidR="00FE6B15" w:rsidRPr="00B61FF1" w:rsidRDefault="00FE6B15" w:rsidP="00FE6A4C">
      <w:pPr>
        <w:numPr>
          <w:ilvl w:val="0"/>
          <w:numId w:val="15"/>
        </w:numPr>
        <w:spacing w:line="360" w:lineRule="auto"/>
        <w:rPr>
          <w:rFonts w:ascii="Arial" w:hAnsi="Arial" w:cs="Arial"/>
          <w:sz w:val="24"/>
          <w:szCs w:val="24"/>
        </w:rPr>
      </w:pPr>
      <w:r w:rsidRPr="00B61FF1">
        <w:rPr>
          <w:rFonts w:ascii="Arial" w:hAnsi="Arial" w:cs="Arial"/>
          <w:sz w:val="24"/>
          <w:szCs w:val="24"/>
        </w:rPr>
        <w:lastRenderedPageBreak/>
        <w:t xml:space="preserve">The annual compliance obligation for a covered entity equals </w:t>
      </w:r>
      <w:r w:rsidR="000352D6" w:rsidRPr="00B61FF1">
        <w:rPr>
          <w:rFonts w:ascii="Arial" w:hAnsi="Arial" w:cs="Arial"/>
          <w:sz w:val="24"/>
          <w:szCs w:val="24"/>
        </w:rPr>
        <w:t xml:space="preserve">30 </w:t>
      </w:r>
      <w:r w:rsidRPr="00B61FF1">
        <w:rPr>
          <w:rFonts w:ascii="Arial" w:hAnsi="Arial" w:cs="Arial"/>
          <w:sz w:val="24"/>
          <w:szCs w:val="24"/>
        </w:rPr>
        <w:t xml:space="preserve">percent of emissions </w:t>
      </w:r>
      <w:r w:rsidR="00F770FD" w:rsidRPr="00B61FF1">
        <w:rPr>
          <w:rFonts w:ascii="Arial" w:hAnsi="Arial" w:cs="Arial"/>
          <w:sz w:val="24"/>
          <w:szCs w:val="24"/>
        </w:rPr>
        <w:t xml:space="preserve">with a compliance obligation </w:t>
      </w:r>
      <w:r w:rsidRPr="00B61FF1">
        <w:rPr>
          <w:rFonts w:ascii="Arial" w:hAnsi="Arial" w:cs="Arial"/>
          <w:sz w:val="24"/>
          <w:szCs w:val="24"/>
        </w:rPr>
        <w:t xml:space="preserve">reported from the previous data year that received a positive or qualified positive </w:t>
      </w:r>
      <w:r w:rsidR="00D979D6" w:rsidRPr="00B61FF1">
        <w:rPr>
          <w:rFonts w:ascii="Arial" w:hAnsi="Arial" w:cs="Arial"/>
          <w:sz w:val="24"/>
          <w:szCs w:val="24"/>
        </w:rPr>
        <w:t xml:space="preserve">emissions data </w:t>
      </w:r>
      <w:r w:rsidRPr="00B61FF1">
        <w:rPr>
          <w:rFonts w:ascii="Arial" w:hAnsi="Arial" w:cs="Arial"/>
          <w:sz w:val="24"/>
          <w:szCs w:val="24"/>
        </w:rPr>
        <w:t xml:space="preserve">verification statement, or were assigned </w:t>
      </w:r>
      <w:r w:rsidR="005E0F9B" w:rsidRPr="00B61FF1">
        <w:rPr>
          <w:rFonts w:ascii="Arial" w:hAnsi="Arial" w:cs="Arial"/>
          <w:sz w:val="24"/>
          <w:szCs w:val="24"/>
        </w:rPr>
        <w:t xml:space="preserve">emissions </w:t>
      </w:r>
      <w:r w:rsidR="000352D6" w:rsidRPr="00B61FF1">
        <w:rPr>
          <w:rFonts w:ascii="Arial" w:hAnsi="Arial" w:cs="Arial"/>
          <w:sz w:val="24"/>
          <w:szCs w:val="24"/>
        </w:rPr>
        <w:t>pursuant to section 95131 of MRR</w:t>
      </w:r>
      <w:r w:rsidRPr="00B61FF1">
        <w:rPr>
          <w:rFonts w:ascii="Arial" w:hAnsi="Arial" w:cs="Arial"/>
          <w:sz w:val="24"/>
          <w:szCs w:val="24"/>
        </w:rPr>
        <w:t>.</w:t>
      </w:r>
    </w:p>
    <w:p w14:paraId="40BF1A81" w14:textId="77777777" w:rsidR="00FE6B15" w:rsidRPr="00B61FF1" w:rsidRDefault="00FE6B15" w:rsidP="004E3B67">
      <w:pPr>
        <w:spacing w:line="360" w:lineRule="auto"/>
        <w:rPr>
          <w:rFonts w:ascii="Arial" w:hAnsi="Arial" w:cs="Arial"/>
          <w:sz w:val="24"/>
          <w:szCs w:val="24"/>
        </w:rPr>
      </w:pPr>
    </w:p>
    <w:p w14:paraId="7E68AC3D"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0A49726"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1547515E" w14:textId="77777777" w:rsidR="00BD1FA4" w:rsidRPr="00B61FF1" w:rsidRDefault="00BD1FA4" w:rsidP="00EC7AFC">
      <w:pPr>
        <w:rPr>
          <w:rFonts w:ascii="Arial" w:hAnsi="Arial" w:cs="Arial"/>
        </w:rPr>
      </w:pPr>
    </w:p>
    <w:p w14:paraId="6C093E57" w14:textId="77777777" w:rsidR="00FE6B15" w:rsidRPr="00B61FF1" w:rsidRDefault="00FE6B15" w:rsidP="004E3B67">
      <w:pPr>
        <w:pStyle w:val="Heading2"/>
        <w:rPr>
          <w:i/>
          <w:szCs w:val="24"/>
        </w:rPr>
      </w:pPr>
      <w:bookmarkStart w:id="242" w:name="_Toc299094938"/>
      <w:bookmarkStart w:id="243" w:name="_Toc302746791"/>
      <w:bookmarkStart w:id="244" w:name="_Toc352146252"/>
      <w:bookmarkStart w:id="245" w:name="_Toc361659853"/>
      <w:r w:rsidRPr="00B61FF1">
        <w:rPr>
          <w:szCs w:val="24"/>
        </w:rPr>
        <w:t>§ 95856.  Timely Surrender of Compliance Instruments by a Covered Entity</w:t>
      </w:r>
      <w:r w:rsidR="0000679C" w:rsidRPr="00B61FF1">
        <w:rPr>
          <w:szCs w:val="24"/>
        </w:rPr>
        <w:t>.</w:t>
      </w:r>
      <w:bookmarkEnd w:id="242"/>
      <w:bookmarkEnd w:id="243"/>
      <w:bookmarkEnd w:id="244"/>
      <w:bookmarkEnd w:id="245"/>
    </w:p>
    <w:p w14:paraId="39A97C7A" w14:textId="77777777" w:rsidR="00FE6B15" w:rsidRPr="00B61FF1" w:rsidRDefault="00FE6B15" w:rsidP="00635712">
      <w:pPr>
        <w:numPr>
          <w:ilvl w:val="0"/>
          <w:numId w:val="2"/>
        </w:numPr>
        <w:spacing w:line="360" w:lineRule="auto"/>
        <w:rPr>
          <w:rFonts w:ascii="Arial" w:hAnsi="Arial" w:cs="Arial"/>
          <w:sz w:val="24"/>
          <w:szCs w:val="24"/>
        </w:rPr>
      </w:pPr>
      <w:r w:rsidRPr="00B61FF1">
        <w:rPr>
          <w:rFonts w:ascii="Arial" w:hAnsi="Arial" w:cs="Arial"/>
          <w:sz w:val="24"/>
          <w:szCs w:val="24"/>
        </w:rPr>
        <w:t>A covered entity must surrender one compliance instrument for each metric ton of CO</w:t>
      </w:r>
      <w:r w:rsidRPr="00B61FF1">
        <w:rPr>
          <w:rFonts w:ascii="Arial" w:hAnsi="Arial" w:cs="Arial"/>
          <w:sz w:val="24"/>
          <w:szCs w:val="24"/>
          <w:vertAlign w:val="subscript"/>
        </w:rPr>
        <w:t>2</w:t>
      </w:r>
      <w:r w:rsidRPr="00B61FF1">
        <w:rPr>
          <w:rFonts w:ascii="Arial" w:hAnsi="Arial" w:cs="Arial"/>
          <w:sz w:val="24"/>
          <w:szCs w:val="24"/>
        </w:rPr>
        <w:t>e of GHG emissions for the annual and triennial compliance obligations calculated pursuant to this subarticle beginning with the emissions data report for 201</w:t>
      </w:r>
      <w:r w:rsidR="002E4677" w:rsidRPr="00B61FF1">
        <w:rPr>
          <w:rFonts w:ascii="Arial" w:hAnsi="Arial" w:cs="Arial"/>
          <w:sz w:val="24"/>
          <w:szCs w:val="24"/>
        </w:rPr>
        <w:t>3</w:t>
      </w:r>
      <w:r w:rsidR="006301D9" w:rsidRPr="00B61FF1">
        <w:rPr>
          <w:rFonts w:ascii="Arial" w:hAnsi="Arial" w:cs="Arial"/>
          <w:sz w:val="24"/>
          <w:szCs w:val="24"/>
        </w:rPr>
        <w:t xml:space="preserve"> emissions</w:t>
      </w:r>
      <w:r w:rsidRPr="00B61FF1">
        <w:rPr>
          <w:rFonts w:ascii="Arial" w:hAnsi="Arial" w:cs="Arial"/>
          <w:sz w:val="24"/>
          <w:szCs w:val="24"/>
        </w:rPr>
        <w:t xml:space="preserve"> and each subsequent year in which the covered entity has a compliance obligation.</w:t>
      </w:r>
    </w:p>
    <w:p w14:paraId="36192B50" w14:textId="77777777" w:rsidR="00FE6B15" w:rsidRPr="00B61FF1" w:rsidRDefault="00FE6B15" w:rsidP="00635712">
      <w:pPr>
        <w:numPr>
          <w:ilvl w:val="0"/>
          <w:numId w:val="2"/>
        </w:numPr>
        <w:spacing w:line="360" w:lineRule="auto"/>
        <w:rPr>
          <w:rFonts w:ascii="Arial" w:hAnsi="Arial" w:cs="Arial"/>
          <w:sz w:val="24"/>
          <w:szCs w:val="24"/>
        </w:rPr>
      </w:pPr>
      <w:r w:rsidRPr="00B61FF1">
        <w:rPr>
          <w:rFonts w:ascii="Arial" w:hAnsi="Arial" w:cs="Arial"/>
          <w:sz w:val="24"/>
          <w:szCs w:val="24"/>
        </w:rPr>
        <w:t>Compliance Instruments Valid for Surrender.</w:t>
      </w:r>
    </w:p>
    <w:p w14:paraId="7E9F717A" w14:textId="77777777" w:rsidR="00FE6B15" w:rsidRPr="00B61FF1" w:rsidRDefault="00FE6B15" w:rsidP="00635712">
      <w:pPr>
        <w:numPr>
          <w:ilvl w:val="1"/>
          <w:numId w:val="2"/>
        </w:numPr>
        <w:spacing w:line="360" w:lineRule="auto"/>
        <w:rPr>
          <w:rFonts w:ascii="Arial" w:hAnsi="Arial" w:cs="Arial"/>
          <w:sz w:val="24"/>
          <w:szCs w:val="24"/>
        </w:rPr>
      </w:pPr>
      <w:r w:rsidRPr="00B61FF1">
        <w:rPr>
          <w:rFonts w:ascii="Arial" w:hAnsi="Arial" w:cs="Arial"/>
          <w:sz w:val="24"/>
          <w:szCs w:val="24"/>
        </w:rPr>
        <w:t>A compliance instrument</w:t>
      </w:r>
      <w:r w:rsidRPr="00B61FF1" w:rsidDel="00981EB2">
        <w:rPr>
          <w:rFonts w:ascii="Arial" w:hAnsi="Arial" w:cs="Arial"/>
          <w:sz w:val="24"/>
          <w:szCs w:val="24"/>
        </w:rPr>
        <w:t xml:space="preserve"> </w:t>
      </w:r>
      <w:r w:rsidR="0000679C" w:rsidRPr="00B61FF1">
        <w:rPr>
          <w:rFonts w:ascii="Arial" w:hAnsi="Arial" w:cs="Arial"/>
          <w:sz w:val="24"/>
          <w:szCs w:val="24"/>
        </w:rPr>
        <w:t xml:space="preserve">listed in </w:t>
      </w:r>
      <w:r w:rsidRPr="00B61FF1">
        <w:rPr>
          <w:rFonts w:ascii="Arial" w:hAnsi="Arial" w:cs="Arial"/>
          <w:sz w:val="24"/>
          <w:szCs w:val="24"/>
        </w:rPr>
        <w:t>s</w:t>
      </w:r>
      <w:r w:rsidRPr="00B61FF1" w:rsidDel="00981EB2">
        <w:rPr>
          <w:rFonts w:ascii="Arial" w:hAnsi="Arial" w:cs="Arial"/>
          <w:sz w:val="24"/>
          <w:szCs w:val="24"/>
        </w:rPr>
        <w:t xml:space="preserve">ubarticle </w:t>
      </w:r>
      <w:r w:rsidRPr="00B61FF1">
        <w:rPr>
          <w:rFonts w:ascii="Arial" w:hAnsi="Arial" w:cs="Arial"/>
          <w:sz w:val="24"/>
          <w:szCs w:val="24"/>
        </w:rPr>
        <w:t xml:space="preserve">4 may be used to satisfy a compliance obligation. </w:t>
      </w:r>
    </w:p>
    <w:p w14:paraId="45D15838" w14:textId="55971B3C" w:rsidR="00FE6B15" w:rsidRPr="00B61FF1" w:rsidRDefault="00FE6B15" w:rsidP="00635712">
      <w:pPr>
        <w:numPr>
          <w:ilvl w:val="1"/>
          <w:numId w:val="2"/>
        </w:numPr>
        <w:spacing w:line="360" w:lineRule="auto"/>
        <w:rPr>
          <w:rFonts w:ascii="Arial" w:hAnsi="Arial" w:cs="Arial"/>
          <w:sz w:val="24"/>
          <w:szCs w:val="24"/>
        </w:rPr>
      </w:pPr>
      <w:r w:rsidRPr="00B61FF1">
        <w:rPr>
          <w:rFonts w:ascii="Arial" w:hAnsi="Arial" w:cs="Arial"/>
          <w:sz w:val="24"/>
          <w:szCs w:val="24"/>
        </w:rPr>
        <w:t xml:space="preserve">To </w:t>
      </w:r>
      <w:r w:rsidR="008955EA" w:rsidRPr="00B61FF1">
        <w:rPr>
          <w:rFonts w:ascii="Arial" w:hAnsi="Arial" w:cs="Arial"/>
          <w:sz w:val="24"/>
          <w:szCs w:val="24"/>
        </w:rPr>
        <w:t>fulfill a</w:t>
      </w:r>
      <w:r w:rsidR="00E22A7B" w:rsidRPr="00B61FF1">
        <w:rPr>
          <w:rFonts w:ascii="Arial" w:hAnsi="Arial" w:cs="Arial"/>
          <w:sz w:val="24"/>
          <w:szCs w:val="24"/>
        </w:rPr>
        <w:t xml:space="preserve"> </w:t>
      </w:r>
      <w:r w:rsidR="008955EA" w:rsidRPr="00B61FF1">
        <w:rPr>
          <w:rFonts w:ascii="Arial" w:hAnsi="Arial" w:cs="Arial"/>
          <w:sz w:val="24"/>
          <w:szCs w:val="24"/>
        </w:rPr>
        <w:t>compliance obligation, a compliance instrument</w:t>
      </w:r>
      <w:r w:rsidR="00C77180" w:rsidRPr="00B61FF1">
        <w:rPr>
          <w:rFonts w:ascii="Arial" w:hAnsi="Arial" w:cs="Arial"/>
          <w:sz w:val="24"/>
          <w:szCs w:val="24"/>
        </w:rPr>
        <w:t xml:space="preserve"> </w:t>
      </w:r>
      <w:r w:rsidR="00476DCF" w:rsidRPr="00B61FF1">
        <w:rPr>
          <w:rFonts w:ascii="Arial" w:hAnsi="Arial" w:cs="Arial"/>
          <w:sz w:val="24"/>
          <w:szCs w:val="24"/>
          <w:u w:val="single"/>
        </w:rPr>
        <w:t xml:space="preserve">issued pursuant to </w:t>
      </w:r>
      <w:r w:rsidR="00C77180" w:rsidRPr="00B61FF1">
        <w:rPr>
          <w:rFonts w:ascii="Arial" w:hAnsi="Arial" w:cs="Arial"/>
          <w:sz w:val="24"/>
          <w:szCs w:val="24"/>
          <w:u w:val="single"/>
        </w:rPr>
        <w:t xml:space="preserve">sections 95820(a) and 95821(a) </w:t>
      </w:r>
      <w:r w:rsidR="008955EA" w:rsidRPr="00B61FF1">
        <w:rPr>
          <w:rFonts w:ascii="Arial" w:hAnsi="Arial" w:cs="Arial"/>
          <w:sz w:val="24"/>
          <w:szCs w:val="24"/>
        </w:rPr>
        <w:t>must be issued from an allowance budget year within or before the year for which an annual comp</w:t>
      </w:r>
      <w:r w:rsidR="00507A5D" w:rsidRPr="00B61FF1">
        <w:rPr>
          <w:rFonts w:ascii="Arial" w:hAnsi="Arial" w:cs="Arial"/>
          <w:sz w:val="24"/>
          <w:szCs w:val="24"/>
        </w:rPr>
        <w:t>liance obligation is calculated</w:t>
      </w:r>
      <w:r w:rsidR="008955EA" w:rsidRPr="00B61FF1">
        <w:rPr>
          <w:rFonts w:ascii="Arial" w:hAnsi="Arial" w:cs="Arial"/>
          <w:sz w:val="24"/>
          <w:szCs w:val="24"/>
        </w:rPr>
        <w:t xml:space="preserve"> or the last year of a compliance period for which a triennial comp</w:t>
      </w:r>
      <w:r w:rsidR="00CE1396" w:rsidRPr="00B61FF1">
        <w:rPr>
          <w:rFonts w:ascii="Arial" w:hAnsi="Arial" w:cs="Arial"/>
          <w:sz w:val="24"/>
          <w:szCs w:val="24"/>
        </w:rPr>
        <w:t>liance obligation is calculated</w:t>
      </w:r>
      <w:r w:rsidR="008955EA" w:rsidRPr="00B61FF1">
        <w:rPr>
          <w:rFonts w:ascii="Arial" w:hAnsi="Arial" w:cs="Arial"/>
          <w:sz w:val="24"/>
          <w:szCs w:val="24"/>
        </w:rPr>
        <w:t>,</w:t>
      </w:r>
      <w:r w:rsidR="00754E0B" w:rsidRPr="00B61FF1">
        <w:rPr>
          <w:rFonts w:ascii="Arial" w:hAnsi="Arial" w:cs="Arial"/>
          <w:sz w:val="24"/>
          <w:szCs w:val="24"/>
        </w:rPr>
        <w:t xml:space="preserve"> </w:t>
      </w:r>
      <w:r w:rsidR="008955EA" w:rsidRPr="00B61FF1">
        <w:rPr>
          <w:rFonts w:ascii="Arial" w:hAnsi="Arial" w:cs="Arial"/>
          <w:sz w:val="24"/>
          <w:szCs w:val="24"/>
        </w:rPr>
        <w:t>unless:</w:t>
      </w:r>
    </w:p>
    <w:p w14:paraId="0B3242C6" w14:textId="77777777" w:rsidR="00FE6B15" w:rsidRPr="00B61FF1" w:rsidRDefault="00FE6B15" w:rsidP="00FD37B3">
      <w:pPr>
        <w:pStyle w:val="ListParagraph"/>
        <w:numPr>
          <w:ilvl w:val="2"/>
          <w:numId w:val="2"/>
        </w:numPr>
        <w:spacing w:line="360" w:lineRule="auto"/>
        <w:rPr>
          <w:rFonts w:ascii="Arial" w:hAnsi="Arial" w:cs="Arial"/>
          <w:sz w:val="24"/>
          <w:szCs w:val="24"/>
        </w:rPr>
      </w:pPr>
      <w:r w:rsidRPr="00B61FF1">
        <w:rPr>
          <w:rFonts w:ascii="Arial" w:hAnsi="Arial" w:cs="Arial"/>
          <w:sz w:val="24"/>
          <w:szCs w:val="24"/>
        </w:rPr>
        <w:t>The allowance was purchased from the Allowance Price Containment Reserve pursuant to section 95913; or</w:t>
      </w:r>
    </w:p>
    <w:p w14:paraId="22386505" w14:textId="77777777" w:rsidR="00C77180" w:rsidRPr="00B61FF1" w:rsidRDefault="0000679C" w:rsidP="00FD37B3">
      <w:pPr>
        <w:pStyle w:val="ListParagraph"/>
        <w:numPr>
          <w:ilvl w:val="2"/>
          <w:numId w:val="2"/>
        </w:numPr>
        <w:spacing w:line="360" w:lineRule="auto"/>
        <w:rPr>
          <w:rFonts w:ascii="Arial" w:hAnsi="Arial" w:cs="Arial"/>
          <w:sz w:val="24"/>
          <w:szCs w:val="24"/>
        </w:rPr>
      </w:pPr>
      <w:r w:rsidRPr="00B61FF1">
        <w:rPr>
          <w:rFonts w:ascii="Arial" w:hAnsi="Arial" w:cs="Arial"/>
          <w:sz w:val="24"/>
          <w:szCs w:val="24"/>
        </w:rPr>
        <w:t>T</w:t>
      </w:r>
      <w:r w:rsidR="00FE6B15" w:rsidRPr="00B61FF1">
        <w:rPr>
          <w:rFonts w:ascii="Arial" w:hAnsi="Arial" w:cs="Arial"/>
          <w:sz w:val="24"/>
          <w:szCs w:val="24"/>
        </w:rPr>
        <w:t>he allowance is used to satisfy an excess emissions obligation</w:t>
      </w:r>
      <w:r w:rsidR="00C77180" w:rsidRPr="00B61FF1">
        <w:rPr>
          <w:rFonts w:ascii="Arial" w:hAnsi="Arial" w:cs="Arial"/>
          <w:sz w:val="24"/>
          <w:szCs w:val="24"/>
          <w:u w:val="single"/>
        </w:rPr>
        <w:t>; or</w:t>
      </w:r>
    </w:p>
    <w:p w14:paraId="68884868" w14:textId="1BA7DDD1" w:rsidR="00FE6B15" w:rsidRPr="00B61FF1" w:rsidRDefault="00E70743" w:rsidP="007C7C73">
      <w:pPr>
        <w:spacing w:line="360" w:lineRule="auto"/>
        <w:ind w:left="1800" w:hanging="720"/>
        <w:rPr>
          <w:rFonts w:ascii="Arial" w:hAnsi="Arial" w:cs="Arial"/>
          <w:sz w:val="24"/>
          <w:szCs w:val="24"/>
        </w:rPr>
      </w:pPr>
      <w:r w:rsidRPr="00B61FF1">
        <w:rPr>
          <w:rFonts w:ascii="Arial" w:hAnsi="Arial" w:cs="Arial"/>
          <w:sz w:val="24"/>
          <w:szCs w:val="24"/>
          <w:u w:val="single"/>
        </w:rPr>
        <w:t>(C)</w:t>
      </w:r>
      <w:r w:rsidRPr="004733A2">
        <w:rPr>
          <w:rFonts w:ascii="Arial" w:hAnsi="Arial" w:cs="Arial"/>
          <w:sz w:val="24"/>
          <w:szCs w:val="24"/>
        </w:rPr>
        <w:t xml:space="preserve">     </w:t>
      </w:r>
      <w:r w:rsidR="00C77180" w:rsidRPr="00B61FF1">
        <w:rPr>
          <w:rFonts w:ascii="Arial" w:hAnsi="Arial" w:cs="Arial"/>
          <w:sz w:val="24"/>
          <w:szCs w:val="24"/>
          <w:u w:val="single"/>
        </w:rPr>
        <w:t>The allowance</w:t>
      </w:r>
      <w:r w:rsidR="00476DCF" w:rsidRPr="00B61FF1">
        <w:rPr>
          <w:rFonts w:ascii="Arial" w:hAnsi="Arial" w:cs="Arial"/>
          <w:sz w:val="24"/>
          <w:szCs w:val="24"/>
          <w:u w:val="single"/>
        </w:rPr>
        <w:t xml:space="preserve"> is </w:t>
      </w:r>
      <w:r w:rsidR="00C77180" w:rsidRPr="00B61FF1">
        <w:rPr>
          <w:rFonts w:ascii="Arial" w:hAnsi="Arial" w:cs="Arial"/>
          <w:sz w:val="24"/>
          <w:szCs w:val="24"/>
          <w:u w:val="single"/>
        </w:rPr>
        <w:t xml:space="preserve"> eligible for compliance use pursuant to sections 95856(h)(1)(C)</w:t>
      </w:r>
      <w:r w:rsidR="00FD37B3" w:rsidRPr="00B61FF1">
        <w:rPr>
          <w:rFonts w:ascii="Arial" w:hAnsi="Arial" w:cs="Arial"/>
          <w:sz w:val="24"/>
          <w:szCs w:val="24"/>
          <w:u w:val="single"/>
        </w:rPr>
        <w:t xml:space="preserve"> and </w:t>
      </w:r>
      <w:r w:rsidR="00C77180" w:rsidRPr="00B61FF1">
        <w:rPr>
          <w:rFonts w:ascii="Arial" w:hAnsi="Arial" w:cs="Arial"/>
          <w:sz w:val="24"/>
          <w:szCs w:val="24"/>
          <w:u w:val="single"/>
        </w:rPr>
        <w:t>95856(h)(2)(C)</w:t>
      </w:r>
      <w:r w:rsidR="00FE6B15" w:rsidRPr="00B61FF1">
        <w:rPr>
          <w:rFonts w:ascii="Arial" w:hAnsi="Arial" w:cs="Arial"/>
          <w:sz w:val="24"/>
          <w:szCs w:val="24"/>
        </w:rPr>
        <w:t>.</w:t>
      </w:r>
    </w:p>
    <w:p w14:paraId="4F4EA495" w14:textId="77777777" w:rsidR="00FE6B15" w:rsidRPr="00B61FF1" w:rsidRDefault="00FE6B15" w:rsidP="00635712">
      <w:pPr>
        <w:numPr>
          <w:ilvl w:val="0"/>
          <w:numId w:val="2"/>
        </w:numPr>
        <w:spacing w:line="360" w:lineRule="auto"/>
        <w:rPr>
          <w:rFonts w:ascii="Arial" w:hAnsi="Arial" w:cs="Arial"/>
          <w:sz w:val="24"/>
          <w:szCs w:val="24"/>
        </w:rPr>
      </w:pPr>
      <w:r w:rsidRPr="00B61FF1">
        <w:rPr>
          <w:rFonts w:ascii="Arial" w:hAnsi="Arial" w:cs="Arial"/>
          <w:sz w:val="24"/>
          <w:szCs w:val="24"/>
        </w:rPr>
        <w:lastRenderedPageBreak/>
        <w:t xml:space="preserve">A covered entity must transfer from its holding account to its compliance account a sufficient number of compliance instruments to meet the compliance obligation set forth in sections 95853 and 95855.  </w:t>
      </w:r>
    </w:p>
    <w:p w14:paraId="170CCA10" w14:textId="77777777" w:rsidR="00FE6B15" w:rsidRPr="00B61FF1" w:rsidRDefault="00FE6B15" w:rsidP="00635712">
      <w:pPr>
        <w:numPr>
          <w:ilvl w:val="0"/>
          <w:numId w:val="2"/>
        </w:numPr>
        <w:spacing w:line="360" w:lineRule="auto"/>
        <w:rPr>
          <w:rFonts w:ascii="Arial" w:hAnsi="Arial" w:cs="Arial"/>
          <w:sz w:val="24"/>
          <w:szCs w:val="24"/>
        </w:rPr>
      </w:pPr>
      <w:r w:rsidRPr="00B61FF1">
        <w:rPr>
          <w:rFonts w:ascii="Arial" w:hAnsi="Arial" w:cs="Arial"/>
          <w:sz w:val="24"/>
          <w:szCs w:val="24"/>
        </w:rPr>
        <w:t xml:space="preserve">Deadline for </w:t>
      </w:r>
      <w:r w:rsidR="00B5533A" w:rsidRPr="00B61FF1">
        <w:rPr>
          <w:rFonts w:ascii="Arial" w:hAnsi="Arial" w:cs="Arial"/>
          <w:sz w:val="24"/>
          <w:szCs w:val="24"/>
        </w:rPr>
        <w:t xml:space="preserve">Surrender of </w:t>
      </w:r>
      <w:r w:rsidRPr="00B61FF1">
        <w:rPr>
          <w:rFonts w:ascii="Arial" w:hAnsi="Arial" w:cs="Arial"/>
          <w:sz w:val="24"/>
          <w:szCs w:val="24"/>
        </w:rPr>
        <w:t xml:space="preserve">Annual </w:t>
      </w:r>
      <w:r w:rsidR="00B5533A" w:rsidRPr="00B61FF1">
        <w:rPr>
          <w:rFonts w:ascii="Arial" w:hAnsi="Arial" w:cs="Arial"/>
          <w:sz w:val="24"/>
          <w:szCs w:val="24"/>
        </w:rPr>
        <w:t>Compliance Obligations</w:t>
      </w:r>
      <w:r w:rsidRPr="00B61FF1">
        <w:rPr>
          <w:rFonts w:ascii="Arial" w:hAnsi="Arial" w:cs="Arial"/>
          <w:sz w:val="24"/>
          <w:szCs w:val="24"/>
        </w:rPr>
        <w:t>.  For any year in which a covered entity has an annual compliance obligation pursuant to section 95855, it must fulfill that obligation</w:t>
      </w:r>
      <w:r w:rsidR="007977B8" w:rsidRPr="00B61FF1">
        <w:rPr>
          <w:rFonts w:ascii="Arial" w:hAnsi="Arial" w:cs="Arial"/>
          <w:sz w:val="24"/>
          <w:szCs w:val="24"/>
        </w:rPr>
        <w:t>:</w:t>
      </w:r>
    </w:p>
    <w:p w14:paraId="60B08ACC" w14:textId="77777777" w:rsidR="0000679C" w:rsidRPr="00B61FF1" w:rsidRDefault="0000679C" w:rsidP="0000679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By </w:t>
      </w:r>
      <w:r w:rsidR="006B0B70" w:rsidRPr="00B61FF1">
        <w:rPr>
          <w:rFonts w:ascii="Arial" w:hAnsi="Arial" w:cs="Arial"/>
          <w:sz w:val="24"/>
          <w:szCs w:val="24"/>
        </w:rPr>
        <w:t>November 1</w:t>
      </w:r>
      <w:r w:rsidR="00D06A56" w:rsidRPr="00B61FF1">
        <w:rPr>
          <w:rFonts w:ascii="Arial" w:hAnsi="Arial" w:cs="Arial"/>
          <w:sz w:val="24"/>
          <w:szCs w:val="24"/>
          <w:u w:val="single"/>
        </w:rPr>
        <w:t>, 5 p.m. Pacific Standard Time (or Pacific Daylight Time, when in effect),</w:t>
      </w:r>
      <w:r w:rsidR="00FE6B15" w:rsidRPr="00B61FF1">
        <w:rPr>
          <w:rFonts w:ascii="Arial" w:hAnsi="Arial" w:cs="Arial"/>
          <w:sz w:val="24"/>
          <w:szCs w:val="24"/>
        </w:rPr>
        <w:t xml:space="preserve"> of the calendar year following the year for which the obligation is calculated if the entity reports by April 1</w:t>
      </w:r>
      <w:r w:rsidR="00AE4471" w:rsidRPr="00B61FF1">
        <w:rPr>
          <w:rFonts w:ascii="Arial" w:hAnsi="Arial" w:cs="Arial"/>
          <w:sz w:val="24"/>
          <w:szCs w:val="24"/>
        </w:rPr>
        <w:t>0</w:t>
      </w:r>
      <w:r w:rsidR="00FE6B15" w:rsidRPr="00B61FF1">
        <w:rPr>
          <w:rFonts w:ascii="Arial" w:hAnsi="Arial" w:cs="Arial"/>
          <w:sz w:val="24"/>
          <w:szCs w:val="24"/>
        </w:rPr>
        <w:t xml:space="preserve"> pursuant to section 95103 of MRR;</w:t>
      </w:r>
      <w:r w:rsidR="00345420" w:rsidRPr="00B61FF1">
        <w:rPr>
          <w:rFonts w:ascii="Arial" w:hAnsi="Arial" w:cs="Arial"/>
          <w:sz w:val="24"/>
          <w:szCs w:val="24"/>
        </w:rPr>
        <w:t xml:space="preserve"> or</w:t>
      </w:r>
    </w:p>
    <w:p w14:paraId="6FC99CC8" w14:textId="77777777" w:rsidR="0000679C" w:rsidRPr="00B61FF1" w:rsidRDefault="0000679C" w:rsidP="0000679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By </w:t>
      </w:r>
      <w:r w:rsidR="006B0B70" w:rsidRPr="00B61FF1">
        <w:rPr>
          <w:rFonts w:ascii="Arial" w:hAnsi="Arial" w:cs="Arial"/>
          <w:sz w:val="24"/>
          <w:szCs w:val="24"/>
        </w:rPr>
        <w:t>November 1</w:t>
      </w:r>
      <w:r w:rsidR="00D06A56" w:rsidRPr="00B61FF1">
        <w:rPr>
          <w:rFonts w:ascii="Arial" w:hAnsi="Arial" w:cs="Arial"/>
          <w:sz w:val="24"/>
          <w:szCs w:val="24"/>
          <w:u w:val="single"/>
        </w:rPr>
        <w:t>, 5 p.m. Pacific Standard Time (or Pacific Daylight Time, when in effect),</w:t>
      </w:r>
      <w:r w:rsidR="00D06A56" w:rsidRPr="00B61FF1">
        <w:rPr>
          <w:rFonts w:ascii="Arial" w:hAnsi="Arial" w:cs="Arial"/>
          <w:sz w:val="24"/>
          <w:szCs w:val="24"/>
        </w:rPr>
        <w:t xml:space="preserve"> </w:t>
      </w:r>
      <w:r w:rsidR="006B0B70" w:rsidRPr="00B61FF1">
        <w:rPr>
          <w:rFonts w:ascii="Arial" w:hAnsi="Arial" w:cs="Arial"/>
          <w:sz w:val="24"/>
          <w:szCs w:val="24"/>
        </w:rPr>
        <w:t xml:space="preserve"> </w:t>
      </w:r>
      <w:r w:rsidR="00FE6B15" w:rsidRPr="00B61FF1">
        <w:rPr>
          <w:rFonts w:ascii="Arial" w:hAnsi="Arial" w:cs="Arial"/>
          <w:sz w:val="24"/>
          <w:szCs w:val="24"/>
        </w:rPr>
        <w:t>of the calendar year following the year for which the obligation is calculated if the entity reports by June 1 pursuant to section 95103 of MRR.</w:t>
      </w:r>
    </w:p>
    <w:p w14:paraId="24909B58" w14:textId="77777777" w:rsidR="0000679C" w:rsidRPr="00B61FF1" w:rsidRDefault="0000679C" w:rsidP="0000679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In years 2015, 2018, and 2021 there is no annual </w:t>
      </w:r>
      <w:r w:rsidR="00B5533A" w:rsidRPr="00B61FF1">
        <w:rPr>
          <w:rFonts w:ascii="Arial" w:hAnsi="Arial" w:cs="Arial"/>
          <w:sz w:val="24"/>
          <w:szCs w:val="24"/>
        </w:rPr>
        <w:t>compliance</w:t>
      </w:r>
      <w:r w:rsidRPr="00B61FF1">
        <w:rPr>
          <w:rFonts w:ascii="Arial" w:hAnsi="Arial" w:cs="Arial"/>
          <w:sz w:val="24"/>
          <w:szCs w:val="24"/>
        </w:rPr>
        <w:t xml:space="preserve"> obligation for the </w:t>
      </w:r>
      <w:r w:rsidRPr="00B61FF1">
        <w:rPr>
          <w:rFonts w:ascii="Arial" w:hAnsi="Arial" w:cs="Arial"/>
          <w:sz w:val="24"/>
          <w:szCs w:val="24"/>
          <w:u w:val="single"/>
        </w:rPr>
        <w:t>prece</w:t>
      </w:r>
      <w:r w:rsidRPr="00B61FF1">
        <w:rPr>
          <w:rFonts w:ascii="Arial" w:hAnsi="Arial" w:cs="Arial"/>
          <w:strike/>
          <w:sz w:val="24"/>
          <w:szCs w:val="24"/>
          <w:u w:val="single"/>
        </w:rPr>
        <w:t>e</w:t>
      </w:r>
      <w:r w:rsidRPr="00B61FF1">
        <w:rPr>
          <w:rFonts w:ascii="Arial" w:hAnsi="Arial" w:cs="Arial"/>
          <w:sz w:val="24"/>
          <w:szCs w:val="24"/>
          <w:u w:val="single"/>
        </w:rPr>
        <w:t>ding</w:t>
      </w:r>
      <w:r w:rsidRPr="00B61FF1">
        <w:rPr>
          <w:rFonts w:ascii="Arial" w:hAnsi="Arial" w:cs="Arial"/>
          <w:sz w:val="24"/>
          <w:szCs w:val="24"/>
        </w:rPr>
        <w:t xml:space="preserve"> compliance period, only a triennial compliance obligation.</w:t>
      </w:r>
    </w:p>
    <w:p w14:paraId="5AA44E04" w14:textId="77777777" w:rsidR="00FE6B15" w:rsidRPr="00B61FF1" w:rsidRDefault="00345420" w:rsidP="00345420">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r>
      <w:r w:rsidR="00FE6B15" w:rsidRPr="00B61FF1">
        <w:rPr>
          <w:rFonts w:ascii="Arial" w:hAnsi="Arial" w:cs="Arial"/>
          <w:sz w:val="24"/>
          <w:szCs w:val="24"/>
        </w:rPr>
        <w:t xml:space="preserve">Determination of Triennial </w:t>
      </w:r>
      <w:r w:rsidR="00B5533A" w:rsidRPr="00B61FF1">
        <w:rPr>
          <w:rFonts w:ascii="Arial" w:hAnsi="Arial" w:cs="Arial"/>
          <w:sz w:val="24"/>
          <w:szCs w:val="24"/>
        </w:rPr>
        <w:t xml:space="preserve">Compliance </w:t>
      </w:r>
      <w:r w:rsidR="00FE6B15" w:rsidRPr="00B61FF1">
        <w:rPr>
          <w:rFonts w:ascii="Arial" w:hAnsi="Arial" w:cs="Arial"/>
          <w:sz w:val="24"/>
          <w:szCs w:val="24"/>
        </w:rPr>
        <w:t>Obligation</w:t>
      </w:r>
      <w:r w:rsidR="007977B8" w:rsidRPr="00B61FF1">
        <w:rPr>
          <w:rFonts w:ascii="Arial" w:hAnsi="Arial" w:cs="Arial"/>
          <w:sz w:val="24"/>
          <w:szCs w:val="24"/>
        </w:rPr>
        <w:t>.</w:t>
      </w:r>
    </w:p>
    <w:p w14:paraId="6C51E17E" w14:textId="77777777" w:rsidR="005D6E92" w:rsidRPr="00B61FF1" w:rsidRDefault="00345420" w:rsidP="0034542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When a positive or qualified positive </w:t>
      </w:r>
      <w:r w:rsidR="005E0F9B" w:rsidRPr="00B61FF1">
        <w:rPr>
          <w:rFonts w:ascii="Arial" w:hAnsi="Arial" w:cs="Arial"/>
          <w:sz w:val="24"/>
          <w:szCs w:val="24"/>
        </w:rPr>
        <w:t xml:space="preserve">emissions data </w:t>
      </w:r>
      <w:r w:rsidR="00FE6B15" w:rsidRPr="00B61FF1">
        <w:rPr>
          <w:rFonts w:ascii="Arial" w:hAnsi="Arial" w:cs="Arial"/>
          <w:sz w:val="24"/>
          <w:szCs w:val="24"/>
        </w:rPr>
        <w:t xml:space="preserve">verification statement </w:t>
      </w:r>
      <w:r w:rsidRPr="00B61FF1">
        <w:rPr>
          <w:rFonts w:ascii="Arial" w:hAnsi="Arial" w:cs="Arial"/>
          <w:sz w:val="24"/>
          <w:szCs w:val="24"/>
        </w:rPr>
        <w:t xml:space="preserve">or assigned emissions </w:t>
      </w:r>
      <w:r w:rsidR="00FE6B15" w:rsidRPr="00B61FF1">
        <w:rPr>
          <w:rFonts w:ascii="Arial" w:hAnsi="Arial" w:cs="Arial"/>
          <w:sz w:val="24"/>
          <w:szCs w:val="24"/>
        </w:rPr>
        <w:t xml:space="preserve">for any </w:t>
      </w:r>
      <w:r w:rsidR="00754E0B" w:rsidRPr="00B61FF1">
        <w:rPr>
          <w:rFonts w:ascii="Arial" w:hAnsi="Arial" w:cs="Arial"/>
          <w:sz w:val="24"/>
          <w:szCs w:val="24"/>
        </w:rPr>
        <w:t xml:space="preserve">year </w:t>
      </w:r>
      <w:r w:rsidR="00FE6B15" w:rsidRPr="00B61FF1">
        <w:rPr>
          <w:rFonts w:ascii="Arial" w:hAnsi="Arial" w:cs="Arial"/>
          <w:sz w:val="24"/>
          <w:szCs w:val="24"/>
        </w:rPr>
        <w:t>is received by ARB, then those emissions fo</w:t>
      </w:r>
      <w:r w:rsidRPr="00B61FF1">
        <w:rPr>
          <w:rFonts w:ascii="Arial" w:hAnsi="Arial" w:cs="Arial"/>
          <w:sz w:val="24"/>
          <w:szCs w:val="24"/>
        </w:rPr>
        <w:t>r the source categories in section 95852</w:t>
      </w:r>
      <w:r w:rsidR="00FE6B15" w:rsidRPr="00B61FF1">
        <w:rPr>
          <w:rFonts w:ascii="Arial" w:hAnsi="Arial" w:cs="Arial"/>
          <w:sz w:val="24"/>
          <w:szCs w:val="24"/>
        </w:rPr>
        <w:t xml:space="preserve"> equal the </w:t>
      </w:r>
      <w:r w:rsidR="00B5533A" w:rsidRPr="00B61FF1">
        <w:rPr>
          <w:rFonts w:ascii="Arial" w:hAnsi="Arial" w:cs="Arial"/>
          <w:sz w:val="24"/>
          <w:szCs w:val="24"/>
        </w:rPr>
        <w:t xml:space="preserve">triennial </w:t>
      </w:r>
      <w:r w:rsidR="00FE6B15" w:rsidRPr="00B61FF1">
        <w:rPr>
          <w:rFonts w:ascii="Arial" w:hAnsi="Arial" w:cs="Arial"/>
          <w:sz w:val="24"/>
          <w:szCs w:val="24"/>
        </w:rPr>
        <w:t xml:space="preserve">compliance obligation </w:t>
      </w:r>
      <w:r w:rsidR="005D6E92" w:rsidRPr="00B61FF1">
        <w:rPr>
          <w:rFonts w:ascii="Arial" w:hAnsi="Arial" w:cs="Arial"/>
          <w:sz w:val="24"/>
          <w:szCs w:val="24"/>
        </w:rPr>
        <w:t>pursuant to</w:t>
      </w:r>
      <w:r w:rsidR="00FE6B15" w:rsidRPr="00B61FF1">
        <w:rPr>
          <w:rFonts w:ascii="Arial" w:hAnsi="Arial" w:cs="Arial"/>
          <w:sz w:val="24"/>
          <w:szCs w:val="24"/>
        </w:rPr>
        <w:t xml:space="preserve"> section 95853.  </w:t>
      </w:r>
    </w:p>
    <w:p w14:paraId="1C448A26" w14:textId="77777777" w:rsidR="00FE6B15" w:rsidRPr="00B61FF1" w:rsidRDefault="00345420" w:rsidP="0034542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If a positive or qualified positive </w:t>
      </w:r>
      <w:r w:rsidR="005E0F9B" w:rsidRPr="00B61FF1">
        <w:rPr>
          <w:rFonts w:ascii="Arial" w:hAnsi="Arial" w:cs="Arial"/>
          <w:sz w:val="24"/>
          <w:szCs w:val="24"/>
        </w:rPr>
        <w:t xml:space="preserve">emissions data </w:t>
      </w:r>
      <w:r w:rsidR="00FE6B15" w:rsidRPr="00B61FF1">
        <w:rPr>
          <w:rFonts w:ascii="Arial" w:hAnsi="Arial" w:cs="Arial"/>
          <w:sz w:val="24"/>
          <w:szCs w:val="24"/>
        </w:rPr>
        <w:t>verification statement for any year of the compliance period is not received by ARB</w:t>
      </w:r>
      <w:r w:rsidR="00754E0B" w:rsidRPr="00B61FF1">
        <w:rPr>
          <w:rFonts w:ascii="Arial" w:hAnsi="Arial" w:cs="Arial"/>
          <w:sz w:val="24"/>
          <w:szCs w:val="24"/>
        </w:rPr>
        <w:t xml:space="preserve"> by</w:t>
      </w:r>
      <w:r w:rsidR="00FE6B15" w:rsidRPr="00B61FF1">
        <w:rPr>
          <w:rFonts w:ascii="Arial" w:hAnsi="Arial" w:cs="Arial"/>
          <w:sz w:val="24"/>
          <w:szCs w:val="24"/>
        </w:rPr>
        <w:t xml:space="preserve"> </w:t>
      </w:r>
      <w:r w:rsidR="005D6E92" w:rsidRPr="00B61FF1">
        <w:rPr>
          <w:rFonts w:ascii="Arial" w:hAnsi="Arial" w:cs="Arial"/>
          <w:sz w:val="24"/>
          <w:szCs w:val="24"/>
        </w:rPr>
        <w:t>the applicable verification deadline</w:t>
      </w:r>
      <w:r w:rsidR="00FE6B15" w:rsidRPr="00B61FF1">
        <w:rPr>
          <w:rFonts w:ascii="Arial" w:hAnsi="Arial" w:cs="Arial"/>
          <w:sz w:val="24"/>
          <w:szCs w:val="24"/>
        </w:rPr>
        <w:t xml:space="preserve"> as set forth in MRR, ARB will assign emissions according to the requirements set forth in section 95103(g) of MRR</w:t>
      </w:r>
      <w:r w:rsidR="00D9311B" w:rsidRPr="00B61FF1">
        <w:rPr>
          <w:rFonts w:ascii="Arial" w:hAnsi="Arial" w:cs="Arial"/>
          <w:sz w:val="24"/>
          <w:szCs w:val="24"/>
        </w:rPr>
        <w:t xml:space="preserve"> for the emissions for the source categories in section 95852</w:t>
      </w:r>
      <w:r w:rsidR="00FE6B15" w:rsidRPr="00B61FF1">
        <w:rPr>
          <w:rFonts w:ascii="Arial" w:hAnsi="Arial" w:cs="Arial"/>
          <w:sz w:val="24"/>
          <w:szCs w:val="24"/>
        </w:rPr>
        <w:t>.</w:t>
      </w:r>
      <w:r w:rsidR="005D6E92" w:rsidRPr="00B61FF1">
        <w:rPr>
          <w:rFonts w:ascii="Arial" w:hAnsi="Arial" w:cs="Arial"/>
          <w:sz w:val="24"/>
          <w:szCs w:val="24"/>
        </w:rPr>
        <w:t xml:space="preserve"> </w:t>
      </w:r>
      <w:r w:rsidR="00B5533A" w:rsidRPr="00B61FF1">
        <w:rPr>
          <w:rFonts w:ascii="Arial" w:hAnsi="Arial" w:cs="Arial"/>
          <w:sz w:val="24"/>
          <w:szCs w:val="24"/>
        </w:rPr>
        <w:t xml:space="preserve"> </w:t>
      </w:r>
      <w:r w:rsidR="005D6E92" w:rsidRPr="00B61FF1">
        <w:rPr>
          <w:rFonts w:ascii="Arial" w:hAnsi="Arial" w:cs="Arial"/>
          <w:sz w:val="24"/>
          <w:szCs w:val="24"/>
        </w:rPr>
        <w:t>The assigned emissions value then equals the compliance obligation.</w:t>
      </w:r>
    </w:p>
    <w:p w14:paraId="0C749286" w14:textId="77777777" w:rsidR="00FE6B15" w:rsidRPr="00B61FF1" w:rsidRDefault="00345420" w:rsidP="00345420">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r>
      <w:r w:rsidR="00B5533A" w:rsidRPr="00B61FF1">
        <w:rPr>
          <w:rFonts w:ascii="Arial" w:hAnsi="Arial" w:cs="Arial"/>
          <w:sz w:val="24"/>
          <w:szCs w:val="24"/>
        </w:rPr>
        <w:t xml:space="preserve">Surrender of </w:t>
      </w:r>
      <w:r w:rsidR="00FE6B15" w:rsidRPr="00B61FF1">
        <w:rPr>
          <w:rFonts w:ascii="Arial" w:hAnsi="Arial" w:cs="Arial"/>
          <w:sz w:val="24"/>
          <w:szCs w:val="24"/>
        </w:rPr>
        <w:t xml:space="preserve">Triennial </w:t>
      </w:r>
      <w:r w:rsidR="00B5533A" w:rsidRPr="00B61FF1">
        <w:rPr>
          <w:rFonts w:ascii="Arial" w:hAnsi="Arial" w:cs="Arial"/>
          <w:sz w:val="24"/>
          <w:szCs w:val="24"/>
        </w:rPr>
        <w:t>Compliance Obligation</w:t>
      </w:r>
      <w:r w:rsidR="00FE6B15" w:rsidRPr="00B61FF1">
        <w:rPr>
          <w:rFonts w:ascii="Arial" w:hAnsi="Arial" w:cs="Arial"/>
          <w:sz w:val="24"/>
          <w:szCs w:val="24"/>
        </w:rPr>
        <w:t>.</w:t>
      </w:r>
    </w:p>
    <w:p w14:paraId="6F25D36D" w14:textId="77777777" w:rsidR="00FE6B15" w:rsidRPr="00B61FF1" w:rsidRDefault="00345420" w:rsidP="0034542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The covered entity must transfer sufficient valid compliance instruments to its compliance a</w:t>
      </w:r>
      <w:r w:rsidR="00D0098E" w:rsidRPr="00B61FF1">
        <w:rPr>
          <w:rFonts w:ascii="Arial" w:hAnsi="Arial" w:cs="Arial"/>
          <w:sz w:val="24"/>
          <w:szCs w:val="24"/>
        </w:rPr>
        <w:t>ccount to fulfill its triennial</w:t>
      </w:r>
      <w:r w:rsidR="00F6603E" w:rsidRPr="00B61FF1">
        <w:rPr>
          <w:rFonts w:ascii="Arial" w:hAnsi="Arial" w:cs="Arial"/>
          <w:sz w:val="24"/>
          <w:szCs w:val="24"/>
        </w:rPr>
        <w:t xml:space="preserve"> compliance</w:t>
      </w:r>
      <w:r w:rsidR="00FE6B15" w:rsidRPr="00B61FF1">
        <w:rPr>
          <w:rFonts w:ascii="Arial" w:hAnsi="Arial" w:cs="Arial"/>
          <w:sz w:val="24"/>
          <w:szCs w:val="24"/>
        </w:rPr>
        <w:t xml:space="preserve"> </w:t>
      </w:r>
      <w:r w:rsidR="00FE6B15" w:rsidRPr="00B61FF1">
        <w:rPr>
          <w:rFonts w:ascii="Arial" w:hAnsi="Arial" w:cs="Arial"/>
          <w:sz w:val="24"/>
          <w:szCs w:val="24"/>
        </w:rPr>
        <w:lastRenderedPageBreak/>
        <w:t>obligation by November 1</w:t>
      </w:r>
      <w:r w:rsidR="00D06A56" w:rsidRPr="00B61FF1">
        <w:rPr>
          <w:rFonts w:ascii="Arial" w:hAnsi="Arial" w:cs="Arial"/>
          <w:sz w:val="24"/>
          <w:szCs w:val="24"/>
          <w:u w:val="single"/>
        </w:rPr>
        <w:t>, 5 p.m. Pacific Standard Time (or Pacific Daylight Time, when in effect),</w:t>
      </w:r>
      <w:r w:rsidR="00D06A56" w:rsidRPr="00B61FF1">
        <w:rPr>
          <w:rFonts w:ascii="Arial" w:hAnsi="Arial" w:cs="Arial"/>
          <w:sz w:val="24"/>
          <w:szCs w:val="24"/>
        </w:rPr>
        <w:t xml:space="preserve"> </w:t>
      </w:r>
      <w:r w:rsidR="00FE6B15" w:rsidRPr="00B61FF1">
        <w:rPr>
          <w:rFonts w:ascii="Arial" w:hAnsi="Arial" w:cs="Arial"/>
          <w:sz w:val="24"/>
          <w:szCs w:val="24"/>
        </w:rPr>
        <w:t xml:space="preserve"> of the calendar year following the </w:t>
      </w:r>
      <w:r w:rsidR="002E4677" w:rsidRPr="00B61FF1">
        <w:rPr>
          <w:rFonts w:ascii="Arial" w:hAnsi="Arial" w:cs="Arial"/>
          <w:sz w:val="24"/>
          <w:szCs w:val="24"/>
        </w:rPr>
        <w:t>final</w:t>
      </w:r>
      <w:r w:rsidR="00FE6B15" w:rsidRPr="00B61FF1">
        <w:rPr>
          <w:rFonts w:ascii="Arial" w:hAnsi="Arial" w:cs="Arial"/>
          <w:sz w:val="24"/>
          <w:szCs w:val="24"/>
        </w:rPr>
        <w:t xml:space="preserve"> year of the compliance period.</w:t>
      </w:r>
    </w:p>
    <w:p w14:paraId="192CF802" w14:textId="77777777" w:rsidR="00FE6B15" w:rsidRPr="00B61FF1" w:rsidRDefault="00345420" w:rsidP="0034542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The total number of </w:t>
      </w:r>
      <w:r w:rsidRPr="00B61FF1">
        <w:rPr>
          <w:rFonts w:ascii="Arial" w:hAnsi="Arial" w:cs="Arial"/>
          <w:sz w:val="24"/>
          <w:szCs w:val="24"/>
        </w:rPr>
        <w:t xml:space="preserve">compliance instruments </w:t>
      </w:r>
      <w:r w:rsidR="00FE6B15" w:rsidRPr="00B61FF1">
        <w:rPr>
          <w:rFonts w:ascii="Arial" w:hAnsi="Arial" w:cs="Arial"/>
          <w:sz w:val="24"/>
          <w:szCs w:val="24"/>
        </w:rPr>
        <w:t xml:space="preserve">submitted to fulfill the </w:t>
      </w:r>
      <w:r w:rsidRPr="00B61FF1">
        <w:rPr>
          <w:rFonts w:ascii="Arial" w:hAnsi="Arial" w:cs="Arial"/>
          <w:sz w:val="24"/>
          <w:szCs w:val="24"/>
        </w:rPr>
        <w:t>t</w:t>
      </w:r>
      <w:r w:rsidR="00FE6B15" w:rsidRPr="00B61FF1">
        <w:rPr>
          <w:rFonts w:ascii="Arial" w:hAnsi="Arial" w:cs="Arial"/>
          <w:sz w:val="24"/>
          <w:szCs w:val="24"/>
        </w:rPr>
        <w:t xml:space="preserve">riennial </w:t>
      </w:r>
      <w:r w:rsidR="00F6603E" w:rsidRPr="00B61FF1">
        <w:rPr>
          <w:rFonts w:ascii="Arial" w:hAnsi="Arial" w:cs="Arial"/>
          <w:sz w:val="24"/>
          <w:szCs w:val="24"/>
        </w:rPr>
        <w:t xml:space="preserve">compliance </w:t>
      </w:r>
      <w:r w:rsidR="00FE6B15" w:rsidRPr="00B61FF1">
        <w:rPr>
          <w:rFonts w:ascii="Arial" w:hAnsi="Arial" w:cs="Arial"/>
          <w:sz w:val="24"/>
          <w:szCs w:val="24"/>
        </w:rPr>
        <w:t>obligation is subject to the quantitative use limit pursuant to section 95854.</w:t>
      </w:r>
    </w:p>
    <w:p w14:paraId="6D331E7E" w14:textId="77777777" w:rsidR="00FE6B15" w:rsidRPr="00B61FF1" w:rsidRDefault="00345420" w:rsidP="00257B4F">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E6B15" w:rsidRPr="00B61FF1">
        <w:rPr>
          <w:rFonts w:ascii="Arial" w:hAnsi="Arial" w:cs="Arial"/>
          <w:sz w:val="24"/>
          <w:szCs w:val="24"/>
        </w:rPr>
        <w:t xml:space="preserve">The </w:t>
      </w:r>
      <w:r w:rsidR="00F6603E" w:rsidRPr="00B61FF1">
        <w:rPr>
          <w:rFonts w:ascii="Arial" w:hAnsi="Arial" w:cs="Arial"/>
          <w:sz w:val="24"/>
          <w:szCs w:val="24"/>
        </w:rPr>
        <w:t xml:space="preserve">surrender of compliance instruments must </w:t>
      </w:r>
      <w:r w:rsidR="00FE6B15" w:rsidRPr="00B61FF1">
        <w:rPr>
          <w:rFonts w:ascii="Arial" w:hAnsi="Arial" w:cs="Arial"/>
          <w:sz w:val="24"/>
          <w:szCs w:val="24"/>
        </w:rPr>
        <w:t xml:space="preserve">equal the </w:t>
      </w:r>
      <w:r w:rsidR="00B5533A" w:rsidRPr="00B61FF1">
        <w:rPr>
          <w:rFonts w:ascii="Arial" w:hAnsi="Arial" w:cs="Arial"/>
          <w:sz w:val="24"/>
          <w:szCs w:val="24"/>
        </w:rPr>
        <w:t>t</w:t>
      </w:r>
      <w:r w:rsidR="00FE6B15" w:rsidRPr="00B61FF1">
        <w:rPr>
          <w:rFonts w:ascii="Arial" w:hAnsi="Arial" w:cs="Arial"/>
          <w:sz w:val="24"/>
          <w:szCs w:val="24"/>
        </w:rPr>
        <w:t xml:space="preserve">riennial </w:t>
      </w:r>
      <w:r w:rsidR="00B5533A" w:rsidRPr="00B61FF1">
        <w:rPr>
          <w:rFonts w:ascii="Arial" w:hAnsi="Arial" w:cs="Arial"/>
          <w:sz w:val="24"/>
          <w:szCs w:val="24"/>
        </w:rPr>
        <w:t>c</w:t>
      </w:r>
      <w:r w:rsidR="00FE6B15" w:rsidRPr="00B61FF1">
        <w:rPr>
          <w:rFonts w:ascii="Arial" w:hAnsi="Arial" w:cs="Arial"/>
          <w:sz w:val="24"/>
          <w:szCs w:val="24"/>
        </w:rPr>
        <w:t xml:space="preserve">ompliance </w:t>
      </w:r>
      <w:r w:rsidR="00B5533A" w:rsidRPr="00B61FF1">
        <w:rPr>
          <w:rFonts w:ascii="Arial" w:hAnsi="Arial" w:cs="Arial"/>
          <w:sz w:val="24"/>
          <w:szCs w:val="24"/>
        </w:rPr>
        <w:t>o</w:t>
      </w:r>
      <w:r w:rsidR="00FE6B15" w:rsidRPr="00B61FF1">
        <w:rPr>
          <w:rFonts w:ascii="Arial" w:hAnsi="Arial" w:cs="Arial"/>
          <w:sz w:val="24"/>
          <w:szCs w:val="24"/>
        </w:rPr>
        <w:t xml:space="preserve">bligation calculated pursuant to section 95853 less </w:t>
      </w:r>
      <w:r w:rsidR="00F6603E" w:rsidRPr="00B61FF1">
        <w:rPr>
          <w:rFonts w:ascii="Arial" w:hAnsi="Arial" w:cs="Arial"/>
          <w:sz w:val="24"/>
          <w:szCs w:val="24"/>
        </w:rPr>
        <w:t xml:space="preserve">compliance instruments </w:t>
      </w:r>
      <w:r w:rsidR="00FE6B15" w:rsidRPr="00B61FF1">
        <w:rPr>
          <w:rFonts w:ascii="Arial" w:hAnsi="Arial" w:cs="Arial"/>
          <w:sz w:val="24"/>
          <w:szCs w:val="24"/>
        </w:rPr>
        <w:t xml:space="preserve">surrendered </w:t>
      </w:r>
      <w:r w:rsidR="00F6603E" w:rsidRPr="00B61FF1">
        <w:rPr>
          <w:rFonts w:ascii="Arial" w:hAnsi="Arial" w:cs="Arial"/>
          <w:sz w:val="24"/>
          <w:szCs w:val="24"/>
        </w:rPr>
        <w:t xml:space="preserve">to fulfill </w:t>
      </w:r>
      <w:r w:rsidR="00FE6B15" w:rsidRPr="00B61FF1">
        <w:rPr>
          <w:rFonts w:ascii="Arial" w:hAnsi="Arial" w:cs="Arial"/>
          <w:sz w:val="24"/>
          <w:szCs w:val="24"/>
        </w:rPr>
        <w:t xml:space="preserve">the annual </w:t>
      </w:r>
      <w:r w:rsidR="00F6603E" w:rsidRPr="00B61FF1">
        <w:rPr>
          <w:rFonts w:ascii="Arial" w:hAnsi="Arial" w:cs="Arial"/>
          <w:sz w:val="24"/>
          <w:szCs w:val="24"/>
        </w:rPr>
        <w:t>compliance</w:t>
      </w:r>
      <w:r w:rsidR="00FE6B15" w:rsidRPr="00B61FF1">
        <w:rPr>
          <w:rFonts w:ascii="Arial" w:hAnsi="Arial" w:cs="Arial"/>
          <w:sz w:val="24"/>
          <w:szCs w:val="24"/>
        </w:rPr>
        <w:t xml:space="preserve"> obligation for the years in the compliance period.</w:t>
      </w:r>
    </w:p>
    <w:p w14:paraId="5D25C9B3" w14:textId="77777777" w:rsidR="00FE6B15" w:rsidRPr="00B61FF1" w:rsidRDefault="00345420" w:rsidP="00345420">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r>
      <w:r w:rsidR="00FE6B15" w:rsidRPr="00B61FF1">
        <w:rPr>
          <w:rFonts w:ascii="Arial" w:hAnsi="Arial" w:cs="Arial"/>
          <w:sz w:val="24"/>
          <w:szCs w:val="24"/>
        </w:rPr>
        <w:t xml:space="preserve">When the Executive Officer has determined the covered entity has met its </w:t>
      </w:r>
      <w:r w:rsidR="00C65F42" w:rsidRPr="00B61FF1">
        <w:rPr>
          <w:rFonts w:ascii="Arial" w:hAnsi="Arial" w:cs="Arial"/>
          <w:sz w:val="24"/>
          <w:szCs w:val="24"/>
        </w:rPr>
        <w:t xml:space="preserve">compliance </w:t>
      </w:r>
      <w:r w:rsidR="00FE6B15" w:rsidRPr="00B61FF1">
        <w:rPr>
          <w:rFonts w:ascii="Arial" w:hAnsi="Arial" w:cs="Arial"/>
          <w:sz w:val="24"/>
          <w:szCs w:val="24"/>
        </w:rPr>
        <w:t xml:space="preserve">obligations, the Executive </w:t>
      </w:r>
      <w:r w:rsidR="007977B8" w:rsidRPr="00B61FF1">
        <w:rPr>
          <w:rFonts w:ascii="Arial" w:hAnsi="Arial" w:cs="Arial"/>
          <w:sz w:val="24"/>
          <w:szCs w:val="24"/>
        </w:rPr>
        <w:t>O</w:t>
      </w:r>
      <w:r w:rsidR="00FE6B15" w:rsidRPr="00B61FF1">
        <w:rPr>
          <w:rFonts w:ascii="Arial" w:hAnsi="Arial" w:cs="Arial"/>
          <w:sz w:val="24"/>
          <w:szCs w:val="24"/>
        </w:rPr>
        <w:t>fficer shall:</w:t>
      </w:r>
    </w:p>
    <w:p w14:paraId="0DB7B0AC" w14:textId="77777777" w:rsidR="00FE6B15" w:rsidRPr="00B61FF1" w:rsidRDefault="00345420" w:rsidP="0034542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Retire the compliance instruments surrendered; and</w:t>
      </w:r>
    </w:p>
    <w:p w14:paraId="5B016563" w14:textId="77777777" w:rsidR="00FE6B15" w:rsidRPr="00B61FF1" w:rsidRDefault="00345420" w:rsidP="0034542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Inform programs to which California is linked or recognizes, pursuant to subarticles 12 and 14, of the retirements, including the serial numbers of the compliance instruments retired.</w:t>
      </w:r>
    </w:p>
    <w:p w14:paraId="5F9B7BED" w14:textId="77777777" w:rsidR="00257B4F" w:rsidRPr="00B61FF1" w:rsidRDefault="00257B4F" w:rsidP="00257B4F">
      <w:pPr>
        <w:autoSpaceDE/>
        <w:autoSpaceDN/>
        <w:adjustRightInd/>
        <w:spacing w:line="360" w:lineRule="auto"/>
        <w:ind w:left="720" w:hanging="720"/>
        <w:rPr>
          <w:rFonts w:ascii="Arial" w:hAnsi="Arial" w:cs="Arial"/>
          <w:sz w:val="24"/>
          <w:szCs w:val="24"/>
          <w:u w:val="single"/>
        </w:rPr>
      </w:pPr>
      <w:r w:rsidRPr="00B61FF1">
        <w:rPr>
          <w:rFonts w:ascii="Arial" w:hAnsi="Arial" w:cs="Arial"/>
          <w:sz w:val="24"/>
          <w:szCs w:val="24"/>
          <w:u w:val="single"/>
        </w:rPr>
        <w:t>(h)</w:t>
      </w:r>
      <w:r w:rsidRPr="00B61FF1">
        <w:rPr>
          <w:rFonts w:ascii="Arial" w:hAnsi="Arial" w:cs="Arial"/>
          <w:sz w:val="24"/>
          <w:szCs w:val="24"/>
        </w:rPr>
        <w:tab/>
      </w:r>
      <w:r w:rsidR="00D06A56" w:rsidRPr="00B61FF1">
        <w:rPr>
          <w:rFonts w:ascii="Arial" w:hAnsi="Arial" w:cs="Arial"/>
          <w:sz w:val="24"/>
          <w:szCs w:val="24"/>
          <w:u w:val="single"/>
        </w:rPr>
        <w:t>Compliance Instrument Retirement O</w:t>
      </w:r>
      <w:r w:rsidRPr="00B61FF1">
        <w:rPr>
          <w:rFonts w:ascii="Arial" w:hAnsi="Arial" w:cs="Arial"/>
          <w:sz w:val="24"/>
          <w:szCs w:val="24"/>
          <w:u w:val="single"/>
        </w:rPr>
        <w:t>rder</w:t>
      </w:r>
    </w:p>
    <w:p w14:paraId="6AEE21B1" w14:textId="2CE005CA" w:rsidR="00257B4F" w:rsidRPr="00B61FF1" w:rsidRDefault="00257B4F" w:rsidP="00257B4F">
      <w:pPr>
        <w:autoSpaceDE/>
        <w:autoSpaceDN/>
        <w:adjustRightInd/>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When a covered entity or opt-in covered entity surrender</w:t>
      </w:r>
      <w:r w:rsidR="00476DCF" w:rsidRPr="00B61FF1">
        <w:rPr>
          <w:rFonts w:ascii="Arial" w:hAnsi="Arial" w:cs="Arial"/>
          <w:sz w:val="24"/>
          <w:szCs w:val="24"/>
          <w:u w:val="single"/>
        </w:rPr>
        <w:t>s</w:t>
      </w:r>
      <w:r w:rsidRPr="00B61FF1">
        <w:rPr>
          <w:rFonts w:ascii="Arial" w:hAnsi="Arial" w:cs="Arial"/>
          <w:sz w:val="24"/>
          <w:szCs w:val="24"/>
          <w:u w:val="single"/>
        </w:rPr>
        <w:t xml:space="preserve"> compliance instruments to meet its annual compliance obl</w:t>
      </w:r>
      <w:r w:rsidR="00D06A56" w:rsidRPr="00B61FF1">
        <w:rPr>
          <w:rFonts w:ascii="Arial" w:hAnsi="Arial" w:cs="Arial"/>
          <w:sz w:val="24"/>
          <w:szCs w:val="24"/>
          <w:u w:val="single"/>
        </w:rPr>
        <w:t xml:space="preserve">igation </w:t>
      </w:r>
      <w:r w:rsidR="00476DCF" w:rsidRPr="00B61FF1">
        <w:rPr>
          <w:rFonts w:ascii="Arial" w:hAnsi="Arial" w:cs="Arial"/>
          <w:sz w:val="24"/>
          <w:szCs w:val="24"/>
          <w:u w:val="single"/>
        </w:rPr>
        <w:t>pursuant</w:t>
      </w:r>
      <w:r w:rsidR="00D06A56" w:rsidRPr="00B61FF1">
        <w:rPr>
          <w:rFonts w:ascii="Arial" w:hAnsi="Arial" w:cs="Arial"/>
          <w:sz w:val="24"/>
          <w:szCs w:val="24"/>
          <w:u w:val="single"/>
        </w:rPr>
        <w:t xml:space="preserve"> to section 95856</w:t>
      </w:r>
      <w:r w:rsidR="00476DCF" w:rsidRPr="00B61FF1">
        <w:rPr>
          <w:rFonts w:ascii="Arial" w:hAnsi="Arial" w:cs="Arial"/>
          <w:sz w:val="24"/>
          <w:szCs w:val="24"/>
          <w:u w:val="single"/>
        </w:rPr>
        <w:t>(d)</w:t>
      </w:r>
      <w:r w:rsidRPr="00B61FF1">
        <w:rPr>
          <w:rFonts w:ascii="Arial" w:hAnsi="Arial" w:cs="Arial"/>
          <w:sz w:val="24"/>
          <w:szCs w:val="24"/>
          <w:u w:val="single"/>
        </w:rPr>
        <w:t>, the Executive Officer will retire them</w:t>
      </w:r>
      <w:r w:rsidR="00476DCF" w:rsidRPr="00B61FF1">
        <w:rPr>
          <w:rFonts w:ascii="Arial" w:hAnsi="Arial" w:cs="Arial"/>
          <w:sz w:val="24"/>
          <w:szCs w:val="24"/>
          <w:u w:val="single"/>
        </w:rPr>
        <w:t xml:space="preserve"> from the Compliance Account</w:t>
      </w:r>
      <w:r w:rsidRPr="00B61FF1">
        <w:rPr>
          <w:rFonts w:ascii="Arial" w:hAnsi="Arial" w:cs="Arial"/>
          <w:sz w:val="24"/>
          <w:szCs w:val="24"/>
          <w:u w:val="single"/>
        </w:rPr>
        <w:t xml:space="preserve"> in the following order:</w:t>
      </w:r>
    </w:p>
    <w:p w14:paraId="4C8F6109" w14:textId="693AEAED"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Offset credits specified in section 95820(b) and sections 95821(b) through (d) with oldest credits retired first and without </w:t>
      </w:r>
      <w:r w:rsidR="00476DCF" w:rsidRPr="00B61FF1">
        <w:rPr>
          <w:rFonts w:ascii="Arial" w:hAnsi="Arial" w:cs="Arial"/>
          <w:sz w:val="24"/>
          <w:szCs w:val="24"/>
          <w:u w:val="single"/>
        </w:rPr>
        <w:t xml:space="preserve">consideration of </w:t>
      </w:r>
      <w:r w:rsidRPr="00B61FF1">
        <w:rPr>
          <w:rFonts w:ascii="Arial" w:hAnsi="Arial" w:cs="Arial"/>
          <w:sz w:val="24"/>
          <w:szCs w:val="24"/>
          <w:u w:val="single"/>
        </w:rPr>
        <w:t>the quantitative usage limit set forth in section 95854;</w:t>
      </w:r>
    </w:p>
    <w:p w14:paraId="338A791A" w14:textId="77777777"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Allowances specified in section 95820(a) and 95821(a) with earlier vintage allowances retired first;</w:t>
      </w:r>
    </w:p>
    <w:p w14:paraId="6254A453" w14:textId="2A09D439"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00D472A2" w:rsidRPr="00B61FF1">
        <w:rPr>
          <w:rFonts w:ascii="Arial" w:hAnsi="Arial" w:cs="Arial"/>
          <w:sz w:val="24"/>
          <w:szCs w:val="24"/>
          <w:u w:val="single"/>
        </w:rPr>
        <w:t>The current calendar year’s vintage allowances and allowances allocated just before the annual surrender deadline</w:t>
      </w:r>
      <w:r w:rsidR="00D472A2" w:rsidRPr="00B61FF1">
        <w:rPr>
          <w:rFonts w:ascii="Arial" w:hAnsi="Arial" w:cs="Arial"/>
          <w:i/>
          <w:sz w:val="24"/>
          <w:szCs w:val="24"/>
          <w:u w:val="single"/>
        </w:rPr>
        <w:t xml:space="preserve"> </w:t>
      </w:r>
      <w:r w:rsidR="00D472A2" w:rsidRPr="00B61FF1">
        <w:rPr>
          <w:rFonts w:ascii="Arial" w:hAnsi="Arial" w:cs="Arial"/>
          <w:sz w:val="24"/>
          <w:szCs w:val="24"/>
          <w:u w:val="single"/>
        </w:rPr>
        <w:t>up to the True-up allowance amount as determined in section</w:t>
      </w:r>
      <w:r w:rsidR="00BC06E0" w:rsidRPr="00B61FF1">
        <w:rPr>
          <w:rFonts w:ascii="Arial" w:hAnsi="Arial" w:cs="Arial"/>
          <w:sz w:val="24"/>
          <w:szCs w:val="24"/>
          <w:u w:val="single"/>
        </w:rPr>
        <w:t>s</w:t>
      </w:r>
      <w:r w:rsidR="00D472A2" w:rsidRPr="00B61FF1">
        <w:rPr>
          <w:rFonts w:ascii="Arial" w:hAnsi="Arial" w:cs="Arial"/>
          <w:sz w:val="24"/>
          <w:szCs w:val="24"/>
          <w:u w:val="single"/>
        </w:rPr>
        <w:t xml:space="preserve"> 95891(b)</w:t>
      </w:r>
      <w:r w:rsidR="00BC06E0" w:rsidRPr="00B61FF1">
        <w:rPr>
          <w:rFonts w:ascii="Arial" w:hAnsi="Arial" w:cs="Arial"/>
          <w:sz w:val="24"/>
          <w:szCs w:val="24"/>
          <w:u w:val="single"/>
        </w:rPr>
        <w:t>, 95891(c)(3)(B), 95891(d)(1)(B), 95891(d)(2)(B), or 95891(e)(1)</w:t>
      </w:r>
      <w:r w:rsidR="00D472A2" w:rsidRPr="00B61FF1">
        <w:rPr>
          <w:rFonts w:ascii="Arial" w:hAnsi="Arial" w:cs="Arial"/>
          <w:sz w:val="24"/>
          <w:szCs w:val="24"/>
          <w:u w:val="single"/>
        </w:rPr>
        <w:t xml:space="preserve"> if </w:t>
      </w:r>
      <w:r w:rsidR="00D472A2" w:rsidRPr="00B61FF1">
        <w:rPr>
          <w:rFonts w:ascii="Arial" w:hAnsi="Arial" w:cs="Arial"/>
          <w:sz w:val="24"/>
          <w:szCs w:val="24"/>
          <w:u w:val="single"/>
        </w:rPr>
        <w:lastRenderedPageBreak/>
        <w:t>an entity was eligible to receive true up allowances pursuant to</w:t>
      </w:r>
      <w:r w:rsidR="00BC06E0" w:rsidRPr="00B61FF1">
        <w:rPr>
          <w:rFonts w:ascii="Arial" w:hAnsi="Arial" w:cs="Arial"/>
          <w:sz w:val="24"/>
          <w:szCs w:val="24"/>
          <w:u w:val="single"/>
        </w:rPr>
        <w:t xml:space="preserve"> sections 95891(b), 95891(c)(3)(B), 95891(d)(1)(B), 95891(d)(2)(B), or 95891(e)(1)</w:t>
      </w:r>
      <w:r w:rsidR="00D472A2" w:rsidRPr="00B61FF1">
        <w:rPr>
          <w:rFonts w:ascii="Arial" w:hAnsi="Arial" w:cs="Arial"/>
          <w:sz w:val="24"/>
          <w:szCs w:val="24"/>
          <w:u w:val="single"/>
        </w:rPr>
        <w:t>; and</w:t>
      </w:r>
    </w:p>
    <w:p w14:paraId="6430E1BC" w14:textId="77777777"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Allowances purchased from the Allowance Price</w:t>
      </w:r>
      <w:r w:rsidR="003832CE" w:rsidRPr="00B61FF1">
        <w:rPr>
          <w:rFonts w:ascii="Arial" w:hAnsi="Arial" w:cs="Arial"/>
          <w:sz w:val="24"/>
          <w:szCs w:val="24"/>
          <w:u w:val="single"/>
        </w:rPr>
        <w:t xml:space="preserve"> Containment Reserve</w:t>
      </w:r>
      <w:r w:rsidRPr="00B61FF1">
        <w:rPr>
          <w:rFonts w:ascii="Arial" w:hAnsi="Arial" w:cs="Arial"/>
          <w:sz w:val="24"/>
          <w:szCs w:val="24"/>
          <w:u w:val="single"/>
        </w:rPr>
        <w:t>.</w:t>
      </w:r>
    </w:p>
    <w:p w14:paraId="4250E47B" w14:textId="7B4570D5" w:rsidR="00257B4F" w:rsidRPr="00B61FF1" w:rsidRDefault="00257B4F" w:rsidP="00257B4F">
      <w:pPr>
        <w:autoSpaceDE/>
        <w:autoSpaceDN/>
        <w:adjustRightInd/>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When a covered entity or opt-in covered entity surrender</w:t>
      </w:r>
      <w:r w:rsidR="00476DCF" w:rsidRPr="00B61FF1">
        <w:rPr>
          <w:rFonts w:ascii="Arial" w:hAnsi="Arial" w:cs="Arial"/>
          <w:sz w:val="24"/>
          <w:szCs w:val="24"/>
          <w:u w:val="single"/>
        </w:rPr>
        <w:t>s</w:t>
      </w:r>
      <w:r w:rsidRPr="00B61FF1">
        <w:rPr>
          <w:rFonts w:ascii="Arial" w:hAnsi="Arial" w:cs="Arial"/>
          <w:sz w:val="24"/>
          <w:szCs w:val="24"/>
          <w:u w:val="single"/>
        </w:rPr>
        <w:t xml:space="preserve"> compliance instruments to meet its triennial compliance obligation</w:t>
      </w:r>
      <w:r w:rsidR="00476DCF" w:rsidRPr="00B61FF1">
        <w:rPr>
          <w:rFonts w:ascii="Arial" w:hAnsi="Arial" w:cs="Arial"/>
          <w:sz w:val="24"/>
          <w:szCs w:val="24"/>
          <w:u w:val="single"/>
        </w:rPr>
        <w:t xml:space="preserve"> pursuant to section 95856(f)</w:t>
      </w:r>
      <w:r w:rsidRPr="00B61FF1">
        <w:rPr>
          <w:rFonts w:ascii="Arial" w:hAnsi="Arial" w:cs="Arial"/>
          <w:sz w:val="24"/>
          <w:szCs w:val="24"/>
          <w:u w:val="single"/>
        </w:rPr>
        <w:t>, the Executive Officer will retire them</w:t>
      </w:r>
      <w:r w:rsidR="00476DCF" w:rsidRPr="00B61FF1">
        <w:rPr>
          <w:rFonts w:ascii="Arial" w:hAnsi="Arial" w:cs="Arial"/>
          <w:sz w:val="24"/>
          <w:szCs w:val="24"/>
          <w:u w:val="single"/>
        </w:rPr>
        <w:t xml:space="preserve"> from the Compliance Account</w:t>
      </w:r>
      <w:r w:rsidRPr="00B61FF1">
        <w:rPr>
          <w:rFonts w:ascii="Arial" w:hAnsi="Arial" w:cs="Arial"/>
          <w:sz w:val="24"/>
          <w:szCs w:val="24"/>
          <w:u w:val="single"/>
        </w:rPr>
        <w:t xml:space="preserve"> in the following order:</w:t>
      </w:r>
    </w:p>
    <w:p w14:paraId="345A0DD6" w14:textId="77777777"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Offset credits specified in section 95820(b) and sections 95821(b) through (d) with oldest credits retired first and subject to the quantitative usage limit set forth in section 95854:</w:t>
      </w:r>
    </w:p>
    <w:p w14:paraId="68014382" w14:textId="4D4DA88D" w:rsidR="00476DCF" w:rsidRPr="00B61FF1" w:rsidRDefault="00257B4F" w:rsidP="00257B4F">
      <w:pPr>
        <w:autoSpaceDE/>
        <w:autoSpaceDN/>
        <w:adjustRightInd/>
        <w:spacing w:line="360" w:lineRule="auto"/>
        <w:ind w:left="216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 xml:space="preserve">If offset credits were used to meet annual compliance obligations in the compliance period and exceed the quantitative usage limit set forth in section 95854, then the quantity of offset credits eligible to fulfill the entity’s compliance obligations will be limited to the quantitative usage limit and the oldest offset </w:t>
      </w:r>
      <w:r w:rsidR="00476DCF" w:rsidRPr="00B61FF1">
        <w:rPr>
          <w:rFonts w:ascii="Arial" w:hAnsi="Arial" w:cs="Arial"/>
          <w:sz w:val="24"/>
          <w:szCs w:val="24"/>
          <w:u w:val="single"/>
        </w:rPr>
        <w:t xml:space="preserve">credits will be retired first; </w:t>
      </w:r>
    </w:p>
    <w:p w14:paraId="7DD1ABB2" w14:textId="48BE4DD7" w:rsidR="00257B4F" w:rsidRPr="00B61FF1" w:rsidRDefault="00476DCF" w:rsidP="00257B4F">
      <w:pPr>
        <w:autoSpaceDE/>
        <w:autoSpaceDN/>
        <w:adjustRightInd/>
        <w:spacing w:line="360" w:lineRule="auto"/>
        <w:ind w:left="216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 xml:space="preserve"> </w:t>
      </w:r>
      <w:r w:rsidRPr="00B61FF1">
        <w:rPr>
          <w:rFonts w:ascii="Arial" w:hAnsi="Arial" w:cs="Arial"/>
          <w:sz w:val="24"/>
          <w:szCs w:val="24"/>
        </w:rPr>
        <w:tab/>
      </w:r>
      <w:r w:rsidR="00257B4F" w:rsidRPr="00B61FF1">
        <w:rPr>
          <w:rFonts w:ascii="Arial" w:hAnsi="Arial" w:cs="Arial"/>
          <w:sz w:val="24"/>
          <w:szCs w:val="24"/>
          <w:u w:val="single"/>
        </w:rPr>
        <w:t>Offset credits</w:t>
      </w:r>
      <w:r w:rsidRPr="00B61FF1">
        <w:rPr>
          <w:rFonts w:ascii="Arial" w:hAnsi="Arial" w:cs="Arial"/>
          <w:sz w:val="24"/>
          <w:szCs w:val="24"/>
          <w:u w:val="single"/>
        </w:rPr>
        <w:t xml:space="preserve"> retired</w:t>
      </w:r>
      <w:r w:rsidR="00257B4F" w:rsidRPr="00B61FF1">
        <w:rPr>
          <w:rFonts w:ascii="Arial" w:hAnsi="Arial" w:cs="Arial"/>
          <w:sz w:val="24"/>
          <w:szCs w:val="24"/>
          <w:u w:val="single"/>
        </w:rPr>
        <w:t xml:space="preserve"> in excess of the quantitative usage limit will not count toward the </w:t>
      </w:r>
      <w:r w:rsidRPr="00B61FF1">
        <w:rPr>
          <w:rFonts w:ascii="Arial" w:hAnsi="Arial" w:cs="Arial"/>
          <w:sz w:val="24"/>
          <w:szCs w:val="24"/>
          <w:u w:val="single"/>
        </w:rPr>
        <w:t>triennial compliance obligation</w:t>
      </w:r>
      <w:r w:rsidR="00B177E5" w:rsidRPr="00B61FF1">
        <w:rPr>
          <w:rFonts w:ascii="Arial" w:hAnsi="Arial" w:cs="Arial"/>
          <w:sz w:val="24"/>
          <w:szCs w:val="24"/>
          <w:u w:val="single"/>
        </w:rPr>
        <w:t>;</w:t>
      </w:r>
    </w:p>
    <w:p w14:paraId="6FB4CD83" w14:textId="7330548D" w:rsidR="00257B4F" w:rsidRPr="00B61FF1" w:rsidRDefault="00476DCF" w:rsidP="00257B4F">
      <w:pPr>
        <w:autoSpaceDE/>
        <w:autoSpaceDN/>
        <w:adjustRightInd/>
        <w:spacing w:line="360" w:lineRule="auto"/>
        <w:ind w:left="2160" w:hanging="720"/>
        <w:rPr>
          <w:rFonts w:ascii="Arial" w:hAnsi="Arial" w:cs="Arial"/>
          <w:sz w:val="24"/>
          <w:szCs w:val="24"/>
          <w:u w:val="single"/>
        </w:rPr>
      </w:pPr>
      <w:r w:rsidRPr="00B61FF1">
        <w:rPr>
          <w:rFonts w:ascii="Arial" w:hAnsi="Arial" w:cs="Arial"/>
          <w:sz w:val="24"/>
          <w:szCs w:val="24"/>
          <w:u w:val="single"/>
        </w:rPr>
        <w:t>(3</w:t>
      </w:r>
      <w:r w:rsidR="00257B4F" w:rsidRPr="00B61FF1">
        <w:rPr>
          <w:rFonts w:ascii="Arial" w:hAnsi="Arial" w:cs="Arial"/>
          <w:sz w:val="24"/>
          <w:szCs w:val="24"/>
          <w:u w:val="single"/>
        </w:rPr>
        <w:t>)</w:t>
      </w:r>
      <w:r w:rsidR="00257B4F" w:rsidRPr="00B61FF1">
        <w:rPr>
          <w:rFonts w:ascii="Arial" w:hAnsi="Arial" w:cs="Arial"/>
          <w:sz w:val="24"/>
          <w:szCs w:val="24"/>
        </w:rPr>
        <w:tab/>
      </w:r>
      <w:r w:rsidR="00257B4F" w:rsidRPr="00B61FF1">
        <w:rPr>
          <w:rFonts w:ascii="Arial" w:hAnsi="Arial" w:cs="Arial"/>
          <w:sz w:val="24"/>
          <w:szCs w:val="24"/>
          <w:u w:val="single"/>
        </w:rPr>
        <w:t>If offset credits were not used to meet annual compliance obligations in the compliance period or were used to meet annual compliance obligations in the compliance period but did not exceed the quantitative usage limit set forth in section 95854, then the oldest credits will be retired first</w:t>
      </w:r>
      <w:r w:rsidRPr="00B61FF1">
        <w:rPr>
          <w:rFonts w:ascii="Arial" w:hAnsi="Arial" w:cs="Arial"/>
          <w:sz w:val="24"/>
          <w:szCs w:val="24"/>
          <w:u w:val="single"/>
        </w:rPr>
        <w:t xml:space="preserve"> up to the quantitative offset usage limit</w:t>
      </w:r>
      <w:r w:rsidR="00257B4F" w:rsidRPr="00B61FF1">
        <w:rPr>
          <w:rFonts w:ascii="Arial" w:hAnsi="Arial" w:cs="Arial"/>
          <w:sz w:val="24"/>
          <w:szCs w:val="24"/>
          <w:u w:val="single"/>
        </w:rPr>
        <w:t>;</w:t>
      </w:r>
    </w:p>
    <w:p w14:paraId="063D128E" w14:textId="77777777"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Allowances specified in section 95820(a) and 95821(a) with earlier vintage allowances retired first;</w:t>
      </w:r>
    </w:p>
    <w:p w14:paraId="6FFD7DB7" w14:textId="1A1966BA"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00D472A2" w:rsidRPr="00B61FF1">
        <w:rPr>
          <w:rFonts w:ascii="Arial" w:hAnsi="Arial" w:cs="Arial"/>
          <w:sz w:val="24"/>
          <w:szCs w:val="24"/>
          <w:u w:val="single"/>
        </w:rPr>
        <w:t>The current calendar year’s vintage allowances and allowances allocated just before the triennial surrender deadline up to the true-up allowance amount as determined in section 95891(b),</w:t>
      </w:r>
      <w:r w:rsidR="00B60AEB" w:rsidRPr="00B61FF1">
        <w:rPr>
          <w:rFonts w:ascii="Arial" w:hAnsi="Arial" w:cs="Arial"/>
          <w:sz w:val="24"/>
          <w:szCs w:val="24"/>
          <w:u w:val="single"/>
        </w:rPr>
        <w:t xml:space="preserve"> </w:t>
      </w:r>
      <w:r w:rsidR="00B60AEB" w:rsidRPr="00B61FF1">
        <w:rPr>
          <w:rFonts w:ascii="Arial" w:hAnsi="Arial" w:cs="Arial"/>
          <w:sz w:val="24"/>
          <w:szCs w:val="24"/>
          <w:u w:val="single"/>
        </w:rPr>
        <w:lastRenderedPageBreak/>
        <w:t xml:space="preserve">95891(c)(3)(B), 95891(d)(1)(B), 95891(d)(2)(B), or 95891(e)(1) </w:t>
      </w:r>
      <w:r w:rsidR="00D472A2" w:rsidRPr="00B61FF1">
        <w:rPr>
          <w:rFonts w:ascii="Arial" w:hAnsi="Arial" w:cs="Arial"/>
          <w:sz w:val="24"/>
          <w:szCs w:val="24"/>
          <w:u w:val="single"/>
        </w:rPr>
        <w:t xml:space="preserve"> if an entity was eligible to receive true up allowances pursuant to section 95891(b)</w:t>
      </w:r>
      <w:r w:rsidR="00B60AEB" w:rsidRPr="00B61FF1">
        <w:rPr>
          <w:rFonts w:ascii="Arial" w:hAnsi="Arial" w:cs="Arial"/>
          <w:sz w:val="24"/>
          <w:szCs w:val="24"/>
          <w:u w:val="single"/>
        </w:rPr>
        <w:t>, 95891(c)(3)(B), 95891(d)(1)(B), 95891(d)(2)(B), or 95891(e)(1)</w:t>
      </w:r>
      <w:r w:rsidR="00D472A2" w:rsidRPr="00B61FF1">
        <w:rPr>
          <w:rFonts w:ascii="Arial" w:hAnsi="Arial" w:cs="Arial"/>
          <w:sz w:val="24"/>
          <w:szCs w:val="24"/>
          <w:u w:val="single"/>
        </w:rPr>
        <w:t>; and</w:t>
      </w:r>
    </w:p>
    <w:p w14:paraId="6ACCD528" w14:textId="77777777" w:rsidR="00257B4F" w:rsidRPr="00B61FF1" w:rsidRDefault="00257B4F" w:rsidP="00257B4F">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Allowances purchased from the Allowance Price Containment Reserve.</w:t>
      </w:r>
    </w:p>
    <w:p w14:paraId="4F1A4D27" w14:textId="18B57948" w:rsidR="00102051" w:rsidRPr="00B61FF1" w:rsidRDefault="00102051" w:rsidP="00102051">
      <w:pPr>
        <w:autoSpaceDE/>
        <w:autoSpaceDN/>
        <w:adjustRightInd/>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 xml:space="preserve">An entity </w:t>
      </w:r>
      <w:r w:rsidR="00B177E5" w:rsidRPr="00B61FF1">
        <w:rPr>
          <w:rFonts w:ascii="Arial" w:hAnsi="Arial" w:cs="Arial"/>
          <w:sz w:val="24"/>
          <w:szCs w:val="24"/>
          <w:u w:val="single"/>
        </w:rPr>
        <w:t xml:space="preserve">that is </w:t>
      </w:r>
      <w:r w:rsidRPr="00B61FF1">
        <w:rPr>
          <w:rFonts w:ascii="Arial" w:hAnsi="Arial" w:cs="Arial"/>
          <w:sz w:val="24"/>
          <w:szCs w:val="24"/>
          <w:u w:val="single"/>
        </w:rPr>
        <w:t>not eligible to receive true up allowances pursuant to section 95891(b)</w:t>
      </w:r>
      <w:r w:rsidR="00B60AEB" w:rsidRPr="00B61FF1">
        <w:rPr>
          <w:rFonts w:ascii="Arial" w:hAnsi="Arial" w:cs="Arial"/>
          <w:sz w:val="24"/>
          <w:szCs w:val="24"/>
          <w:u w:val="single"/>
        </w:rPr>
        <w:t>, 95891(c)(3)(B), 95891(d)(1)(B), 95891(d)(2)(B), or 95891(e)(1)</w:t>
      </w:r>
      <w:r w:rsidRPr="00B61FF1">
        <w:rPr>
          <w:rFonts w:ascii="Arial" w:hAnsi="Arial" w:cs="Arial"/>
          <w:sz w:val="24"/>
          <w:szCs w:val="24"/>
          <w:u w:val="single"/>
        </w:rPr>
        <w:t>, cannot use the current calendar year’</w:t>
      </w:r>
      <w:r w:rsidR="00A367BF" w:rsidRPr="00B61FF1">
        <w:rPr>
          <w:rFonts w:ascii="Arial" w:hAnsi="Arial" w:cs="Arial"/>
          <w:sz w:val="24"/>
          <w:szCs w:val="24"/>
          <w:u w:val="single"/>
        </w:rPr>
        <w:t xml:space="preserve">s vintage </w:t>
      </w:r>
      <w:r w:rsidR="00B60AEB" w:rsidRPr="00B61FF1">
        <w:rPr>
          <w:rFonts w:ascii="Arial" w:hAnsi="Arial" w:cs="Arial"/>
          <w:sz w:val="24"/>
          <w:szCs w:val="24"/>
          <w:u w:val="single"/>
        </w:rPr>
        <w:t>allowances or allowances allocated just before the current surrender deadline</w:t>
      </w:r>
      <w:r w:rsidR="00A367BF" w:rsidRPr="00B61FF1">
        <w:rPr>
          <w:rFonts w:ascii="Arial" w:hAnsi="Arial" w:cs="Arial"/>
          <w:sz w:val="24"/>
          <w:szCs w:val="24"/>
          <w:u w:val="single"/>
        </w:rPr>
        <w:t xml:space="preserve"> to meet the timely surrender of compliance instrument requirements in section 95856.</w:t>
      </w:r>
    </w:p>
    <w:p w14:paraId="3F0EA11E" w14:textId="68F5AB27" w:rsidR="00A367BF" w:rsidRPr="00B61FF1" w:rsidRDefault="00A367BF" w:rsidP="00102051">
      <w:pPr>
        <w:autoSpaceDE/>
        <w:autoSpaceDN/>
        <w:adjustRightInd/>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00C44861" w:rsidRPr="00B61FF1">
        <w:rPr>
          <w:rFonts w:ascii="Arial" w:hAnsi="Arial" w:cs="Arial"/>
          <w:sz w:val="24"/>
          <w:szCs w:val="24"/>
          <w:u w:val="single"/>
        </w:rPr>
        <w:t xml:space="preserve">If an entity used </w:t>
      </w:r>
      <w:r w:rsidR="00B3112E" w:rsidRPr="00B61FF1">
        <w:rPr>
          <w:rFonts w:ascii="Arial" w:hAnsi="Arial" w:cs="Arial"/>
          <w:sz w:val="24"/>
          <w:szCs w:val="24"/>
          <w:u w:val="single"/>
        </w:rPr>
        <w:t xml:space="preserve">any </w:t>
      </w:r>
      <w:r w:rsidR="00C44861" w:rsidRPr="00B61FF1">
        <w:rPr>
          <w:rFonts w:ascii="Arial" w:hAnsi="Arial" w:cs="Arial"/>
          <w:sz w:val="24"/>
          <w:szCs w:val="24"/>
          <w:u w:val="single"/>
        </w:rPr>
        <w:t xml:space="preserve">offsets to meet </w:t>
      </w:r>
      <w:r w:rsidR="00E97FFB" w:rsidRPr="00B61FF1">
        <w:rPr>
          <w:rFonts w:ascii="Arial" w:hAnsi="Arial" w:cs="Arial"/>
          <w:sz w:val="24"/>
          <w:szCs w:val="24"/>
          <w:u w:val="single"/>
        </w:rPr>
        <w:t>its</w:t>
      </w:r>
      <w:r w:rsidR="00C44861" w:rsidRPr="00B61FF1">
        <w:rPr>
          <w:rFonts w:ascii="Arial" w:hAnsi="Arial" w:cs="Arial"/>
          <w:sz w:val="24"/>
          <w:szCs w:val="24"/>
          <w:u w:val="single"/>
        </w:rPr>
        <w:t xml:space="preserve"> annual timely surrender pursuant to section 95856(d) and the cumulative offsets retired by the Executive Officer exceed the quantitative usage limit pursuant to section 95854 at the</w:t>
      </w:r>
      <w:r w:rsidR="00B3112E" w:rsidRPr="00B61FF1">
        <w:rPr>
          <w:rFonts w:ascii="Arial" w:hAnsi="Arial" w:cs="Arial"/>
          <w:sz w:val="24"/>
          <w:szCs w:val="24"/>
          <w:u w:val="single"/>
        </w:rPr>
        <w:t xml:space="preserve"> time of the</w:t>
      </w:r>
      <w:r w:rsidR="00C44861" w:rsidRPr="00B61FF1">
        <w:rPr>
          <w:rFonts w:ascii="Arial" w:hAnsi="Arial" w:cs="Arial"/>
          <w:sz w:val="24"/>
          <w:szCs w:val="24"/>
          <w:u w:val="single"/>
        </w:rPr>
        <w:t xml:space="preserve"> triennial timely surrender pursuant to section 95856(f), the offsets already retired will remain in </w:t>
      </w:r>
      <w:r w:rsidR="00B3112E" w:rsidRPr="00B61FF1">
        <w:rPr>
          <w:rFonts w:ascii="Arial" w:hAnsi="Arial" w:cs="Arial"/>
          <w:sz w:val="24"/>
          <w:szCs w:val="24"/>
          <w:u w:val="single"/>
        </w:rPr>
        <w:t>the Retirement Account</w:t>
      </w:r>
      <w:r w:rsidR="00C44861" w:rsidRPr="00B61FF1">
        <w:rPr>
          <w:rFonts w:ascii="Arial" w:hAnsi="Arial" w:cs="Arial"/>
          <w:sz w:val="24"/>
          <w:szCs w:val="24"/>
          <w:u w:val="single"/>
        </w:rPr>
        <w:t xml:space="preserve"> and the entity must ensure they </w:t>
      </w:r>
      <w:r w:rsidR="00B177E5" w:rsidRPr="00B61FF1">
        <w:rPr>
          <w:rFonts w:ascii="Arial" w:hAnsi="Arial" w:cs="Arial"/>
          <w:sz w:val="24"/>
          <w:szCs w:val="24"/>
          <w:u w:val="single"/>
        </w:rPr>
        <w:t>it has sufficient</w:t>
      </w:r>
      <w:r w:rsidR="00C44861" w:rsidRPr="00B61FF1">
        <w:rPr>
          <w:rFonts w:ascii="Arial" w:hAnsi="Arial" w:cs="Arial"/>
          <w:sz w:val="24"/>
          <w:szCs w:val="24"/>
          <w:u w:val="single"/>
        </w:rPr>
        <w:t xml:space="preserve"> compliance instruments other than offsets to meet </w:t>
      </w:r>
      <w:r w:rsidR="00B177E5" w:rsidRPr="00B61FF1">
        <w:rPr>
          <w:rFonts w:ascii="Arial" w:hAnsi="Arial" w:cs="Arial"/>
          <w:sz w:val="24"/>
          <w:szCs w:val="24"/>
          <w:u w:val="single"/>
        </w:rPr>
        <w:t>its</w:t>
      </w:r>
      <w:r w:rsidR="00C44861" w:rsidRPr="00B61FF1">
        <w:rPr>
          <w:rFonts w:ascii="Arial" w:hAnsi="Arial" w:cs="Arial"/>
          <w:sz w:val="24"/>
          <w:szCs w:val="24"/>
          <w:u w:val="single"/>
        </w:rPr>
        <w:t xml:space="preserve"> triennial timely surrender pursuant </w:t>
      </w:r>
      <w:r w:rsidR="00B177E5" w:rsidRPr="00B61FF1">
        <w:rPr>
          <w:rFonts w:ascii="Arial" w:hAnsi="Arial" w:cs="Arial"/>
          <w:sz w:val="24"/>
          <w:szCs w:val="24"/>
          <w:u w:val="single"/>
        </w:rPr>
        <w:t xml:space="preserve">to </w:t>
      </w:r>
      <w:r w:rsidR="00B3112E" w:rsidRPr="00B61FF1">
        <w:rPr>
          <w:rFonts w:ascii="Arial" w:hAnsi="Arial" w:cs="Arial"/>
          <w:sz w:val="24"/>
          <w:szCs w:val="24"/>
          <w:u w:val="single"/>
        </w:rPr>
        <w:t>section 95856(e).</w:t>
      </w:r>
    </w:p>
    <w:p w14:paraId="2F47CE79" w14:textId="77777777" w:rsidR="00FE6B15" w:rsidRPr="00B61FF1" w:rsidRDefault="00FE6B15" w:rsidP="004E3B67">
      <w:pPr>
        <w:spacing w:line="360" w:lineRule="auto"/>
        <w:rPr>
          <w:rFonts w:ascii="Arial" w:hAnsi="Arial" w:cs="Arial"/>
          <w:sz w:val="24"/>
          <w:szCs w:val="24"/>
        </w:rPr>
      </w:pPr>
    </w:p>
    <w:p w14:paraId="70C8B1E0"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5E5CC7DF"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286CACA0" w14:textId="77777777" w:rsidR="00BD1FA4" w:rsidRPr="00B61FF1" w:rsidRDefault="00BD1FA4" w:rsidP="00EC7AFC">
      <w:pPr>
        <w:rPr>
          <w:rFonts w:ascii="Arial" w:hAnsi="Arial" w:cs="Arial"/>
        </w:rPr>
      </w:pPr>
    </w:p>
    <w:p w14:paraId="6C273E34" w14:textId="77777777" w:rsidR="00FE6B15" w:rsidRPr="00B61FF1" w:rsidRDefault="00FE6B15" w:rsidP="004E3B67">
      <w:pPr>
        <w:pStyle w:val="Heading2"/>
        <w:keepNext w:val="0"/>
        <w:rPr>
          <w:i/>
          <w:szCs w:val="24"/>
        </w:rPr>
      </w:pPr>
      <w:bookmarkStart w:id="246" w:name="_Toc299094939"/>
      <w:bookmarkStart w:id="247" w:name="_Toc302746792"/>
      <w:bookmarkStart w:id="248" w:name="_Toc352146253"/>
      <w:bookmarkStart w:id="249" w:name="_Toc361659854"/>
      <w:r w:rsidRPr="00B61FF1">
        <w:rPr>
          <w:szCs w:val="24"/>
        </w:rPr>
        <w:t>§ 95857.  Untimely Surrender of Compliance Instruments by a Covered Entity</w:t>
      </w:r>
      <w:r w:rsidR="00C65F42" w:rsidRPr="00B61FF1">
        <w:rPr>
          <w:szCs w:val="24"/>
        </w:rPr>
        <w:t>.</w:t>
      </w:r>
      <w:bookmarkEnd w:id="246"/>
      <w:bookmarkEnd w:id="247"/>
      <w:bookmarkEnd w:id="248"/>
      <w:bookmarkEnd w:id="249"/>
    </w:p>
    <w:p w14:paraId="388A470E" w14:textId="77777777" w:rsidR="00FE6B15" w:rsidRPr="00B61FF1" w:rsidRDefault="00E55DED" w:rsidP="00E55DED">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Applicability.</w:t>
      </w:r>
    </w:p>
    <w:p w14:paraId="2BD4A8CC" w14:textId="77777777" w:rsidR="00FE6B15" w:rsidRPr="00B61FF1" w:rsidRDefault="00E55DED" w:rsidP="00E55DED">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A covered entity or opt-in covered entity that does not meet the compliance deadline for </w:t>
      </w:r>
      <w:r w:rsidR="002E005F" w:rsidRPr="00B61FF1">
        <w:rPr>
          <w:rFonts w:ascii="Arial" w:hAnsi="Arial" w:cs="Arial"/>
          <w:sz w:val="24"/>
          <w:szCs w:val="24"/>
        </w:rPr>
        <w:t xml:space="preserve">surrendering its </w:t>
      </w:r>
      <w:r w:rsidR="00FE6B15" w:rsidRPr="00B61FF1">
        <w:rPr>
          <w:rFonts w:ascii="Arial" w:hAnsi="Arial" w:cs="Arial"/>
          <w:sz w:val="24"/>
          <w:szCs w:val="24"/>
        </w:rPr>
        <w:t>annual or triennial compliance</w:t>
      </w:r>
      <w:r w:rsidR="002E005F" w:rsidRPr="00B61FF1">
        <w:rPr>
          <w:rFonts w:ascii="Arial" w:hAnsi="Arial" w:cs="Arial"/>
          <w:sz w:val="24"/>
          <w:szCs w:val="24"/>
        </w:rPr>
        <w:t xml:space="preserve"> obligation</w:t>
      </w:r>
      <w:r w:rsidR="00FE6B15" w:rsidRPr="00B61FF1">
        <w:rPr>
          <w:rFonts w:ascii="Arial" w:hAnsi="Arial" w:cs="Arial"/>
          <w:sz w:val="24"/>
          <w:szCs w:val="24"/>
        </w:rPr>
        <w:t xml:space="preserve"> pursuant to </w:t>
      </w:r>
      <w:r w:rsidR="00A920EC" w:rsidRPr="00B61FF1">
        <w:rPr>
          <w:rFonts w:ascii="Arial" w:hAnsi="Arial" w:cs="Arial"/>
          <w:sz w:val="24"/>
          <w:szCs w:val="24"/>
        </w:rPr>
        <w:t xml:space="preserve">section </w:t>
      </w:r>
      <w:r w:rsidR="00FE6B15" w:rsidRPr="00B61FF1">
        <w:rPr>
          <w:rFonts w:ascii="Arial" w:hAnsi="Arial" w:cs="Arial"/>
          <w:sz w:val="24"/>
          <w:szCs w:val="24"/>
        </w:rPr>
        <w:t xml:space="preserve">95856 is subject to the compliance obligation for </w:t>
      </w:r>
      <w:r w:rsidR="002E005F" w:rsidRPr="00B61FF1">
        <w:rPr>
          <w:rFonts w:ascii="Arial" w:hAnsi="Arial" w:cs="Arial"/>
          <w:sz w:val="24"/>
          <w:szCs w:val="24"/>
        </w:rPr>
        <w:t xml:space="preserve">untimely surrender </w:t>
      </w:r>
      <w:r w:rsidR="00FE6B15" w:rsidRPr="00B61FF1">
        <w:rPr>
          <w:rFonts w:ascii="Arial" w:hAnsi="Arial" w:cs="Arial"/>
          <w:sz w:val="24"/>
          <w:szCs w:val="24"/>
        </w:rPr>
        <w:t>as described in this section; and</w:t>
      </w:r>
    </w:p>
    <w:p w14:paraId="185C633E" w14:textId="77777777" w:rsidR="00FE6B15" w:rsidRPr="00B61FF1" w:rsidRDefault="00E55DED" w:rsidP="00E55DED">
      <w:pPr>
        <w:spacing w:line="360" w:lineRule="auto"/>
        <w:ind w:left="1080" w:hanging="720"/>
        <w:rPr>
          <w:rFonts w:ascii="Arial" w:hAnsi="Arial" w:cs="Arial"/>
          <w:sz w:val="24"/>
          <w:szCs w:val="24"/>
        </w:rPr>
      </w:pPr>
      <w:r w:rsidRPr="00B61FF1">
        <w:rPr>
          <w:rFonts w:ascii="Arial" w:hAnsi="Arial" w:cs="Arial"/>
          <w:sz w:val="24"/>
          <w:szCs w:val="24"/>
        </w:rPr>
        <w:lastRenderedPageBreak/>
        <w:t>(2)</w:t>
      </w:r>
      <w:r w:rsidRPr="00B61FF1">
        <w:rPr>
          <w:rFonts w:ascii="Arial" w:hAnsi="Arial" w:cs="Arial"/>
          <w:sz w:val="24"/>
          <w:szCs w:val="24"/>
        </w:rPr>
        <w:tab/>
      </w:r>
      <w:r w:rsidR="00FE6B15" w:rsidRPr="00B61FF1">
        <w:rPr>
          <w:rFonts w:ascii="Arial" w:hAnsi="Arial" w:cs="Arial"/>
          <w:sz w:val="24"/>
          <w:szCs w:val="24"/>
        </w:rPr>
        <w:t xml:space="preserve">The compliance obligation for untimely surrender (“excess emissions”) will not apply to a covered entity or opt-in covered entity which is determined to have transferred insufficient instruments to meet the compliance obligations of </w:t>
      </w:r>
      <w:r w:rsidR="00A920EC" w:rsidRPr="00B61FF1">
        <w:rPr>
          <w:rFonts w:ascii="Arial" w:hAnsi="Arial" w:cs="Arial"/>
          <w:sz w:val="24"/>
          <w:szCs w:val="24"/>
        </w:rPr>
        <w:t xml:space="preserve">section </w:t>
      </w:r>
      <w:r w:rsidR="00FE6B15" w:rsidRPr="00B61FF1">
        <w:rPr>
          <w:rFonts w:ascii="Arial" w:hAnsi="Arial" w:cs="Arial"/>
          <w:sz w:val="24"/>
          <w:szCs w:val="24"/>
        </w:rPr>
        <w:t xml:space="preserve">95856 solely because of the </w:t>
      </w:r>
      <w:r w:rsidR="00A920EC" w:rsidRPr="00B61FF1">
        <w:rPr>
          <w:rFonts w:ascii="Arial" w:hAnsi="Arial" w:cs="Arial"/>
          <w:sz w:val="24"/>
          <w:szCs w:val="24"/>
        </w:rPr>
        <w:t xml:space="preserve">invalidation </w:t>
      </w:r>
      <w:r w:rsidR="00FE6B15" w:rsidRPr="00B61FF1">
        <w:rPr>
          <w:rFonts w:ascii="Arial" w:hAnsi="Arial" w:cs="Arial"/>
          <w:sz w:val="24"/>
          <w:szCs w:val="24"/>
        </w:rPr>
        <w:t xml:space="preserve">of an </w:t>
      </w:r>
      <w:r w:rsidR="00A920EC" w:rsidRPr="00B61FF1">
        <w:rPr>
          <w:rFonts w:ascii="Arial" w:hAnsi="Arial" w:cs="Arial"/>
          <w:sz w:val="24"/>
          <w:szCs w:val="24"/>
        </w:rPr>
        <w:t xml:space="preserve">ARB </w:t>
      </w:r>
      <w:r w:rsidR="00FE6B15" w:rsidRPr="00B61FF1">
        <w:rPr>
          <w:rFonts w:ascii="Arial" w:hAnsi="Arial" w:cs="Arial"/>
          <w:sz w:val="24"/>
          <w:szCs w:val="24"/>
        </w:rPr>
        <w:t>offset credit by the Executive Officer pursuant to section 9598</w:t>
      </w:r>
      <w:r w:rsidR="00A920EC" w:rsidRPr="00B61FF1">
        <w:rPr>
          <w:rFonts w:ascii="Arial" w:hAnsi="Arial" w:cs="Arial"/>
          <w:sz w:val="24"/>
          <w:szCs w:val="24"/>
        </w:rPr>
        <w:t>5</w:t>
      </w:r>
      <w:r w:rsidR="00FE6B15" w:rsidRPr="00B61FF1">
        <w:rPr>
          <w:rFonts w:ascii="Arial" w:hAnsi="Arial" w:cs="Arial"/>
          <w:sz w:val="24"/>
          <w:szCs w:val="24"/>
        </w:rPr>
        <w:t xml:space="preserve"> until </w:t>
      </w:r>
      <w:r w:rsidR="006C2D62" w:rsidRPr="00B61FF1">
        <w:rPr>
          <w:rFonts w:ascii="Arial" w:hAnsi="Arial" w:cs="Arial"/>
          <w:sz w:val="24"/>
          <w:szCs w:val="24"/>
        </w:rPr>
        <w:t>six months</w:t>
      </w:r>
      <w:r w:rsidR="00FE6B15" w:rsidRPr="00B61FF1">
        <w:rPr>
          <w:rFonts w:ascii="Arial" w:hAnsi="Arial" w:cs="Arial"/>
          <w:sz w:val="24"/>
          <w:szCs w:val="24"/>
        </w:rPr>
        <w:t xml:space="preserve"> after notice of </w:t>
      </w:r>
      <w:r w:rsidR="002D3BA2" w:rsidRPr="00B61FF1">
        <w:rPr>
          <w:rFonts w:ascii="Arial" w:hAnsi="Arial" w:cs="Arial"/>
          <w:sz w:val="24"/>
          <w:szCs w:val="24"/>
        </w:rPr>
        <w:t>invalidation</w:t>
      </w:r>
      <w:r w:rsidR="00FE6B15" w:rsidRPr="00B61FF1">
        <w:rPr>
          <w:rFonts w:ascii="Arial" w:hAnsi="Arial" w:cs="Arial"/>
          <w:sz w:val="24"/>
          <w:szCs w:val="24"/>
        </w:rPr>
        <w:t>.</w:t>
      </w:r>
    </w:p>
    <w:p w14:paraId="2B57FFCA" w14:textId="77777777" w:rsidR="00FE6B15" w:rsidRPr="00B61FF1" w:rsidRDefault="00E55DED" w:rsidP="00E55DED">
      <w:pPr>
        <w:spacing w:line="360" w:lineRule="auto"/>
        <w:ind w:left="720" w:hanging="720"/>
        <w:rPr>
          <w:rFonts w:ascii="Arial" w:hAnsi="Arial" w:cs="Arial"/>
          <w:color w:val="000000"/>
          <w:sz w:val="24"/>
          <w:szCs w:val="24"/>
        </w:rPr>
      </w:pPr>
      <w:r w:rsidRPr="00B61FF1">
        <w:rPr>
          <w:rFonts w:ascii="Arial" w:hAnsi="Arial" w:cs="Arial"/>
          <w:color w:val="000000"/>
          <w:sz w:val="24"/>
          <w:szCs w:val="24"/>
        </w:rPr>
        <w:t>(b)</w:t>
      </w:r>
      <w:r w:rsidRPr="00B61FF1">
        <w:rPr>
          <w:rFonts w:ascii="Arial" w:hAnsi="Arial" w:cs="Arial"/>
          <w:color w:val="000000"/>
          <w:sz w:val="24"/>
          <w:szCs w:val="24"/>
        </w:rPr>
        <w:tab/>
      </w:r>
      <w:r w:rsidR="00FE6B15" w:rsidRPr="00B61FF1">
        <w:rPr>
          <w:rFonts w:ascii="Arial" w:hAnsi="Arial" w:cs="Arial"/>
          <w:color w:val="000000"/>
          <w:sz w:val="24"/>
          <w:szCs w:val="24"/>
        </w:rPr>
        <w:t>Calculation of the Untimely Surrender Obligation.</w:t>
      </w:r>
    </w:p>
    <w:p w14:paraId="69FCC00C" w14:textId="77777777" w:rsidR="00FE6B15" w:rsidRPr="00B61FF1" w:rsidRDefault="00E55DED" w:rsidP="00E55DED">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The quantity of excess emissions is the difference between the compliance obligation calculated pursuant to this </w:t>
      </w:r>
      <w:r w:rsidR="002E005F" w:rsidRPr="00B61FF1">
        <w:rPr>
          <w:rFonts w:ascii="Arial" w:hAnsi="Arial" w:cs="Arial"/>
          <w:sz w:val="24"/>
          <w:szCs w:val="24"/>
        </w:rPr>
        <w:t xml:space="preserve">section </w:t>
      </w:r>
      <w:r w:rsidR="00FE6B15" w:rsidRPr="00B61FF1">
        <w:rPr>
          <w:rFonts w:ascii="Arial" w:hAnsi="Arial" w:cs="Arial"/>
          <w:sz w:val="24"/>
          <w:szCs w:val="24"/>
        </w:rPr>
        <w:t>and any compliance instruments timely surrendered by the entity;</w:t>
      </w:r>
    </w:p>
    <w:p w14:paraId="20607A22" w14:textId="77777777" w:rsidR="00FE6B15" w:rsidRPr="00B61FF1" w:rsidRDefault="00E55DED" w:rsidP="00E55DED">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The entity’s compliance obligation for untimely surrender is calculated as four times the entity’s excess emissions; </w:t>
      </w:r>
    </w:p>
    <w:p w14:paraId="303A21CD" w14:textId="77777777" w:rsidR="00FE6B15" w:rsidRPr="00B61FF1" w:rsidRDefault="00E55DED" w:rsidP="00E55DED">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7B2547" w:rsidRPr="00B61FF1">
        <w:rPr>
          <w:rFonts w:ascii="Arial" w:hAnsi="Arial" w:cs="Arial"/>
          <w:sz w:val="24"/>
          <w:szCs w:val="24"/>
        </w:rPr>
        <w:t>At least three-</w:t>
      </w:r>
      <w:r w:rsidR="00127377" w:rsidRPr="00B61FF1">
        <w:rPr>
          <w:rFonts w:ascii="Arial" w:hAnsi="Arial" w:cs="Arial"/>
          <w:sz w:val="24"/>
          <w:szCs w:val="24"/>
        </w:rPr>
        <w:t xml:space="preserve">fourths of an </w:t>
      </w:r>
      <w:r w:rsidR="00FE6B15" w:rsidRPr="00B61FF1">
        <w:rPr>
          <w:rFonts w:ascii="Arial" w:hAnsi="Arial" w:cs="Arial"/>
          <w:sz w:val="24"/>
          <w:szCs w:val="24"/>
        </w:rPr>
        <w:t>entity’s compliance obligation for untimely surrender may only be fulfilled with CA GHG allowances or allowances issued</w:t>
      </w:r>
      <w:r w:rsidR="00A920EC" w:rsidRPr="00B61FF1">
        <w:rPr>
          <w:rFonts w:ascii="Arial" w:hAnsi="Arial" w:cs="Arial"/>
          <w:sz w:val="24"/>
          <w:szCs w:val="24"/>
        </w:rPr>
        <w:t xml:space="preserve"> by a GHG ETS</w:t>
      </w:r>
      <w:r w:rsidR="00FE6B15" w:rsidRPr="00B61FF1">
        <w:rPr>
          <w:rFonts w:ascii="Arial" w:hAnsi="Arial" w:cs="Arial"/>
          <w:sz w:val="24"/>
          <w:szCs w:val="24"/>
        </w:rPr>
        <w:t xml:space="preserve"> pursuant to subarticle 12; </w:t>
      </w:r>
    </w:p>
    <w:p w14:paraId="412F78D5" w14:textId="77777777" w:rsidR="00127377" w:rsidRPr="00B61FF1" w:rsidRDefault="00127377" w:rsidP="00127377">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Up to </w:t>
      </w:r>
      <w:r w:rsidR="007B2547" w:rsidRPr="00B61FF1">
        <w:rPr>
          <w:rFonts w:ascii="Arial" w:hAnsi="Arial" w:cs="Arial"/>
          <w:sz w:val="24"/>
          <w:szCs w:val="24"/>
        </w:rPr>
        <w:t>one-</w:t>
      </w:r>
      <w:r w:rsidRPr="00B61FF1">
        <w:rPr>
          <w:rFonts w:ascii="Arial" w:hAnsi="Arial" w:cs="Arial"/>
          <w:sz w:val="24"/>
          <w:szCs w:val="24"/>
        </w:rPr>
        <w:t>fourth of an entity’s compliance obligation for untimely surrender may be fulfilled with ARB offset credits or compliance instruments listed in sections 95821(b), (c), and (d);</w:t>
      </w:r>
    </w:p>
    <w:p w14:paraId="553B6888" w14:textId="77777777" w:rsidR="00127377" w:rsidRPr="00B61FF1" w:rsidRDefault="00127377" w:rsidP="00127377">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 xml:space="preserve">The quantitative usage limit provided in section 95854 will apply to the compliance instruments listed in section 95857(b)(4) for the compliance period for which the untimely surrender obligation applies; and </w:t>
      </w:r>
    </w:p>
    <w:p w14:paraId="63260B7C" w14:textId="77777777" w:rsidR="0077328C" w:rsidRPr="00B61FF1" w:rsidRDefault="00127377" w:rsidP="00E55DED">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r>
      <w:r w:rsidR="0077328C" w:rsidRPr="00B61FF1">
        <w:rPr>
          <w:rFonts w:ascii="Arial" w:hAnsi="Arial" w:cs="Arial"/>
          <w:sz w:val="24"/>
          <w:szCs w:val="24"/>
        </w:rPr>
        <w:t xml:space="preserve">The untimely surrender obligation </w:t>
      </w:r>
      <w:r w:rsidR="00E74EFE" w:rsidRPr="00B61FF1">
        <w:rPr>
          <w:rFonts w:ascii="Arial" w:hAnsi="Arial" w:cs="Arial"/>
          <w:sz w:val="24"/>
          <w:szCs w:val="24"/>
        </w:rPr>
        <w:t>is due</w:t>
      </w:r>
      <w:r w:rsidR="007977B8" w:rsidRPr="00B61FF1">
        <w:rPr>
          <w:rFonts w:ascii="Arial" w:hAnsi="Arial" w:cs="Arial"/>
          <w:sz w:val="24"/>
          <w:szCs w:val="24"/>
        </w:rPr>
        <w:t xml:space="preserve"> within</w:t>
      </w:r>
      <w:r w:rsidR="0077328C" w:rsidRPr="00B61FF1">
        <w:rPr>
          <w:rFonts w:ascii="Arial" w:hAnsi="Arial" w:cs="Arial"/>
          <w:sz w:val="24"/>
          <w:szCs w:val="24"/>
        </w:rPr>
        <w:t xml:space="preserve"> </w:t>
      </w:r>
      <w:r w:rsidR="00706AB3" w:rsidRPr="00B61FF1">
        <w:rPr>
          <w:rFonts w:ascii="Arial" w:hAnsi="Arial" w:cs="Arial"/>
          <w:sz w:val="24"/>
          <w:szCs w:val="24"/>
        </w:rPr>
        <w:t>five</w:t>
      </w:r>
      <w:r w:rsidR="0077328C" w:rsidRPr="00B61FF1">
        <w:rPr>
          <w:rFonts w:ascii="Arial" w:hAnsi="Arial" w:cs="Arial"/>
          <w:sz w:val="24"/>
          <w:szCs w:val="24"/>
        </w:rPr>
        <w:t xml:space="preserve"> days </w:t>
      </w:r>
      <w:r w:rsidR="007977B8" w:rsidRPr="00B61FF1">
        <w:rPr>
          <w:rFonts w:ascii="Arial" w:hAnsi="Arial" w:cs="Arial"/>
          <w:sz w:val="24"/>
          <w:szCs w:val="24"/>
        </w:rPr>
        <w:t>of the first auction or</w:t>
      </w:r>
      <w:r w:rsidR="0077328C" w:rsidRPr="00B61FF1">
        <w:rPr>
          <w:rFonts w:ascii="Arial" w:hAnsi="Arial" w:cs="Arial"/>
          <w:sz w:val="24"/>
          <w:szCs w:val="24"/>
        </w:rPr>
        <w:t xml:space="preserve"> reserve sale conducted by ARB following the applicable surrender date</w:t>
      </w:r>
      <w:r w:rsidR="002E005F" w:rsidRPr="00B61FF1">
        <w:rPr>
          <w:rFonts w:ascii="Arial" w:hAnsi="Arial" w:cs="Arial"/>
          <w:sz w:val="24"/>
          <w:szCs w:val="24"/>
        </w:rPr>
        <w:t>, whichever is the latter</w:t>
      </w:r>
      <w:r w:rsidR="00706AB3" w:rsidRPr="00B61FF1">
        <w:rPr>
          <w:rFonts w:ascii="Arial" w:hAnsi="Arial" w:cs="Arial"/>
          <w:sz w:val="24"/>
          <w:szCs w:val="24"/>
        </w:rPr>
        <w:t>, and for which the registration deadline has not passed when the untimely surrender obligation is assessed</w:t>
      </w:r>
      <w:r w:rsidR="0077328C" w:rsidRPr="00B61FF1">
        <w:rPr>
          <w:rFonts w:ascii="Arial" w:hAnsi="Arial" w:cs="Arial"/>
          <w:sz w:val="24"/>
          <w:szCs w:val="24"/>
        </w:rPr>
        <w:t>.</w:t>
      </w:r>
    </w:p>
    <w:p w14:paraId="45938B55" w14:textId="77777777" w:rsidR="0077328C" w:rsidRPr="00B61FF1" w:rsidRDefault="00E55DED" w:rsidP="00E55DED">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0A18AE" w:rsidRPr="00B61FF1">
        <w:rPr>
          <w:rFonts w:ascii="Arial" w:hAnsi="Arial" w:cs="Arial"/>
          <w:sz w:val="24"/>
          <w:szCs w:val="24"/>
        </w:rPr>
        <w:t>If an</w:t>
      </w:r>
      <w:r w:rsidR="0077328C" w:rsidRPr="00B61FF1">
        <w:rPr>
          <w:rFonts w:ascii="Arial" w:hAnsi="Arial" w:cs="Arial"/>
          <w:sz w:val="24"/>
          <w:szCs w:val="24"/>
        </w:rPr>
        <w:t xml:space="preserve"> entity with an untimely surrender obligation fails to satisfy </w:t>
      </w:r>
      <w:r w:rsidR="002E005F" w:rsidRPr="00B61FF1">
        <w:rPr>
          <w:rFonts w:ascii="Arial" w:hAnsi="Arial" w:cs="Arial"/>
          <w:sz w:val="24"/>
          <w:szCs w:val="24"/>
        </w:rPr>
        <w:t xml:space="preserve">this </w:t>
      </w:r>
      <w:r w:rsidR="0077328C" w:rsidRPr="00B61FF1">
        <w:rPr>
          <w:rFonts w:ascii="Arial" w:hAnsi="Arial" w:cs="Arial"/>
          <w:sz w:val="24"/>
          <w:szCs w:val="24"/>
        </w:rPr>
        <w:t>obligation pursuant to section 95857(b)</w:t>
      </w:r>
      <w:r w:rsidR="009851FA" w:rsidRPr="00B61FF1">
        <w:rPr>
          <w:rFonts w:ascii="Arial" w:hAnsi="Arial" w:cs="Arial"/>
          <w:sz w:val="24"/>
          <w:szCs w:val="24"/>
        </w:rPr>
        <w:t>(6)</w:t>
      </w:r>
      <w:r w:rsidR="00DE3305" w:rsidRPr="00B61FF1">
        <w:rPr>
          <w:rFonts w:ascii="Arial" w:hAnsi="Arial" w:cs="Arial"/>
          <w:sz w:val="24"/>
          <w:szCs w:val="24"/>
        </w:rPr>
        <w:t xml:space="preserve"> </w:t>
      </w:r>
      <w:r w:rsidR="0077328C" w:rsidRPr="00B61FF1">
        <w:rPr>
          <w:rFonts w:ascii="Arial" w:hAnsi="Arial" w:cs="Arial"/>
          <w:sz w:val="24"/>
          <w:szCs w:val="24"/>
        </w:rPr>
        <w:t>then:</w:t>
      </w:r>
    </w:p>
    <w:p w14:paraId="48551C50" w14:textId="77777777" w:rsidR="002E005F" w:rsidRPr="00B61FF1" w:rsidRDefault="002E005F" w:rsidP="002E005F">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will determine the number of violations pursuant to section 96014;</w:t>
      </w:r>
    </w:p>
    <w:p w14:paraId="042BFA24" w14:textId="77777777" w:rsidR="002E005F" w:rsidRPr="00B61FF1" w:rsidRDefault="002E005F" w:rsidP="002E005F">
      <w:pPr>
        <w:spacing w:line="360" w:lineRule="auto"/>
        <w:ind w:left="1080" w:hanging="720"/>
        <w:rPr>
          <w:rFonts w:ascii="Arial" w:hAnsi="Arial" w:cs="Arial"/>
          <w:sz w:val="24"/>
          <w:szCs w:val="24"/>
        </w:rPr>
      </w:pPr>
      <w:r w:rsidRPr="00B61FF1">
        <w:rPr>
          <w:rFonts w:ascii="Arial" w:hAnsi="Arial" w:cs="Arial"/>
          <w:sz w:val="24"/>
          <w:szCs w:val="24"/>
        </w:rPr>
        <w:lastRenderedPageBreak/>
        <w:t>(2)</w:t>
      </w:r>
      <w:r w:rsidRPr="00B61FF1">
        <w:rPr>
          <w:rFonts w:ascii="Arial" w:hAnsi="Arial" w:cs="Arial"/>
          <w:sz w:val="24"/>
          <w:szCs w:val="24"/>
        </w:rPr>
        <w:tab/>
        <w:t>If a portion of the untimely surrender obligation is not surrendered as required, the entity will have a new untimely surrender obligation equal to the amount of the previous untimely surrender obligation which was not satisfied by the deadline stated in section 95857(b)(</w:t>
      </w:r>
      <w:r w:rsidR="009851FA" w:rsidRPr="00B61FF1">
        <w:rPr>
          <w:rFonts w:ascii="Arial" w:hAnsi="Arial" w:cs="Arial"/>
          <w:sz w:val="24"/>
          <w:szCs w:val="24"/>
        </w:rPr>
        <w:t>6</w:t>
      </w:r>
      <w:r w:rsidRPr="00B61FF1">
        <w:rPr>
          <w:rFonts w:ascii="Arial" w:hAnsi="Arial" w:cs="Arial"/>
          <w:sz w:val="24"/>
          <w:szCs w:val="24"/>
        </w:rPr>
        <w:t xml:space="preserve">) upon which the number of violations will be calculated pursuant to section 96014.  The new untimely surrender obligation is </w:t>
      </w:r>
      <w:r w:rsidR="005B714A" w:rsidRPr="00B61FF1">
        <w:rPr>
          <w:rFonts w:ascii="Arial" w:hAnsi="Arial" w:cs="Arial"/>
          <w:sz w:val="24"/>
          <w:szCs w:val="24"/>
        </w:rPr>
        <w:t xml:space="preserve">due </w:t>
      </w:r>
      <w:r w:rsidRPr="00B61FF1">
        <w:rPr>
          <w:rFonts w:ascii="Arial" w:hAnsi="Arial" w:cs="Arial"/>
          <w:sz w:val="24"/>
          <w:szCs w:val="24"/>
        </w:rPr>
        <w:t>immediately; and</w:t>
      </w:r>
    </w:p>
    <w:p w14:paraId="2627D8B9" w14:textId="77777777" w:rsidR="002E005F" w:rsidRPr="00B61FF1" w:rsidRDefault="002E005F" w:rsidP="002E005F">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calculation of the untimely surrender obligation shall only apply once for each untimely surrender of compliance instruments</w:t>
      </w:r>
      <w:r w:rsidR="005B714A" w:rsidRPr="00B61FF1">
        <w:rPr>
          <w:rFonts w:ascii="Arial" w:hAnsi="Arial" w:cs="Arial"/>
          <w:sz w:val="24"/>
          <w:szCs w:val="24"/>
        </w:rPr>
        <w:t xml:space="preserve"> per</w:t>
      </w:r>
      <w:r w:rsidRPr="00B61FF1">
        <w:rPr>
          <w:rFonts w:ascii="Arial" w:hAnsi="Arial" w:cs="Arial"/>
          <w:sz w:val="24"/>
          <w:szCs w:val="24"/>
        </w:rPr>
        <w:t xml:space="preserve"> annual or triennial compliance obligation</w:t>
      </w:r>
      <w:r w:rsidR="005B714A" w:rsidRPr="00B61FF1">
        <w:rPr>
          <w:rFonts w:ascii="Arial" w:hAnsi="Arial" w:cs="Arial"/>
          <w:sz w:val="24"/>
          <w:szCs w:val="24"/>
        </w:rPr>
        <w:t>.</w:t>
      </w:r>
    </w:p>
    <w:p w14:paraId="61B1FA09" w14:textId="77777777" w:rsidR="00FE6B15" w:rsidRPr="00B61FF1" w:rsidRDefault="00E55DED" w:rsidP="00E55DED">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r>
      <w:r w:rsidR="00FE6B15" w:rsidRPr="00B61FF1">
        <w:rPr>
          <w:rFonts w:ascii="Arial" w:hAnsi="Arial" w:cs="Arial"/>
          <w:sz w:val="24"/>
          <w:szCs w:val="24"/>
        </w:rPr>
        <w:t xml:space="preserve">When the covered entity or opt-in covered entity meets its </w:t>
      </w:r>
      <w:r w:rsidR="005B714A" w:rsidRPr="00B61FF1">
        <w:rPr>
          <w:rFonts w:ascii="Arial" w:hAnsi="Arial" w:cs="Arial"/>
          <w:sz w:val="24"/>
          <w:szCs w:val="24"/>
        </w:rPr>
        <w:t xml:space="preserve">untimely surrender </w:t>
      </w:r>
      <w:r w:rsidR="007C2F50" w:rsidRPr="00B61FF1">
        <w:rPr>
          <w:rFonts w:ascii="Arial" w:hAnsi="Arial" w:cs="Arial"/>
          <w:sz w:val="24"/>
          <w:szCs w:val="24"/>
        </w:rPr>
        <w:t xml:space="preserve">obligations pursuant to </w:t>
      </w:r>
      <w:r w:rsidR="00FE6B15" w:rsidRPr="00B61FF1">
        <w:rPr>
          <w:rFonts w:ascii="Arial" w:hAnsi="Arial" w:cs="Arial"/>
          <w:sz w:val="24"/>
          <w:szCs w:val="24"/>
        </w:rPr>
        <w:t>section</w:t>
      </w:r>
      <w:r w:rsidR="005B714A" w:rsidRPr="00B61FF1">
        <w:rPr>
          <w:rFonts w:ascii="Arial" w:hAnsi="Arial" w:cs="Arial"/>
          <w:sz w:val="24"/>
          <w:szCs w:val="24"/>
        </w:rPr>
        <w:t>s</w:t>
      </w:r>
      <w:r w:rsidR="00FE6B15" w:rsidRPr="00B61FF1">
        <w:rPr>
          <w:rFonts w:ascii="Arial" w:hAnsi="Arial" w:cs="Arial"/>
          <w:sz w:val="24"/>
          <w:szCs w:val="24"/>
        </w:rPr>
        <w:t xml:space="preserve"> </w:t>
      </w:r>
      <w:r w:rsidR="007977B8" w:rsidRPr="00B61FF1">
        <w:rPr>
          <w:rFonts w:ascii="Arial" w:hAnsi="Arial" w:cs="Arial"/>
          <w:sz w:val="24"/>
          <w:szCs w:val="24"/>
        </w:rPr>
        <w:t>95857</w:t>
      </w:r>
      <w:r w:rsidR="00FE6B15" w:rsidRPr="00B61FF1">
        <w:rPr>
          <w:rFonts w:ascii="Arial" w:hAnsi="Arial" w:cs="Arial"/>
          <w:sz w:val="24"/>
          <w:szCs w:val="24"/>
        </w:rPr>
        <w:t>(a) through (c), the Executive Officer shall:</w:t>
      </w:r>
    </w:p>
    <w:p w14:paraId="03D21A64" w14:textId="77777777" w:rsidR="00FE6B15" w:rsidRPr="00B61FF1" w:rsidRDefault="00542A42" w:rsidP="00542A42">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 xml:space="preserve">Transfer </w:t>
      </w:r>
      <w:r w:rsidR="00B87E9F" w:rsidRPr="00B61FF1">
        <w:rPr>
          <w:rFonts w:ascii="Arial" w:hAnsi="Arial" w:cs="Arial"/>
          <w:sz w:val="24"/>
          <w:szCs w:val="24"/>
        </w:rPr>
        <w:t xml:space="preserve">the compliance instruments </w:t>
      </w:r>
      <w:r w:rsidR="00FE6B15" w:rsidRPr="00B61FF1">
        <w:rPr>
          <w:rFonts w:ascii="Arial" w:hAnsi="Arial" w:cs="Arial"/>
          <w:sz w:val="24"/>
          <w:szCs w:val="24"/>
        </w:rPr>
        <w:t>used to fulfill the untimely surrender obligation in the following manner:</w:t>
      </w:r>
    </w:p>
    <w:p w14:paraId="2E4B301E" w14:textId="77777777" w:rsidR="00FE6B15" w:rsidRPr="00B61FF1" w:rsidRDefault="00E55DED" w:rsidP="00E55DED">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B87E9F" w:rsidRPr="00B61FF1">
        <w:rPr>
          <w:rFonts w:ascii="Arial" w:hAnsi="Arial" w:cs="Arial"/>
          <w:sz w:val="24"/>
          <w:szCs w:val="24"/>
        </w:rPr>
        <w:t>At least three</w:t>
      </w:r>
      <w:r w:rsidR="006C2D62" w:rsidRPr="00B61FF1">
        <w:rPr>
          <w:rFonts w:ascii="Arial" w:hAnsi="Arial" w:cs="Arial"/>
          <w:sz w:val="24"/>
          <w:szCs w:val="24"/>
        </w:rPr>
        <w:t xml:space="preserve"> </w:t>
      </w:r>
      <w:r w:rsidR="00B87E9F" w:rsidRPr="00B61FF1">
        <w:rPr>
          <w:rFonts w:ascii="Arial" w:hAnsi="Arial" w:cs="Arial"/>
          <w:sz w:val="24"/>
          <w:szCs w:val="24"/>
        </w:rPr>
        <w:t>fourths of the compliance instruments to the Auction Holding Account</w:t>
      </w:r>
      <w:r w:rsidR="006C2D62" w:rsidRPr="00B61FF1">
        <w:rPr>
          <w:rFonts w:ascii="Arial" w:hAnsi="Arial" w:cs="Arial"/>
          <w:sz w:val="24"/>
          <w:szCs w:val="24"/>
        </w:rPr>
        <w:t xml:space="preserve">. The three </w:t>
      </w:r>
      <w:r w:rsidR="00B87E9F" w:rsidRPr="00B61FF1">
        <w:rPr>
          <w:rFonts w:ascii="Arial" w:hAnsi="Arial" w:cs="Arial"/>
          <w:sz w:val="24"/>
          <w:szCs w:val="24"/>
        </w:rPr>
        <w:t xml:space="preserve">fourths of the compliance instruments transferred to the Auction Holding Account shall only be comprised of allowances; </w:t>
      </w:r>
      <w:r w:rsidR="00FE6B15" w:rsidRPr="00B61FF1">
        <w:rPr>
          <w:rFonts w:ascii="Arial" w:hAnsi="Arial" w:cs="Arial"/>
          <w:sz w:val="24"/>
          <w:szCs w:val="24"/>
        </w:rPr>
        <w:t>and</w:t>
      </w:r>
    </w:p>
    <w:p w14:paraId="1581B4CF" w14:textId="77777777" w:rsidR="00B87E9F" w:rsidRPr="00B61FF1" w:rsidRDefault="00E55DED" w:rsidP="00B87E9F">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B87E9F" w:rsidRPr="00B61FF1">
        <w:rPr>
          <w:rFonts w:ascii="Arial" w:hAnsi="Arial" w:cs="Arial"/>
          <w:sz w:val="24"/>
          <w:szCs w:val="24"/>
        </w:rPr>
        <w:t>The remaining one fourth of compliance instruments to the Retirement Account.</w:t>
      </w:r>
    </w:p>
    <w:p w14:paraId="2C022EBC" w14:textId="77777777" w:rsidR="00FE6B15" w:rsidRPr="00B61FF1" w:rsidRDefault="00542A42" w:rsidP="006301D9">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Inform programs to which California is linked or recognizes, pursuant to subarticles 12 and 14, of the retirements, including the serial numbers of the compliance instruments retired.</w:t>
      </w:r>
    </w:p>
    <w:p w14:paraId="6AC7AB5A" w14:textId="77777777" w:rsidR="00F1353A" w:rsidRPr="00B61FF1" w:rsidRDefault="00F1353A" w:rsidP="006301D9">
      <w:pPr>
        <w:spacing w:line="360" w:lineRule="auto"/>
        <w:ind w:left="1080" w:hanging="720"/>
        <w:rPr>
          <w:rFonts w:ascii="Arial" w:hAnsi="Arial" w:cs="Arial"/>
          <w:sz w:val="24"/>
          <w:szCs w:val="24"/>
        </w:rPr>
      </w:pPr>
    </w:p>
    <w:p w14:paraId="0905795C" w14:textId="77777777" w:rsidR="00F1353A" w:rsidRPr="00B61FF1" w:rsidRDefault="00F1353A" w:rsidP="00F1353A">
      <w:pPr>
        <w:rPr>
          <w:rFonts w:ascii="Arial" w:hAnsi="Arial" w:cs="Arial"/>
        </w:rPr>
      </w:pPr>
      <w:r w:rsidRPr="00B61FF1">
        <w:rPr>
          <w:rFonts w:ascii="Arial" w:hAnsi="Arial" w:cs="Arial"/>
        </w:rPr>
        <w:t>NOTE:  Authority cited:  Sections 38510, 38560, 38562, 38570, 38571, 38580, 39600 and 39601, Health and Safety Code.</w:t>
      </w:r>
    </w:p>
    <w:p w14:paraId="320D73FF" w14:textId="77777777" w:rsidR="00F1353A" w:rsidRPr="00B61FF1" w:rsidRDefault="00F1353A" w:rsidP="00F1353A">
      <w:pPr>
        <w:rPr>
          <w:rFonts w:ascii="Arial" w:hAnsi="Arial" w:cs="Arial"/>
        </w:rPr>
      </w:pPr>
      <w:r w:rsidRPr="00B61FF1">
        <w:rPr>
          <w:rFonts w:ascii="Arial" w:hAnsi="Arial" w:cs="Arial"/>
        </w:rPr>
        <w:t>Reference:  Sections 38530, 38560.5, 38564, 38565, 38570 and 39600, Health and Safety Code.</w:t>
      </w:r>
    </w:p>
    <w:p w14:paraId="4927D29B" w14:textId="77777777" w:rsidR="00BD1FA4" w:rsidRPr="00B61FF1" w:rsidRDefault="00BD1FA4" w:rsidP="00F1353A">
      <w:pPr>
        <w:rPr>
          <w:rFonts w:ascii="Arial" w:hAnsi="Arial" w:cs="Arial"/>
        </w:rPr>
      </w:pPr>
    </w:p>
    <w:p w14:paraId="17C75D67" w14:textId="77777777" w:rsidR="00DC60BC" w:rsidRPr="00B61FF1" w:rsidRDefault="000E03F4" w:rsidP="000E03F4">
      <w:pPr>
        <w:pStyle w:val="Heading2"/>
        <w:keepNext w:val="0"/>
        <w:rPr>
          <w:i/>
          <w:szCs w:val="24"/>
        </w:rPr>
      </w:pPr>
      <w:bookmarkStart w:id="250" w:name="_Toc299094940"/>
      <w:bookmarkStart w:id="251" w:name="_Toc302746793"/>
      <w:bookmarkStart w:id="252" w:name="_Toc352146254"/>
      <w:bookmarkStart w:id="253" w:name="_Toc361659855"/>
      <w:r w:rsidRPr="00B61FF1">
        <w:rPr>
          <w:szCs w:val="24"/>
        </w:rPr>
        <w:t xml:space="preserve">§ </w:t>
      </w:r>
      <w:r w:rsidR="00F778C5" w:rsidRPr="00B61FF1">
        <w:rPr>
          <w:szCs w:val="24"/>
        </w:rPr>
        <w:t xml:space="preserve">95858. </w:t>
      </w:r>
      <w:r w:rsidR="00DC60BC" w:rsidRPr="00B61FF1">
        <w:rPr>
          <w:szCs w:val="24"/>
        </w:rPr>
        <w:t xml:space="preserve"> </w:t>
      </w:r>
      <w:r w:rsidR="00F778C5" w:rsidRPr="00B61FF1">
        <w:rPr>
          <w:szCs w:val="24"/>
        </w:rPr>
        <w:t xml:space="preserve">Compliance Obligation </w:t>
      </w:r>
      <w:r w:rsidR="00DC60BC" w:rsidRPr="00B61FF1">
        <w:rPr>
          <w:szCs w:val="24"/>
        </w:rPr>
        <w:t xml:space="preserve">for Under-Reporting </w:t>
      </w:r>
      <w:r w:rsidR="00F778C5" w:rsidRPr="00B61FF1">
        <w:rPr>
          <w:szCs w:val="24"/>
        </w:rPr>
        <w:t>in a Previous Compliance Period.</w:t>
      </w:r>
      <w:bookmarkEnd w:id="250"/>
      <w:bookmarkEnd w:id="251"/>
      <w:bookmarkEnd w:id="252"/>
      <w:bookmarkEnd w:id="253"/>
    </w:p>
    <w:p w14:paraId="5656EAC5" w14:textId="77777777" w:rsidR="00542A42" w:rsidRPr="00B61FF1" w:rsidRDefault="000A18AE" w:rsidP="00534721">
      <w:pPr>
        <w:spacing w:line="360" w:lineRule="auto"/>
        <w:rPr>
          <w:rFonts w:ascii="Arial" w:hAnsi="Arial" w:cs="Arial"/>
          <w:sz w:val="24"/>
          <w:szCs w:val="24"/>
        </w:rPr>
      </w:pPr>
      <w:r w:rsidRPr="00B61FF1">
        <w:rPr>
          <w:rFonts w:ascii="Arial" w:hAnsi="Arial" w:cs="Arial"/>
          <w:sz w:val="24"/>
          <w:szCs w:val="24"/>
        </w:rPr>
        <w:t xml:space="preserve">If, after an </w:t>
      </w:r>
      <w:r w:rsidR="00F778C5" w:rsidRPr="00B61FF1">
        <w:rPr>
          <w:rFonts w:ascii="Arial" w:hAnsi="Arial" w:cs="Arial"/>
          <w:sz w:val="24"/>
          <w:szCs w:val="24"/>
        </w:rPr>
        <w:t>entity has surrendered its compliance instruments for a compliance period pursuant to section 95856, the E</w:t>
      </w:r>
      <w:r w:rsidRPr="00B61FF1">
        <w:rPr>
          <w:rFonts w:ascii="Arial" w:hAnsi="Arial" w:cs="Arial"/>
          <w:sz w:val="24"/>
          <w:szCs w:val="24"/>
        </w:rPr>
        <w:t xml:space="preserve">xecutive </w:t>
      </w:r>
      <w:r w:rsidR="00F778C5" w:rsidRPr="00B61FF1">
        <w:rPr>
          <w:rFonts w:ascii="Arial" w:hAnsi="Arial" w:cs="Arial"/>
          <w:sz w:val="24"/>
          <w:szCs w:val="24"/>
        </w:rPr>
        <w:t>O</w:t>
      </w:r>
      <w:r w:rsidRPr="00B61FF1">
        <w:rPr>
          <w:rFonts w:ascii="Arial" w:hAnsi="Arial" w:cs="Arial"/>
          <w:sz w:val="24"/>
          <w:szCs w:val="24"/>
        </w:rPr>
        <w:t>fficer</w:t>
      </w:r>
      <w:r w:rsidR="00F778C5" w:rsidRPr="00B61FF1">
        <w:rPr>
          <w:rFonts w:ascii="Arial" w:hAnsi="Arial" w:cs="Arial"/>
          <w:sz w:val="24"/>
          <w:szCs w:val="24"/>
        </w:rPr>
        <w:t xml:space="preserve"> determines, through an </w:t>
      </w:r>
      <w:r w:rsidR="00F778C5" w:rsidRPr="00B61FF1">
        <w:rPr>
          <w:rFonts w:ascii="Arial" w:hAnsi="Arial" w:cs="Arial"/>
          <w:sz w:val="24"/>
          <w:szCs w:val="24"/>
        </w:rPr>
        <w:lastRenderedPageBreak/>
        <w:t>audit or other information</w:t>
      </w:r>
      <w:r w:rsidR="005B714A" w:rsidRPr="00B61FF1">
        <w:rPr>
          <w:rFonts w:ascii="Arial" w:hAnsi="Arial" w:cs="Arial"/>
          <w:sz w:val="24"/>
          <w:szCs w:val="24"/>
        </w:rPr>
        <w:t>,</w:t>
      </w:r>
      <w:r w:rsidR="00F778C5" w:rsidRPr="00B61FF1">
        <w:rPr>
          <w:rFonts w:ascii="Arial" w:hAnsi="Arial" w:cs="Arial"/>
          <w:sz w:val="24"/>
          <w:szCs w:val="24"/>
        </w:rPr>
        <w:t xml:space="preserve"> that the entity under-reported its emissions under MRR for any emissions sources that form the basis for </w:t>
      </w:r>
      <w:r w:rsidR="00C54556" w:rsidRPr="00B61FF1">
        <w:rPr>
          <w:rFonts w:ascii="Arial" w:hAnsi="Arial" w:cs="Arial"/>
          <w:sz w:val="24"/>
          <w:szCs w:val="24"/>
        </w:rPr>
        <w:t xml:space="preserve">entity’s </w:t>
      </w:r>
      <w:r w:rsidR="00F778C5" w:rsidRPr="00B61FF1">
        <w:rPr>
          <w:rFonts w:ascii="Arial" w:hAnsi="Arial" w:cs="Arial"/>
          <w:sz w:val="24"/>
          <w:szCs w:val="24"/>
        </w:rPr>
        <w:t>the compliance obligation, then the following shall apply:</w:t>
      </w:r>
    </w:p>
    <w:p w14:paraId="5F7963CD" w14:textId="77777777" w:rsidR="00F778C5" w:rsidRPr="00B61FF1" w:rsidRDefault="002534A2" w:rsidP="00534721">
      <w:pPr>
        <w:pStyle w:val="ListParagraph"/>
        <w:autoSpaceDE/>
        <w:autoSpaceDN/>
        <w:adjustRightInd/>
        <w:spacing w:after="200" w:line="360" w:lineRule="auto"/>
        <w:ind w:hanging="720"/>
        <w:rPr>
          <w:rFonts w:ascii="Arial" w:hAnsi="Arial" w:cs="Arial"/>
          <w:sz w:val="24"/>
          <w:szCs w:val="24"/>
        </w:rPr>
      </w:pPr>
      <w:r w:rsidRPr="00B61FF1">
        <w:rPr>
          <w:rFonts w:ascii="Arial" w:hAnsi="Arial" w:cs="Arial"/>
          <w:sz w:val="24"/>
          <w:szCs w:val="24"/>
        </w:rPr>
        <w:t>(</w:t>
      </w:r>
      <w:r w:rsidR="00534721" w:rsidRPr="00B61FF1">
        <w:rPr>
          <w:rFonts w:ascii="Arial" w:hAnsi="Arial" w:cs="Arial"/>
          <w:sz w:val="24"/>
          <w:szCs w:val="24"/>
        </w:rPr>
        <w:t>a</w:t>
      </w:r>
      <w:r w:rsidRPr="00B61FF1">
        <w:rPr>
          <w:rFonts w:ascii="Arial" w:hAnsi="Arial" w:cs="Arial"/>
          <w:sz w:val="24"/>
          <w:szCs w:val="24"/>
        </w:rPr>
        <w:t>)</w:t>
      </w:r>
      <w:r w:rsidRPr="00B61FF1">
        <w:rPr>
          <w:rFonts w:ascii="Arial" w:hAnsi="Arial" w:cs="Arial"/>
          <w:sz w:val="24"/>
          <w:szCs w:val="24"/>
        </w:rPr>
        <w:tab/>
      </w:r>
      <w:r w:rsidR="00F778C5" w:rsidRPr="00B61FF1">
        <w:rPr>
          <w:rFonts w:ascii="Arial" w:hAnsi="Arial" w:cs="Arial"/>
          <w:sz w:val="24"/>
          <w:szCs w:val="24"/>
        </w:rPr>
        <w:t xml:space="preserve">If the difference between the emissions used to calculate the compliance obligation and subsequently </w:t>
      </w:r>
      <w:r w:rsidR="003B5319" w:rsidRPr="00B61FF1">
        <w:rPr>
          <w:rFonts w:ascii="Arial" w:hAnsi="Arial" w:cs="Arial"/>
          <w:sz w:val="24"/>
          <w:szCs w:val="24"/>
        </w:rPr>
        <w:t xml:space="preserve">used to </w:t>
      </w:r>
      <w:r w:rsidR="00F778C5" w:rsidRPr="00B61FF1">
        <w:rPr>
          <w:rFonts w:ascii="Arial" w:hAnsi="Arial" w:cs="Arial"/>
          <w:sz w:val="24"/>
          <w:szCs w:val="24"/>
        </w:rPr>
        <w:t xml:space="preserve">calculate the number of compliance instruments surrendered pursuant to section 95856 and </w:t>
      </w:r>
      <w:r w:rsidR="005B714A" w:rsidRPr="00B61FF1">
        <w:rPr>
          <w:rFonts w:ascii="Arial" w:hAnsi="Arial" w:cs="Arial"/>
          <w:sz w:val="24"/>
          <w:szCs w:val="24"/>
        </w:rPr>
        <w:t>the emissions</w:t>
      </w:r>
      <w:r w:rsidR="005B714A" w:rsidRPr="00B61FF1">
        <w:rPr>
          <w:rFonts w:ascii="Arial" w:hAnsi="Arial" w:cs="Arial"/>
          <w:strike/>
          <w:sz w:val="24"/>
          <w:szCs w:val="24"/>
        </w:rPr>
        <w:t xml:space="preserve"> </w:t>
      </w:r>
      <w:r w:rsidR="00F778C5" w:rsidRPr="00B61FF1">
        <w:rPr>
          <w:rFonts w:ascii="Arial" w:hAnsi="Arial" w:cs="Arial"/>
          <w:sz w:val="24"/>
          <w:szCs w:val="24"/>
        </w:rPr>
        <w:t>determined by the E</w:t>
      </w:r>
      <w:r w:rsidR="000A18AE" w:rsidRPr="00B61FF1">
        <w:rPr>
          <w:rFonts w:ascii="Arial" w:hAnsi="Arial" w:cs="Arial"/>
          <w:sz w:val="24"/>
          <w:szCs w:val="24"/>
        </w:rPr>
        <w:t xml:space="preserve">xecutive </w:t>
      </w:r>
      <w:r w:rsidR="00F778C5" w:rsidRPr="00B61FF1">
        <w:rPr>
          <w:rFonts w:ascii="Arial" w:hAnsi="Arial" w:cs="Arial"/>
          <w:sz w:val="24"/>
          <w:szCs w:val="24"/>
        </w:rPr>
        <w:t>O</w:t>
      </w:r>
      <w:r w:rsidR="000A18AE" w:rsidRPr="00B61FF1">
        <w:rPr>
          <w:rFonts w:ascii="Arial" w:hAnsi="Arial" w:cs="Arial"/>
          <w:sz w:val="24"/>
          <w:szCs w:val="24"/>
        </w:rPr>
        <w:t>fficer</w:t>
      </w:r>
      <w:r w:rsidR="00F778C5" w:rsidRPr="00B61FF1">
        <w:rPr>
          <w:rFonts w:ascii="Arial" w:hAnsi="Arial" w:cs="Arial"/>
          <w:sz w:val="24"/>
          <w:szCs w:val="24"/>
        </w:rPr>
        <w:t xml:space="preserve"> to be under-reported for the sum of those emissions is less than five </w:t>
      </w:r>
      <w:r w:rsidR="00C54556" w:rsidRPr="00B61FF1">
        <w:rPr>
          <w:rFonts w:ascii="Arial" w:hAnsi="Arial" w:cs="Arial"/>
          <w:sz w:val="24"/>
          <w:szCs w:val="24"/>
        </w:rPr>
        <w:t>percent of the emissions number used to calculate the compliance obligation and subsequently used to calculate the number of compliance instruments surrendered pursuant to section 95856</w:t>
      </w:r>
      <w:r w:rsidR="00F778C5" w:rsidRPr="00B61FF1">
        <w:rPr>
          <w:rFonts w:ascii="Arial" w:hAnsi="Arial" w:cs="Arial"/>
          <w:sz w:val="24"/>
          <w:szCs w:val="24"/>
        </w:rPr>
        <w:t>, then the entity is not required to take any further action.</w:t>
      </w:r>
    </w:p>
    <w:p w14:paraId="4EF6A050" w14:textId="77777777" w:rsidR="004B6035" w:rsidRPr="00B61FF1" w:rsidRDefault="00542A42" w:rsidP="00534721">
      <w:pPr>
        <w:pStyle w:val="ListParagraph"/>
        <w:autoSpaceDE/>
        <w:autoSpaceDN/>
        <w:adjustRightInd/>
        <w:spacing w:after="200" w:line="360" w:lineRule="auto"/>
        <w:ind w:hanging="720"/>
        <w:rPr>
          <w:rFonts w:ascii="Arial" w:hAnsi="Arial" w:cs="Arial"/>
          <w:sz w:val="24"/>
          <w:szCs w:val="24"/>
        </w:rPr>
      </w:pPr>
      <w:r w:rsidRPr="00B61FF1">
        <w:rPr>
          <w:rFonts w:ascii="Arial" w:hAnsi="Arial" w:cs="Arial"/>
          <w:sz w:val="24"/>
          <w:szCs w:val="24"/>
        </w:rPr>
        <w:t>(</w:t>
      </w:r>
      <w:r w:rsidR="00534721"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F778C5" w:rsidRPr="00B61FF1">
        <w:rPr>
          <w:rFonts w:ascii="Arial" w:hAnsi="Arial" w:cs="Arial"/>
          <w:sz w:val="24"/>
          <w:szCs w:val="24"/>
        </w:rPr>
        <w:t xml:space="preserve">If the difference between the emissions used to calculate the compliance obligation and subsequently calculate the number of compliance instruments surrendered pursuant to section 95856 and </w:t>
      </w:r>
      <w:r w:rsidR="005B714A" w:rsidRPr="00B61FF1">
        <w:rPr>
          <w:rFonts w:ascii="Arial" w:hAnsi="Arial" w:cs="Arial"/>
          <w:sz w:val="24"/>
          <w:szCs w:val="24"/>
        </w:rPr>
        <w:t>the emissions</w:t>
      </w:r>
      <w:r w:rsidR="00F778C5" w:rsidRPr="00B61FF1">
        <w:rPr>
          <w:rFonts w:ascii="Arial" w:hAnsi="Arial" w:cs="Arial"/>
          <w:sz w:val="24"/>
          <w:szCs w:val="24"/>
        </w:rPr>
        <w:t xml:space="preserve"> determined by the E</w:t>
      </w:r>
      <w:r w:rsidR="000A18AE" w:rsidRPr="00B61FF1">
        <w:rPr>
          <w:rFonts w:ascii="Arial" w:hAnsi="Arial" w:cs="Arial"/>
          <w:sz w:val="24"/>
          <w:szCs w:val="24"/>
        </w:rPr>
        <w:t xml:space="preserve">xecutive </w:t>
      </w:r>
      <w:r w:rsidR="00F778C5" w:rsidRPr="00B61FF1">
        <w:rPr>
          <w:rFonts w:ascii="Arial" w:hAnsi="Arial" w:cs="Arial"/>
          <w:sz w:val="24"/>
          <w:szCs w:val="24"/>
        </w:rPr>
        <w:t>O</w:t>
      </w:r>
      <w:r w:rsidR="000A18AE" w:rsidRPr="00B61FF1">
        <w:rPr>
          <w:rFonts w:ascii="Arial" w:hAnsi="Arial" w:cs="Arial"/>
          <w:sz w:val="24"/>
          <w:szCs w:val="24"/>
        </w:rPr>
        <w:t>fficer</w:t>
      </w:r>
      <w:r w:rsidR="00F778C5" w:rsidRPr="00B61FF1">
        <w:rPr>
          <w:rFonts w:ascii="Arial" w:hAnsi="Arial" w:cs="Arial"/>
          <w:sz w:val="24"/>
          <w:szCs w:val="24"/>
        </w:rPr>
        <w:t xml:space="preserve"> to be under-reported for the sum of those emissions is more than five </w:t>
      </w:r>
      <w:r w:rsidR="00C54556" w:rsidRPr="00B61FF1">
        <w:rPr>
          <w:rFonts w:ascii="Arial" w:hAnsi="Arial" w:cs="Arial"/>
          <w:sz w:val="24"/>
          <w:szCs w:val="24"/>
        </w:rPr>
        <w:t>percent of the emissions number used to calculate the compliance obligation and subsequently used to calculate the number of compliance instruments surrendered pursuant to section 95856</w:t>
      </w:r>
      <w:r w:rsidR="00F778C5" w:rsidRPr="00B61FF1">
        <w:rPr>
          <w:rFonts w:ascii="Arial" w:hAnsi="Arial" w:cs="Arial"/>
          <w:sz w:val="24"/>
          <w:szCs w:val="24"/>
        </w:rPr>
        <w:t xml:space="preserve">, then the entity must surrender compliance instruments </w:t>
      </w:r>
      <w:r w:rsidR="005B714A" w:rsidRPr="00B61FF1">
        <w:rPr>
          <w:rFonts w:ascii="Arial" w:hAnsi="Arial" w:cs="Arial"/>
          <w:sz w:val="24"/>
          <w:szCs w:val="24"/>
        </w:rPr>
        <w:t>in</w:t>
      </w:r>
      <w:r w:rsidR="00F778C5" w:rsidRPr="00B61FF1">
        <w:rPr>
          <w:rFonts w:ascii="Arial" w:hAnsi="Arial" w:cs="Arial"/>
          <w:sz w:val="24"/>
          <w:szCs w:val="24"/>
        </w:rPr>
        <w:t xml:space="preserve"> the following amount:</w:t>
      </w:r>
    </w:p>
    <w:p w14:paraId="66710C07" w14:textId="77777777" w:rsidR="004B6035" w:rsidRPr="00B61FF1" w:rsidRDefault="004B6035" w:rsidP="004B6035">
      <w:pPr>
        <w:pStyle w:val="ListParagraph"/>
        <w:autoSpaceDE/>
        <w:autoSpaceDN/>
        <w:adjustRightInd/>
        <w:spacing w:after="200" w:line="360" w:lineRule="auto"/>
        <w:ind w:left="1080" w:hanging="720"/>
        <w:rPr>
          <w:rFonts w:ascii="Arial" w:hAnsi="Arial" w:cs="Arial"/>
          <w:sz w:val="24"/>
          <w:szCs w:val="24"/>
        </w:rPr>
      </w:pPr>
    </w:p>
    <w:p w14:paraId="19E7691F" w14:textId="77777777" w:rsidR="00B2327B" w:rsidRPr="00B61FF1" w:rsidRDefault="00633159" w:rsidP="004B6035">
      <w:pPr>
        <w:pStyle w:val="ListParagraph"/>
        <w:autoSpaceDE/>
        <w:autoSpaceDN/>
        <w:adjustRightInd/>
        <w:spacing w:after="200" w:line="360" w:lineRule="auto"/>
        <w:ind w:left="1080" w:hanging="720"/>
        <w:rPr>
          <w:rFonts w:ascii="Arial" w:hAnsi="Arial" w:cs="Arial"/>
          <w:sz w:val="24"/>
          <w:szCs w:val="24"/>
        </w:rPr>
      </w:pPr>
      <m:oMathPara>
        <m:oMath>
          <m:r>
            <m:rPr>
              <m:sty m:val="p"/>
            </m:rPr>
            <w:rPr>
              <w:rFonts w:ascii="Cambria Math" w:hAnsi="Cambria Math" w:cs="Arial"/>
              <w:sz w:val="24"/>
              <w:szCs w:val="24"/>
            </w:rPr>
            <m:t>Cla=EMd-CO-(CO*0.05)</m:t>
          </m:r>
        </m:oMath>
      </m:oMathPara>
    </w:p>
    <w:p w14:paraId="5DB89869" w14:textId="77777777" w:rsidR="00C375FE" w:rsidRPr="00B61FF1" w:rsidRDefault="00C375FE" w:rsidP="00542A42">
      <w:pPr>
        <w:spacing w:line="360" w:lineRule="auto"/>
        <w:ind w:left="1080"/>
        <w:rPr>
          <w:rFonts w:ascii="Arial" w:hAnsi="Arial" w:cs="Arial"/>
          <w:sz w:val="24"/>
          <w:szCs w:val="24"/>
        </w:rPr>
      </w:pPr>
    </w:p>
    <w:p w14:paraId="0DBBDF4C" w14:textId="77777777" w:rsidR="00F778C5" w:rsidRPr="00B61FF1" w:rsidRDefault="00F778C5" w:rsidP="00542A42">
      <w:pPr>
        <w:spacing w:line="360" w:lineRule="auto"/>
        <w:ind w:left="1080"/>
        <w:rPr>
          <w:rFonts w:ascii="Arial" w:hAnsi="Arial" w:cs="Arial"/>
          <w:sz w:val="24"/>
          <w:szCs w:val="24"/>
        </w:rPr>
      </w:pPr>
      <w:r w:rsidRPr="00B61FF1">
        <w:rPr>
          <w:rFonts w:ascii="Arial" w:hAnsi="Arial" w:cs="Arial"/>
          <w:sz w:val="24"/>
          <w:szCs w:val="24"/>
        </w:rPr>
        <w:t>Where:</w:t>
      </w:r>
    </w:p>
    <w:p w14:paraId="7B721057" w14:textId="77777777" w:rsidR="00F778C5" w:rsidRPr="00B61FF1" w:rsidRDefault="00542A42" w:rsidP="00542A42">
      <w:pPr>
        <w:spacing w:line="360" w:lineRule="auto"/>
        <w:ind w:left="1080"/>
        <w:rPr>
          <w:rFonts w:ascii="Arial" w:hAnsi="Arial" w:cs="Arial"/>
          <w:sz w:val="24"/>
          <w:szCs w:val="24"/>
        </w:rPr>
      </w:pPr>
      <w:r w:rsidRPr="00B61FF1">
        <w:rPr>
          <w:rFonts w:ascii="Arial" w:hAnsi="Arial" w:cs="Arial"/>
          <w:sz w:val="24"/>
          <w:szCs w:val="24"/>
        </w:rPr>
        <w:t>‘</w:t>
      </w:r>
      <w:r w:rsidR="00F778C5" w:rsidRPr="00B61FF1">
        <w:rPr>
          <w:rFonts w:ascii="Arial" w:hAnsi="Arial" w:cs="Arial"/>
          <w:sz w:val="24"/>
          <w:szCs w:val="24"/>
        </w:rPr>
        <w:t>C</w:t>
      </w:r>
      <w:r w:rsidR="00B27D36" w:rsidRPr="00B61FF1">
        <w:rPr>
          <w:rFonts w:ascii="Arial" w:hAnsi="Arial" w:cs="Arial"/>
          <w:sz w:val="24"/>
          <w:szCs w:val="24"/>
        </w:rPr>
        <w:t>l</w:t>
      </w:r>
      <w:r w:rsidR="00F778C5" w:rsidRPr="00B61FF1">
        <w:rPr>
          <w:rFonts w:ascii="Arial" w:hAnsi="Arial" w:cs="Arial"/>
          <w:sz w:val="24"/>
          <w:szCs w:val="24"/>
        </w:rPr>
        <w:t>a</w:t>
      </w:r>
      <w:r w:rsidRPr="00B61FF1">
        <w:rPr>
          <w:rFonts w:ascii="Arial" w:hAnsi="Arial" w:cs="Arial"/>
          <w:sz w:val="24"/>
          <w:szCs w:val="24"/>
        </w:rPr>
        <w:t>’</w:t>
      </w:r>
      <w:r w:rsidR="00F778C5" w:rsidRPr="00B61FF1">
        <w:rPr>
          <w:rFonts w:ascii="Arial" w:hAnsi="Arial" w:cs="Arial"/>
          <w:sz w:val="24"/>
          <w:szCs w:val="24"/>
        </w:rPr>
        <w:t xml:space="preserve"> is the number of additional compliance instruments that must be surrendered to ARB</w:t>
      </w:r>
      <w:r w:rsidR="005B714A" w:rsidRPr="00B61FF1">
        <w:rPr>
          <w:rFonts w:ascii="Arial" w:hAnsi="Arial" w:cs="Arial"/>
          <w:sz w:val="24"/>
          <w:szCs w:val="24"/>
        </w:rPr>
        <w:t xml:space="preserve"> to cover under-reported emissions</w:t>
      </w:r>
      <w:r w:rsidR="00F778C5" w:rsidRPr="00B61FF1">
        <w:rPr>
          <w:rFonts w:ascii="Arial" w:hAnsi="Arial" w:cs="Arial"/>
          <w:sz w:val="24"/>
          <w:szCs w:val="24"/>
        </w:rPr>
        <w:t>;</w:t>
      </w:r>
    </w:p>
    <w:p w14:paraId="61E9E07A" w14:textId="77777777" w:rsidR="00F778C5" w:rsidRPr="00B61FF1" w:rsidRDefault="00542A42" w:rsidP="00542A42">
      <w:pPr>
        <w:spacing w:line="360" w:lineRule="auto"/>
        <w:ind w:left="1080"/>
        <w:rPr>
          <w:rFonts w:ascii="Arial" w:hAnsi="Arial" w:cs="Arial"/>
          <w:sz w:val="24"/>
          <w:szCs w:val="24"/>
        </w:rPr>
      </w:pPr>
      <w:r w:rsidRPr="00B61FF1">
        <w:rPr>
          <w:rFonts w:ascii="Arial" w:hAnsi="Arial" w:cs="Arial"/>
          <w:sz w:val="24"/>
          <w:szCs w:val="24"/>
        </w:rPr>
        <w:t>‘</w:t>
      </w:r>
      <w:r w:rsidR="00F778C5" w:rsidRPr="00B61FF1">
        <w:rPr>
          <w:rFonts w:ascii="Arial" w:hAnsi="Arial" w:cs="Arial"/>
          <w:sz w:val="24"/>
          <w:szCs w:val="24"/>
        </w:rPr>
        <w:t>CO</w:t>
      </w:r>
      <w:r w:rsidRPr="00B61FF1">
        <w:rPr>
          <w:rFonts w:ascii="Arial" w:hAnsi="Arial" w:cs="Arial"/>
          <w:sz w:val="24"/>
          <w:szCs w:val="24"/>
        </w:rPr>
        <w:t>’</w:t>
      </w:r>
      <w:r w:rsidR="00F778C5" w:rsidRPr="00B61FF1">
        <w:rPr>
          <w:rFonts w:ascii="Arial" w:hAnsi="Arial" w:cs="Arial"/>
          <w:sz w:val="24"/>
          <w:szCs w:val="24"/>
        </w:rPr>
        <w:t xml:space="preserve"> is the emissions number used </w:t>
      </w:r>
      <w:r w:rsidR="005B714A" w:rsidRPr="00B61FF1">
        <w:rPr>
          <w:rFonts w:ascii="Arial" w:hAnsi="Arial" w:cs="Arial"/>
          <w:sz w:val="24"/>
          <w:szCs w:val="24"/>
        </w:rPr>
        <w:t>to determine</w:t>
      </w:r>
      <w:r w:rsidR="00F778C5" w:rsidRPr="00B61FF1">
        <w:rPr>
          <w:rFonts w:ascii="Arial" w:hAnsi="Arial" w:cs="Arial"/>
          <w:sz w:val="24"/>
          <w:szCs w:val="24"/>
        </w:rPr>
        <w:t xml:space="preserve"> the compliance obligation surrendered pursuant to section 95856 for</w:t>
      </w:r>
      <w:r w:rsidR="005B714A" w:rsidRPr="00B61FF1">
        <w:rPr>
          <w:rFonts w:ascii="Arial" w:hAnsi="Arial" w:cs="Arial"/>
          <w:sz w:val="24"/>
          <w:szCs w:val="24"/>
        </w:rPr>
        <w:t xml:space="preserve"> any</w:t>
      </w:r>
      <w:r w:rsidR="00F778C5" w:rsidRPr="00B61FF1">
        <w:rPr>
          <w:rFonts w:ascii="Arial" w:hAnsi="Arial" w:cs="Arial"/>
          <w:sz w:val="24"/>
          <w:szCs w:val="24"/>
        </w:rPr>
        <w:t xml:space="preserve"> previous compliance period; and</w:t>
      </w:r>
    </w:p>
    <w:p w14:paraId="6455805C" w14:textId="77777777" w:rsidR="00F778C5" w:rsidRPr="00B61FF1" w:rsidRDefault="00542A42" w:rsidP="00542A42">
      <w:pPr>
        <w:spacing w:line="360" w:lineRule="auto"/>
        <w:ind w:left="1080"/>
        <w:rPr>
          <w:rFonts w:ascii="Arial" w:hAnsi="Arial" w:cs="Arial"/>
          <w:sz w:val="24"/>
          <w:szCs w:val="24"/>
        </w:rPr>
      </w:pPr>
      <w:r w:rsidRPr="00B61FF1">
        <w:rPr>
          <w:rFonts w:ascii="Arial" w:hAnsi="Arial" w:cs="Arial"/>
          <w:sz w:val="24"/>
          <w:szCs w:val="24"/>
        </w:rPr>
        <w:lastRenderedPageBreak/>
        <w:t>‘</w:t>
      </w:r>
      <w:r w:rsidR="00F778C5" w:rsidRPr="00B61FF1">
        <w:rPr>
          <w:rFonts w:ascii="Arial" w:hAnsi="Arial" w:cs="Arial"/>
          <w:sz w:val="24"/>
          <w:szCs w:val="24"/>
        </w:rPr>
        <w:t>EMd</w:t>
      </w:r>
      <w:r w:rsidRPr="00B61FF1">
        <w:rPr>
          <w:rFonts w:ascii="Arial" w:hAnsi="Arial" w:cs="Arial"/>
          <w:sz w:val="24"/>
          <w:szCs w:val="24"/>
        </w:rPr>
        <w:t>’</w:t>
      </w:r>
      <w:r w:rsidR="00F778C5" w:rsidRPr="00B61FF1">
        <w:rPr>
          <w:rFonts w:ascii="Arial" w:hAnsi="Arial" w:cs="Arial"/>
          <w:sz w:val="24"/>
          <w:szCs w:val="24"/>
        </w:rPr>
        <w:t xml:space="preserve"> is the number of the emissions determined by the E</w:t>
      </w:r>
      <w:r w:rsidR="000A18AE" w:rsidRPr="00B61FF1">
        <w:rPr>
          <w:rFonts w:ascii="Arial" w:hAnsi="Arial" w:cs="Arial"/>
          <w:sz w:val="24"/>
          <w:szCs w:val="24"/>
        </w:rPr>
        <w:t xml:space="preserve">xecutive </w:t>
      </w:r>
      <w:r w:rsidR="00F778C5" w:rsidRPr="00B61FF1">
        <w:rPr>
          <w:rFonts w:ascii="Arial" w:hAnsi="Arial" w:cs="Arial"/>
          <w:sz w:val="24"/>
          <w:szCs w:val="24"/>
        </w:rPr>
        <w:t>O</w:t>
      </w:r>
      <w:r w:rsidR="000A18AE" w:rsidRPr="00B61FF1">
        <w:rPr>
          <w:rFonts w:ascii="Arial" w:hAnsi="Arial" w:cs="Arial"/>
          <w:sz w:val="24"/>
          <w:szCs w:val="24"/>
        </w:rPr>
        <w:t>fficer</w:t>
      </w:r>
      <w:r w:rsidR="00F778C5" w:rsidRPr="00B61FF1">
        <w:rPr>
          <w:rFonts w:ascii="Arial" w:hAnsi="Arial" w:cs="Arial"/>
          <w:sz w:val="24"/>
          <w:szCs w:val="24"/>
        </w:rPr>
        <w:t xml:space="preserve"> for the sum of the emissions sources </w:t>
      </w:r>
      <w:r w:rsidR="0006335D" w:rsidRPr="00B61FF1">
        <w:rPr>
          <w:rFonts w:ascii="Arial" w:hAnsi="Arial" w:cs="Arial"/>
          <w:sz w:val="24"/>
          <w:szCs w:val="24"/>
        </w:rPr>
        <w:t>subject to a compliance obligation</w:t>
      </w:r>
      <w:r w:rsidR="00F778C5" w:rsidRPr="00B61FF1">
        <w:rPr>
          <w:rFonts w:ascii="Arial" w:hAnsi="Arial" w:cs="Arial"/>
          <w:sz w:val="24"/>
          <w:szCs w:val="24"/>
        </w:rPr>
        <w:t>;</w:t>
      </w:r>
    </w:p>
    <w:p w14:paraId="3F2A33AC" w14:textId="77777777" w:rsidR="00F778C5" w:rsidRPr="00B61FF1" w:rsidRDefault="00542A42" w:rsidP="00534721">
      <w:pPr>
        <w:pStyle w:val="ListParagraph"/>
        <w:autoSpaceDE/>
        <w:autoSpaceDN/>
        <w:adjustRightInd/>
        <w:spacing w:after="200" w:line="360" w:lineRule="auto"/>
        <w:ind w:hanging="720"/>
        <w:rPr>
          <w:rFonts w:ascii="Arial" w:hAnsi="Arial" w:cs="Arial"/>
          <w:sz w:val="24"/>
          <w:szCs w:val="24"/>
        </w:rPr>
      </w:pPr>
      <w:r w:rsidRPr="00B61FF1">
        <w:rPr>
          <w:rFonts w:ascii="Arial" w:hAnsi="Arial" w:cs="Arial"/>
          <w:sz w:val="24"/>
          <w:szCs w:val="24"/>
        </w:rPr>
        <w:t>(</w:t>
      </w:r>
      <w:r w:rsidR="00534721" w:rsidRPr="00B61FF1">
        <w:rPr>
          <w:rFonts w:ascii="Arial" w:hAnsi="Arial" w:cs="Arial"/>
          <w:sz w:val="24"/>
          <w:szCs w:val="24"/>
        </w:rPr>
        <w:t>c</w:t>
      </w:r>
      <w:r w:rsidRPr="00B61FF1">
        <w:rPr>
          <w:rFonts w:ascii="Arial" w:hAnsi="Arial" w:cs="Arial"/>
          <w:sz w:val="24"/>
          <w:szCs w:val="24"/>
        </w:rPr>
        <w:t>)</w:t>
      </w:r>
      <w:r w:rsidRPr="00B61FF1">
        <w:rPr>
          <w:rFonts w:ascii="Arial" w:hAnsi="Arial" w:cs="Arial"/>
          <w:sz w:val="24"/>
          <w:szCs w:val="24"/>
        </w:rPr>
        <w:tab/>
      </w:r>
      <w:r w:rsidR="00F778C5" w:rsidRPr="00B61FF1">
        <w:rPr>
          <w:rFonts w:ascii="Arial" w:hAnsi="Arial" w:cs="Arial"/>
          <w:sz w:val="24"/>
          <w:szCs w:val="24"/>
        </w:rPr>
        <w:t xml:space="preserve">The entity will have </w:t>
      </w:r>
      <w:r w:rsidR="006161EB" w:rsidRPr="00B61FF1">
        <w:rPr>
          <w:rFonts w:ascii="Arial" w:hAnsi="Arial" w:cs="Arial"/>
          <w:sz w:val="24"/>
          <w:szCs w:val="24"/>
        </w:rPr>
        <w:t>six</w:t>
      </w:r>
      <w:r w:rsidR="00F778C5" w:rsidRPr="00B61FF1">
        <w:rPr>
          <w:rFonts w:ascii="Arial" w:hAnsi="Arial" w:cs="Arial"/>
          <w:sz w:val="24"/>
          <w:szCs w:val="24"/>
        </w:rPr>
        <w:t xml:space="preserve"> months from the time of notification by the E</w:t>
      </w:r>
      <w:r w:rsidR="000A18AE" w:rsidRPr="00B61FF1">
        <w:rPr>
          <w:rFonts w:ascii="Arial" w:hAnsi="Arial" w:cs="Arial"/>
          <w:sz w:val="24"/>
          <w:szCs w:val="24"/>
        </w:rPr>
        <w:t xml:space="preserve">xecutive </w:t>
      </w:r>
      <w:r w:rsidR="00F778C5" w:rsidRPr="00B61FF1">
        <w:rPr>
          <w:rFonts w:ascii="Arial" w:hAnsi="Arial" w:cs="Arial"/>
          <w:sz w:val="24"/>
          <w:szCs w:val="24"/>
        </w:rPr>
        <w:t>O</w:t>
      </w:r>
      <w:r w:rsidR="000A18AE" w:rsidRPr="00B61FF1">
        <w:rPr>
          <w:rFonts w:ascii="Arial" w:hAnsi="Arial" w:cs="Arial"/>
          <w:sz w:val="24"/>
          <w:szCs w:val="24"/>
        </w:rPr>
        <w:t>fficer</w:t>
      </w:r>
      <w:r w:rsidR="00F778C5" w:rsidRPr="00B61FF1">
        <w:rPr>
          <w:rFonts w:ascii="Arial" w:hAnsi="Arial" w:cs="Arial"/>
          <w:sz w:val="24"/>
          <w:szCs w:val="24"/>
        </w:rPr>
        <w:t xml:space="preserve"> to surrender additional compliance instruments for under</w:t>
      </w:r>
      <w:r w:rsidR="006C2D62" w:rsidRPr="00B61FF1">
        <w:rPr>
          <w:rFonts w:ascii="Arial" w:hAnsi="Arial" w:cs="Arial"/>
          <w:sz w:val="24"/>
          <w:szCs w:val="24"/>
        </w:rPr>
        <w:t>-</w:t>
      </w:r>
      <w:r w:rsidR="00F778C5" w:rsidRPr="00B61FF1">
        <w:rPr>
          <w:rFonts w:ascii="Arial" w:hAnsi="Arial" w:cs="Arial"/>
          <w:sz w:val="24"/>
          <w:szCs w:val="24"/>
        </w:rPr>
        <w:t xml:space="preserve"> reporting emissions under </w:t>
      </w:r>
      <w:r w:rsidR="00FD0205" w:rsidRPr="00B61FF1">
        <w:rPr>
          <w:rFonts w:ascii="Arial" w:hAnsi="Arial" w:cs="Arial"/>
          <w:sz w:val="24"/>
          <w:szCs w:val="24"/>
        </w:rPr>
        <w:t>MRR for the previous compliance period as determined pursuant to this section.  The provisions of section</w:t>
      </w:r>
      <w:r w:rsidR="00A2298E" w:rsidRPr="00B61FF1">
        <w:rPr>
          <w:rFonts w:ascii="Arial" w:hAnsi="Arial" w:cs="Arial"/>
          <w:sz w:val="24"/>
          <w:szCs w:val="24"/>
        </w:rPr>
        <w:t>s</w:t>
      </w:r>
      <w:r w:rsidR="00FD0205" w:rsidRPr="00B61FF1">
        <w:rPr>
          <w:rFonts w:ascii="Arial" w:hAnsi="Arial" w:cs="Arial"/>
          <w:sz w:val="24"/>
          <w:szCs w:val="24"/>
        </w:rPr>
        <w:t xml:space="preserve"> 95857 and 96014 </w:t>
      </w:r>
      <w:r w:rsidR="00F778C5" w:rsidRPr="00B61FF1">
        <w:rPr>
          <w:rFonts w:ascii="Arial" w:hAnsi="Arial" w:cs="Arial"/>
          <w:sz w:val="24"/>
          <w:szCs w:val="24"/>
        </w:rPr>
        <w:t xml:space="preserve">shall not apply during these </w:t>
      </w:r>
      <w:r w:rsidR="006161EB" w:rsidRPr="00B61FF1">
        <w:rPr>
          <w:rFonts w:ascii="Arial" w:hAnsi="Arial" w:cs="Arial"/>
          <w:sz w:val="24"/>
          <w:szCs w:val="24"/>
        </w:rPr>
        <w:t>six</w:t>
      </w:r>
      <w:r w:rsidR="00F778C5" w:rsidRPr="00B61FF1">
        <w:rPr>
          <w:rFonts w:ascii="Arial" w:hAnsi="Arial" w:cs="Arial"/>
          <w:sz w:val="24"/>
          <w:szCs w:val="24"/>
        </w:rPr>
        <w:t xml:space="preserve"> months. The entity may use compliance instruments from subsequent compliance periods to meet these requirements.  The entity may only use CA GHG allowances or allowances issued </w:t>
      </w:r>
      <w:r w:rsidR="005B714A" w:rsidRPr="00B61FF1">
        <w:rPr>
          <w:rFonts w:ascii="Arial" w:hAnsi="Arial" w:cs="Arial"/>
          <w:sz w:val="24"/>
          <w:szCs w:val="24"/>
        </w:rPr>
        <w:t xml:space="preserve">by a GHG ETS approved </w:t>
      </w:r>
      <w:r w:rsidR="00F778C5" w:rsidRPr="00B61FF1">
        <w:rPr>
          <w:rFonts w:ascii="Arial" w:hAnsi="Arial" w:cs="Arial"/>
          <w:sz w:val="24"/>
          <w:szCs w:val="24"/>
        </w:rPr>
        <w:t xml:space="preserve">pursuant to subarticle 12 to meet the requirements of this section. </w:t>
      </w:r>
    </w:p>
    <w:p w14:paraId="510D16B0" w14:textId="77777777" w:rsidR="0084141F" w:rsidRPr="00B61FF1" w:rsidRDefault="0084141F" w:rsidP="00773FFB">
      <w:pPr>
        <w:pStyle w:val="ListParagraph"/>
        <w:autoSpaceDE/>
        <w:autoSpaceDN/>
        <w:adjustRightInd/>
        <w:spacing w:line="360" w:lineRule="auto"/>
        <w:ind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Any determination that an entity under-reported its emissions for a previous compliance period shall be made by the Executive Officer no later than eight years from the applicable verification deadline for </w:t>
      </w:r>
      <w:r w:rsidR="003B67AB" w:rsidRPr="00B61FF1">
        <w:rPr>
          <w:rFonts w:ascii="Arial" w:hAnsi="Arial" w:cs="Arial"/>
          <w:sz w:val="24"/>
          <w:szCs w:val="24"/>
        </w:rPr>
        <w:t xml:space="preserve">the </w:t>
      </w:r>
      <w:r w:rsidRPr="00B61FF1">
        <w:rPr>
          <w:rFonts w:ascii="Arial" w:hAnsi="Arial" w:cs="Arial"/>
          <w:sz w:val="24"/>
          <w:szCs w:val="24"/>
        </w:rPr>
        <w:t xml:space="preserve">emissions data report which contained the under-reporting of emissions. </w:t>
      </w:r>
    </w:p>
    <w:p w14:paraId="7E2C4988"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40DE052"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23634B49" w14:textId="77777777" w:rsidR="00FE6B15" w:rsidRPr="00B61FF1" w:rsidRDefault="00FE6B15" w:rsidP="00CC193F">
      <w:pPr>
        <w:pStyle w:val="Heading1"/>
      </w:pPr>
      <w:bookmarkStart w:id="254" w:name="_Toc258839165"/>
      <w:bookmarkStart w:id="255" w:name="_Toc269798074"/>
      <w:bookmarkStart w:id="256" w:name="_Toc299094941"/>
      <w:bookmarkStart w:id="257" w:name="_Toc302746794"/>
      <w:bookmarkStart w:id="258" w:name="_Toc352146255"/>
      <w:bookmarkStart w:id="259" w:name="_Toc361659856"/>
      <w:bookmarkEnd w:id="152"/>
      <w:r w:rsidRPr="00B61FF1">
        <w:t>Subarticle 8: Disposition of Allowances</w:t>
      </w:r>
      <w:bookmarkEnd w:id="254"/>
      <w:bookmarkEnd w:id="255"/>
      <w:bookmarkEnd w:id="256"/>
      <w:bookmarkEnd w:id="257"/>
      <w:bookmarkEnd w:id="258"/>
      <w:bookmarkEnd w:id="259"/>
      <w:r w:rsidRPr="00B61FF1">
        <w:t xml:space="preserve"> </w:t>
      </w:r>
    </w:p>
    <w:p w14:paraId="334BEA6A" w14:textId="77777777" w:rsidR="00FE6B15" w:rsidRPr="00B61FF1" w:rsidRDefault="00FE6B15" w:rsidP="004E3B67">
      <w:pPr>
        <w:pStyle w:val="Heading2"/>
        <w:keepNext w:val="0"/>
        <w:rPr>
          <w:i/>
          <w:szCs w:val="24"/>
        </w:rPr>
      </w:pPr>
      <w:bookmarkStart w:id="260" w:name="_Toc265240659"/>
      <w:bookmarkStart w:id="261" w:name="_Toc269798075"/>
      <w:bookmarkStart w:id="262" w:name="_Toc272527740"/>
      <w:bookmarkStart w:id="263" w:name="_Toc299094942"/>
      <w:bookmarkStart w:id="264" w:name="_Toc302746795"/>
      <w:bookmarkStart w:id="265" w:name="_Toc352146256"/>
      <w:bookmarkStart w:id="266" w:name="_Toc361659857"/>
      <w:bookmarkStart w:id="267" w:name="_Toc258839166"/>
      <w:r w:rsidRPr="00B61FF1">
        <w:rPr>
          <w:szCs w:val="24"/>
        </w:rPr>
        <w:t>§ 95870.  Disposition of Allowances</w:t>
      </w:r>
      <w:bookmarkEnd w:id="260"/>
      <w:bookmarkEnd w:id="261"/>
      <w:bookmarkEnd w:id="262"/>
      <w:r w:rsidR="005B714A" w:rsidRPr="00B61FF1">
        <w:rPr>
          <w:szCs w:val="24"/>
        </w:rPr>
        <w:t>.</w:t>
      </w:r>
      <w:bookmarkEnd w:id="263"/>
      <w:bookmarkEnd w:id="264"/>
      <w:bookmarkEnd w:id="265"/>
      <w:bookmarkEnd w:id="266"/>
    </w:p>
    <w:p w14:paraId="026CB582" w14:textId="77777777" w:rsidR="00FE6B15" w:rsidRPr="00B61FF1" w:rsidRDefault="00C5649C" w:rsidP="00C5649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Allowance Price Containment Reserve.  </w:t>
      </w:r>
      <w:r w:rsidR="00520686" w:rsidRPr="00B61FF1">
        <w:rPr>
          <w:rFonts w:ascii="Arial" w:hAnsi="Arial" w:cs="Arial"/>
          <w:sz w:val="24"/>
          <w:szCs w:val="24"/>
        </w:rPr>
        <w:t xml:space="preserve">Upon creation of the Allowance Price Containment Reserve Account, </w:t>
      </w:r>
      <w:r w:rsidR="00FE6B15" w:rsidRPr="00B61FF1">
        <w:rPr>
          <w:rFonts w:ascii="Arial" w:hAnsi="Arial" w:cs="Arial"/>
          <w:sz w:val="24"/>
          <w:szCs w:val="24"/>
        </w:rPr>
        <w:t xml:space="preserve">the Executive Officer shall transfer allowances to the Allowance Price Containment Reserve, as follows:  </w:t>
      </w:r>
    </w:p>
    <w:p w14:paraId="1F7BFD44" w14:textId="77777777" w:rsidR="00FE6B15" w:rsidRPr="00B61FF1" w:rsidRDefault="00C5649C" w:rsidP="00C5649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One percent of the allowances from budget years 201</w:t>
      </w:r>
      <w:r w:rsidR="00C70861" w:rsidRPr="00B61FF1">
        <w:rPr>
          <w:rFonts w:ascii="Arial" w:hAnsi="Arial" w:cs="Arial"/>
          <w:sz w:val="24"/>
          <w:szCs w:val="24"/>
        </w:rPr>
        <w:t>3</w:t>
      </w:r>
      <w:r w:rsidR="00FE6B15" w:rsidRPr="00B61FF1">
        <w:rPr>
          <w:rFonts w:ascii="Arial" w:hAnsi="Arial" w:cs="Arial"/>
          <w:sz w:val="24"/>
          <w:szCs w:val="24"/>
        </w:rPr>
        <w:t xml:space="preserve">-2014; </w:t>
      </w:r>
    </w:p>
    <w:p w14:paraId="72AFE6A7" w14:textId="77777777" w:rsidR="00FE6B15" w:rsidRPr="00B61FF1" w:rsidRDefault="00C5649C" w:rsidP="00C5649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Four percent of the allowances from budget years 2015-2017; and </w:t>
      </w:r>
    </w:p>
    <w:p w14:paraId="61309A6A" w14:textId="77777777" w:rsidR="00FE6B15" w:rsidRPr="00B61FF1" w:rsidRDefault="00C5649C" w:rsidP="00C5649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E6B15" w:rsidRPr="00B61FF1">
        <w:rPr>
          <w:rFonts w:ascii="Arial" w:hAnsi="Arial" w:cs="Arial"/>
          <w:sz w:val="24"/>
          <w:szCs w:val="24"/>
        </w:rPr>
        <w:t>Seven percent of the allowances from budget years 2018-2020.</w:t>
      </w:r>
    </w:p>
    <w:p w14:paraId="20A0B731" w14:textId="77777777" w:rsidR="00FE6B15" w:rsidRPr="00B61FF1" w:rsidRDefault="00C5649C" w:rsidP="0021097D">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 xml:space="preserve">Advance Auction.  </w:t>
      </w:r>
      <w:r w:rsidR="00520686" w:rsidRPr="00B61FF1">
        <w:rPr>
          <w:rFonts w:ascii="Arial" w:hAnsi="Arial" w:cs="Arial"/>
          <w:sz w:val="24"/>
          <w:szCs w:val="24"/>
        </w:rPr>
        <w:t xml:space="preserve">Upon creation of the Auction Holding Account, </w:t>
      </w:r>
      <w:r w:rsidR="00FE6B15" w:rsidRPr="00B61FF1">
        <w:rPr>
          <w:rFonts w:ascii="Arial" w:hAnsi="Arial" w:cs="Arial"/>
          <w:sz w:val="24"/>
          <w:szCs w:val="24"/>
        </w:rPr>
        <w:t xml:space="preserve">the Executive Officer shall transfer </w:t>
      </w:r>
      <w:r w:rsidR="00C70861" w:rsidRPr="00B61FF1">
        <w:rPr>
          <w:rFonts w:ascii="Arial" w:hAnsi="Arial" w:cs="Arial"/>
          <w:sz w:val="24"/>
          <w:szCs w:val="24"/>
        </w:rPr>
        <w:t>10</w:t>
      </w:r>
      <w:r w:rsidR="00FE6B15" w:rsidRPr="00B61FF1">
        <w:rPr>
          <w:rFonts w:ascii="Arial" w:hAnsi="Arial" w:cs="Arial"/>
          <w:sz w:val="24"/>
          <w:szCs w:val="24"/>
        </w:rPr>
        <w:t xml:space="preserve"> percent of the allowances from budget years 2015-2020 to the Auction Holding Account.</w:t>
      </w:r>
    </w:p>
    <w:p w14:paraId="295FD580" w14:textId="77777777" w:rsidR="00D472A2" w:rsidRPr="00B61FF1" w:rsidRDefault="00C5649C" w:rsidP="00D472A2">
      <w:pPr>
        <w:spacing w:line="360" w:lineRule="auto"/>
        <w:ind w:left="1080" w:hanging="720"/>
        <w:rPr>
          <w:rFonts w:ascii="Arial" w:hAnsi="Arial" w:cs="Arial"/>
          <w:sz w:val="24"/>
          <w:szCs w:val="24"/>
        </w:rPr>
      </w:pPr>
      <w:r w:rsidRPr="00B61FF1">
        <w:rPr>
          <w:rFonts w:ascii="Arial" w:hAnsi="Arial" w:cs="Arial"/>
          <w:sz w:val="24"/>
          <w:szCs w:val="24"/>
        </w:rPr>
        <w:lastRenderedPageBreak/>
        <w:t>(1)</w:t>
      </w:r>
      <w:r w:rsidRPr="00B61FF1">
        <w:rPr>
          <w:rFonts w:ascii="Arial" w:hAnsi="Arial" w:cs="Arial"/>
          <w:sz w:val="24"/>
          <w:szCs w:val="24"/>
        </w:rPr>
        <w:tab/>
      </w:r>
      <w:r w:rsidR="00FE6B15" w:rsidRPr="00B61FF1">
        <w:rPr>
          <w:rFonts w:ascii="Arial" w:hAnsi="Arial" w:cs="Arial"/>
          <w:sz w:val="24"/>
          <w:szCs w:val="24"/>
        </w:rPr>
        <w:t xml:space="preserve">These allowances </w:t>
      </w:r>
      <w:r w:rsidR="00D472A2" w:rsidRPr="00B61FF1">
        <w:rPr>
          <w:rFonts w:ascii="Arial" w:hAnsi="Arial" w:cs="Arial"/>
          <w:sz w:val="24"/>
          <w:szCs w:val="24"/>
          <w:u w:val="single"/>
        </w:rPr>
        <w:t>will be eligible to be sold pursuant to section 95913(f)</w:t>
      </w:r>
      <w:r w:rsidR="00D472A2" w:rsidRPr="00B61FF1">
        <w:rPr>
          <w:rFonts w:ascii="Arial" w:hAnsi="Arial" w:cs="Arial"/>
          <w:strike/>
          <w:sz w:val="24"/>
          <w:szCs w:val="24"/>
        </w:rPr>
        <w:t>shall be auctioned pursuant to section 95910</w:t>
      </w:r>
      <w:r w:rsidR="00D472A2" w:rsidRPr="00B61FF1">
        <w:rPr>
          <w:rFonts w:ascii="Arial" w:hAnsi="Arial" w:cs="Arial"/>
          <w:sz w:val="24"/>
          <w:szCs w:val="24"/>
        </w:rPr>
        <w:t xml:space="preserve">. </w:t>
      </w:r>
    </w:p>
    <w:p w14:paraId="5C8E4885" w14:textId="77777777" w:rsidR="00D472A2" w:rsidRPr="00B61FF1" w:rsidRDefault="00D472A2" w:rsidP="00D472A2">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4733A2">
        <w:rPr>
          <w:rFonts w:ascii="Arial" w:hAnsi="Arial" w:cs="Arial"/>
          <w:sz w:val="24"/>
          <w:szCs w:val="24"/>
        </w:rPr>
        <w:tab/>
      </w:r>
      <w:r w:rsidRPr="00B61FF1">
        <w:rPr>
          <w:rFonts w:ascii="Arial" w:hAnsi="Arial" w:cs="Arial"/>
          <w:sz w:val="24"/>
          <w:szCs w:val="24"/>
          <w:u w:val="single"/>
        </w:rPr>
        <w:t>All Advance Auction allowances not sold pursuant to section 95913(f) will be auctioned pursuant to section 95910.</w:t>
      </w:r>
    </w:p>
    <w:p w14:paraId="3A90F4DA" w14:textId="1879EC09" w:rsidR="00FE6B15" w:rsidRPr="00B61FF1" w:rsidRDefault="00D472A2" w:rsidP="00D472A2">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2</w:t>
      </w:r>
      <w:r w:rsidRPr="00B61FF1">
        <w:rPr>
          <w:rFonts w:ascii="Arial" w:hAnsi="Arial" w:cs="Arial"/>
          <w:sz w:val="24"/>
          <w:szCs w:val="24"/>
          <w:u w:val="single"/>
        </w:rPr>
        <w:t>3</w:t>
      </w:r>
      <w:r w:rsidRPr="00B61FF1">
        <w:rPr>
          <w:rFonts w:ascii="Arial" w:hAnsi="Arial" w:cs="Arial"/>
          <w:sz w:val="24"/>
          <w:szCs w:val="24"/>
        </w:rPr>
        <w:t>)</w:t>
      </w:r>
      <w:r w:rsidR="00C5649C" w:rsidRPr="00B61FF1">
        <w:rPr>
          <w:rFonts w:ascii="Arial" w:hAnsi="Arial" w:cs="Arial"/>
          <w:sz w:val="24"/>
          <w:szCs w:val="24"/>
        </w:rPr>
        <w:tab/>
      </w:r>
      <w:r w:rsidR="00B80CC5" w:rsidRPr="00B61FF1">
        <w:rPr>
          <w:rFonts w:ascii="Arial" w:hAnsi="Arial" w:cs="Arial"/>
          <w:sz w:val="24"/>
          <w:szCs w:val="24"/>
        </w:rPr>
        <w:t xml:space="preserve">The proceeds from the sale of these allowances will be deposited into the </w:t>
      </w:r>
      <w:r w:rsidR="00B80CC5" w:rsidRPr="00B61FF1">
        <w:rPr>
          <w:rFonts w:ascii="Arial" w:hAnsi="Arial" w:cs="Arial"/>
          <w:strike/>
          <w:sz w:val="24"/>
          <w:szCs w:val="24"/>
        </w:rPr>
        <w:t>Air Pollution Control Fund</w:t>
      </w:r>
      <w:r w:rsidR="00B80CC5" w:rsidRPr="00B61FF1">
        <w:rPr>
          <w:rFonts w:ascii="Arial" w:hAnsi="Arial" w:cs="Arial"/>
          <w:sz w:val="24"/>
          <w:szCs w:val="24"/>
        </w:rPr>
        <w:t xml:space="preserve"> </w:t>
      </w:r>
      <w:r w:rsidR="00B80CC5" w:rsidRPr="00B61FF1">
        <w:rPr>
          <w:rFonts w:ascii="Arial" w:hAnsi="Arial" w:cs="Arial"/>
          <w:sz w:val="24"/>
          <w:szCs w:val="24"/>
          <w:u w:val="single"/>
        </w:rPr>
        <w:t>Greenhouse Gas Reduction Fund created pursuant to Government Code section 16428.8,</w:t>
      </w:r>
      <w:r w:rsidR="00B80CC5" w:rsidRPr="00B61FF1">
        <w:rPr>
          <w:rFonts w:ascii="Arial" w:hAnsi="Arial" w:cs="Arial"/>
          <w:sz w:val="24"/>
          <w:szCs w:val="24"/>
        </w:rPr>
        <w:t xml:space="preserve"> and will be available for appropriation by the Legislature for the purposes designated in California Health and Safety Code sections 38500 et seq. </w:t>
      </w:r>
      <w:r w:rsidR="00B80CC5" w:rsidRPr="00B61FF1">
        <w:rPr>
          <w:rFonts w:ascii="Arial" w:hAnsi="Arial" w:cs="Arial"/>
          <w:sz w:val="24"/>
          <w:szCs w:val="24"/>
          <w:u w:val="single"/>
        </w:rPr>
        <w:t>and consistent with the requirements of Chapter 4.1 (commencing with Section 39710) of Part 2 of Division 26 of the California Health and Safety Code and Article 9.7 (commencing with Section 16428.8) of Chapter 2 of Part 2 of Division 4 of Title 2 of the Government Code.</w:t>
      </w:r>
    </w:p>
    <w:p w14:paraId="24F66E8B" w14:textId="2965097D" w:rsidR="00FE6B15" w:rsidRPr="00B61FF1" w:rsidRDefault="00C5649C" w:rsidP="00C5649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520686" w:rsidRPr="00B61FF1">
        <w:rPr>
          <w:rFonts w:ascii="Arial" w:hAnsi="Arial" w:cs="Arial"/>
          <w:sz w:val="24"/>
          <w:szCs w:val="24"/>
        </w:rPr>
        <w:t xml:space="preserve">Upon creation of the Voluntary Renewable Electricity Reserve Account, </w:t>
      </w:r>
      <w:r w:rsidR="00FE6B15" w:rsidRPr="00B61FF1">
        <w:rPr>
          <w:rFonts w:ascii="Arial" w:hAnsi="Arial" w:cs="Arial"/>
          <w:sz w:val="24"/>
          <w:szCs w:val="24"/>
        </w:rPr>
        <w:t>the Executive Officer shall transfer allowances to the Voluntary Renewable Electricity Reserve</w:t>
      </w:r>
      <w:r w:rsidR="00C70861" w:rsidRPr="00B61FF1">
        <w:rPr>
          <w:rFonts w:ascii="Arial" w:hAnsi="Arial" w:cs="Arial"/>
          <w:sz w:val="24"/>
          <w:szCs w:val="24"/>
        </w:rPr>
        <w:t xml:space="preserve"> Account</w:t>
      </w:r>
      <w:r w:rsidR="00FE6B15" w:rsidRPr="00B61FF1">
        <w:rPr>
          <w:rFonts w:ascii="Arial" w:hAnsi="Arial" w:cs="Arial"/>
          <w:sz w:val="24"/>
          <w:szCs w:val="24"/>
        </w:rPr>
        <w:t>, as follows:</w:t>
      </w:r>
    </w:p>
    <w:p w14:paraId="1CFB8E3C" w14:textId="77777777" w:rsidR="007D26BA" w:rsidRPr="00B61FF1" w:rsidRDefault="00C5649C" w:rsidP="00C5649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9B6F4B" w:rsidRPr="00B61FF1">
        <w:rPr>
          <w:rFonts w:ascii="Arial" w:hAnsi="Arial" w:cs="Arial"/>
          <w:sz w:val="24"/>
          <w:szCs w:val="24"/>
        </w:rPr>
        <w:t>0.5</w:t>
      </w:r>
      <w:r w:rsidR="007D26BA" w:rsidRPr="00B61FF1">
        <w:rPr>
          <w:rFonts w:ascii="Arial" w:hAnsi="Arial" w:cs="Arial"/>
          <w:sz w:val="24"/>
          <w:szCs w:val="24"/>
        </w:rPr>
        <w:t xml:space="preserve"> percent of the allowances from budget years 201</w:t>
      </w:r>
      <w:r w:rsidR="00501A97" w:rsidRPr="00B61FF1">
        <w:rPr>
          <w:rFonts w:ascii="Arial" w:hAnsi="Arial" w:cs="Arial"/>
          <w:sz w:val="24"/>
          <w:szCs w:val="24"/>
        </w:rPr>
        <w:t>3</w:t>
      </w:r>
      <w:r w:rsidR="007D26BA" w:rsidRPr="00B61FF1">
        <w:rPr>
          <w:rFonts w:ascii="Arial" w:hAnsi="Arial" w:cs="Arial"/>
          <w:sz w:val="24"/>
          <w:szCs w:val="24"/>
        </w:rPr>
        <w:t>-2014;</w:t>
      </w:r>
      <w:r w:rsidR="0054122B" w:rsidRPr="00B61FF1">
        <w:rPr>
          <w:rFonts w:ascii="Arial" w:hAnsi="Arial" w:cs="Arial"/>
          <w:sz w:val="24"/>
          <w:szCs w:val="24"/>
        </w:rPr>
        <w:t xml:space="preserve"> and</w:t>
      </w:r>
    </w:p>
    <w:p w14:paraId="798C4F10" w14:textId="77777777" w:rsidR="007D26BA" w:rsidRPr="00B61FF1" w:rsidRDefault="00C5649C" w:rsidP="00C5649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9B6F4B" w:rsidRPr="00B61FF1">
        <w:rPr>
          <w:rFonts w:ascii="Arial" w:hAnsi="Arial" w:cs="Arial"/>
          <w:sz w:val="24"/>
          <w:szCs w:val="24"/>
        </w:rPr>
        <w:t>0.25</w:t>
      </w:r>
      <w:r w:rsidR="007D26BA" w:rsidRPr="00B61FF1">
        <w:rPr>
          <w:rFonts w:ascii="Arial" w:hAnsi="Arial" w:cs="Arial"/>
          <w:sz w:val="24"/>
          <w:szCs w:val="24"/>
        </w:rPr>
        <w:t xml:space="preserve"> percent of the allowances from budget years 2015-2020</w:t>
      </w:r>
      <w:r w:rsidR="00754E0B" w:rsidRPr="00B61FF1">
        <w:rPr>
          <w:rFonts w:ascii="Arial" w:hAnsi="Arial" w:cs="Arial"/>
          <w:sz w:val="24"/>
          <w:szCs w:val="24"/>
        </w:rPr>
        <w:t>.</w:t>
      </w:r>
    </w:p>
    <w:p w14:paraId="16C20CA8" w14:textId="77777777" w:rsidR="00FE6B15" w:rsidRPr="00B61FF1" w:rsidRDefault="00EA5816" w:rsidP="007C2F50">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r>
      <w:r w:rsidR="00520686" w:rsidRPr="00B61FF1">
        <w:rPr>
          <w:rFonts w:ascii="Arial" w:hAnsi="Arial" w:cs="Arial"/>
          <w:sz w:val="24"/>
          <w:szCs w:val="24"/>
        </w:rPr>
        <w:t xml:space="preserve">Electrical Distribution Utility Sector Allocation.  Allowances available for allocation to electrical distribution utilities each budget year shall be 97.7 million metric tons multiplied by the cap adjustment factor in Table 9-2 for each budget year 2013-2020.  The Executive Officer will allocate to electrical distribution utilities on </w:t>
      </w:r>
      <w:r w:rsidR="00E22A7B" w:rsidRPr="00B61FF1">
        <w:rPr>
          <w:rFonts w:ascii="Arial" w:hAnsi="Arial" w:cs="Arial"/>
          <w:sz w:val="24"/>
          <w:szCs w:val="24"/>
        </w:rPr>
        <w:t>September 14, 2012</w:t>
      </w:r>
      <w:r w:rsidR="00520686" w:rsidRPr="00B61FF1">
        <w:rPr>
          <w:rFonts w:ascii="Arial" w:hAnsi="Arial" w:cs="Arial"/>
          <w:sz w:val="24"/>
          <w:szCs w:val="24"/>
        </w:rPr>
        <w:t xml:space="preserve"> for vintage 2013 allowances and </w:t>
      </w:r>
      <w:r w:rsidR="00E97FFB" w:rsidRPr="00B61FF1">
        <w:rPr>
          <w:rFonts w:ascii="Arial" w:hAnsi="Arial" w:cs="Arial"/>
          <w:sz w:val="24"/>
          <w:szCs w:val="24"/>
          <w:u w:val="single"/>
        </w:rPr>
        <w:t>October 15</w:t>
      </w:r>
      <w:r w:rsidR="00520686" w:rsidRPr="00B61FF1">
        <w:rPr>
          <w:rFonts w:ascii="Arial" w:hAnsi="Arial" w:cs="Arial"/>
          <w:strike/>
          <w:sz w:val="24"/>
          <w:szCs w:val="24"/>
        </w:rPr>
        <w:t>November 1</w:t>
      </w:r>
      <w:r w:rsidR="00520686" w:rsidRPr="00B61FF1">
        <w:rPr>
          <w:rFonts w:ascii="Arial" w:hAnsi="Arial" w:cs="Arial"/>
          <w:sz w:val="24"/>
          <w:szCs w:val="24"/>
        </w:rPr>
        <w:t xml:space="preserve">, or </w:t>
      </w:r>
      <w:r w:rsidR="00E22A7B" w:rsidRPr="00B61FF1">
        <w:rPr>
          <w:rFonts w:ascii="Arial" w:hAnsi="Arial" w:cs="Arial"/>
          <w:sz w:val="24"/>
          <w:szCs w:val="24"/>
        </w:rPr>
        <w:t xml:space="preserve">the </w:t>
      </w:r>
      <w:r w:rsidR="00520686" w:rsidRPr="00B61FF1">
        <w:rPr>
          <w:rFonts w:ascii="Arial" w:hAnsi="Arial" w:cs="Arial"/>
          <w:sz w:val="24"/>
          <w:szCs w:val="24"/>
        </w:rPr>
        <w:t xml:space="preserve">first business day thereafter, of each calendar year from 2013-2019 for allocations from 2014-2020 annual allowance budgets.     </w:t>
      </w:r>
    </w:p>
    <w:p w14:paraId="2D6C359D" w14:textId="07EF4276" w:rsidR="00FE6B15" w:rsidRPr="00B61FF1" w:rsidRDefault="00EA5816" w:rsidP="00EA5816">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r>
      <w:r w:rsidR="00FE6B15" w:rsidRPr="00B61FF1">
        <w:rPr>
          <w:rFonts w:ascii="Arial" w:hAnsi="Arial" w:cs="Arial"/>
          <w:sz w:val="24"/>
          <w:szCs w:val="24"/>
        </w:rPr>
        <w:t xml:space="preserve">Allocation to Industrial Covered Entities.  Allowances allocated for the purposes of industry assistance shall be transferred to holding accounts for industrial sectors listed in Table 8-1.  </w:t>
      </w:r>
    </w:p>
    <w:p w14:paraId="2B51A4CC" w14:textId="3269863B" w:rsidR="00FE6B15" w:rsidRPr="00B61FF1" w:rsidRDefault="00C5649C" w:rsidP="00C5649C">
      <w:pPr>
        <w:spacing w:line="360" w:lineRule="auto"/>
        <w:ind w:left="1080" w:hanging="720"/>
        <w:rPr>
          <w:rFonts w:ascii="Arial" w:hAnsi="Arial" w:cs="Arial"/>
          <w:strike/>
          <w:sz w:val="24"/>
          <w:szCs w:val="24"/>
        </w:rPr>
      </w:pPr>
      <w:r w:rsidRPr="00B61FF1">
        <w:rPr>
          <w:rFonts w:ascii="Arial" w:hAnsi="Arial" w:cs="Arial"/>
          <w:sz w:val="24"/>
          <w:szCs w:val="24"/>
        </w:rPr>
        <w:t>(1)</w:t>
      </w:r>
      <w:r w:rsidRPr="00B61FF1">
        <w:rPr>
          <w:rFonts w:ascii="Arial" w:hAnsi="Arial" w:cs="Arial"/>
          <w:sz w:val="24"/>
          <w:szCs w:val="24"/>
        </w:rPr>
        <w:tab/>
      </w:r>
      <w:r w:rsidR="00520686" w:rsidRPr="00B61FF1">
        <w:rPr>
          <w:rFonts w:ascii="Arial" w:hAnsi="Arial" w:cs="Arial"/>
          <w:sz w:val="24"/>
          <w:szCs w:val="24"/>
        </w:rPr>
        <w:t xml:space="preserve">The Executive Officer will </w:t>
      </w:r>
      <w:r w:rsidR="00E97FFB" w:rsidRPr="00B61FF1">
        <w:rPr>
          <w:rFonts w:ascii="Arial" w:hAnsi="Arial" w:cs="Arial"/>
          <w:sz w:val="24"/>
          <w:szCs w:val="24"/>
          <w:u w:val="single"/>
        </w:rPr>
        <w:t>allocate</w:t>
      </w:r>
      <w:r w:rsidR="009673C0" w:rsidRPr="00B61FF1">
        <w:rPr>
          <w:rFonts w:ascii="Arial" w:hAnsi="Arial" w:cs="Arial"/>
          <w:sz w:val="24"/>
          <w:szCs w:val="24"/>
        </w:rPr>
        <w:t xml:space="preserve"> </w:t>
      </w:r>
      <w:r w:rsidR="009673C0" w:rsidRPr="00B61FF1">
        <w:rPr>
          <w:rFonts w:ascii="Arial" w:hAnsi="Arial" w:cs="Arial"/>
          <w:sz w:val="24"/>
          <w:szCs w:val="24"/>
          <w:u w:val="single"/>
        </w:rPr>
        <w:t>allo</w:t>
      </w:r>
      <w:r w:rsidR="00851CAA" w:rsidRPr="00B61FF1">
        <w:rPr>
          <w:rFonts w:ascii="Arial" w:hAnsi="Arial" w:cs="Arial"/>
          <w:sz w:val="24"/>
          <w:szCs w:val="24"/>
          <w:u w:val="single"/>
        </w:rPr>
        <w:t>wances</w:t>
      </w:r>
      <w:r w:rsidR="009673C0" w:rsidRPr="00B61FF1">
        <w:rPr>
          <w:rFonts w:ascii="Arial" w:hAnsi="Arial" w:cs="Arial"/>
          <w:sz w:val="24"/>
          <w:szCs w:val="24"/>
          <w:u w:val="single"/>
        </w:rPr>
        <w:t xml:space="preserve"> from 2013-2020 annual allowance budgets</w:t>
      </w:r>
      <w:r w:rsidR="00E97FFB" w:rsidRPr="00B61FF1">
        <w:rPr>
          <w:rFonts w:ascii="Arial" w:hAnsi="Arial" w:cs="Arial"/>
          <w:sz w:val="24"/>
          <w:szCs w:val="24"/>
          <w:u w:val="single"/>
        </w:rPr>
        <w:t xml:space="preserve"> to </w:t>
      </w:r>
      <w:r w:rsidR="00520686" w:rsidRPr="00B61FF1">
        <w:rPr>
          <w:rFonts w:ascii="Arial" w:hAnsi="Arial" w:cs="Arial"/>
          <w:strike/>
          <w:sz w:val="24"/>
          <w:szCs w:val="24"/>
        </w:rPr>
        <w:t xml:space="preserve">place an annual individual allocation in the </w:t>
      </w:r>
      <w:r w:rsidR="00520686" w:rsidRPr="00B61FF1">
        <w:rPr>
          <w:rFonts w:ascii="Arial" w:hAnsi="Arial" w:cs="Arial"/>
          <w:strike/>
          <w:sz w:val="24"/>
          <w:szCs w:val="24"/>
        </w:rPr>
        <w:lastRenderedPageBreak/>
        <w:t>holding account of</w:t>
      </w:r>
      <w:r w:rsidR="00520686" w:rsidRPr="00B61FF1">
        <w:rPr>
          <w:rFonts w:ascii="Arial" w:hAnsi="Arial" w:cs="Arial"/>
          <w:sz w:val="24"/>
          <w:szCs w:val="24"/>
        </w:rPr>
        <w:t xml:space="preserve"> each eligible covered entity on or before </w:t>
      </w:r>
      <w:r w:rsidR="00E97FFB" w:rsidRPr="00B61FF1">
        <w:rPr>
          <w:rFonts w:ascii="Arial" w:hAnsi="Arial" w:cs="Arial"/>
          <w:sz w:val="24"/>
          <w:szCs w:val="24"/>
          <w:u w:val="single"/>
        </w:rPr>
        <w:t>October 15</w:t>
      </w:r>
      <w:r w:rsidR="00520686" w:rsidRPr="00B61FF1">
        <w:rPr>
          <w:rFonts w:ascii="Arial" w:hAnsi="Arial" w:cs="Arial"/>
          <w:strike/>
          <w:sz w:val="24"/>
          <w:szCs w:val="24"/>
        </w:rPr>
        <w:t>November 1</w:t>
      </w:r>
      <w:r w:rsidR="00520686" w:rsidRPr="00B61FF1">
        <w:rPr>
          <w:rFonts w:ascii="Arial" w:hAnsi="Arial" w:cs="Arial"/>
          <w:sz w:val="24"/>
          <w:szCs w:val="24"/>
        </w:rPr>
        <w:t>, or the first business day thereafter, of each calendar year 2012-2019</w:t>
      </w:r>
      <w:r w:rsidR="009673C0" w:rsidRPr="00B61FF1">
        <w:rPr>
          <w:rFonts w:ascii="Arial" w:hAnsi="Arial" w:cs="Arial"/>
          <w:sz w:val="24"/>
          <w:szCs w:val="24"/>
          <w:u w:val="single"/>
        </w:rPr>
        <w:t>.</w:t>
      </w:r>
      <w:r w:rsidR="00520686" w:rsidRPr="00B61FF1">
        <w:rPr>
          <w:rFonts w:ascii="Arial" w:hAnsi="Arial" w:cs="Arial"/>
          <w:sz w:val="24"/>
          <w:szCs w:val="24"/>
        </w:rPr>
        <w:t xml:space="preserve"> </w:t>
      </w:r>
      <w:r w:rsidR="00520686" w:rsidRPr="00B61FF1">
        <w:rPr>
          <w:rFonts w:ascii="Arial" w:hAnsi="Arial" w:cs="Arial"/>
          <w:strike/>
          <w:sz w:val="24"/>
          <w:szCs w:val="24"/>
        </w:rPr>
        <w:t>for allocations from 2013-2020 annual allowance budgets.</w:t>
      </w:r>
    </w:p>
    <w:p w14:paraId="762BFB00" w14:textId="77777777" w:rsidR="00520686" w:rsidRPr="00B61FF1" w:rsidRDefault="00C5649C" w:rsidP="00520686">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520686" w:rsidRPr="00B61FF1">
        <w:rPr>
          <w:rFonts w:ascii="Arial" w:hAnsi="Arial" w:cs="Arial"/>
          <w:sz w:val="24"/>
          <w:szCs w:val="24"/>
        </w:rPr>
        <w:t xml:space="preserve">Allocation to eligible covered entities </w:t>
      </w:r>
      <w:r w:rsidR="00520686" w:rsidRPr="00B61FF1" w:rsidDel="00780834">
        <w:rPr>
          <w:rFonts w:ascii="Arial" w:hAnsi="Arial" w:cs="Arial"/>
          <w:sz w:val="24"/>
          <w:szCs w:val="24"/>
        </w:rPr>
        <w:t xml:space="preserve">shall </w:t>
      </w:r>
      <w:r w:rsidR="00520686" w:rsidRPr="00B61FF1">
        <w:rPr>
          <w:rFonts w:ascii="Arial" w:hAnsi="Arial" w:cs="Arial"/>
          <w:sz w:val="24"/>
          <w:szCs w:val="24"/>
        </w:rPr>
        <w:t>be conducted using the assistance factors specified for each listed industrial activity found in Table 8-1 and the methodology set forth in section 95891.</w:t>
      </w:r>
    </w:p>
    <w:p w14:paraId="1049277D"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First Compliance Period Refining Sector Allocation.  Allowances available for allocation to petroleum refineries from the 2013-2014 allowance budgets shall be calculated using the following equation.  Individual petroleum refiners will receive a portion of this sector allocation under the method calculated pursuant to section 95891(d).  </w:t>
      </w:r>
    </w:p>
    <w:p w14:paraId="617C9CE2" w14:textId="77777777" w:rsidR="00520686" w:rsidRPr="00B61FF1" w:rsidRDefault="00661852" w:rsidP="00520686">
      <w:pPr>
        <w:spacing w:line="360" w:lineRule="auto"/>
        <w:ind w:left="1440" w:hanging="72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SA</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t</m:t>
              </m:r>
            </m:sub>
          </m:sSub>
        </m:oMath>
      </m:oMathPara>
    </w:p>
    <w:p w14:paraId="049B65F8"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Where:</w:t>
      </w:r>
    </w:p>
    <w:p w14:paraId="58A382BB"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ab/>
        <w:t>“SA</w:t>
      </w:r>
      <w:r w:rsidRPr="00B61FF1">
        <w:rPr>
          <w:rFonts w:ascii="Arial" w:hAnsi="Arial" w:cs="Arial"/>
          <w:sz w:val="24"/>
          <w:szCs w:val="24"/>
          <w:vertAlign w:val="subscript"/>
        </w:rPr>
        <w:t>t</w:t>
      </w:r>
      <w:r w:rsidRPr="00B61FF1">
        <w:rPr>
          <w:rFonts w:ascii="Arial" w:hAnsi="Arial" w:cs="Arial"/>
          <w:sz w:val="24"/>
          <w:szCs w:val="24"/>
        </w:rPr>
        <w:t>” is the allocation to the refining sector from budget year “t”;</w:t>
      </w:r>
    </w:p>
    <w:p w14:paraId="13DB1D26"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ab/>
        <w:t>“O</w:t>
      </w:r>
      <w:r w:rsidRPr="00B61FF1">
        <w:rPr>
          <w:rFonts w:ascii="Arial" w:hAnsi="Arial" w:cs="Arial"/>
          <w:sz w:val="24"/>
          <w:szCs w:val="24"/>
          <w:vertAlign w:val="subscript"/>
        </w:rPr>
        <w:t>t-2</w:t>
      </w:r>
      <w:r w:rsidRPr="00B61FF1">
        <w:rPr>
          <w:rFonts w:ascii="Arial" w:hAnsi="Arial" w:cs="Arial"/>
          <w:sz w:val="24"/>
          <w:szCs w:val="24"/>
        </w:rPr>
        <w:t>” is the output of primary refinery products, in barrels, from the refining sector in year “t-2”;</w:t>
      </w:r>
    </w:p>
    <w:p w14:paraId="57F9ECC8"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ab/>
        <w:t>“B</w:t>
      </w:r>
      <w:r w:rsidRPr="00B61FF1">
        <w:rPr>
          <w:rFonts w:ascii="Arial" w:hAnsi="Arial" w:cs="Arial"/>
          <w:sz w:val="24"/>
          <w:szCs w:val="24"/>
          <w:vertAlign w:val="subscript"/>
        </w:rPr>
        <w:t>R</w:t>
      </w:r>
      <w:r w:rsidRPr="00B61FF1">
        <w:rPr>
          <w:rFonts w:ascii="Arial" w:hAnsi="Arial" w:cs="Arial"/>
          <w:sz w:val="24"/>
          <w:szCs w:val="24"/>
        </w:rPr>
        <w:t>” is the benchmark for primary products produced by the refining sector, equal to 0.0462 metric tons of allowances per barrel of primary refinery product;</w:t>
      </w:r>
    </w:p>
    <w:p w14:paraId="29FD946B"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ab/>
        <w:t>“AF</w:t>
      </w:r>
      <w:r w:rsidRPr="00B61FF1">
        <w:rPr>
          <w:rFonts w:ascii="Arial" w:hAnsi="Arial" w:cs="Arial"/>
          <w:sz w:val="24"/>
          <w:szCs w:val="24"/>
          <w:vertAlign w:val="subscript"/>
        </w:rPr>
        <w:t>R, t</w:t>
      </w:r>
      <w:r w:rsidRPr="00B61FF1">
        <w:rPr>
          <w:rFonts w:ascii="Arial" w:hAnsi="Arial" w:cs="Arial"/>
          <w:sz w:val="24"/>
          <w:szCs w:val="24"/>
        </w:rPr>
        <w:t xml:space="preserve">” </w:t>
      </w:r>
      <w:r w:rsidRPr="00B61FF1">
        <w:rPr>
          <w:rFonts w:ascii="Arial" w:hAnsi="Arial" w:cs="Arial"/>
          <w:sz w:val="24"/>
          <w:szCs w:val="24"/>
          <w:vertAlign w:val="subscript"/>
        </w:rPr>
        <w:t xml:space="preserve"> </w:t>
      </w:r>
      <w:r w:rsidRPr="00B61FF1">
        <w:rPr>
          <w:rFonts w:ascii="Arial" w:hAnsi="Arial" w:cs="Arial"/>
          <w:sz w:val="24"/>
          <w:szCs w:val="24"/>
        </w:rPr>
        <w:t>is the assistance factor for budget year “t” assigned to petroleum refining as specified in Table 8-1; and</w:t>
      </w:r>
    </w:p>
    <w:p w14:paraId="00338599" w14:textId="77777777" w:rsidR="00520686" w:rsidRPr="00B61FF1" w:rsidRDefault="00520686" w:rsidP="00520686">
      <w:pPr>
        <w:spacing w:line="360" w:lineRule="auto"/>
        <w:ind w:left="1440"/>
        <w:rPr>
          <w:rFonts w:ascii="Arial" w:hAnsi="Arial" w:cs="Arial"/>
          <w:sz w:val="24"/>
          <w:szCs w:val="24"/>
        </w:rPr>
      </w:pPr>
      <w:r w:rsidRPr="00B61FF1">
        <w:rPr>
          <w:rFonts w:ascii="Arial" w:hAnsi="Arial" w:cs="Arial"/>
          <w:sz w:val="24"/>
          <w:szCs w:val="24"/>
        </w:rPr>
        <w:t>“c</w:t>
      </w:r>
      <w:r w:rsidRPr="00B61FF1">
        <w:rPr>
          <w:rFonts w:ascii="Arial" w:hAnsi="Arial" w:cs="Arial"/>
          <w:sz w:val="24"/>
          <w:szCs w:val="24"/>
          <w:vertAlign w:val="subscript"/>
        </w:rPr>
        <w:t>t</w:t>
      </w:r>
      <w:r w:rsidRPr="00B61FF1">
        <w:rPr>
          <w:rFonts w:ascii="Arial" w:hAnsi="Arial" w:cs="Arial"/>
          <w:sz w:val="24"/>
          <w:szCs w:val="24"/>
        </w:rPr>
        <w:t xml:space="preserve">” is the </w:t>
      </w:r>
      <w:r w:rsidR="007B2547" w:rsidRPr="00B61FF1">
        <w:rPr>
          <w:rFonts w:ascii="Arial" w:hAnsi="Arial" w:cs="Arial"/>
          <w:sz w:val="24"/>
          <w:szCs w:val="24"/>
        </w:rPr>
        <w:t xml:space="preserve">cap </w:t>
      </w:r>
      <w:r w:rsidRPr="00B61FF1">
        <w:rPr>
          <w:rFonts w:ascii="Arial" w:hAnsi="Arial" w:cs="Arial"/>
          <w:sz w:val="24"/>
          <w:szCs w:val="24"/>
        </w:rPr>
        <w:t xml:space="preserve">adjustment factor for budget year “t” assigned to </w:t>
      </w:r>
      <w:r w:rsidR="00006692" w:rsidRPr="00B61FF1">
        <w:rPr>
          <w:rFonts w:ascii="Arial" w:hAnsi="Arial" w:cs="Arial"/>
          <w:sz w:val="24"/>
          <w:szCs w:val="24"/>
        </w:rPr>
        <w:t xml:space="preserve">petroleum </w:t>
      </w:r>
      <w:r w:rsidRPr="00B61FF1">
        <w:rPr>
          <w:rFonts w:ascii="Arial" w:hAnsi="Arial" w:cs="Arial"/>
          <w:sz w:val="24"/>
          <w:szCs w:val="24"/>
        </w:rPr>
        <w:t>refining to account for cap decline as specified in Table 9-2.</w:t>
      </w:r>
    </w:p>
    <w:p w14:paraId="5398DEF3" w14:textId="77777777" w:rsidR="00F1353A" w:rsidRPr="00B61FF1" w:rsidRDefault="00F1353A" w:rsidP="00520686">
      <w:pPr>
        <w:spacing w:line="360" w:lineRule="auto"/>
        <w:ind w:left="1440"/>
        <w:rPr>
          <w:rFonts w:ascii="Arial" w:hAnsi="Arial" w:cs="Arial"/>
          <w:sz w:val="24"/>
          <w:szCs w:val="24"/>
        </w:rPr>
      </w:pPr>
    </w:p>
    <w:p w14:paraId="2AADFC1A" w14:textId="77777777" w:rsidR="00520686" w:rsidRPr="00B61FF1" w:rsidRDefault="00520686" w:rsidP="00520686">
      <w:pPr>
        <w:spacing w:line="360" w:lineRule="auto"/>
        <w:ind w:left="144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Second and Third Compliance Period Refining Sector Allocation.  For budget years 2015-2020</w:t>
      </w:r>
      <w:r w:rsidR="007B2547" w:rsidRPr="00B61FF1">
        <w:rPr>
          <w:rFonts w:ascii="Arial" w:hAnsi="Arial" w:cs="Arial"/>
          <w:sz w:val="24"/>
          <w:szCs w:val="24"/>
        </w:rPr>
        <w:t>, allowances available for allocation to individual</w:t>
      </w:r>
      <w:r w:rsidRPr="00B61FF1">
        <w:rPr>
          <w:rFonts w:ascii="Arial" w:hAnsi="Arial" w:cs="Arial"/>
          <w:sz w:val="24"/>
          <w:szCs w:val="24"/>
        </w:rPr>
        <w:t xml:space="preserve"> petroleum refineries shall </w:t>
      </w:r>
      <w:r w:rsidR="007B2547" w:rsidRPr="00B61FF1">
        <w:rPr>
          <w:rFonts w:ascii="Arial" w:hAnsi="Arial" w:cs="Arial"/>
          <w:sz w:val="24"/>
          <w:szCs w:val="24"/>
        </w:rPr>
        <w:t xml:space="preserve">be calculated using </w:t>
      </w:r>
      <w:r w:rsidRPr="00B61FF1">
        <w:rPr>
          <w:rFonts w:ascii="Arial" w:hAnsi="Arial" w:cs="Arial"/>
          <w:sz w:val="24"/>
          <w:szCs w:val="24"/>
        </w:rPr>
        <w:t xml:space="preserve">the product </w:t>
      </w:r>
      <w:r w:rsidRPr="00B61FF1">
        <w:rPr>
          <w:rFonts w:ascii="Arial" w:hAnsi="Arial" w:cs="Arial"/>
          <w:sz w:val="24"/>
          <w:szCs w:val="24"/>
        </w:rPr>
        <w:lastRenderedPageBreak/>
        <w:t xml:space="preserve">output-based allocation calculation methodology </w:t>
      </w:r>
      <w:r w:rsidR="00944EE5" w:rsidRPr="00B61FF1">
        <w:rPr>
          <w:rFonts w:ascii="Arial" w:hAnsi="Arial" w:cs="Arial"/>
          <w:sz w:val="24"/>
          <w:szCs w:val="24"/>
        </w:rPr>
        <w:t>in</w:t>
      </w:r>
      <w:r w:rsidRPr="00B61FF1">
        <w:rPr>
          <w:rFonts w:ascii="Arial" w:hAnsi="Arial" w:cs="Arial"/>
          <w:sz w:val="24"/>
          <w:szCs w:val="24"/>
        </w:rPr>
        <w:t xml:space="preserve"> section </w:t>
      </w:r>
      <w:r w:rsidR="007B2547" w:rsidRPr="00B61FF1">
        <w:rPr>
          <w:rFonts w:ascii="Arial" w:hAnsi="Arial" w:cs="Arial"/>
          <w:sz w:val="24"/>
          <w:szCs w:val="24"/>
        </w:rPr>
        <w:t>9</w:t>
      </w:r>
      <w:r w:rsidRPr="00B61FF1">
        <w:rPr>
          <w:rFonts w:ascii="Arial" w:hAnsi="Arial" w:cs="Arial"/>
          <w:sz w:val="24"/>
          <w:szCs w:val="24"/>
        </w:rPr>
        <w:t xml:space="preserve">5891(b).    </w:t>
      </w:r>
    </w:p>
    <w:p w14:paraId="6FAD41EA" w14:textId="77777777" w:rsidR="008B068E" w:rsidRPr="00B61FF1" w:rsidRDefault="00C5649C" w:rsidP="00C5649C">
      <w:pPr>
        <w:spacing w:line="360" w:lineRule="auto"/>
        <w:ind w:left="1080" w:hanging="720"/>
        <w:rPr>
          <w:rFonts w:ascii="Arial" w:hAnsi="Arial" w:cs="Arial"/>
          <w:sz w:val="24"/>
          <w:szCs w:val="24"/>
        </w:rPr>
      </w:pPr>
      <w:bookmarkStart w:id="268" w:name="_Toc275870222"/>
      <w:bookmarkStart w:id="269" w:name="_Toc269798076"/>
      <w:bookmarkStart w:id="270" w:name="_Toc272527741"/>
      <w:bookmarkStart w:id="271" w:name="_Toc265240661"/>
      <w:r w:rsidRPr="00B61FF1">
        <w:rPr>
          <w:rFonts w:ascii="Arial" w:hAnsi="Arial" w:cs="Arial"/>
          <w:sz w:val="24"/>
          <w:szCs w:val="24"/>
        </w:rPr>
        <w:t>(3)</w:t>
      </w:r>
      <w:r w:rsidRPr="00B61FF1">
        <w:rPr>
          <w:rFonts w:ascii="Arial" w:hAnsi="Arial" w:cs="Arial"/>
          <w:sz w:val="24"/>
          <w:szCs w:val="24"/>
        </w:rPr>
        <w:tab/>
      </w:r>
      <w:r w:rsidR="008B068E" w:rsidRPr="00B61FF1">
        <w:rPr>
          <w:rFonts w:ascii="Arial" w:hAnsi="Arial" w:cs="Arial"/>
          <w:sz w:val="24"/>
          <w:szCs w:val="24"/>
        </w:rPr>
        <w:t>The total amount of allowances allocated for the purposes of industry assistance shall not exceed the available amount of allowances after accounting for allocations made pursuant to section 95870(a) through (d).  If the amount calculated under the methodology set forth in section 95891 exceeds the amount of allowances available, the number of allowances available will be prorated equally across all eligible industrial covered entities.  The proration will be calculated using the share of allowances available after accounting for all allocations made pursuant to sections 95870(a) through (d) compared to total allowances that would be distributed according to the methodology set forth in section 95891.</w:t>
      </w:r>
    </w:p>
    <w:p w14:paraId="77458B71" w14:textId="20785223" w:rsidR="00C43992" w:rsidRPr="00B61FF1" w:rsidRDefault="00C43992" w:rsidP="00C5649C">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Industrial entities who purchase electricity or qualified thermal output pursuant to a legacy contract and who receive allocation under this section shall have their allocation reduced as specified in section 95891(h).</w:t>
      </w:r>
    </w:p>
    <w:p w14:paraId="48267857" w14:textId="7D8C077E" w:rsidR="00E643F6" w:rsidRPr="00B61FF1" w:rsidRDefault="00E643F6" w:rsidP="00E643F6">
      <w:pPr>
        <w:spacing w:line="360" w:lineRule="auto"/>
        <w:ind w:left="72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ab/>
      </w:r>
      <w:r w:rsidRPr="00B61FF1">
        <w:rPr>
          <w:rFonts w:ascii="Arial" w:hAnsi="Arial" w:cs="Arial"/>
          <w:sz w:val="24"/>
          <w:szCs w:val="24"/>
          <w:u w:val="single"/>
        </w:rPr>
        <w:t>Allocation to University Covered Entities</w:t>
      </w:r>
      <w:r w:rsidR="00C21FCD" w:rsidRPr="00B61FF1">
        <w:t xml:space="preserve"> </w:t>
      </w:r>
      <w:r w:rsidR="00C21FCD" w:rsidRPr="00B61FF1">
        <w:rPr>
          <w:rFonts w:ascii="Arial" w:hAnsi="Arial" w:cs="Arial"/>
          <w:sz w:val="24"/>
          <w:szCs w:val="24"/>
          <w:u w:val="single"/>
        </w:rPr>
        <w:t>and Public Service Facilities</w:t>
      </w:r>
      <w:r w:rsidRPr="00B61FF1">
        <w:rPr>
          <w:rFonts w:ascii="Arial" w:hAnsi="Arial" w:cs="Arial"/>
          <w:sz w:val="24"/>
          <w:szCs w:val="24"/>
          <w:u w:val="single"/>
        </w:rPr>
        <w:t xml:space="preserve">. The Executive Officer will place an annual individual allocation from budget year 2015 in the holding account of each eligible university covered entity for calendar years 2013, 2014, and 2015 on or before </w:t>
      </w:r>
      <w:r w:rsidR="00B53227" w:rsidRPr="00B61FF1">
        <w:rPr>
          <w:rFonts w:ascii="Arial" w:hAnsi="Arial" w:cs="Arial"/>
          <w:sz w:val="24"/>
          <w:szCs w:val="24"/>
          <w:u w:val="single"/>
        </w:rPr>
        <w:t>October 15</w:t>
      </w:r>
      <w:r w:rsidRPr="00B61FF1">
        <w:rPr>
          <w:rFonts w:ascii="Arial" w:hAnsi="Arial" w:cs="Arial"/>
          <w:sz w:val="24"/>
          <w:szCs w:val="24"/>
          <w:u w:val="single"/>
        </w:rPr>
        <w:t xml:space="preserve">, 2014.  The Executive Officer will place an annual individual allocation in the holding account of each eligible university covered entity on or before </w:t>
      </w:r>
      <w:r w:rsidR="00B53227" w:rsidRPr="00B61FF1">
        <w:rPr>
          <w:rFonts w:ascii="Arial" w:hAnsi="Arial" w:cs="Arial"/>
          <w:sz w:val="24"/>
          <w:szCs w:val="24"/>
          <w:u w:val="single"/>
        </w:rPr>
        <w:t>October 15</w:t>
      </w:r>
      <w:r w:rsidRPr="00B61FF1">
        <w:rPr>
          <w:rFonts w:ascii="Arial" w:hAnsi="Arial" w:cs="Arial"/>
          <w:sz w:val="24"/>
          <w:szCs w:val="24"/>
          <w:u w:val="single"/>
        </w:rPr>
        <w:t>, or the first business day thereafter, of each calendar year from 2015-2019 for allocations from  2016-2020 annual allowance budgets.</w:t>
      </w:r>
    </w:p>
    <w:p w14:paraId="36458F32" w14:textId="4D036378" w:rsidR="00262EEC" w:rsidRPr="00B61FF1" w:rsidRDefault="00262EEC" w:rsidP="00E643F6">
      <w:pPr>
        <w:spacing w:line="360" w:lineRule="auto"/>
        <w:ind w:left="720" w:hanging="720"/>
        <w:rPr>
          <w:rFonts w:ascii="Arial" w:hAnsi="Arial" w:cs="Arial"/>
          <w:sz w:val="24"/>
          <w:szCs w:val="24"/>
          <w:u w:val="single"/>
        </w:rPr>
      </w:pPr>
      <w:r w:rsidRPr="00B61FF1">
        <w:rPr>
          <w:rFonts w:ascii="Arial" w:hAnsi="Arial" w:cs="Arial"/>
          <w:sz w:val="24"/>
          <w:szCs w:val="24"/>
          <w:u w:val="single"/>
        </w:rPr>
        <w:t>(g)</w:t>
      </w:r>
      <w:r w:rsidRPr="00B61FF1">
        <w:rPr>
          <w:rFonts w:ascii="Arial" w:hAnsi="Arial" w:cs="Arial"/>
          <w:sz w:val="24"/>
          <w:szCs w:val="24"/>
        </w:rPr>
        <w:tab/>
      </w:r>
      <w:r w:rsidRPr="00B61FF1">
        <w:rPr>
          <w:rFonts w:ascii="Arial" w:hAnsi="Arial" w:cs="Arial"/>
          <w:sz w:val="24"/>
          <w:szCs w:val="24"/>
          <w:u w:val="single"/>
        </w:rPr>
        <w:t xml:space="preserve">The Executive Officer shall retire allowances equal to the quantity of emissions that do not have a compliance obligation </w:t>
      </w:r>
      <w:r w:rsidR="004A1E5F" w:rsidRPr="00B61FF1">
        <w:rPr>
          <w:rFonts w:ascii="Arial" w:hAnsi="Arial" w:cs="Arial"/>
          <w:sz w:val="24"/>
          <w:szCs w:val="24"/>
          <w:u w:val="single"/>
        </w:rPr>
        <w:t>based on</w:t>
      </w:r>
      <w:r w:rsidRPr="00B61FF1">
        <w:rPr>
          <w:rFonts w:ascii="Arial" w:hAnsi="Arial" w:cs="Arial"/>
          <w:sz w:val="24"/>
          <w:szCs w:val="24"/>
          <w:u w:val="single"/>
        </w:rPr>
        <w:t xml:space="preserve"> the exemption of emissions pursuant to section 95852(</w:t>
      </w:r>
      <w:r w:rsidR="002F31DB" w:rsidRPr="00B61FF1">
        <w:rPr>
          <w:rFonts w:ascii="Arial" w:hAnsi="Arial" w:cs="Arial"/>
          <w:sz w:val="24"/>
          <w:szCs w:val="24"/>
          <w:u w:val="single"/>
        </w:rPr>
        <w:t>j</w:t>
      </w:r>
      <w:r w:rsidRPr="00B61FF1">
        <w:rPr>
          <w:rFonts w:ascii="Arial" w:hAnsi="Arial" w:cs="Arial"/>
          <w:sz w:val="24"/>
          <w:szCs w:val="24"/>
          <w:u w:val="single"/>
        </w:rPr>
        <w:t>).</w:t>
      </w:r>
    </w:p>
    <w:p w14:paraId="4F3E5C62" w14:textId="5EBA5FC3" w:rsidR="00C43992" w:rsidRPr="00B61FF1" w:rsidRDefault="00C43992" w:rsidP="00E643F6">
      <w:pPr>
        <w:spacing w:line="360" w:lineRule="auto"/>
        <w:ind w:left="720" w:hanging="720"/>
        <w:rPr>
          <w:rFonts w:ascii="Arial" w:hAnsi="Arial" w:cs="Arial"/>
          <w:sz w:val="24"/>
          <w:szCs w:val="24"/>
          <w:u w:val="single"/>
        </w:rPr>
      </w:pPr>
      <w:r w:rsidRPr="00B61FF1">
        <w:rPr>
          <w:rFonts w:ascii="Arial" w:hAnsi="Arial" w:cs="Arial"/>
          <w:sz w:val="24"/>
          <w:szCs w:val="24"/>
          <w:u w:val="single"/>
        </w:rPr>
        <w:t>(h)</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Allocation to Legacy Contract Generators.  Allowances will be allocated to legacy contract generators for 2013 and 2014 for transition assistance. </w:t>
      </w:r>
      <w:r w:rsidRPr="00B61FF1">
        <w:rPr>
          <w:rFonts w:ascii="Arial" w:hAnsi="Arial" w:cs="Arial"/>
          <w:sz w:val="24"/>
          <w:szCs w:val="24"/>
          <w:u w:val="single"/>
        </w:rPr>
        <w:lastRenderedPageBreak/>
        <w:t xml:space="preserve">The Executive Office will transfer allowance allocations into each eligible generator’s holding account by </w:t>
      </w:r>
      <w:r w:rsidR="00B53227" w:rsidRPr="00B61FF1">
        <w:rPr>
          <w:rFonts w:ascii="Arial" w:hAnsi="Arial" w:cs="Arial"/>
          <w:sz w:val="24"/>
          <w:szCs w:val="24"/>
          <w:u w:val="single"/>
        </w:rPr>
        <w:t>October 15</w:t>
      </w:r>
      <w:r w:rsidRPr="00B61FF1">
        <w:rPr>
          <w:rFonts w:ascii="Arial" w:hAnsi="Arial" w:cs="Arial"/>
          <w:sz w:val="24"/>
          <w:szCs w:val="24"/>
          <w:u w:val="single"/>
        </w:rPr>
        <w:t>, 2014 for eligible Legacy Contract Emissions pursuant to the methodology set forth in section 95894.</w:t>
      </w:r>
    </w:p>
    <w:p w14:paraId="6478BAF9" w14:textId="04D47A47" w:rsidR="007B1C27" w:rsidRPr="00B61FF1" w:rsidRDefault="007B1C27" w:rsidP="00E643F6">
      <w:pPr>
        <w:spacing w:line="360" w:lineRule="auto"/>
        <w:ind w:left="720" w:hanging="720"/>
        <w:rPr>
          <w:rFonts w:ascii="Arial" w:hAnsi="Arial" w:cs="Arial"/>
          <w:sz w:val="24"/>
          <w:szCs w:val="24"/>
          <w:u w:val="single"/>
        </w:rPr>
      </w:pPr>
      <w:r w:rsidRPr="00B61FF1">
        <w:rPr>
          <w:rFonts w:ascii="Arial" w:hAnsi="Arial" w:cs="Arial"/>
          <w:sz w:val="24"/>
          <w:szCs w:val="24"/>
          <w:u w:val="single"/>
        </w:rPr>
        <w:t>(</w:t>
      </w:r>
      <w:r w:rsidR="00103999" w:rsidRPr="00B61FF1">
        <w:rPr>
          <w:rFonts w:ascii="Arial" w:hAnsi="Arial" w:cs="Arial"/>
          <w:sz w:val="24"/>
          <w:szCs w:val="24"/>
          <w:u w:val="single"/>
        </w:rPr>
        <w:t>i</w:t>
      </w:r>
      <w:r w:rsidRPr="00B61FF1">
        <w:rPr>
          <w:rFonts w:ascii="Arial" w:hAnsi="Arial" w:cs="Arial"/>
          <w:sz w:val="24"/>
          <w:szCs w:val="24"/>
          <w:u w:val="single"/>
        </w:rPr>
        <w:t>)</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Natural Gas Supplier Sector Allocation. Allowances available for allocation to natural gas suppliers each budget year shall be calculated as set forth in section 95893. The Executive Officer will allocate to natural gas suppliers on </w:t>
      </w:r>
      <w:r w:rsidR="00EE54AC" w:rsidRPr="00B61FF1">
        <w:rPr>
          <w:rFonts w:ascii="Arial" w:hAnsi="Arial" w:cs="Arial"/>
          <w:sz w:val="24"/>
          <w:szCs w:val="24"/>
          <w:u w:val="single"/>
        </w:rPr>
        <w:t>October 15</w:t>
      </w:r>
      <w:r w:rsidRPr="00B61FF1">
        <w:rPr>
          <w:rFonts w:ascii="Arial" w:hAnsi="Arial" w:cs="Arial"/>
          <w:sz w:val="24"/>
          <w:szCs w:val="24"/>
          <w:u w:val="single"/>
        </w:rPr>
        <w:t>, or the first business day thereafter, of each calendar year from 2014</w:t>
      </w:r>
      <w:r w:rsidR="00103999" w:rsidRPr="00B61FF1">
        <w:rPr>
          <w:rFonts w:ascii="Arial" w:hAnsi="Arial" w:cs="Arial"/>
          <w:sz w:val="24"/>
          <w:szCs w:val="24"/>
          <w:u w:val="single"/>
        </w:rPr>
        <w:t xml:space="preserve"> through </w:t>
      </w:r>
      <w:r w:rsidRPr="00B61FF1">
        <w:rPr>
          <w:rFonts w:ascii="Arial" w:hAnsi="Arial" w:cs="Arial"/>
          <w:sz w:val="24"/>
          <w:szCs w:val="24"/>
          <w:u w:val="single"/>
        </w:rPr>
        <w:t>2019 for allocations from 2015</w:t>
      </w:r>
      <w:r w:rsidR="00103999" w:rsidRPr="00B61FF1">
        <w:rPr>
          <w:rFonts w:ascii="Arial" w:hAnsi="Arial" w:cs="Arial"/>
          <w:sz w:val="24"/>
          <w:szCs w:val="24"/>
          <w:u w:val="single"/>
        </w:rPr>
        <w:t xml:space="preserve"> through </w:t>
      </w:r>
      <w:r w:rsidRPr="00B61FF1">
        <w:rPr>
          <w:rFonts w:ascii="Arial" w:hAnsi="Arial" w:cs="Arial"/>
          <w:sz w:val="24"/>
          <w:szCs w:val="24"/>
          <w:u w:val="single"/>
        </w:rPr>
        <w:t>2020 annual allowance budgets.</w:t>
      </w:r>
    </w:p>
    <w:p w14:paraId="7E95B981" w14:textId="65B688C0" w:rsidR="00D472A2" w:rsidRPr="00B61FF1" w:rsidRDefault="00576F5D" w:rsidP="00D472A2">
      <w:pPr>
        <w:spacing w:line="360" w:lineRule="auto"/>
        <w:ind w:left="720" w:hanging="720"/>
        <w:rPr>
          <w:rFonts w:ascii="Arial" w:hAnsi="Arial" w:cs="Arial"/>
          <w:sz w:val="24"/>
          <w:szCs w:val="24"/>
          <w:u w:val="single"/>
        </w:rPr>
      </w:pPr>
      <w:r w:rsidRPr="00B61FF1">
        <w:rPr>
          <w:rFonts w:ascii="Arial" w:hAnsi="Arial" w:cs="Arial"/>
          <w:sz w:val="24"/>
          <w:szCs w:val="24"/>
          <w:u w:val="single"/>
        </w:rPr>
        <w:t>(</w:t>
      </w:r>
      <w:r w:rsidR="00B2076F" w:rsidRPr="00B61FF1">
        <w:rPr>
          <w:rFonts w:ascii="Arial" w:hAnsi="Arial" w:cs="Arial"/>
          <w:strike/>
          <w:sz w:val="24"/>
          <w:szCs w:val="24"/>
        </w:rPr>
        <w:t>f</w:t>
      </w:r>
      <w:r w:rsidRPr="00B61FF1">
        <w:rPr>
          <w:rFonts w:ascii="Arial" w:hAnsi="Arial" w:cs="Arial"/>
          <w:sz w:val="24"/>
          <w:szCs w:val="24"/>
          <w:u w:val="single"/>
        </w:rPr>
        <w:t>j)</w:t>
      </w:r>
      <w:r w:rsidRPr="00B61FF1">
        <w:rPr>
          <w:rFonts w:ascii="Arial" w:hAnsi="Arial" w:cs="Arial"/>
          <w:sz w:val="24"/>
          <w:szCs w:val="24"/>
        </w:rPr>
        <w:tab/>
      </w:r>
      <w:r w:rsidR="00D472A2" w:rsidRPr="00B61FF1">
        <w:rPr>
          <w:rFonts w:ascii="Arial" w:hAnsi="Arial" w:cs="Arial"/>
          <w:sz w:val="24"/>
          <w:szCs w:val="24"/>
          <w:u w:val="single"/>
        </w:rPr>
        <w:t xml:space="preserve">Auction Proceeds for AB 32 Statutory Objectives.  </w:t>
      </w:r>
    </w:p>
    <w:p w14:paraId="50FA7862" w14:textId="2F361781" w:rsidR="00D472A2" w:rsidRPr="00B61FF1" w:rsidRDefault="00D472A2" w:rsidP="00D472A2">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 xml:space="preserve">     </w:t>
      </w:r>
      <w:r w:rsidR="00E85500" w:rsidRPr="00B61FF1">
        <w:rPr>
          <w:rFonts w:ascii="Arial" w:hAnsi="Arial" w:cs="Arial"/>
          <w:sz w:val="24"/>
          <w:szCs w:val="24"/>
        </w:rPr>
        <w:t xml:space="preserve"> </w:t>
      </w:r>
      <w:r w:rsidRPr="00B61FF1">
        <w:rPr>
          <w:rFonts w:ascii="Arial" w:hAnsi="Arial" w:cs="Arial"/>
          <w:sz w:val="24"/>
          <w:szCs w:val="24"/>
          <w:u w:val="single"/>
        </w:rPr>
        <w:t>Beginning in 2015, 10% of all remaining allowances from each vintage not   allocated for uses specified in section 95870(a) are eligible to be sold pursuant  to section 95913(f).</w:t>
      </w:r>
      <w:r w:rsidRPr="00B61FF1">
        <w:rPr>
          <w:rFonts w:ascii="Arial" w:hAnsi="Arial" w:cs="Arial"/>
          <w:sz w:val="24"/>
          <w:szCs w:val="24"/>
        </w:rPr>
        <w:t xml:space="preserve">  </w:t>
      </w:r>
    </w:p>
    <w:p w14:paraId="4B15062A" w14:textId="2648A41E" w:rsidR="00576F5D" w:rsidRPr="00B61FF1" w:rsidRDefault="00D472A2" w:rsidP="00D472A2">
      <w:pPr>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4557A5" w:rsidRPr="00B61FF1">
        <w:rPr>
          <w:rFonts w:ascii="Arial" w:hAnsi="Arial" w:cs="Arial"/>
          <w:strike/>
          <w:sz w:val="24"/>
          <w:szCs w:val="24"/>
        </w:rPr>
        <w:t>1</w:t>
      </w:r>
      <w:r w:rsidRPr="00B61FF1">
        <w:rPr>
          <w:rFonts w:ascii="Arial" w:hAnsi="Arial" w:cs="Arial"/>
          <w:sz w:val="24"/>
          <w:szCs w:val="24"/>
          <w:u w:val="single"/>
        </w:rPr>
        <w:t>2)</w:t>
      </w:r>
      <w:r w:rsidRPr="00B61FF1">
        <w:rPr>
          <w:rFonts w:ascii="Arial" w:hAnsi="Arial" w:cs="Arial"/>
          <w:sz w:val="24"/>
          <w:szCs w:val="24"/>
        </w:rPr>
        <w:tab/>
        <w:t>All remaining allowances not allocated for uses specified in sections 95870(a) through (e) will be designated for sale at auction.  The proceeds from the sale of these allowances w</w:t>
      </w:r>
      <w:r w:rsidR="001F3A12" w:rsidRPr="00B61FF1">
        <w:rPr>
          <w:rFonts w:ascii="Arial" w:hAnsi="Arial" w:cs="Arial"/>
          <w:sz w:val="24"/>
          <w:szCs w:val="24"/>
        </w:rPr>
        <w:t>ill be deposited into the</w:t>
      </w:r>
      <w:r w:rsidR="001F3A12" w:rsidRPr="00B61FF1">
        <w:rPr>
          <w:rFonts w:ascii="Arial" w:hAnsi="Arial" w:cs="Arial"/>
          <w:sz w:val="24"/>
          <w:szCs w:val="24"/>
          <w:u w:val="single"/>
        </w:rPr>
        <w:t xml:space="preserve"> </w:t>
      </w:r>
      <w:r w:rsidR="004557A5" w:rsidRPr="00B61FF1">
        <w:rPr>
          <w:rFonts w:ascii="Arial" w:hAnsi="Arial" w:cs="Arial"/>
          <w:strike/>
          <w:sz w:val="24"/>
          <w:szCs w:val="24"/>
        </w:rPr>
        <w:t xml:space="preserve">Air Pollution Control Fund </w:t>
      </w:r>
      <w:r w:rsidR="001F3A12" w:rsidRPr="00B61FF1">
        <w:rPr>
          <w:rFonts w:ascii="Arial" w:hAnsi="Arial" w:cs="Arial"/>
          <w:sz w:val="24"/>
          <w:szCs w:val="24"/>
          <w:u w:val="single"/>
        </w:rPr>
        <w:t>Green</w:t>
      </w:r>
      <w:r w:rsidRPr="00B61FF1">
        <w:rPr>
          <w:rFonts w:ascii="Arial" w:hAnsi="Arial" w:cs="Arial"/>
          <w:sz w:val="24"/>
          <w:szCs w:val="24"/>
          <w:u w:val="single"/>
        </w:rPr>
        <w:t xml:space="preserve">house Gas Reduction Fund created pursuant to Government Code section 16428.8, </w:t>
      </w:r>
      <w:r w:rsidRPr="00B61FF1">
        <w:rPr>
          <w:rFonts w:ascii="Arial" w:hAnsi="Arial" w:cs="Arial"/>
          <w:sz w:val="24"/>
          <w:szCs w:val="24"/>
        </w:rPr>
        <w:t>and will be available for appropriation by the Legislature for the purposes designated in California Health and Safety Code sections 38500 et seq.</w:t>
      </w:r>
      <w:r w:rsidRPr="00B61FF1">
        <w:rPr>
          <w:rFonts w:ascii="Arial" w:hAnsi="Arial" w:cs="Arial"/>
          <w:sz w:val="24"/>
          <w:szCs w:val="24"/>
          <w:u w:val="single"/>
        </w:rPr>
        <w:t xml:space="preserve"> and consistent with the requirements of Chapter 4.1 (commencing with Section 39710) of Part 2 of Division 26 of the California Health and Safety Code and Article 9.7 (commencing with Section 16428.8) of Chapter 2 of Part 2 of Division 4 of Title 2 of the Government </w:t>
      </w:r>
      <w:r w:rsidR="005803A9" w:rsidRPr="00B61FF1">
        <w:rPr>
          <w:rFonts w:ascii="Arial" w:hAnsi="Arial" w:cs="Arial"/>
          <w:sz w:val="24"/>
          <w:szCs w:val="24"/>
          <w:u w:val="single"/>
        </w:rPr>
        <w:t>Code.</w:t>
      </w:r>
    </w:p>
    <w:p w14:paraId="12AC4E26" w14:textId="77777777" w:rsidR="00576F5D" w:rsidRPr="00B61FF1" w:rsidRDefault="00576F5D" w:rsidP="00E643F6">
      <w:pPr>
        <w:spacing w:line="360" w:lineRule="auto"/>
        <w:ind w:left="720" w:hanging="720"/>
        <w:rPr>
          <w:rFonts w:ascii="Arial" w:hAnsi="Arial" w:cs="Arial"/>
          <w:sz w:val="24"/>
          <w:szCs w:val="24"/>
          <w:u w:val="single"/>
        </w:rPr>
      </w:pPr>
    </w:p>
    <w:p w14:paraId="64C6B15B" w14:textId="77777777" w:rsidR="00863530" w:rsidRPr="00B61FF1" w:rsidRDefault="000A7861" w:rsidP="007C2F50">
      <w:pPr>
        <w:autoSpaceDE/>
        <w:autoSpaceDN/>
        <w:adjustRightInd/>
        <w:rPr>
          <w:rFonts w:ascii="Arial" w:hAnsi="Arial" w:cs="Arial"/>
          <w:b/>
          <w:bCs/>
          <w:iCs/>
          <w:sz w:val="24"/>
          <w:szCs w:val="24"/>
        </w:rPr>
        <w:sectPr w:rsidR="00863530" w:rsidRPr="00B61FF1" w:rsidSect="00CD0B83">
          <w:headerReference w:type="even" r:id="rId14"/>
          <w:footerReference w:type="even" r:id="rId15"/>
          <w:footerReference w:type="default" r:id="rId16"/>
          <w:headerReference w:type="first" r:id="rId17"/>
          <w:footnotePr>
            <w:numRestart w:val="eachSect"/>
          </w:footnotePr>
          <w:type w:val="continuous"/>
          <w:pgSz w:w="12240" w:h="15840"/>
          <w:pgMar w:top="1440" w:right="1800" w:bottom="1440" w:left="1800" w:header="720" w:footer="720" w:gutter="0"/>
          <w:pgNumType w:start="1"/>
          <w:cols w:space="720"/>
          <w:titlePg/>
          <w:docGrid w:linePitch="360"/>
        </w:sectPr>
      </w:pPr>
      <w:r w:rsidRPr="00B61FF1">
        <w:rPr>
          <w:i/>
          <w:sz w:val="24"/>
          <w:szCs w:val="24"/>
        </w:rPr>
        <w:br w:type="page"/>
      </w:r>
      <w:bookmarkEnd w:id="268"/>
      <w:bookmarkEnd w:id="269"/>
      <w:bookmarkEnd w:id="270"/>
      <w:bookmarkEnd w:id="271"/>
    </w:p>
    <w:p w14:paraId="358ED9EF" w14:textId="77777777" w:rsidR="007C2F50" w:rsidRPr="00B61FF1" w:rsidRDefault="007C2F50" w:rsidP="007C2F50">
      <w:pPr>
        <w:pStyle w:val="Heading2"/>
        <w:keepNext w:val="0"/>
        <w:rPr>
          <w:i/>
          <w:szCs w:val="24"/>
        </w:rPr>
      </w:pPr>
      <w:bookmarkStart w:id="272" w:name="_Toc299094943"/>
      <w:bookmarkStart w:id="273" w:name="_Toc302746796"/>
      <w:bookmarkStart w:id="274" w:name="_Toc352146257"/>
      <w:bookmarkStart w:id="275" w:name="_Toc361659858"/>
      <w:r w:rsidRPr="00B61FF1">
        <w:rPr>
          <w:szCs w:val="24"/>
        </w:rPr>
        <w:lastRenderedPageBreak/>
        <w:t>Table 8-1: Industry Assistance</w:t>
      </w:r>
      <w:bookmarkEnd w:id="272"/>
      <w:bookmarkEnd w:id="273"/>
      <w:bookmarkEnd w:id="274"/>
      <w:bookmarkEnd w:id="275"/>
      <w:r w:rsidRPr="00B61FF1">
        <w:rPr>
          <w:szCs w:val="24"/>
        </w:rPr>
        <w:t xml:space="preserve"> </w:t>
      </w:r>
    </w:p>
    <w:p w14:paraId="444B728D" w14:textId="77777777" w:rsidR="00FE6B15" w:rsidRPr="00B61FF1" w:rsidRDefault="00FE6B15" w:rsidP="002E5348">
      <w:pPr>
        <w:rPr>
          <w:rFonts w:ascii="Arial" w:hAnsi="Arial" w:cs="Arial"/>
          <w:sz w:val="24"/>
          <w:szCs w:val="24"/>
        </w:rPr>
      </w:pPr>
    </w:p>
    <w:tbl>
      <w:tblPr>
        <w:tblW w:w="1188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35"/>
        <w:gridCol w:w="3060"/>
        <w:gridCol w:w="1080"/>
        <w:gridCol w:w="2880"/>
        <w:gridCol w:w="1080"/>
        <w:gridCol w:w="1080"/>
        <w:gridCol w:w="1170"/>
      </w:tblGrid>
      <w:tr w:rsidR="00863530" w:rsidRPr="00B61FF1" w14:paraId="570F44E4" w14:textId="77777777" w:rsidTr="006D009B">
        <w:trPr>
          <w:trHeight w:val="255"/>
          <w:tblHeader/>
        </w:trPr>
        <w:tc>
          <w:tcPr>
            <w:tcW w:w="1535" w:type="dxa"/>
            <w:vMerge w:val="restart"/>
            <w:shd w:val="clear" w:color="000000" w:fill="BFBFBF"/>
            <w:vAlign w:val="center"/>
            <w:hideMark/>
          </w:tcPr>
          <w:p w14:paraId="1D766510" w14:textId="77777777" w:rsidR="00863530" w:rsidRPr="00B61FF1" w:rsidRDefault="00863530" w:rsidP="00024BAE">
            <w:pPr>
              <w:autoSpaceDE/>
              <w:autoSpaceDN/>
              <w:adjustRightInd/>
              <w:jc w:val="center"/>
              <w:rPr>
                <w:rFonts w:ascii="Arial" w:eastAsia="Times New Roman" w:hAnsi="Arial" w:cs="Arial"/>
                <w:b/>
                <w:bCs/>
                <w:i/>
                <w:iCs/>
              </w:rPr>
            </w:pPr>
            <w:r w:rsidRPr="00B61FF1">
              <w:rPr>
                <w:rFonts w:ascii="Arial" w:eastAsia="Times New Roman" w:hAnsi="Arial" w:cs="Arial"/>
                <w:b/>
                <w:bCs/>
                <w:i/>
                <w:iCs/>
              </w:rPr>
              <w:t>Leakage Risk Classification</w:t>
            </w:r>
          </w:p>
        </w:tc>
        <w:tc>
          <w:tcPr>
            <w:tcW w:w="3060" w:type="dxa"/>
            <w:vMerge w:val="restart"/>
            <w:shd w:val="clear" w:color="000000" w:fill="BFBFBF"/>
            <w:vAlign w:val="center"/>
            <w:hideMark/>
          </w:tcPr>
          <w:p w14:paraId="620FE87C" w14:textId="77777777" w:rsidR="00863530" w:rsidRPr="00B61FF1" w:rsidRDefault="00863530" w:rsidP="00024BAE">
            <w:pPr>
              <w:autoSpaceDE/>
              <w:autoSpaceDN/>
              <w:adjustRightInd/>
              <w:jc w:val="center"/>
              <w:rPr>
                <w:rFonts w:ascii="Arial" w:eastAsia="Times New Roman" w:hAnsi="Arial" w:cs="Arial"/>
                <w:b/>
                <w:bCs/>
                <w:i/>
                <w:iCs/>
                <w:sz w:val="22"/>
                <w:szCs w:val="22"/>
              </w:rPr>
            </w:pPr>
            <w:r w:rsidRPr="00B61FF1">
              <w:rPr>
                <w:rFonts w:ascii="Arial" w:eastAsia="Times New Roman" w:hAnsi="Arial" w:cs="Arial"/>
                <w:b/>
                <w:bCs/>
                <w:i/>
                <w:iCs/>
                <w:sz w:val="22"/>
                <w:szCs w:val="22"/>
              </w:rPr>
              <w:t>NAICS Sector Definition</w:t>
            </w:r>
          </w:p>
        </w:tc>
        <w:tc>
          <w:tcPr>
            <w:tcW w:w="1080" w:type="dxa"/>
            <w:vMerge w:val="restart"/>
            <w:shd w:val="clear" w:color="000000" w:fill="BFBFBF"/>
            <w:vAlign w:val="center"/>
            <w:hideMark/>
          </w:tcPr>
          <w:p w14:paraId="1756B670" w14:textId="77777777" w:rsidR="00863530" w:rsidRPr="00B61FF1" w:rsidRDefault="00863530" w:rsidP="00024BAE">
            <w:pPr>
              <w:autoSpaceDE/>
              <w:autoSpaceDN/>
              <w:adjustRightInd/>
              <w:jc w:val="center"/>
              <w:rPr>
                <w:rFonts w:ascii="Arial" w:eastAsia="Times New Roman" w:hAnsi="Arial" w:cs="Arial"/>
                <w:b/>
                <w:bCs/>
                <w:i/>
                <w:iCs/>
                <w:sz w:val="22"/>
                <w:szCs w:val="22"/>
              </w:rPr>
            </w:pPr>
            <w:r w:rsidRPr="00B61FF1">
              <w:rPr>
                <w:rFonts w:ascii="Arial" w:eastAsia="Times New Roman" w:hAnsi="Arial" w:cs="Arial"/>
                <w:b/>
                <w:bCs/>
                <w:i/>
                <w:iCs/>
                <w:sz w:val="22"/>
                <w:szCs w:val="22"/>
              </w:rPr>
              <w:t>NAICS Code</w:t>
            </w:r>
          </w:p>
        </w:tc>
        <w:tc>
          <w:tcPr>
            <w:tcW w:w="2880" w:type="dxa"/>
            <w:vMerge w:val="restart"/>
            <w:shd w:val="clear" w:color="000000" w:fill="BFBFBF"/>
            <w:vAlign w:val="center"/>
            <w:hideMark/>
          </w:tcPr>
          <w:p w14:paraId="74A1B4E9" w14:textId="77777777" w:rsidR="00863530" w:rsidRPr="00B61FF1" w:rsidRDefault="00863530" w:rsidP="00024BAE">
            <w:pPr>
              <w:autoSpaceDE/>
              <w:autoSpaceDN/>
              <w:adjustRightInd/>
              <w:jc w:val="center"/>
              <w:rPr>
                <w:rFonts w:ascii="Arial" w:eastAsia="Times New Roman" w:hAnsi="Arial" w:cs="Arial"/>
                <w:b/>
                <w:bCs/>
                <w:i/>
                <w:iCs/>
                <w:sz w:val="22"/>
                <w:szCs w:val="22"/>
              </w:rPr>
            </w:pPr>
            <w:r w:rsidRPr="00B61FF1">
              <w:rPr>
                <w:rFonts w:ascii="Arial" w:eastAsia="Times New Roman" w:hAnsi="Arial" w:cs="Arial"/>
                <w:b/>
                <w:bCs/>
                <w:i/>
                <w:iCs/>
                <w:sz w:val="22"/>
                <w:szCs w:val="22"/>
              </w:rPr>
              <w:t>Activity(a)</w:t>
            </w:r>
          </w:p>
        </w:tc>
        <w:tc>
          <w:tcPr>
            <w:tcW w:w="3330" w:type="dxa"/>
            <w:gridSpan w:val="3"/>
            <w:shd w:val="clear" w:color="000000" w:fill="C0C0C0"/>
            <w:noWrap/>
            <w:vAlign w:val="center"/>
            <w:hideMark/>
          </w:tcPr>
          <w:p w14:paraId="7AA640C2" w14:textId="77777777" w:rsidR="00863530" w:rsidRPr="00B61FF1" w:rsidRDefault="00863530" w:rsidP="00024BAE">
            <w:pPr>
              <w:autoSpaceDE/>
              <w:autoSpaceDN/>
              <w:adjustRightInd/>
              <w:jc w:val="center"/>
              <w:rPr>
                <w:rFonts w:ascii="Arial" w:eastAsia="Times New Roman" w:hAnsi="Arial" w:cs="Arial"/>
                <w:b/>
                <w:bCs/>
                <w:i/>
                <w:iCs/>
                <w:sz w:val="22"/>
                <w:szCs w:val="22"/>
              </w:rPr>
            </w:pPr>
            <w:r w:rsidRPr="00B61FF1">
              <w:rPr>
                <w:rFonts w:ascii="Arial" w:eastAsia="Times New Roman" w:hAnsi="Arial" w:cs="Arial"/>
                <w:b/>
                <w:bCs/>
                <w:i/>
                <w:iCs/>
                <w:sz w:val="22"/>
                <w:szCs w:val="22"/>
              </w:rPr>
              <w:t>Industry Assistance Factor (AF</w:t>
            </w:r>
            <w:r w:rsidRPr="00B61FF1">
              <w:rPr>
                <w:rFonts w:ascii="Arial" w:eastAsia="Times New Roman" w:hAnsi="Arial" w:cs="Arial"/>
                <w:b/>
                <w:bCs/>
                <w:i/>
                <w:iCs/>
                <w:sz w:val="22"/>
                <w:szCs w:val="22"/>
                <w:vertAlign w:val="subscript"/>
              </w:rPr>
              <w:t>a</w:t>
            </w:r>
            <w:r w:rsidRPr="00B61FF1">
              <w:rPr>
                <w:rFonts w:ascii="Arial" w:eastAsia="Times New Roman" w:hAnsi="Arial" w:cs="Arial"/>
                <w:b/>
                <w:bCs/>
                <w:i/>
                <w:iCs/>
                <w:sz w:val="22"/>
                <w:szCs w:val="22"/>
              </w:rPr>
              <w:t>)</w:t>
            </w:r>
          </w:p>
        </w:tc>
      </w:tr>
      <w:tr w:rsidR="00863530" w:rsidRPr="00B61FF1" w14:paraId="13FA4222" w14:textId="77777777" w:rsidTr="006D009B">
        <w:trPr>
          <w:trHeight w:val="255"/>
        </w:trPr>
        <w:tc>
          <w:tcPr>
            <w:tcW w:w="1535" w:type="dxa"/>
            <w:vMerge/>
            <w:vAlign w:val="center"/>
            <w:hideMark/>
          </w:tcPr>
          <w:p w14:paraId="7FD2C6C0" w14:textId="77777777" w:rsidR="00863530" w:rsidRPr="00B61FF1" w:rsidRDefault="00863530" w:rsidP="00024BAE">
            <w:pPr>
              <w:autoSpaceDE/>
              <w:autoSpaceDN/>
              <w:adjustRightInd/>
              <w:rPr>
                <w:rFonts w:ascii="Arial" w:eastAsia="Times New Roman" w:hAnsi="Arial" w:cs="Arial"/>
                <w:b/>
                <w:bCs/>
                <w:i/>
                <w:iCs/>
              </w:rPr>
            </w:pPr>
          </w:p>
        </w:tc>
        <w:tc>
          <w:tcPr>
            <w:tcW w:w="3060" w:type="dxa"/>
            <w:vMerge/>
            <w:vAlign w:val="center"/>
            <w:hideMark/>
          </w:tcPr>
          <w:p w14:paraId="541FB17B" w14:textId="77777777" w:rsidR="00863530" w:rsidRPr="00B61FF1" w:rsidRDefault="00863530" w:rsidP="00024BAE">
            <w:pPr>
              <w:autoSpaceDE/>
              <w:autoSpaceDN/>
              <w:adjustRightInd/>
              <w:rPr>
                <w:rFonts w:ascii="Arial" w:eastAsia="Times New Roman" w:hAnsi="Arial" w:cs="Arial"/>
                <w:b/>
                <w:bCs/>
                <w:i/>
                <w:iCs/>
                <w:sz w:val="22"/>
                <w:szCs w:val="22"/>
              </w:rPr>
            </w:pPr>
          </w:p>
        </w:tc>
        <w:tc>
          <w:tcPr>
            <w:tcW w:w="1080" w:type="dxa"/>
            <w:vMerge/>
            <w:vAlign w:val="center"/>
            <w:hideMark/>
          </w:tcPr>
          <w:p w14:paraId="5EE88DBA" w14:textId="77777777" w:rsidR="00863530" w:rsidRPr="00B61FF1" w:rsidRDefault="00863530" w:rsidP="00024BAE">
            <w:pPr>
              <w:autoSpaceDE/>
              <w:autoSpaceDN/>
              <w:adjustRightInd/>
              <w:rPr>
                <w:rFonts w:ascii="Arial" w:eastAsia="Times New Roman" w:hAnsi="Arial" w:cs="Arial"/>
                <w:b/>
                <w:bCs/>
                <w:i/>
                <w:iCs/>
                <w:sz w:val="22"/>
                <w:szCs w:val="22"/>
              </w:rPr>
            </w:pPr>
          </w:p>
        </w:tc>
        <w:tc>
          <w:tcPr>
            <w:tcW w:w="2880" w:type="dxa"/>
            <w:vMerge/>
            <w:vAlign w:val="center"/>
            <w:hideMark/>
          </w:tcPr>
          <w:p w14:paraId="1A9214CE" w14:textId="77777777" w:rsidR="00863530" w:rsidRPr="00B61FF1" w:rsidRDefault="00863530" w:rsidP="00024BAE">
            <w:pPr>
              <w:autoSpaceDE/>
              <w:autoSpaceDN/>
              <w:adjustRightInd/>
              <w:rPr>
                <w:rFonts w:ascii="Arial" w:eastAsia="Times New Roman" w:hAnsi="Arial" w:cs="Arial"/>
                <w:b/>
                <w:bCs/>
                <w:i/>
                <w:iCs/>
                <w:sz w:val="22"/>
                <w:szCs w:val="22"/>
              </w:rPr>
            </w:pPr>
          </w:p>
        </w:tc>
        <w:tc>
          <w:tcPr>
            <w:tcW w:w="3330" w:type="dxa"/>
            <w:gridSpan w:val="3"/>
            <w:shd w:val="clear" w:color="000000" w:fill="C0C0C0"/>
            <w:noWrap/>
            <w:vAlign w:val="center"/>
            <w:hideMark/>
          </w:tcPr>
          <w:p w14:paraId="7134DC74" w14:textId="77777777" w:rsidR="00863530" w:rsidRPr="00B61FF1" w:rsidRDefault="00863530" w:rsidP="00024BAE">
            <w:pPr>
              <w:autoSpaceDE/>
              <w:autoSpaceDN/>
              <w:adjustRightInd/>
              <w:jc w:val="center"/>
              <w:rPr>
                <w:rFonts w:ascii="Arial" w:eastAsia="Times New Roman" w:hAnsi="Arial" w:cs="Arial"/>
                <w:b/>
                <w:bCs/>
                <w:i/>
                <w:iCs/>
                <w:sz w:val="22"/>
                <w:szCs w:val="22"/>
              </w:rPr>
            </w:pPr>
            <w:r w:rsidRPr="00B61FF1">
              <w:rPr>
                <w:rFonts w:ascii="Arial" w:eastAsia="Times New Roman" w:hAnsi="Arial" w:cs="Arial"/>
                <w:b/>
                <w:bCs/>
                <w:i/>
                <w:iCs/>
                <w:sz w:val="22"/>
                <w:szCs w:val="22"/>
              </w:rPr>
              <w:t>by Budget Year</w:t>
            </w:r>
          </w:p>
        </w:tc>
      </w:tr>
      <w:tr w:rsidR="00863530" w:rsidRPr="00B61FF1" w14:paraId="04E43F02" w14:textId="77777777" w:rsidTr="006D009B">
        <w:trPr>
          <w:trHeight w:val="620"/>
        </w:trPr>
        <w:tc>
          <w:tcPr>
            <w:tcW w:w="1535" w:type="dxa"/>
            <w:vMerge/>
            <w:vAlign w:val="center"/>
            <w:hideMark/>
          </w:tcPr>
          <w:p w14:paraId="02C7CCBA" w14:textId="77777777" w:rsidR="00863530" w:rsidRPr="00B61FF1" w:rsidRDefault="00863530" w:rsidP="00024BAE">
            <w:pPr>
              <w:autoSpaceDE/>
              <w:autoSpaceDN/>
              <w:adjustRightInd/>
              <w:rPr>
                <w:rFonts w:ascii="Arial" w:eastAsia="Times New Roman" w:hAnsi="Arial" w:cs="Arial"/>
                <w:b/>
                <w:bCs/>
                <w:i/>
                <w:iCs/>
              </w:rPr>
            </w:pPr>
          </w:p>
        </w:tc>
        <w:tc>
          <w:tcPr>
            <w:tcW w:w="3060" w:type="dxa"/>
            <w:vMerge/>
            <w:vAlign w:val="center"/>
            <w:hideMark/>
          </w:tcPr>
          <w:p w14:paraId="46059BCA" w14:textId="77777777" w:rsidR="00863530" w:rsidRPr="00B61FF1" w:rsidRDefault="00863530" w:rsidP="00024BAE">
            <w:pPr>
              <w:autoSpaceDE/>
              <w:autoSpaceDN/>
              <w:adjustRightInd/>
              <w:rPr>
                <w:rFonts w:ascii="Arial" w:eastAsia="Times New Roman" w:hAnsi="Arial" w:cs="Arial"/>
                <w:b/>
                <w:bCs/>
                <w:i/>
                <w:iCs/>
                <w:sz w:val="22"/>
                <w:szCs w:val="22"/>
              </w:rPr>
            </w:pPr>
          </w:p>
        </w:tc>
        <w:tc>
          <w:tcPr>
            <w:tcW w:w="1080" w:type="dxa"/>
            <w:vMerge/>
            <w:vAlign w:val="center"/>
            <w:hideMark/>
          </w:tcPr>
          <w:p w14:paraId="60367245" w14:textId="77777777" w:rsidR="00863530" w:rsidRPr="00B61FF1" w:rsidRDefault="00863530" w:rsidP="00024BAE">
            <w:pPr>
              <w:autoSpaceDE/>
              <w:autoSpaceDN/>
              <w:adjustRightInd/>
              <w:rPr>
                <w:rFonts w:ascii="Arial" w:eastAsia="Times New Roman" w:hAnsi="Arial" w:cs="Arial"/>
                <w:b/>
                <w:bCs/>
                <w:i/>
                <w:iCs/>
                <w:sz w:val="22"/>
                <w:szCs w:val="22"/>
              </w:rPr>
            </w:pPr>
          </w:p>
        </w:tc>
        <w:tc>
          <w:tcPr>
            <w:tcW w:w="2880" w:type="dxa"/>
            <w:vMerge/>
            <w:vAlign w:val="center"/>
            <w:hideMark/>
          </w:tcPr>
          <w:p w14:paraId="23CAA266" w14:textId="77777777" w:rsidR="00863530" w:rsidRPr="00B61FF1" w:rsidRDefault="00863530" w:rsidP="00024BAE">
            <w:pPr>
              <w:autoSpaceDE/>
              <w:autoSpaceDN/>
              <w:adjustRightInd/>
              <w:rPr>
                <w:rFonts w:ascii="Arial" w:eastAsia="Times New Roman" w:hAnsi="Arial" w:cs="Arial"/>
                <w:b/>
                <w:bCs/>
                <w:i/>
                <w:iCs/>
                <w:sz w:val="22"/>
                <w:szCs w:val="22"/>
              </w:rPr>
            </w:pPr>
          </w:p>
        </w:tc>
        <w:tc>
          <w:tcPr>
            <w:tcW w:w="1080" w:type="dxa"/>
            <w:shd w:val="clear" w:color="000000" w:fill="C0C0C0"/>
            <w:noWrap/>
            <w:vAlign w:val="center"/>
            <w:hideMark/>
          </w:tcPr>
          <w:p w14:paraId="2FC4FB06" w14:textId="77777777" w:rsidR="00863530" w:rsidRPr="00B61FF1" w:rsidRDefault="00863530" w:rsidP="00024BAE">
            <w:pPr>
              <w:autoSpaceDE/>
              <w:autoSpaceDN/>
              <w:adjustRightInd/>
              <w:jc w:val="center"/>
              <w:rPr>
                <w:rFonts w:ascii="Arial" w:eastAsia="Times New Roman" w:hAnsi="Arial" w:cs="Arial"/>
                <w:i/>
                <w:iCs/>
                <w:color w:val="000000"/>
                <w:sz w:val="22"/>
                <w:szCs w:val="22"/>
              </w:rPr>
            </w:pPr>
            <w:r w:rsidRPr="00B61FF1">
              <w:rPr>
                <w:rFonts w:ascii="Arial" w:eastAsia="Times New Roman" w:hAnsi="Arial" w:cs="Arial"/>
                <w:i/>
                <w:iCs/>
                <w:color w:val="000000"/>
                <w:sz w:val="22"/>
                <w:szCs w:val="22"/>
              </w:rPr>
              <w:t>2013-2014</w:t>
            </w:r>
          </w:p>
        </w:tc>
        <w:tc>
          <w:tcPr>
            <w:tcW w:w="1080" w:type="dxa"/>
            <w:shd w:val="clear" w:color="000000" w:fill="C0C0C0"/>
            <w:noWrap/>
            <w:vAlign w:val="center"/>
            <w:hideMark/>
          </w:tcPr>
          <w:p w14:paraId="32DED219" w14:textId="77777777" w:rsidR="00863530" w:rsidRPr="00B61FF1" w:rsidRDefault="00863530" w:rsidP="00024BAE">
            <w:pPr>
              <w:autoSpaceDE/>
              <w:autoSpaceDN/>
              <w:adjustRightInd/>
              <w:jc w:val="center"/>
              <w:rPr>
                <w:rFonts w:ascii="Arial" w:eastAsia="Times New Roman" w:hAnsi="Arial" w:cs="Arial"/>
                <w:i/>
                <w:iCs/>
                <w:color w:val="000000"/>
                <w:sz w:val="22"/>
                <w:szCs w:val="22"/>
              </w:rPr>
            </w:pPr>
            <w:r w:rsidRPr="00B61FF1">
              <w:rPr>
                <w:rFonts w:ascii="Arial" w:eastAsia="Times New Roman" w:hAnsi="Arial" w:cs="Arial"/>
                <w:i/>
                <w:iCs/>
                <w:color w:val="000000"/>
                <w:sz w:val="22"/>
                <w:szCs w:val="22"/>
              </w:rPr>
              <w:t>2015-2017</w:t>
            </w:r>
          </w:p>
        </w:tc>
        <w:tc>
          <w:tcPr>
            <w:tcW w:w="1170" w:type="dxa"/>
            <w:shd w:val="clear" w:color="000000" w:fill="C0C0C0"/>
            <w:noWrap/>
            <w:vAlign w:val="center"/>
            <w:hideMark/>
          </w:tcPr>
          <w:p w14:paraId="292ED669" w14:textId="77777777" w:rsidR="00863530" w:rsidRPr="00B61FF1" w:rsidRDefault="00863530" w:rsidP="00024BAE">
            <w:pPr>
              <w:autoSpaceDE/>
              <w:autoSpaceDN/>
              <w:adjustRightInd/>
              <w:jc w:val="center"/>
              <w:rPr>
                <w:rFonts w:ascii="Arial" w:eastAsia="Times New Roman" w:hAnsi="Arial" w:cs="Arial"/>
                <w:i/>
                <w:iCs/>
                <w:color w:val="000000"/>
                <w:sz w:val="22"/>
                <w:szCs w:val="22"/>
              </w:rPr>
            </w:pPr>
            <w:r w:rsidRPr="00B61FF1">
              <w:rPr>
                <w:rFonts w:ascii="Arial" w:eastAsia="Times New Roman" w:hAnsi="Arial" w:cs="Arial"/>
                <w:i/>
                <w:iCs/>
                <w:color w:val="000000"/>
                <w:sz w:val="22"/>
                <w:szCs w:val="22"/>
              </w:rPr>
              <w:t>2018-2020</w:t>
            </w:r>
          </w:p>
        </w:tc>
      </w:tr>
      <w:tr w:rsidR="00863530" w:rsidRPr="00B61FF1" w14:paraId="3983BE77" w14:textId="77777777" w:rsidTr="006D009B">
        <w:trPr>
          <w:trHeight w:val="282"/>
        </w:trPr>
        <w:tc>
          <w:tcPr>
            <w:tcW w:w="1535" w:type="dxa"/>
            <w:vMerge w:val="restart"/>
            <w:shd w:val="clear" w:color="auto" w:fill="auto"/>
            <w:noWrap/>
            <w:vAlign w:val="center"/>
            <w:hideMark/>
          </w:tcPr>
          <w:p w14:paraId="4351E06E"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High</w:t>
            </w:r>
          </w:p>
        </w:tc>
        <w:tc>
          <w:tcPr>
            <w:tcW w:w="3060" w:type="dxa"/>
            <w:vMerge w:val="restart"/>
            <w:shd w:val="clear" w:color="auto" w:fill="auto"/>
            <w:vAlign w:val="center"/>
            <w:hideMark/>
          </w:tcPr>
          <w:p w14:paraId="371BB85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Crude Petroleum and Natural Gas Extraction</w:t>
            </w:r>
          </w:p>
        </w:tc>
        <w:tc>
          <w:tcPr>
            <w:tcW w:w="1080" w:type="dxa"/>
            <w:vMerge w:val="restart"/>
            <w:shd w:val="clear" w:color="auto" w:fill="auto"/>
            <w:vAlign w:val="center"/>
            <w:hideMark/>
          </w:tcPr>
          <w:p w14:paraId="3D7C06BF"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211111</w:t>
            </w:r>
          </w:p>
        </w:tc>
        <w:tc>
          <w:tcPr>
            <w:tcW w:w="2880" w:type="dxa"/>
            <w:shd w:val="clear" w:color="auto" w:fill="auto"/>
            <w:vAlign w:val="bottom"/>
            <w:hideMark/>
          </w:tcPr>
          <w:p w14:paraId="5A1BB41D" w14:textId="77777777" w:rsidR="00863530" w:rsidRPr="00B61FF1" w:rsidRDefault="00520686" w:rsidP="0008579E">
            <w:pPr>
              <w:autoSpaceDE/>
              <w:autoSpaceDN/>
              <w:adjustRightInd/>
              <w:rPr>
                <w:rFonts w:ascii="Arial" w:eastAsia="Times New Roman" w:hAnsi="Arial" w:cs="Arial"/>
              </w:rPr>
            </w:pPr>
            <w:r w:rsidRPr="00B61FF1">
              <w:rPr>
                <w:rFonts w:ascii="Arial" w:eastAsia="Times New Roman" w:hAnsi="Arial" w:cs="Arial"/>
              </w:rPr>
              <w:t>Thermal EOR Crude Oil Extraction</w:t>
            </w:r>
          </w:p>
        </w:tc>
        <w:tc>
          <w:tcPr>
            <w:tcW w:w="1080" w:type="dxa"/>
            <w:shd w:val="clear" w:color="auto" w:fill="auto"/>
            <w:noWrap/>
            <w:vAlign w:val="bottom"/>
            <w:hideMark/>
          </w:tcPr>
          <w:p w14:paraId="73D9977F"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7D95D09B"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7770B2AE"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11B4922F" w14:textId="77777777" w:rsidTr="006D009B">
        <w:trPr>
          <w:trHeight w:val="282"/>
        </w:trPr>
        <w:tc>
          <w:tcPr>
            <w:tcW w:w="1535" w:type="dxa"/>
            <w:vMerge/>
            <w:vAlign w:val="center"/>
            <w:hideMark/>
          </w:tcPr>
          <w:p w14:paraId="0E2E9B73" w14:textId="77777777" w:rsidR="00863530" w:rsidRPr="00B61FF1" w:rsidRDefault="00863530" w:rsidP="00024BAE">
            <w:pPr>
              <w:autoSpaceDE/>
              <w:autoSpaceDN/>
              <w:adjustRightInd/>
              <w:rPr>
                <w:rFonts w:ascii="Arial" w:eastAsia="Times New Roman" w:hAnsi="Arial" w:cs="Arial"/>
              </w:rPr>
            </w:pPr>
          </w:p>
        </w:tc>
        <w:tc>
          <w:tcPr>
            <w:tcW w:w="3060" w:type="dxa"/>
            <w:vMerge/>
            <w:vAlign w:val="center"/>
            <w:hideMark/>
          </w:tcPr>
          <w:p w14:paraId="2D0E3171" w14:textId="77777777" w:rsidR="00863530" w:rsidRPr="00B61FF1" w:rsidRDefault="00863530" w:rsidP="00024BAE">
            <w:pPr>
              <w:autoSpaceDE/>
              <w:autoSpaceDN/>
              <w:adjustRightInd/>
              <w:rPr>
                <w:rFonts w:ascii="Arial" w:eastAsia="Times New Roman" w:hAnsi="Arial" w:cs="Arial"/>
              </w:rPr>
            </w:pPr>
          </w:p>
        </w:tc>
        <w:tc>
          <w:tcPr>
            <w:tcW w:w="1080" w:type="dxa"/>
            <w:vMerge/>
            <w:vAlign w:val="center"/>
            <w:hideMark/>
          </w:tcPr>
          <w:p w14:paraId="148B8B67" w14:textId="77777777" w:rsidR="00863530" w:rsidRPr="00B61FF1" w:rsidRDefault="00863530" w:rsidP="00024BAE">
            <w:pPr>
              <w:autoSpaceDE/>
              <w:autoSpaceDN/>
              <w:adjustRightInd/>
              <w:rPr>
                <w:rFonts w:ascii="Arial" w:eastAsia="Times New Roman" w:hAnsi="Arial" w:cs="Arial"/>
              </w:rPr>
            </w:pPr>
          </w:p>
        </w:tc>
        <w:tc>
          <w:tcPr>
            <w:tcW w:w="2880" w:type="dxa"/>
            <w:shd w:val="clear" w:color="auto" w:fill="auto"/>
            <w:vAlign w:val="bottom"/>
            <w:hideMark/>
          </w:tcPr>
          <w:p w14:paraId="486FAF9B" w14:textId="77777777" w:rsidR="00863530" w:rsidRPr="00B61FF1" w:rsidRDefault="00520686" w:rsidP="0008579E">
            <w:pPr>
              <w:autoSpaceDE/>
              <w:autoSpaceDN/>
              <w:adjustRightInd/>
              <w:rPr>
                <w:rFonts w:ascii="Arial" w:eastAsia="Times New Roman" w:hAnsi="Arial" w:cs="Arial"/>
              </w:rPr>
            </w:pPr>
            <w:r w:rsidRPr="00B61FF1">
              <w:rPr>
                <w:rFonts w:ascii="Arial" w:eastAsia="Times New Roman" w:hAnsi="Arial" w:cs="Arial"/>
              </w:rPr>
              <w:t>Non-Thermal Crude Oil Extraction</w:t>
            </w:r>
          </w:p>
        </w:tc>
        <w:tc>
          <w:tcPr>
            <w:tcW w:w="1080" w:type="dxa"/>
            <w:shd w:val="clear" w:color="auto" w:fill="auto"/>
            <w:noWrap/>
            <w:vAlign w:val="bottom"/>
            <w:hideMark/>
          </w:tcPr>
          <w:p w14:paraId="7FB0A831"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37316CAB"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7E22A22D"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0CA1BA36" w14:textId="77777777" w:rsidTr="006D009B">
        <w:trPr>
          <w:trHeight w:val="282"/>
        </w:trPr>
        <w:tc>
          <w:tcPr>
            <w:tcW w:w="1535" w:type="dxa"/>
            <w:vMerge/>
            <w:vAlign w:val="center"/>
            <w:hideMark/>
          </w:tcPr>
          <w:p w14:paraId="5758D609"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0618039F"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Natural Gas Liquid Extraction</w:t>
            </w:r>
          </w:p>
        </w:tc>
        <w:tc>
          <w:tcPr>
            <w:tcW w:w="1080" w:type="dxa"/>
            <w:shd w:val="clear" w:color="auto" w:fill="auto"/>
            <w:vAlign w:val="center"/>
            <w:hideMark/>
          </w:tcPr>
          <w:p w14:paraId="624F90E6"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211112</w:t>
            </w:r>
          </w:p>
        </w:tc>
        <w:tc>
          <w:tcPr>
            <w:tcW w:w="2880" w:type="dxa"/>
            <w:shd w:val="clear" w:color="auto" w:fill="auto"/>
            <w:vAlign w:val="bottom"/>
            <w:hideMark/>
          </w:tcPr>
          <w:p w14:paraId="2176B2DB"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Natural Gas Liquid Processing</w:t>
            </w:r>
          </w:p>
        </w:tc>
        <w:tc>
          <w:tcPr>
            <w:tcW w:w="1080" w:type="dxa"/>
            <w:shd w:val="clear" w:color="auto" w:fill="auto"/>
            <w:noWrap/>
            <w:vAlign w:val="bottom"/>
            <w:hideMark/>
          </w:tcPr>
          <w:p w14:paraId="61B8333B"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729236B2"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6E4949D1"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45CD1724" w14:textId="77777777" w:rsidTr="006D009B">
        <w:trPr>
          <w:trHeight w:val="495"/>
        </w:trPr>
        <w:tc>
          <w:tcPr>
            <w:tcW w:w="1535" w:type="dxa"/>
            <w:vMerge/>
            <w:vAlign w:val="center"/>
            <w:hideMark/>
          </w:tcPr>
          <w:p w14:paraId="337150A8"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1D3008DC"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Potash, Soda, and Borate Mineral Mining</w:t>
            </w:r>
          </w:p>
        </w:tc>
        <w:tc>
          <w:tcPr>
            <w:tcW w:w="1080" w:type="dxa"/>
            <w:shd w:val="clear" w:color="auto" w:fill="auto"/>
            <w:vAlign w:val="center"/>
            <w:hideMark/>
          </w:tcPr>
          <w:p w14:paraId="56D0B2DE"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212391</w:t>
            </w:r>
          </w:p>
        </w:tc>
        <w:tc>
          <w:tcPr>
            <w:tcW w:w="2880" w:type="dxa"/>
            <w:shd w:val="clear" w:color="auto" w:fill="auto"/>
            <w:vAlign w:val="bottom"/>
            <w:hideMark/>
          </w:tcPr>
          <w:p w14:paraId="1F6ACB6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Mining and Manufacturing of Soda Ash and Related Products</w:t>
            </w:r>
          </w:p>
        </w:tc>
        <w:tc>
          <w:tcPr>
            <w:tcW w:w="1080" w:type="dxa"/>
            <w:shd w:val="clear" w:color="auto" w:fill="auto"/>
            <w:noWrap/>
            <w:vAlign w:val="bottom"/>
            <w:hideMark/>
          </w:tcPr>
          <w:p w14:paraId="5F0A5009"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29AD61C2"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7B8C05F2"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7F2FF2AD" w14:textId="77777777" w:rsidTr="006D009B">
        <w:trPr>
          <w:trHeight w:val="285"/>
        </w:trPr>
        <w:tc>
          <w:tcPr>
            <w:tcW w:w="1535" w:type="dxa"/>
            <w:vMerge/>
            <w:vAlign w:val="center"/>
            <w:hideMark/>
          </w:tcPr>
          <w:p w14:paraId="67FD8E3A"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0546323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All Other Nonmetallic Mineral Mining</w:t>
            </w:r>
          </w:p>
        </w:tc>
        <w:tc>
          <w:tcPr>
            <w:tcW w:w="1080" w:type="dxa"/>
            <w:shd w:val="clear" w:color="auto" w:fill="auto"/>
            <w:vAlign w:val="center"/>
            <w:hideMark/>
          </w:tcPr>
          <w:p w14:paraId="71015E70"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212399</w:t>
            </w:r>
          </w:p>
        </w:tc>
        <w:tc>
          <w:tcPr>
            <w:tcW w:w="2880" w:type="dxa"/>
            <w:shd w:val="clear" w:color="auto" w:fill="auto"/>
            <w:vAlign w:val="bottom"/>
            <w:hideMark/>
          </w:tcPr>
          <w:p w14:paraId="5C90F58F"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Diatomaceous Earth Mining</w:t>
            </w:r>
          </w:p>
        </w:tc>
        <w:tc>
          <w:tcPr>
            <w:tcW w:w="1080" w:type="dxa"/>
            <w:shd w:val="clear" w:color="auto" w:fill="auto"/>
            <w:noWrap/>
            <w:vAlign w:val="bottom"/>
            <w:hideMark/>
          </w:tcPr>
          <w:p w14:paraId="402946FE"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0A954229"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1B17E81A"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56BC83E2" w14:textId="77777777" w:rsidTr="006D009B">
        <w:trPr>
          <w:trHeight w:val="282"/>
        </w:trPr>
        <w:tc>
          <w:tcPr>
            <w:tcW w:w="1535" w:type="dxa"/>
            <w:vMerge/>
            <w:vAlign w:val="center"/>
            <w:hideMark/>
          </w:tcPr>
          <w:p w14:paraId="6D7DD0C1"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0EBE6A56"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Paper (except Newsprint) Mills</w:t>
            </w:r>
          </w:p>
        </w:tc>
        <w:tc>
          <w:tcPr>
            <w:tcW w:w="1080" w:type="dxa"/>
            <w:shd w:val="clear" w:color="auto" w:fill="auto"/>
            <w:vAlign w:val="center"/>
            <w:hideMark/>
          </w:tcPr>
          <w:p w14:paraId="3A022036"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322121</w:t>
            </w:r>
          </w:p>
        </w:tc>
        <w:tc>
          <w:tcPr>
            <w:tcW w:w="2880" w:type="dxa"/>
            <w:shd w:val="clear" w:color="auto" w:fill="auto"/>
            <w:vAlign w:val="bottom"/>
            <w:hideMark/>
          </w:tcPr>
          <w:p w14:paraId="7E9A8F94"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Tissue Manufacturing</w:t>
            </w:r>
          </w:p>
        </w:tc>
        <w:tc>
          <w:tcPr>
            <w:tcW w:w="1080" w:type="dxa"/>
            <w:shd w:val="clear" w:color="auto" w:fill="auto"/>
            <w:noWrap/>
            <w:vAlign w:val="bottom"/>
            <w:hideMark/>
          </w:tcPr>
          <w:p w14:paraId="0A832A6A"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64FECB8B"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1DD385B0"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26853E0D" w14:textId="77777777" w:rsidTr="006D009B">
        <w:trPr>
          <w:trHeight w:val="282"/>
        </w:trPr>
        <w:tc>
          <w:tcPr>
            <w:tcW w:w="1535" w:type="dxa"/>
            <w:vMerge/>
            <w:vAlign w:val="center"/>
            <w:hideMark/>
          </w:tcPr>
          <w:p w14:paraId="191C51DE" w14:textId="77777777" w:rsidR="00863530" w:rsidRPr="00B61FF1" w:rsidRDefault="00863530" w:rsidP="00024BAE">
            <w:pPr>
              <w:autoSpaceDE/>
              <w:autoSpaceDN/>
              <w:adjustRightInd/>
              <w:rPr>
                <w:rFonts w:ascii="Arial" w:eastAsia="Times New Roman" w:hAnsi="Arial" w:cs="Arial"/>
              </w:rPr>
            </w:pPr>
          </w:p>
        </w:tc>
        <w:tc>
          <w:tcPr>
            <w:tcW w:w="3060" w:type="dxa"/>
            <w:vMerge w:val="restart"/>
            <w:shd w:val="clear" w:color="auto" w:fill="auto"/>
            <w:vAlign w:val="center"/>
            <w:hideMark/>
          </w:tcPr>
          <w:p w14:paraId="6E7D602D"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Paperboard Mills</w:t>
            </w:r>
          </w:p>
        </w:tc>
        <w:tc>
          <w:tcPr>
            <w:tcW w:w="1080" w:type="dxa"/>
            <w:vMerge w:val="restart"/>
            <w:shd w:val="clear" w:color="auto" w:fill="auto"/>
            <w:vAlign w:val="center"/>
            <w:hideMark/>
          </w:tcPr>
          <w:p w14:paraId="5ADF96D5"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322130</w:t>
            </w:r>
          </w:p>
        </w:tc>
        <w:tc>
          <w:tcPr>
            <w:tcW w:w="2880" w:type="dxa"/>
            <w:shd w:val="clear" w:color="auto" w:fill="auto"/>
            <w:vAlign w:val="bottom"/>
            <w:hideMark/>
          </w:tcPr>
          <w:p w14:paraId="4EAA4637"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Recycled Boxboard Manufacturing</w:t>
            </w:r>
          </w:p>
        </w:tc>
        <w:tc>
          <w:tcPr>
            <w:tcW w:w="1080" w:type="dxa"/>
            <w:shd w:val="clear" w:color="auto" w:fill="auto"/>
            <w:noWrap/>
            <w:vAlign w:val="bottom"/>
            <w:hideMark/>
          </w:tcPr>
          <w:p w14:paraId="755487D7"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46EC3778"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6F18D3E0"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2022981D" w14:textId="77777777" w:rsidTr="006D009B">
        <w:trPr>
          <w:trHeight w:val="282"/>
        </w:trPr>
        <w:tc>
          <w:tcPr>
            <w:tcW w:w="1535" w:type="dxa"/>
            <w:vMerge/>
            <w:vAlign w:val="center"/>
            <w:hideMark/>
          </w:tcPr>
          <w:p w14:paraId="60AA2DFF" w14:textId="77777777" w:rsidR="00863530" w:rsidRPr="00B61FF1" w:rsidRDefault="00863530" w:rsidP="00024BAE">
            <w:pPr>
              <w:autoSpaceDE/>
              <w:autoSpaceDN/>
              <w:adjustRightInd/>
              <w:rPr>
                <w:rFonts w:ascii="Arial" w:eastAsia="Times New Roman" w:hAnsi="Arial" w:cs="Arial"/>
              </w:rPr>
            </w:pPr>
          </w:p>
        </w:tc>
        <w:tc>
          <w:tcPr>
            <w:tcW w:w="3060" w:type="dxa"/>
            <w:vMerge/>
            <w:vAlign w:val="center"/>
            <w:hideMark/>
          </w:tcPr>
          <w:p w14:paraId="7BB36F18" w14:textId="77777777" w:rsidR="00863530" w:rsidRPr="00B61FF1" w:rsidRDefault="00863530" w:rsidP="00024BAE">
            <w:pPr>
              <w:autoSpaceDE/>
              <w:autoSpaceDN/>
              <w:adjustRightInd/>
              <w:rPr>
                <w:rFonts w:ascii="Arial" w:eastAsia="Times New Roman" w:hAnsi="Arial" w:cs="Arial"/>
              </w:rPr>
            </w:pPr>
          </w:p>
        </w:tc>
        <w:tc>
          <w:tcPr>
            <w:tcW w:w="1080" w:type="dxa"/>
            <w:vMerge/>
            <w:vAlign w:val="center"/>
            <w:hideMark/>
          </w:tcPr>
          <w:p w14:paraId="2DB9D54B" w14:textId="77777777" w:rsidR="00863530" w:rsidRPr="00B61FF1" w:rsidRDefault="00863530" w:rsidP="00024BAE">
            <w:pPr>
              <w:autoSpaceDE/>
              <w:autoSpaceDN/>
              <w:adjustRightInd/>
              <w:rPr>
                <w:rFonts w:ascii="Arial" w:eastAsia="Times New Roman" w:hAnsi="Arial" w:cs="Arial"/>
              </w:rPr>
            </w:pPr>
          </w:p>
        </w:tc>
        <w:tc>
          <w:tcPr>
            <w:tcW w:w="2880" w:type="dxa"/>
            <w:shd w:val="clear" w:color="auto" w:fill="auto"/>
            <w:vAlign w:val="bottom"/>
            <w:hideMark/>
          </w:tcPr>
          <w:p w14:paraId="4D38758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Recycled Linerboard (Testliner) Manufacturing</w:t>
            </w:r>
          </w:p>
        </w:tc>
        <w:tc>
          <w:tcPr>
            <w:tcW w:w="1080" w:type="dxa"/>
            <w:shd w:val="clear" w:color="auto" w:fill="auto"/>
            <w:noWrap/>
            <w:vAlign w:val="bottom"/>
            <w:hideMark/>
          </w:tcPr>
          <w:p w14:paraId="0A01FA11"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08E303DE"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08181D24"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3AC7145A" w14:textId="77777777" w:rsidTr="006D009B">
        <w:trPr>
          <w:trHeight w:val="282"/>
        </w:trPr>
        <w:tc>
          <w:tcPr>
            <w:tcW w:w="1535" w:type="dxa"/>
            <w:vMerge/>
            <w:vAlign w:val="center"/>
            <w:hideMark/>
          </w:tcPr>
          <w:p w14:paraId="6A32668D" w14:textId="77777777" w:rsidR="00863530" w:rsidRPr="00B61FF1" w:rsidRDefault="00863530" w:rsidP="00024BAE">
            <w:pPr>
              <w:autoSpaceDE/>
              <w:autoSpaceDN/>
              <w:adjustRightInd/>
              <w:rPr>
                <w:rFonts w:ascii="Arial" w:eastAsia="Times New Roman" w:hAnsi="Arial" w:cs="Arial"/>
              </w:rPr>
            </w:pPr>
          </w:p>
        </w:tc>
        <w:tc>
          <w:tcPr>
            <w:tcW w:w="3060" w:type="dxa"/>
            <w:vMerge/>
            <w:vAlign w:val="center"/>
            <w:hideMark/>
          </w:tcPr>
          <w:p w14:paraId="2A951D25" w14:textId="77777777" w:rsidR="00863530" w:rsidRPr="00B61FF1" w:rsidRDefault="00863530" w:rsidP="00024BAE">
            <w:pPr>
              <w:autoSpaceDE/>
              <w:autoSpaceDN/>
              <w:adjustRightInd/>
              <w:rPr>
                <w:rFonts w:ascii="Arial" w:eastAsia="Times New Roman" w:hAnsi="Arial" w:cs="Arial"/>
              </w:rPr>
            </w:pPr>
          </w:p>
        </w:tc>
        <w:tc>
          <w:tcPr>
            <w:tcW w:w="1080" w:type="dxa"/>
            <w:vMerge/>
            <w:vAlign w:val="center"/>
            <w:hideMark/>
          </w:tcPr>
          <w:p w14:paraId="358BD9D3" w14:textId="77777777" w:rsidR="00863530" w:rsidRPr="00B61FF1" w:rsidRDefault="00863530" w:rsidP="00024BAE">
            <w:pPr>
              <w:autoSpaceDE/>
              <w:autoSpaceDN/>
              <w:adjustRightInd/>
              <w:rPr>
                <w:rFonts w:ascii="Arial" w:eastAsia="Times New Roman" w:hAnsi="Arial" w:cs="Arial"/>
              </w:rPr>
            </w:pPr>
          </w:p>
        </w:tc>
        <w:tc>
          <w:tcPr>
            <w:tcW w:w="2880" w:type="dxa"/>
            <w:shd w:val="clear" w:color="auto" w:fill="auto"/>
            <w:vAlign w:val="bottom"/>
            <w:hideMark/>
          </w:tcPr>
          <w:p w14:paraId="51305522"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Recycled Medium (Fluting) Manufacturing</w:t>
            </w:r>
          </w:p>
        </w:tc>
        <w:tc>
          <w:tcPr>
            <w:tcW w:w="1080" w:type="dxa"/>
            <w:shd w:val="clear" w:color="auto" w:fill="auto"/>
            <w:noWrap/>
            <w:vAlign w:val="bottom"/>
            <w:hideMark/>
          </w:tcPr>
          <w:p w14:paraId="463EDF41"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75079BA6"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3FEB23BE"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F561B8" w:rsidRPr="00B61FF1" w14:paraId="1F6ED763" w14:textId="77777777" w:rsidTr="006D009B">
        <w:trPr>
          <w:trHeight w:val="525"/>
        </w:trPr>
        <w:tc>
          <w:tcPr>
            <w:tcW w:w="1535" w:type="dxa"/>
            <w:vMerge/>
            <w:vAlign w:val="center"/>
          </w:tcPr>
          <w:p w14:paraId="0264A2DB" w14:textId="77777777" w:rsidR="00F561B8" w:rsidRPr="00B61FF1" w:rsidRDefault="00F561B8" w:rsidP="00024BAE">
            <w:pPr>
              <w:autoSpaceDE/>
              <w:autoSpaceDN/>
              <w:adjustRightInd/>
              <w:rPr>
                <w:rFonts w:ascii="Arial" w:eastAsia="Times New Roman" w:hAnsi="Arial" w:cs="Arial"/>
              </w:rPr>
            </w:pPr>
          </w:p>
        </w:tc>
        <w:tc>
          <w:tcPr>
            <w:tcW w:w="3060" w:type="dxa"/>
            <w:shd w:val="clear" w:color="auto" w:fill="auto"/>
            <w:vAlign w:val="bottom"/>
          </w:tcPr>
          <w:p w14:paraId="69C85D15" w14:textId="77777777" w:rsidR="00520686" w:rsidRPr="00B61FF1" w:rsidRDefault="00520686" w:rsidP="00024BAE">
            <w:pPr>
              <w:autoSpaceDE/>
              <w:autoSpaceDN/>
              <w:adjustRightInd/>
              <w:rPr>
                <w:rFonts w:ascii="Arial" w:eastAsia="Times New Roman" w:hAnsi="Arial" w:cs="Arial"/>
              </w:rPr>
            </w:pPr>
            <w:r w:rsidRPr="00B61FF1">
              <w:rPr>
                <w:rFonts w:ascii="Arial" w:eastAsia="Times New Roman" w:hAnsi="Arial" w:cs="Arial"/>
              </w:rPr>
              <w:t xml:space="preserve">All Other Petroleum and Coal Products Manufacturing </w:t>
            </w:r>
          </w:p>
          <w:p w14:paraId="46A7F14E" w14:textId="77777777" w:rsidR="00F561B8" w:rsidRPr="00B61FF1" w:rsidRDefault="00F561B8" w:rsidP="00024BAE">
            <w:pPr>
              <w:autoSpaceDE/>
              <w:autoSpaceDN/>
              <w:adjustRightInd/>
              <w:rPr>
                <w:rFonts w:ascii="Arial" w:eastAsia="Times New Roman" w:hAnsi="Arial" w:cs="Arial"/>
              </w:rPr>
            </w:pPr>
            <w:r w:rsidRPr="00B61FF1">
              <w:rPr>
                <w:rFonts w:ascii="Arial" w:eastAsia="Times New Roman" w:hAnsi="Arial" w:cs="Arial"/>
              </w:rPr>
              <w:t>All Other Basic Inorganic Chemical Manufacturing</w:t>
            </w:r>
          </w:p>
        </w:tc>
        <w:tc>
          <w:tcPr>
            <w:tcW w:w="1080" w:type="dxa"/>
            <w:shd w:val="clear" w:color="auto" w:fill="auto"/>
            <w:vAlign w:val="center"/>
          </w:tcPr>
          <w:p w14:paraId="33E125C9" w14:textId="77777777" w:rsidR="00520686" w:rsidRPr="00B61FF1" w:rsidRDefault="00520686" w:rsidP="00024BAE">
            <w:pPr>
              <w:autoSpaceDE/>
              <w:autoSpaceDN/>
              <w:adjustRightInd/>
              <w:jc w:val="center"/>
              <w:rPr>
                <w:rFonts w:ascii="Arial" w:eastAsia="Times New Roman" w:hAnsi="Arial" w:cs="Arial"/>
              </w:rPr>
            </w:pPr>
            <w:r w:rsidRPr="00B61FF1">
              <w:rPr>
                <w:rFonts w:ascii="Arial" w:eastAsia="Times New Roman" w:hAnsi="Arial" w:cs="Arial"/>
              </w:rPr>
              <w:t>324199</w:t>
            </w:r>
          </w:p>
          <w:p w14:paraId="5F7371CD" w14:textId="77777777" w:rsidR="00520686" w:rsidRPr="00B61FF1" w:rsidRDefault="00520686" w:rsidP="00024BAE">
            <w:pPr>
              <w:autoSpaceDE/>
              <w:autoSpaceDN/>
              <w:adjustRightInd/>
              <w:jc w:val="center"/>
              <w:rPr>
                <w:rFonts w:ascii="Arial" w:eastAsia="Times New Roman" w:hAnsi="Arial" w:cs="Arial"/>
              </w:rPr>
            </w:pPr>
          </w:p>
          <w:p w14:paraId="6AE1A0E2" w14:textId="77777777" w:rsidR="00F561B8" w:rsidRPr="00B61FF1" w:rsidRDefault="00F561B8" w:rsidP="00024BAE">
            <w:pPr>
              <w:autoSpaceDE/>
              <w:autoSpaceDN/>
              <w:adjustRightInd/>
              <w:jc w:val="center"/>
              <w:rPr>
                <w:rFonts w:ascii="Arial" w:eastAsia="Times New Roman" w:hAnsi="Arial" w:cs="Arial"/>
              </w:rPr>
            </w:pPr>
            <w:r w:rsidRPr="00B61FF1">
              <w:rPr>
                <w:rFonts w:ascii="Arial" w:eastAsia="Times New Roman" w:hAnsi="Arial" w:cs="Arial"/>
              </w:rPr>
              <w:t>325188</w:t>
            </w:r>
          </w:p>
        </w:tc>
        <w:tc>
          <w:tcPr>
            <w:tcW w:w="2880" w:type="dxa"/>
            <w:shd w:val="clear" w:color="auto" w:fill="auto"/>
            <w:vAlign w:val="bottom"/>
          </w:tcPr>
          <w:p w14:paraId="6CE5EF04" w14:textId="77777777" w:rsidR="00520686" w:rsidRPr="00B61FF1" w:rsidRDefault="00520686" w:rsidP="00024BAE">
            <w:pPr>
              <w:autoSpaceDE/>
              <w:autoSpaceDN/>
              <w:adjustRightInd/>
              <w:rPr>
                <w:rFonts w:ascii="Arial" w:eastAsia="Times New Roman" w:hAnsi="Arial" w:cs="Arial"/>
              </w:rPr>
            </w:pPr>
            <w:r w:rsidRPr="00B61FF1">
              <w:rPr>
                <w:rFonts w:ascii="Arial" w:eastAsia="Times New Roman" w:hAnsi="Arial" w:cs="Arial"/>
              </w:rPr>
              <w:t xml:space="preserve">Coke Calcining </w:t>
            </w:r>
          </w:p>
          <w:p w14:paraId="4C0F6277" w14:textId="77777777" w:rsidR="00F561B8" w:rsidRPr="00B61FF1" w:rsidRDefault="00BB19F1" w:rsidP="00024BAE">
            <w:pPr>
              <w:autoSpaceDE/>
              <w:autoSpaceDN/>
              <w:adjustRightInd/>
              <w:rPr>
                <w:rFonts w:ascii="Arial" w:eastAsia="Times New Roman" w:hAnsi="Arial" w:cs="Arial"/>
              </w:rPr>
            </w:pPr>
            <w:r w:rsidRPr="00B61FF1">
              <w:rPr>
                <w:rFonts w:ascii="Arial" w:eastAsia="Times New Roman" w:hAnsi="Arial" w:cs="Arial"/>
              </w:rPr>
              <w:t>All Other Basic Inorganic Chemical Manufacturing</w:t>
            </w:r>
          </w:p>
        </w:tc>
        <w:tc>
          <w:tcPr>
            <w:tcW w:w="1080" w:type="dxa"/>
            <w:shd w:val="clear" w:color="auto" w:fill="auto"/>
            <w:noWrap/>
            <w:vAlign w:val="bottom"/>
          </w:tcPr>
          <w:p w14:paraId="05414C5F" w14:textId="77777777" w:rsidR="00520686" w:rsidRPr="00B61FF1" w:rsidRDefault="00520686" w:rsidP="00024BAE">
            <w:pPr>
              <w:autoSpaceDE/>
              <w:autoSpaceDN/>
              <w:adjustRightInd/>
              <w:jc w:val="right"/>
              <w:rPr>
                <w:rFonts w:ascii="Arial" w:eastAsia="Times New Roman" w:hAnsi="Arial" w:cs="Arial"/>
              </w:rPr>
            </w:pPr>
            <w:r w:rsidRPr="00B61FF1">
              <w:rPr>
                <w:rFonts w:ascii="Arial" w:eastAsia="Times New Roman" w:hAnsi="Arial" w:cs="Arial"/>
              </w:rPr>
              <w:t>100%</w:t>
            </w:r>
          </w:p>
          <w:p w14:paraId="351B8386" w14:textId="77777777" w:rsidR="00520686" w:rsidRPr="00B61FF1" w:rsidRDefault="00520686" w:rsidP="00024BAE">
            <w:pPr>
              <w:autoSpaceDE/>
              <w:autoSpaceDN/>
              <w:adjustRightInd/>
              <w:jc w:val="right"/>
              <w:rPr>
                <w:rFonts w:ascii="Arial" w:eastAsia="Times New Roman" w:hAnsi="Arial" w:cs="Arial"/>
              </w:rPr>
            </w:pPr>
          </w:p>
          <w:p w14:paraId="7B916931" w14:textId="77777777" w:rsidR="00F561B8" w:rsidRPr="00B61FF1" w:rsidRDefault="00BB19F1"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tcPr>
          <w:p w14:paraId="147D81E0" w14:textId="77777777" w:rsidR="00520686" w:rsidRPr="00B61FF1" w:rsidRDefault="00520686" w:rsidP="00024BAE">
            <w:pPr>
              <w:autoSpaceDE/>
              <w:autoSpaceDN/>
              <w:adjustRightInd/>
              <w:jc w:val="right"/>
              <w:rPr>
                <w:rFonts w:ascii="Arial" w:eastAsia="Times New Roman" w:hAnsi="Arial" w:cs="Arial"/>
              </w:rPr>
            </w:pPr>
            <w:r w:rsidRPr="00B61FF1">
              <w:rPr>
                <w:rFonts w:ascii="Arial" w:eastAsia="Times New Roman" w:hAnsi="Arial" w:cs="Arial"/>
              </w:rPr>
              <w:t>100%</w:t>
            </w:r>
          </w:p>
          <w:p w14:paraId="2DEC38A1" w14:textId="77777777" w:rsidR="00520686" w:rsidRPr="00B61FF1" w:rsidRDefault="00520686" w:rsidP="00024BAE">
            <w:pPr>
              <w:autoSpaceDE/>
              <w:autoSpaceDN/>
              <w:adjustRightInd/>
              <w:jc w:val="right"/>
              <w:rPr>
                <w:rFonts w:ascii="Arial" w:eastAsia="Times New Roman" w:hAnsi="Arial" w:cs="Arial"/>
              </w:rPr>
            </w:pPr>
          </w:p>
          <w:p w14:paraId="5A45528D" w14:textId="77777777" w:rsidR="00F561B8" w:rsidRPr="00B61FF1" w:rsidRDefault="00BB19F1"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tcPr>
          <w:p w14:paraId="307CD1CD" w14:textId="77777777" w:rsidR="00520686" w:rsidRPr="00B61FF1" w:rsidRDefault="00520686" w:rsidP="00024BAE">
            <w:pPr>
              <w:autoSpaceDE/>
              <w:autoSpaceDN/>
              <w:adjustRightInd/>
              <w:jc w:val="right"/>
              <w:rPr>
                <w:rFonts w:ascii="Arial" w:eastAsia="Times New Roman" w:hAnsi="Arial" w:cs="Arial"/>
              </w:rPr>
            </w:pPr>
            <w:r w:rsidRPr="00B61FF1">
              <w:rPr>
                <w:rFonts w:ascii="Arial" w:eastAsia="Times New Roman" w:hAnsi="Arial" w:cs="Arial"/>
              </w:rPr>
              <w:t>100%</w:t>
            </w:r>
          </w:p>
          <w:p w14:paraId="3F897280" w14:textId="77777777" w:rsidR="00520686" w:rsidRPr="00B61FF1" w:rsidRDefault="00520686" w:rsidP="00024BAE">
            <w:pPr>
              <w:autoSpaceDE/>
              <w:autoSpaceDN/>
              <w:adjustRightInd/>
              <w:jc w:val="right"/>
              <w:rPr>
                <w:rFonts w:ascii="Arial" w:eastAsia="Times New Roman" w:hAnsi="Arial" w:cs="Arial"/>
              </w:rPr>
            </w:pPr>
          </w:p>
          <w:p w14:paraId="16FA67DA" w14:textId="77777777" w:rsidR="00F561B8" w:rsidRPr="00B61FF1" w:rsidRDefault="00BB19F1"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0EB5D5F9" w14:textId="77777777" w:rsidTr="006D009B">
        <w:trPr>
          <w:trHeight w:val="525"/>
        </w:trPr>
        <w:tc>
          <w:tcPr>
            <w:tcW w:w="1535" w:type="dxa"/>
            <w:vMerge/>
            <w:vAlign w:val="center"/>
            <w:hideMark/>
          </w:tcPr>
          <w:p w14:paraId="7A49A57D"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765E92E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All Other Basic Organic Chemical Manufacturing</w:t>
            </w:r>
          </w:p>
        </w:tc>
        <w:tc>
          <w:tcPr>
            <w:tcW w:w="1080" w:type="dxa"/>
            <w:shd w:val="clear" w:color="auto" w:fill="auto"/>
            <w:vAlign w:val="center"/>
            <w:hideMark/>
          </w:tcPr>
          <w:p w14:paraId="2536E111"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325199</w:t>
            </w:r>
          </w:p>
        </w:tc>
        <w:tc>
          <w:tcPr>
            <w:tcW w:w="2880" w:type="dxa"/>
            <w:shd w:val="clear" w:color="auto" w:fill="auto"/>
            <w:vAlign w:val="bottom"/>
            <w:hideMark/>
          </w:tcPr>
          <w:p w14:paraId="45651CB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All Other Basic Organic Chemical Manufacturing</w:t>
            </w:r>
          </w:p>
        </w:tc>
        <w:tc>
          <w:tcPr>
            <w:tcW w:w="1080" w:type="dxa"/>
            <w:shd w:val="clear" w:color="auto" w:fill="auto"/>
            <w:noWrap/>
            <w:vAlign w:val="bottom"/>
            <w:hideMark/>
          </w:tcPr>
          <w:p w14:paraId="530BACFD"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01F84034"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2BC3B9A6"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58F92617" w14:textId="77777777" w:rsidTr="006D009B">
        <w:trPr>
          <w:trHeight w:val="282"/>
        </w:trPr>
        <w:tc>
          <w:tcPr>
            <w:tcW w:w="1535" w:type="dxa"/>
            <w:vMerge/>
            <w:vAlign w:val="center"/>
            <w:hideMark/>
          </w:tcPr>
          <w:p w14:paraId="70DE7291" w14:textId="77777777" w:rsidR="00863530" w:rsidRPr="00B61FF1" w:rsidRDefault="00863530" w:rsidP="00024BAE">
            <w:pPr>
              <w:autoSpaceDE/>
              <w:autoSpaceDN/>
              <w:adjustRightInd/>
              <w:rPr>
                <w:rFonts w:ascii="Arial" w:eastAsia="Times New Roman" w:hAnsi="Arial" w:cs="Arial"/>
              </w:rPr>
            </w:pPr>
          </w:p>
        </w:tc>
        <w:tc>
          <w:tcPr>
            <w:tcW w:w="3060" w:type="dxa"/>
            <w:vMerge w:val="restart"/>
            <w:shd w:val="clear" w:color="auto" w:fill="auto"/>
            <w:vAlign w:val="center"/>
            <w:hideMark/>
          </w:tcPr>
          <w:p w14:paraId="20DE1EF6"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 xml:space="preserve">Nitrogenous Fertilizer </w:t>
            </w:r>
            <w:r w:rsidRPr="00B61FF1">
              <w:rPr>
                <w:rFonts w:ascii="Arial" w:eastAsia="Times New Roman" w:hAnsi="Arial" w:cs="Arial"/>
              </w:rPr>
              <w:lastRenderedPageBreak/>
              <w:t>Manufacturing</w:t>
            </w:r>
          </w:p>
        </w:tc>
        <w:tc>
          <w:tcPr>
            <w:tcW w:w="1080" w:type="dxa"/>
            <w:vMerge w:val="restart"/>
            <w:shd w:val="clear" w:color="auto" w:fill="auto"/>
            <w:vAlign w:val="center"/>
            <w:hideMark/>
          </w:tcPr>
          <w:p w14:paraId="045687A1"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lastRenderedPageBreak/>
              <w:t>325311</w:t>
            </w:r>
          </w:p>
        </w:tc>
        <w:tc>
          <w:tcPr>
            <w:tcW w:w="2880" w:type="dxa"/>
            <w:shd w:val="clear" w:color="auto" w:fill="auto"/>
            <w:vAlign w:val="bottom"/>
            <w:hideMark/>
          </w:tcPr>
          <w:p w14:paraId="069DF12D"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Nitric Acid Production</w:t>
            </w:r>
          </w:p>
        </w:tc>
        <w:tc>
          <w:tcPr>
            <w:tcW w:w="1080" w:type="dxa"/>
            <w:shd w:val="clear" w:color="auto" w:fill="auto"/>
            <w:noWrap/>
            <w:vAlign w:val="bottom"/>
            <w:hideMark/>
          </w:tcPr>
          <w:p w14:paraId="7439FBF9"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6F847B3C"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4878AFB2"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0A087498" w14:textId="77777777" w:rsidTr="006D009B">
        <w:trPr>
          <w:trHeight w:val="282"/>
        </w:trPr>
        <w:tc>
          <w:tcPr>
            <w:tcW w:w="1535" w:type="dxa"/>
            <w:vMerge/>
            <w:vAlign w:val="center"/>
            <w:hideMark/>
          </w:tcPr>
          <w:p w14:paraId="693725CE" w14:textId="77777777" w:rsidR="00863530" w:rsidRPr="00B61FF1" w:rsidRDefault="00863530" w:rsidP="00024BAE">
            <w:pPr>
              <w:autoSpaceDE/>
              <w:autoSpaceDN/>
              <w:adjustRightInd/>
              <w:rPr>
                <w:rFonts w:ascii="Arial" w:eastAsia="Times New Roman" w:hAnsi="Arial" w:cs="Arial"/>
              </w:rPr>
            </w:pPr>
          </w:p>
        </w:tc>
        <w:tc>
          <w:tcPr>
            <w:tcW w:w="3060" w:type="dxa"/>
            <w:vMerge/>
            <w:vAlign w:val="center"/>
            <w:hideMark/>
          </w:tcPr>
          <w:p w14:paraId="03B24DCB" w14:textId="77777777" w:rsidR="00863530" w:rsidRPr="00B61FF1" w:rsidRDefault="00863530" w:rsidP="00024BAE">
            <w:pPr>
              <w:autoSpaceDE/>
              <w:autoSpaceDN/>
              <w:adjustRightInd/>
              <w:rPr>
                <w:rFonts w:ascii="Arial" w:eastAsia="Times New Roman" w:hAnsi="Arial" w:cs="Arial"/>
              </w:rPr>
            </w:pPr>
          </w:p>
        </w:tc>
        <w:tc>
          <w:tcPr>
            <w:tcW w:w="1080" w:type="dxa"/>
            <w:vMerge/>
            <w:vAlign w:val="center"/>
            <w:hideMark/>
          </w:tcPr>
          <w:p w14:paraId="6A5F252F" w14:textId="77777777" w:rsidR="00863530" w:rsidRPr="00B61FF1" w:rsidRDefault="00863530" w:rsidP="00024BAE">
            <w:pPr>
              <w:autoSpaceDE/>
              <w:autoSpaceDN/>
              <w:adjustRightInd/>
              <w:rPr>
                <w:rFonts w:ascii="Arial" w:eastAsia="Times New Roman" w:hAnsi="Arial" w:cs="Arial"/>
              </w:rPr>
            </w:pPr>
          </w:p>
        </w:tc>
        <w:tc>
          <w:tcPr>
            <w:tcW w:w="2880" w:type="dxa"/>
            <w:shd w:val="clear" w:color="auto" w:fill="auto"/>
            <w:vAlign w:val="bottom"/>
            <w:hideMark/>
          </w:tcPr>
          <w:p w14:paraId="5F225E01"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Calcium Ammonium Nitrate Solution Production</w:t>
            </w:r>
          </w:p>
        </w:tc>
        <w:tc>
          <w:tcPr>
            <w:tcW w:w="1080" w:type="dxa"/>
            <w:shd w:val="clear" w:color="auto" w:fill="auto"/>
            <w:noWrap/>
            <w:vAlign w:val="bottom"/>
            <w:hideMark/>
          </w:tcPr>
          <w:p w14:paraId="447D35B6"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2826FCC"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31078F12"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32752D00" w14:textId="77777777" w:rsidTr="006D009B">
        <w:trPr>
          <w:trHeight w:val="282"/>
        </w:trPr>
        <w:tc>
          <w:tcPr>
            <w:tcW w:w="1535" w:type="dxa"/>
            <w:vMerge/>
            <w:vAlign w:val="center"/>
            <w:hideMark/>
          </w:tcPr>
          <w:p w14:paraId="016D908A"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634E9CC7"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Flat Glass Manufacturing</w:t>
            </w:r>
          </w:p>
        </w:tc>
        <w:tc>
          <w:tcPr>
            <w:tcW w:w="1080" w:type="dxa"/>
            <w:shd w:val="clear" w:color="auto" w:fill="auto"/>
            <w:vAlign w:val="center"/>
            <w:hideMark/>
          </w:tcPr>
          <w:p w14:paraId="59E1634C"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327211</w:t>
            </w:r>
          </w:p>
        </w:tc>
        <w:tc>
          <w:tcPr>
            <w:tcW w:w="2880" w:type="dxa"/>
            <w:shd w:val="clear" w:color="auto" w:fill="auto"/>
            <w:vAlign w:val="bottom"/>
            <w:hideMark/>
          </w:tcPr>
          <w:p w14:paraId="36AB3A38"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Flat Glass Manufacturing</w:t>
            </w:r>
          </w:p>
        </w:tc>
        <w:tc>
          <w:tcPr>
            <w:tcW w:w="1080" w:type="dxa"/>
            <w:shd w:val="clear" w:color="auto" w:fill="auto"/>
            <w:noWrap/>
            <w:vAlign w:val="bottom"/>
            <w:hideMark/>
          </w:tcPr>
          <w:p w14:paraId="61E5477D"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33F47BC0"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453C3976"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3BD83558" w14:textId="77777777" w:rsidTr="006D009B">
        <w:trPr>
          <w:trHeight w:val="282"/>
        </w:trPr>
        <w:tc>
          <w:tcPr>
            <w:tcW w:w="1535" w:type="dxa"/>
            <w:vMerge/>
            <w:vAlign w:val="center"/>
            <w:hideMark/>
          </w:tcPr>
          <w:p w14:paraId="544C1744"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06256360"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Glass Container Manufacturing</w:t>
            </w:r>
          </w:p>
        </w:tc>
        <w:tc>
          <w:tcPr>
            <w:tcW w:w="1080" w:type="dxa"/>
            <w:shd w:val="clear" w:color="auto" w:fill="auto"/>
            <w:vAlign w:val="center"/>
            <w:hideMark/>
          </w:tcPr>
          <w:p w14:paraId="6361FAEB"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327213</w:t>
            </w:r>
          </w:p>
        </w:tc>
        <w:tc>
          <w:tcPr>
            <w:tcW w:w="2880" w:type="dxa"/>
            <w:shd w:val="clear" w:color="auto" w:fill="auto"/>
            <w:vAlign w:val="bottom"/>
            <w:hideMark/>
          </w:tcPr>
          <w:p w14:paraId="40E3E72E"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Container Glass Manufacturing</w:t>
            </w:r>
          </w:p>
        </w:tc>
        <w:tc>
          <w:tcPr>
            <w:tcW w:w="1080" w:type="dxa"/>
            <w:shd w:val="clear" w:color="auto" w:fill="auto"/>
            <w:noWrap/>
            <w:vAlign w:val="bottom"/>
            <w:hideMark/>
          </w:tcPr>
          <w:p w14:paraId="0228B970"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6F5EBC7A"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20717668"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494D0159" w14:textId="77777777" w:rsidTr="006D009B">
        <w:trPr>
          <w:trHeight w:val="282"/>
        </w:trPr>
        <w:tc>
          <w:tcPr>
            <w:tcW w:w="1535" w:type="dxa"/>
            <w:vMerge/>
            <w:vAlign w:val="center"/>
            <w:hideMark/>
          </w:tcPr>
          <w:p w14:paraId="70834855"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777ADD23"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Cement Manufacturing</w:t>
            </w:r>
          </w:p>
        </w:tc>
        <w:tc>
          <w:tcPr>
            <w:tcW w:w="1080" w:type="dxa"/>
            <w:shd w:val="clear" w:color="auto" w:fill="auto"/>
            <w:vAlign w:val="center"/>
            <w:hideMark/>
          </w:tcPr>
          <w:p w14:paraId="3F827616"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327310</w:t>
            </w:r>
          </w:p>
        </w:tc>
        <w:tc>
          <w:tcPr>
            <w:tcW w:w="2880" w:type="dxa"/>
            <w:shd w:val="clear" w:color="auto" w:fill="auto"/>
            <w:vAlign w:val="bottom"/>
            <w:hideMark/>
          </w:tcPr>
          <w:p w14:paraId="0AF8F2E7"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Cement Manufacturing</w:t>
            </w:r>
          </w:p>
        </w:tc>
        <w:tc>
          <w:tcPr>
            <w:tcW w:w="1080" w:type="dxa"/>
            <w:shd w:val="clear" w:color="auto" w:fill="auto"/>
            <w:noWrap/>
            <w:vAlign w:val="bottom"/>
            <w:hideMark/>
          </w:tcPr>
          <w:p w14:paraId="0B8B3148"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75EE54D2"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5338E8EF"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0E68C1B7" w14:textId="77777777" w:rsidTr="006D009B">
        <w:trPr>
          <w:trHeight w:val="282"/>
        </w:trPr>
        <w:tc>
          <w:tcPr>
            <w:tcW w:w="1535" w:type="dxa"/>
            <w:vMerge/>
            <w:vAlign w:val="center"/>
            <w:hideMark/>
          </w:tcPr>
          <w:p w14:paraId="2A399C15"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7F25A8EB"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Lime Manufacturing</w:t>
            </w:r>
          </w:p>
        </w:tc>
        <w:tc>
          <w:tcPr>
            <w:tcW w:w="1080" w:type="dxa"/>
            <w:shd w:val="clear" w:color="auto" w:fill="auto"/>
            <w:vAlign w:val="center"/>
            <w:hideMark/>
          </w:tcPr>
          <w:p w14:paraId="62CE30A9"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327410</w:t>
            </w:r>
          </w:p>
        </w:tc>
        <w:tc>
          <w:tcPr>
            <w:tcW w:w="2880" w:type="dxa"/>
            <w:shd w:val="clear" w:color="auto" w:fill="auto"/>
            <w:vAlign w:val="bottom"/>
            <w:hideMark/>
          </w:tcPr>
          <w:p w14:paraId="1B2DB5D0"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Dolime Manufacturing</w:t>
            </w:r>
          </w:p>
        </w:tc>
        <w:tc>
          <w:tcPr>
            <w:tcW w:w="1080" w:type="dxa"/>
            <w:shd w:val="clear" w:color="auto" w:fill="auto"/>
            <w:noWrap/>
            <w:vAlign w:val="bottom"/>
            <w:hideMark/>
          </w:tcPr>
          <w:p w14:paraId="43A4AE0D"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FB5F91F"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2322F048"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863530" w:rsidRPr="00B61FF1" w14:paraId="4CF33920" w14:textId="77777777" w:rsidTr="006D009B">
        <w:trPr>
          <w:trHeight w:val="282"/>
        </w:trPr>
        <w:tc>
          <w:tcPr>
            <w:tcW w:w="1535" w:type="dxa"/>
            <w:vMerge/>
            <w:vAlign w:val="center"/>
            <w:hideMark/>
          </w:tcPr>
          <w:p w14:paraId="63DC4EDD" w14:textId="77777777" w:rsidR="00863530" w:rsidRPr="00B61FF1" w:rsidRDefault="00863530" w:rsidP="00024BAE">
            <w:pPr>
              <w:autoSpaceDE/>
              <w:autoSpaceDN/>
              <w:adjustRightInd/>
              <w:rPr>
                <w:rFonts w:ascii="Arial" w:eastAsia="Times New Roman" w:hAnsi="Arial" w:cs="Arial"/>
              </w:rPr>
            </w:pPr>
          </w:p>
        </w:tc>
        <w:tc>
          <w:tcPr>
            <w:tcW w:w="3060" w:type="dxa"/>
            <w:shd w:val="clear" w:color="auto" w:fill="auto"/>
            <w:vAlign w:val="bottom"/>
            <w:hideMark/>
          </w:tcPr>
          <w:p w14:paraId="15CA55C5"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Iron and Steel Mills</w:t>
            </w:r>
          </w:p>
        </w:tc>
        <w:tc>
          <w:tcPr>
            <w:tcW w:w="1080" w:type="dxa"/>
            <w:shd w:val="clear" w:color="auto" w:fill="auto"/>
            <w:vAlign w:val="center"/>
            <w:hideMark/>
          </w:tcPr>
          <w:p w14:paraId="0E49261C" w14:textId="77777777" w:rsidR="00863530" w:rsidRPr="00B61FF1" w:rsidRDefault="00863530" w:rsidP="00024BAE">
            <w:pPr>
              <w:autoSpaceDE/>
              <w:autoSpaceDN/>
              <w:adjustRightInd/>
              <w:jc w:val="center"/>
              <w:rPr>
                <w:rFonts w:ascii="Arial" w:eastAsia="Times New Roman" w:hAnsi="Arial" w:cs="Arial"/>
              </w:rPr>
            </w:pPr>
            <w:r w:rsidRPr="00B61FF1">
              <w:rPr>
                <w:rFonts w:ascii="Arial" w:eastAsia="Times New Roman" w:hAnsi="Arial" w:cs="Arial"/>
              </w:rPr>
              <w:t>331111</w:t>
            </w:r>
          </w:p>
        </w:tc>
        <w:tc>
          <w:tcPr>
            <w:tcW w:w="2880" w:type="dxa"/>
            <w:shd w:val="clear" w:color="auto" w:fill="auto"/>
            <w:vAlign w:val="bottom"/>
            <w:hideMark/>
          </w:tcPr>
          <w:p w14:paraId="2747B4D9" w14:textId="77777777" w:rsidR="00863530" w:rsidRPr="00B61FF1" w:rsidRDefault="00863530" w:rsidP="00024BAE">
            <w:pPr>
              <w:autoSpaceDE/>
              <w:autoSpaceDN/>
              <w:adjustRightInd/>
              <w:rPr>
                <w:rFonts w:ascii="Arial" w:eastAsia="Times New Roman" w:hAnsi="Arial" w:cs="Arial"/>
              </w:rPr>
            </w:pPr>
            <w:r w:rsidRPr="00B61FF1">
              <w:rPr>
                <w:rFonts w:ascii="Arial" w:eastAsia="Times New Roman" w:hAnsi="Arial" w:cs="Arial"/>
              </w:rPr>
              <w:t>Steel Production Using Electric Arc Furnace</w:t>
            </w:r>
          </w:p>
        </w:tc>
        <w:tc>
          <w:tcPr>
            <w:tcW w:w="1080" w:type="dxa"/>
            <w:shd w:val="clear" w:color="auto" w:fill="auto"/>
            <w:noWrap/>
            <w:vAlign w:val="bottom"/>
            <w:hideMark/>
          </w:tcPr>
          <w:p w14:paraId="04F1B6E9"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4802C676"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hideMark/>
          </w:tcPr>
          <w:p w14:paraId="2D847117" w14:textId="77777777" w:rsidR="00863530" w:rsidRPr="00B61FF1" w:rsidRDefault="00863530"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120F87" w:rsidRPr="00B61FF1" w14:paraId="7857F83B" w14:textId="77777777" w:rsidTr="006D009B">
        <w:trPr>
          <w:trHeight w:val="282"/>
        </w:trPr>
        <w:tc>
          <w:tcPr>
            <w:tcW w:w="1535" w:type="dxa"/>
            <w:vMerge/>
            <w:vAlign w:val="center"/>
          </w:tcPr>
          <w:p w14:paraId="57B9A873" w14:textId="77777777" w:rsidR="00120F87" w:rsidRPr="00B61FF1" w:rsidRDefault="00120F87" w:rsidP="00024BAE">
            <w:pPr>
              <w:autoSpaceDE/>
              <w:autoSpaceDN/>
              <w:adjustRightInd/>
              <w:rPr>
                <w:rFonts w:ascii="Arial" w:eastAsia="Times New Roman" w:hAnsi="Arial" w:cs="Arial"/>
              </w:rPr>
            </w:pPr>
          </w:p>
        </w:tc>
        <w:tc>
          <w:tcPr>
            <w:tcW w:w="3060" w:type="dxa"/>
            <w:shd w:val="clear" w:color="auto" w:fill="auto"/>
            <w:vAlign w:val="bottom"/>
          </w:tcPr>
          <w:p w14:paraId="088032C0" w14:textId="38EC53AC" w:rsidR="00120F87" w:rsidRPr="00B61FF1" w:rsidRDefault="00120F87" w:rsidP="00024BAE">
            <w:pPr>
              <w:autoSpaceDE/>
              <w:autoSpaceDN/>
              <w:adjustRightInd/>
              <w:rPr>
                <w:rFonts w:ascii="Arial" w:eastAsia="Times New Roman" w:hAnsi="Arial" w:cs="Arial"/>
              </w:rPr>
            </w:pPr>
            <w:r w:rsidRPr="00B61FF1">
              <w:rPr>
                <w:rFonts w:ascii="Arial" w:eastAsia="Times New Roman" w:hAnsi="Arial" w:cs="Arial"/>
              </w:rPr>
              <w:t>Rolled Steel Shape Manufacturing</w:t>
            </w:r>
          </w:p>
        </w:tc>
        <w:tc>
          <w:tcPr>
            <w:tcW w:w="1080" w:type="dxa"/>
            <w:shd w:val="clear" w:color="auto" w:fill="auto"/>
            <w:vAlign w:val="center"/>
          </w:tcPr>
          <w:p w14:paraId="3927A39A" w14:textId="5D52B8A3" w:rsidR="00120F87" w:rsidRPr="00B61FF1" w:rsidRDefault="00120F87" w:rsidP="00024BAE">
            <w:pPr>
              <w:autoSpaceDE/>
              <w:autoSpaceDN/>
              <w:adjustRightInd/>
              <w:jc w:val="center"/>
              <w:rPr>
                <w:rFonts w:ascii="Arial" w:eastAsia="Times New Roman" w:hAnsi="Arial" w:cs="Arial"/>
              </w:rPr>
            </w:pPr>
            <w:r w:rsidRPr="00B61FF1">
              <w:rPr>
                <w:rFonts w:ascii="Arial" w:eastAsia="Times New Roman" w:hAnsi="Arial" w:cs="Arial"/>
              </w:rPr>
              <w:t>331221</w:t>
            </w:r>
          </w:p>
        </w:tc>
        <w:tc>
          <w:tcPr>
            <w:tcW w:w="2880" w:type="dxa"/>
            <w:shd w:val="clear" w:color="auto" w:fill="auto"/>
            <w:vAlign w:val="bottom"/>
          </w:tcPr>
          <w:p w14:paraId="40BC1919" w14:textId="4982262C" w:rsidR="00120F87" w:rsidRPr="00B61FF1" w:rsidRDefault="00120F87" w:rsidP="00024BAE">
            <w:pPr>
              <w:autoSpaceDE/>
              <w:autoSpaceDN/>
              <w:adjustRightInd/>
              <w:rPr>
                <w:rFonts w:ascii="Arial" w:eastAsia="Times New Roman" w:hAnsi="Arial" w:cs="Arial"/>
              </w:rPr>
            </w:pPr>
            <w:r w:rsidRPr="00B61FF1">
              <w:rPr>
                <w:rFonts w:ascii="Arial" w:eastAsia="Times New Roman" w:hAnsi="Arial" w:cs="Arial"/>
              </w:rPr>
              <w:t>Hot Rolled Steel Sheet Production</w:t>
            </w:r>
          </w:p>
        </w:tc>
        <w:tc>
          <w:tcPr>
            <w:tcW w:w="1080" w:type="dxa"/>
            <w:shd w:val="clear" w:color="auto" w:fill="auto"/>
            <w:noWrap/>
            <w:vAlign w:val="bottom"/>
          </w:tcPr>
          <w:p w14:paraId="0B1B98DF" w14:textId="20FF4179" w:rsidR="00120F87" w:rsidRPr="00B61FF1" w:rsidRDefault="00120F87"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tcPr>
          <w:p w14:paraId="3CC44CBF" w14:textId="7B7F907A" w:rsidR="00120F87" w:rsidRPr="00B61FF1" w:rsidRDefault="00120F87"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170" w:type="dxa"/>
            <w:shd w:val="clear" w:color="auto" w:fill="auto"/>
            <w:noWrap/>
            <w:vAlign w:val="bottom"/>
          </w:tcPr>
          <w:p w14:paraId="51C11BE5" w14:textId="67D68A22" w:rsidR="00120F87" w:rsidRPr="00B61FF1" w:rsidRDefault="00120F87" w:rsidP="00024BAE">
            <w:pPr>
              <w:autoSpaceDE/>
              <w:autoSpaceDN/>
              <w:adjustRightInd/>
              <w:jc w:val="right"/>
              <w:rPr>
                <w:rFonts w:ascii="Arial" w:eastAsia="Times New Roman" w:hAnsi="Arial" w:cs="Arial"/>
              </w:rPr>
            </w:pPr>
            <w:r w:rsidRPr="00B61FF1">
              <w:rPr>
                <w:rFonts w:ascii="Arial" w:eastAsia="Times New Roman" w:hAnsi="Arial" w:cs="Arial"/>
              </w:rPr>
              <w:t>100%</w:t>
            </w:r>
          </w:p>
        </w:tc>
      </w:tr>
      <w:tr w:rsidR="009708CA" w:rsidRPr="00B61FF1" w14:paraId="54BC65F3" w14:textId="77777777" w:rsidTr="00120F87">
        <w:trPr>
          <w:trHeight w:val="282"/>
        </w:trPr>
        <w:tc>
          <w:tcPr>
            <w:tcW w:w="1535" w:type="dxa"/>
            <w:vMerge/>
            <w:vAlign w:val="center"/>
          </w:tcPr>
          <w:p w14:paraId="75090BEB"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tcPr>
          <w:p w14:paraId="771B361F" w14:textId="55CEE6B2"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All Other Metal Ore Mining</w:t>
            </w:r>
          </w:p>
        </w:tc>
        <w:tc>
          <w:tcPr>
            <w:tcW w:w="1080" w:type="dxa"/>
            <w:shd w:val="clear" w:color="auto" w:fill="auto"/>
            <w:vAlign w:val="center"/>
          </w:tcPr>
          <w:p w14:paraId="69F837EC" w14:textId="4646292A"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212299</w:t>
            </w:r>
          </w:p>
        </w:tc>
        <w:tc>
          <w:tcPr>
            <w:tcW w:w="2880" w:type="dxa"/>
            <w:shd w:val="clear" w:color="auto" w:fill="auto"/>
            <w:vAlign w:val="bottom"/>
          </w:tcPr>
          <w:p w14:paraId="728651E4" w14:textId="09A91228" w:rsidR="009708CA" w:rsidRPr="00B61FF1" w:rsidRDefault="009D67E1" w:rsidP="00024BAE">
            <w:pPr>
              <w:autoSpaceDE/>
              <w:autoSpaceDN/>
              <w:adjustRightInd/>
              <w:rPr>
                <w:rFonts w:ascii="Arial" w:eastAsia="Times New Roman" w:hAnsi="Arial" w:cs="Arial"/>
                <w:u w:val="single"/>
              </w:rPr>
            </w:pPr>
            <w:r w:rsidRPr="00B61FF1">
              <w:rPr>
                <w:rFonts w:ascii="Arial" w:eastAsia="Times New Roman" w:hAnsi="Arial" w:cs="Arial"/>
                <w:u w:val="single"/>
              </w:rPr>
              <w:t>Rare Earth Production</w:t>
            </w:r>
          </w:p>
        </w:tc>
        <w:tc>
          <w:tcPr>
            <w:tcW w:w="1080" w:type="dxa"/>
            <w:shd w:val="clear" w:color="auto" w:fill="auto"/>
            <w:noWrap/>
            <w:vAlign w:val="bottom"/>
          </w:tcPr>
          <w:p w14:paraId="26008D05" w14:textId="67A88ADD"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080" w:type="dxa"/>
            <w:shd w:val="clear" w:color="auto" w:fill="auto"/>
            <w:noWrap/>
            <w:vAlign w:val="bottom"/>
          </w:tcPr>
          <w:p w14:paraId="7E2EAF96" w14:textId="47E41ED8"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6013053A" w14:textId="15802727"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r>
      <w:tr w:rsidR="009708CA" w:rsidRPr="00B61FF1" w14:paraId="7B69DB65" w14:textId="77777777" w:rsidTr="00120F87">
        <w:trPr>
          <w:trHeight w:val="282"/>
        </w:trPr>
        <w:tc>
          <w:tcPr>
            <w:tcW w:w="1535" w:type="dxa"/>
            <w:vMerge/>
            <w:vAlign w:val="center"/>
            <w:hideMark/>
          </w:tcPr>
          <w:p w14:paraId="29E35C30"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tcPr>
          <w:p w14:paraId="125475EE" w14:textId="2377DB77"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Mineral Wool Manufacturing</w:t>
            </w:r>
          </w:p>
        </w:tc>
        <w:tc>
          <w:tcPr>
            <w:tcW w:w="1080" w:type="dxa"/>
            <w:shd w:val="clear" w:color="auto" w:fill="auto"/>
            <w:vAlign w:val="center"/>
          </w:tcPr>
          <w:p w14:paraId="4D3CF2CB" w14:textId="482B25DE"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327993</w:t>
            </w:r>
          </w:p>
        </w:tc>
        <w:tc>
          <w:tcPr>
            <w:tcW w:w="2880" w:type="dxa"/>
            <w:shd w:val="clear" w:color="auto" w:fill="auto"/>
            <w:vAlign w:val="bottom"/>
          </w:tcPr>
          <w:p w14:paraId="363B2C97" w14:textId="3A5893FC"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Fiber Glass Manufacturing</w:t>
            </w:r>
          </w:p>
        </w:tc>
        <w:tc>
          <w:tcPr>
            <w:tcW w:w="1080" w:type="dxa"/>
            <w:shd w:val="clear" w:color="auto" w:fill="auto"/>
            <w:noWrap/>
            <w:vAlign w:val="bottom"/>
          </w:tcPr>
          <w:p w14:paraId="172A6457" w14:textId="7331F852"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080" w:type="dxa"/>
            <w:shd w:val="clear" w:color="auto" w:fill="auto"/>
            <w:noWrap/>
            <w:vAlign w:val="bottom"/>
          </w:tcPr>
          <w:p w14:paraId="50581C05" w14:textId="637A5565"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5F37D16B" w14:textId="09477BD5"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r>
      <w:tr w:rsidR="009708CA" w:rsidRPr="00B61FF1" w14:paraId="61E37EA7" w14:textId="77777777" w:rsidTr="006D009B">
        <w:trPr>
          <w:trHeight w:val="282"/>
        </w:trPr>
        <w:tc>
          <w:tcPr>
            <w:tcW w:w="1535" w:type="dxa"/>
            <w:vMerge w:val="restart"/>
            <w:shd w:val="clear" w:color="auto" w:fill="auto"/>
            <w:noWrap/>
            <w:vAlign w:val="center"/>
            <w:hideMark/>
          </w:tcPr>
          <w:p w14:paraId="2712B69E"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Medium</w:t>
            </w:r>
          </w:p>
        </w:tc>
        <w:tc>
          <w:tcPr>
            <w:tcW w:w="3060" w:type="dxa"/>
            <w:shd w:val="clear" w:color="auto" w:fill="auto"/>
            <w:vAlign w:val="bottom"/>
            <w:hideMark/>
          </w:tcPr>
          <w:p w14:paraId="13F487DE"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Food Manufacturing</w:t>
            </w:r>
          </w:p>
        </w:tc>
        <w:tc>
          <w:tcPr>
            <w:tcW w:w="1080" w:type="dxa"/>
            <w:shd w:val="clear" w:color="auto" w:fill="auto"/>
            <w:vAlign w:val="center"/>
            <w:hideMark/>
          </w:tcPr>
          <w:p w14:paraId="270D1988"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311</w:t>
            </w:r>
          </w:p>
        </w:tc>
        <w:tc>
          <w:tcPr>
            <w:tcW w:w="2880" w:type="dxa"/>
            <w:shd w:val="clear" w:color="auto" w:fill="auto"/>
            <w:vAlign w:val="bottom"/>
            <w:hideMark/>
          </w:tcPr>
          <w:p w14:paraId="3C992DA1"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Food Manufacturing</w:t>
            </w:r>
          </w:p>
        </w:tc>
        <w:tc>
          <w:tcPr>
            <w:tcW w:w="1080" w:type="dxa"/>
            <w:shd w:val="clear" w:color="auto" w:fill="auto"/>
            <w:noWrap/>
            <w:vAlign w:val="bottom"/>
            <w:hideMark/>
          </w:tcPr>
          <w:p w14:paraId="5B784E4E"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3160F7DA" w14:textId="0B0049D5"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70114726" w14:textId="251D21AF"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69812A4E" w14:textId="77777777" w:rsidTr="006D009B">
        <w:trPr>
          <w:trHeight w:val="282"/>
        </w:trPr>
        <w:tc>
          <w:tcPr>
            <w:tcW w:w="1535" w:type="dxa"/>
            <w:vMerge/>
            <w:vAlign w:val="center"/>
            <w:hideMark/>
          </w:tcPr>
          <w:p w14:paraId="6F7EC4A0"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6D4A26E8"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Cut and Sew Apparel Manufacturing</w:t>
            </w:r>
          </w:p>
        </w:tc>
        <w:tc>
          <w:tcPr>
            <w:tcW w:w="1080" w:type="dxa"/>
            <w:shd w:val="clear" w:color="auto" w:fill="auto"/>
            <w:vAlign w:val="center"/>
            <w:hideMark/>
          </w:tcPr>
          <w:p w14:paraId="50C38AFD"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3152</w:t>
            </w:r>
          </w:p>
        </w:tc>
        <w:tc>
          <w:tcPr>
            <w:tcW w:w="2880" w:type="dxa"/>
            <w:shd w:val="clear" w:color="auto" w:fill="auto"/>
            <w:vAlign w:val="bottom"/>
            <w:hideMark/>
          </w:tcPr>
          <w:p w14:paraId="78B7FDB9"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Cut and Sew Apparel Manufacturing</w:t>
            </w:r>
          </w:p>
        </w:tc>
        <w:tc>
          <w:tcPr>
            <w:tcW w:w="1080" w:type="dxa"/>
            <w:shd w:val="clear" w:color="auto" w:fill="auto"/>
            <w:noWrap/>
            <w:vAlign w:val="bottom"/>
            <w:hideMark/>
          </w:tcPr>
          <w:p w14:paraId="458D9F0A"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651B0DC9" w14:textId="24D6CB7C"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59ECB8FA" w14:textId="12E2CCA0"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7450AE42" w14:textId="77777777" w:rsidTr="006D009B">
        <w:trPr>
          <w:trHeight w:val="282"/>
        </w:trPr>
        <w:tc>
          <w:tcPr>
            <w:tcW w:w="1535" w:type="dxa"/>
            <w:vMerge/>
            <w:vAlign w:val="center"/>
            <w:hideMark/>
          </w:tcPr>
          <w:p w14:paraId="1B40EA39"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24665829"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Breweries</w:t>
            </w:r>
          </w:p>
        </w:tc>
        <w:tc>
          <w:tcPr>
            <w:tcW w:w="1080" w:type="dxa"/>
            <w:shd w:val="clear" w:color="auto" w:fill="auto"/>
            <w:vAlign w:val="center"/>
            <w:hideMark/>
          </w:tcPr>
          <w:p w14:paraId="0550F35E"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312120</w:t>
            </w:r>
          </w:p>
        </w:tc>
        <w:tc>
          <w:tcPr>
            <w:tcW w:w="2880" w:type="dxa"/>
            <w:shd w:val="clear" w:color="auto" w:fill="auto"/>
            <w:vAlign w:val="bottom"/>
            <w:hideMark/>
          </w:tcPr>
          <w:p w14:paraId="0D9501CB"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Brewing</w:t>
            </w:r>
          </w:p>
        </w:tc>
        <w:tc>
          <w:tcPr>
            <w:tcW w:w="1080" w:type="dxa"/>
            <w:shd w:val="clear" w:color="auto" w:fill="auto"/>
            <w:noWrap/>
            <w:vAlign w:val="bottom"/>
            <w:hideMark/>
          </w:tcPr>
          <w:p w14:paraId="28727568"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4A0ED426" w14:textId="64960ACD"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35ED8694" w14:textId="2A048D7D"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425ACAB8" w14:textId="77777777" w:rsidTr="006D009B">
        <w:trPr>
          <w:trHeight w:val="282"/>
        </w:trPr>
        <w:tc>
          <w:tcPr>
            <w:tcW w:w="1535" w:type="dxa"/>
            <w:vMerge/>
            <w:vAlign w:val="center"/>
            <w:hideMark/>
          </w:tcPr>
          <w:p w14:paraId="563A19A7"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center"/>
            <w:hideMark/>
          </w:tcPr>
          <w:p w14:paraId="0DF7094B"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Petroleum Refineries</w:t>
            </w:r>
          </w:p>
        </w:tc>
        <w:tc>
          <w:tcPr>
            <w:tcW w:w="1080" w:type="dxa"/>
            <w:shd w:val="clear" w:color="auto" w:fill="auto"/>
            <w:vAlign w:val="center"/>
            <w:hideMark/>
          </w:tcPr>
          <w:p w14:paraId="592C2BC1"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324110</w:t>
            </w:r>
          </w:p>
        </w:tc>
        <w:tc>
          <w:tcPr>
            <w:tcW w:w="2880" w:type="dxa"/>
            <w:shd w:val="clear" w:color="auto" w:fill="auto"/>
            <w:vAlign w:val="bottom"/>
            <w:hideMark/>
          </w:tcPr>
          <w:p w14:paraId="0E977D15"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Petroleum Refining</w:t>
            </w:r>
          </w:p>
        </w:tc>
        <w:tc>
          <w:tcPr>
            <w:tcW w:w="1080" w:type="dxa"/>
            <w:shd w:val="clear" w:color="auto" w:fill="auto"/>
            <w:noWrap/>
            <w:vAlign w:val="bottom"/>
            <w:hideMark/>
          </w:tcPr>
          <w:p w14:paraId="64A64CAB"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5AD8253F" w14:textId="32A3FB8F"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3119B5A8" w14:textId="26576820"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5D17BBFD" w14:textId="77777777" w:rsidTr="006D009B">
        <w:trPr>
          <w:trHeight w:val="255"/>
        </w:trPr>
        <w:tc>
          <w:tcPr>
            <w:tcW w:w="1535" w:type="dxa"/>
            <w:vMerge/>
            <w:vAlign w:val="center"/>
            <w:hideMark/>
          </w:tcPr>
          <w:p w14:paraId="301FC2C5"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tcPr>
          <w:p w14:paraId="4D7FD5CF" w14:textId="77777777" w:rsidR="009708CA" w:rsidRPr="00B61FF1" w:rsidRDefault="009708CA" w:rsidP="00024BAE">
            <w:pPr>
              <w:autoSpaceDE/>
              <w:autoSpaceDN/>
              <w:adjustRightInd/>
              <w:rPr>
                <w:rFonts w:ascii="Arial" w:eastAsia="Times New Roman" w:hAnsi="Arial" w:cs="Arial"/>
                <w:dstrike/>
              </w:rPr>
            </w:pPr>
          </w:p>
        </w:tc>
        <w:tc>
          <w:tcPr>
            <w:tcW w:w="1080" w:type="dxa"/>
            <w:shd w:val="clear" w:color="auto" w:fill="auto"/>
            <w:vAlign w:val="center"/>
            <w:hideMark/>
          </w:tcPr>
          <w:p w14:paraId="3C3A42A9" w14:textId="77777777" w:rsidR="009708CA" w:rsidRPr="00B61FF1" w:rsidRDefault="009708CA" w:rsidP="00024BAE">
            <w:pPr>
              <w:autoSpaceDE/>
              <w:autoSpaceDN/>
              <w:adjustRightInd/>
              <w:jc w:val="center"/>
              <w:rPr>
                <w:rFonts w:ascii="Arial" w:eastAsia="Times New Roman" w:hAnsi="Arial" w:cs="Arial"/>
                <w:dstrike/>
              </w:rPr>
            </w:pPr>
          </w:p>
        </w:tc>
        <w:tc>
          <w:tcPr>
            <w:tcW w:w="2880" w:type="dxa"/>
            <w:shd w:val="clear" w:color="auto" w:fill="auto"/>
            <w:vAlign w:val="bottom"/>
            <w:hideMark/>
          </w:tcPr>
          <w:p w14:paraId="221C2CC8" w14:textId="77777777" w:rsidR="009708CA" w:rsidRPr="00B61FF1" w:rsidRDefault="009708CA" w:rsidP="00024BAE">
            <w:pPr>
              <w:autoSpaceDE/>
              <w:autoSpaceDN/>
              <w:adjustRightInd/>
              <w:rPr>
                <w:rFonts w:ascii="Arial" w:eastAsia="Times New Roman" w:hAnsi="Arial" w:cs="Arial"/>
                <w:dstrike/>
              </w:rPr>
            </w:pPr>
          </w:p>
        </w:tc>
        <w:tc>
          <w:tcPr>
            <w:tcW w:w="1080" w:type="dxa"/>
            <w:shd w:val="clear" w:color="auto" w:fill="auto"/>
            <w:noWrap/>
            <w:vAlign w:val="bottom"/>
            <w:hideMark/>
          </w:tcPr>
          <w:p w14:paraId="2DEEB0E6" w14:textId="77777777" w:rsidR="009708CA" w:rsidRPr="00B61FF1" w:rsidRDefault="009708CA" w:rsidP="00024BAE">
            <w:pPr>
              <w:autoSpaceDE/>
              <w:autoSpaceDN/>
              <w:adjustRightInd/>
              <w:jc w:val="right"/>
              <w:rPr>
                <w:rFonts w:ascii="Arial" w:eastAsia="Times New Roman" w:hAnsi="Arial" w:cs="Arial"/>
                <w:dstrike/>
              </w:rPr>
            </w:pPr>
          </w:p>
        </w:tc>
        <w:tc>
          <w:tcPr>
            <w:tcW w:w="1080" w:type="dxa"/>
            <w:shd w:val="clear" w:color="auto" w:fill="auto"/>
            <w:noWrap/>
            <w:vAlign w:val="bottom"/>
            <w:hideMark/>
          </w:tcPr>
          <w:p w14:paraId="390542E5" w14:textId="0242508C" w:rsidR="009708CA" w:rsidRPr="00B61FF1" w:rsidRDefault="009708CA" w:rsidP="00024BAE">
            <w:pPr>
              <w:autoSpaceDE/>
              <w:autoSpaceDN/>
              <w:adjustRightInd/>
              <w:jc w:val="right"/>
              <w:rPr>
                <w:rFonts w:ascii="Arial" w:eastAsia="Times New Roman" w:hAnsi="Arial" w:cs="Arial"/>
                <w:strike/>
                <w:d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19E40EC8" w14:textId="4518B1D2" w:rsidR="009708CA" w:rsidRPr="00B61FF1" w:rsidRDefault="009708CA" w:rsidP="00024BAE">
            <w:pPr>
              <w:autoSpaceDE/>
              <w:autoSpaceDN/>
              <w:adjustRightInd/>
              <w:jc w:val="right"/>
              <w:rPr>
                <w:rFonts w:ascii="Arial" w:eastAsia="Times New Roman" w:hAnsi="Arial" w:cs="Arial"/>
                <w:strike/>
                <w:d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1C3F334B" w14:textId="77777777" w:rsidTr="006D009B">
        <w:trPr>
          <w:trHeight w:val="282"/>
        </w:trPr>
        <w:tc>
          <w:tcPr>
            <w:tcW w:w="1535" w:type="dxa"/>
            <w:vMerge/>
            <w:vAlign w:val="center"/>
            <w:hideMark/>
          </w:tcPr>
          <w:p w14:paraId="7293AEA0" w14:textId="77777777" w:rsidR="009708CA" w:rsidRPr="00B61FF1" w:rsidRDefault="009708CA" w:rsidP="00024BAE">
            <w:pPr>
              <w:autoSpaceDE/>
              <w:autoSpaceDN/>
              <w:adjustRightInd/>
              <w:rPr>
                <w:rFonts w:ascii="Arial" w:eastAsia="Times New Roman" w:hAnsi="Arial" w:cs="Arial"/>
              </w:rPr>
            </w:pPr>
          </w:p>
        </w:tc>
        <w:tc>
          <w:tcPr>
            <w:tcW w:w="3060" w:type="dxa"/>
            <w:vMerge w:val="restart"/>
            <w:shd w:val="clear" w:color="auto" w:fill="auto"/>
            <w:vAlign w:val="center"/>
            <w:hideMark/>
          </w:tcPr>
          <w:p w14:paraId="269F2889"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Industrial Gas Manufacturing</w:t>
            </w:r>
          </w:p>
        </w:tc>
        <w:tc>
          <w:tcPr>
            <w:tcW w:w="1080" w:type="dxa"/>
            <w:vMerge w:val="restart"/>
            <w:shd w:val="clear" w:color="auto" w:fill="auto"/>
            <w:vAlign w:val="center"/>
            <w:hideMark/>
          </w:tcPr>
          <w:p w14:paraId="42E2E5B6"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325120</w:t>
            </w:r>
          </w:p>
        </w:tc>
        <w:tc>
          <w:tcPr>
            <w:tcW w:w="2880" w:type="dxa"/>
            <w:shd w:val="clear" w:color="auto" w:fill="auto"/>
            <w:vAlign w:val="bottom"/>
            <w:hideMark/>
          </w:tcPr>
          <w:p w14:paraId="15935E12"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Gaseous Hydrogen Production</w:t>
            </w:r>
          </w:p>
        </w:tc>
        <w:tc>
          <w:tcPr>
            <w:tcW w:w="1080" w:type="dxa"/>
            <w:shd w:val="clear" w:color="auto" w:fill="auto"/>
            <w:noWrap/>
            <w:vAlign w:val="bottom"/>
            <w:hideMark/>
          </w:tcPr>
          <w:p w14:paraId="518CA20B"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B31611B" w14:textId="1B027FA9"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50670BDE" w14:textId="6F60CAB8"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07ABFF36" w14:textId="77777777" w:rsidTr="006D009B">
        <w:trPr>
          <w:trHeight w:val="282"/>
        </w:trPr>
        <w:tc>
          <w:tcPr>
            <w:tcW w:w="1535" w:type="dxa"/>
            <w:vMerge/>
            <w:vAlign w:val="center"/>
            <w:hideMark/>
          </w:tcPr>
          <w:p w14:paraId="3F9F9073" w14:textId="77777777" w:rsidR="009708CA" w:rsidRPr="00B61FF1" w:rsidRDefault="009708CA" w:rsidP="00024BAE">
            <w:pPr>
              <w:autoSpaceDE/>
              <w:autoSpaceDN/>
              <w:adjustRightInd/>
              <w:rPr>
                <w:rFonts w:ascii="Arial" w:eastAsia="Times New Roman" w:hAnsi="Arial" w:cs="Arial"/>
              </w:rPr>
            </w:pPr>
          </w:p>
        </w:tc>
        <w:tc>
          <w:tcPr>
            <w:tcW w:w="3060" w:type="dxa"/>
            <w:vMerge/>
            <w:vAlign w:val="center"/>
            <w:hideMark/>
          </w:tcPr>
          <w:p w14:paraId="67755B33" w14:textId="77777777" w:rsidR="009708CA" w:rsidRPr="00B61FF1" w:rsidRDefault="009708CA" w:rsidP="00024BAE">
            <w:pPr>
              <w:autoSpaceDE/>
              <w:autoSpaceDN/>
              <w:adjustRightInd/>
              <w:rPr>
                <w:rFonts w:ascii="Arial" w:eastAsia="Times New Roman" w:hAnsi="Arial" w:cs="Arial"/>
              </w:rPr>
            </w:pPr>
          </w:p>
        </w:tc>
        <w:tc>
          <w:tcPr>
            <w:tcW w:w="1080" w:type="dxa"/>
            <w:vMerge/>
            <w:vAlign w:val="center"/>
            <w:hideMark/>
          </w:tcPr>
          <w:p w14:paraId="1C38A20D" w14:textId="77777777" w:rsidR="009708CA" w:rsidRPr="00B61FF1" w:rsidRDefault="009708CA" w:rsidP="00024BAE">
            <w:pPr>
              <w:autoSpaceDE/>
              <w:autoSpaceDN/>
              <w:adjustRightInd/>
              <w:rPr>
                <w:rFonts w:ascii="Arial" w:eastAsia="Times New Roman" w:hAnsi="Arial" w:cs="Arial"/>
              </w:rPr>
            </w:pPr>
          </w:p>
        </w:tc>
        <w:tc>
          <w:tcPr>
            <w:tcW w:w="2880" w:type="dxa"/>
            <w:shd w:val="clear" w:color="auto" w:fill="auto"/>
            <w:vAlign w:val="bottom"/>
            <w:hideMark/>
          </w:tcPr>
          <w:p w14:paraId="43AD7D20"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Liquefied Hydrogen Production</w:t>
            </w:r>
          </w:p>
        </w:tc>
        <w:tc>
          <w:tcPr>
            <w:tcW w:w="1080" w:type="dxa"/>
            <w:shd w:val="clear" w:color="auto" w:fill="auto"/>
            <w:noWrap/>
            <w:vAlign w:val="bottom"/>
            <w:hideMark/>
          </w:tcPr>
          <w:p w14:paraId="71A61B80"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0C79E667" w14:textId="18EA6B22"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3B88BC49" w14:textId="0E646F91"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75FD2BC1" w14:textId="77777777" w:rsidTr="006D009B">
        <w:trPr>
          <w:trHeight w:val="600"/>
        </w:trPr>
        <w:tc>
          <w:tcPr>
            <w:tcW w:w="1535" w:type="dxa"/>
            <w:vMerge/>
            <w:vAlign w:val="center"/>
            <w:hideMark/>
          </w:tcPr>
          <w:p w14:paraId="6C6A610E"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481A36E5"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Biological Product (Except Diagnostic) Manufacturing </w:t>
            </w:r>
          </w:p>
        </w:tc>
        <w:tc>
          <w:tcPr>
            <w:tcW w:w="1080" w:type="dxa"/>
            <w:shd w:val="clear" w:color="auto" w:fill="auto"/>
            <w:vAlign w:val="center"/>
            <w:hideMark/>
          </w:tcPr>
          <w:p w14:paraId="30B8BCBE"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325414</w:t>
            </w:r>
          </w:p>
        </w:tc>
        <w:tc>
          <w:tcPr>
            <w:tcW w:w="2880" w:type="dxa"/>
            <w:shd w:val="clear" w:color="auto" w:fill="auto"/>
            <w:vAlign w:val="bottom"/>
            <w:hideMark/>
          </w:tcPr>
          <w:p w14:paraId="3A2D9ECA"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Biological Product (Except Diagnostic) Manufacturing </w:t>
            </w:r>
          </w:p>
        </w:tc>
        <w:tc>
          <w:tcPr>
            <w:tcW w:w="1080" w:type="dxa"/>
            <w:shd w:val="clear" w:color="auto" w:fill="auto"/>
            <w:noWrap/>
            <w:vAlign w:val="bottom"/>
            <w:hideMark/>
          </w:tcPr>
          <w:p w14:paraId="03317617"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B8C0781" w14:textId="55B9D238"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6608ADB7" w14:textId="4878E785"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5267A96F" w14:textId="77777777" w:rsidTr="006D009B">
        <w:trPr>
          <w:trHeight w:val="282"/>
        </w:trPr>
        <w:tc>
          <w:tcPr>
            <w:tcW w:w="1535" w:type="dxa"/>
            <w:vMerge/>
            <w:vAlign w:val="center"/>
            <w:hideMark/>
          </w:tcPr>
          <w:p w14:paraId="0C8488FF" w14:textId="77777777" w:rsidR="009708CA" w:rsidRPr="00B61FF1" w:rsidRDefault="009708CA" w:rsidP="00024BAE">
            <w:pPr>
              <w:autoSpaceDE/>
              <w:autoSpaceDN/>
              <w:adjustRightInd/>
              <w:rPr>
                <w:rFonts w:ascii="Arial" w:eastAsia="Times New Roman" w:hAnsi="Arial" w:cs="Arial"/>
              </w:rPr>
            </w:pPr>
          </w:p>
        </w:tc>
        <w:tc>
          <w:tcPr>
            <w:tcW w:w="3060" w:type="dxa"/>
            <w:vMerge w:val="restart"/>
            <w:shd w:val="clear" w:color="auto" w:fill="auto"/>
            <w:vAlign w:val="center"/>
            <w:hideMark/>
          </w:tcPr>
          <w:p w14:paraId="5388581B"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Gypsum Product Manufacturing</w:t>
            </w:r>
          </w:p>
        </w:tc>
        <w:tc>
          <w:tcPr>
            <w:tcW w:w="1080" w:type="dxa"/>
            <w:vMerge w:val="restart"/>
            <w:shd w:val="clear" w:color="auto" w:fill="auto"/>
            <w:vAlign w:val="center"/>
            <w:hideMark/>
          </w:tcPr>
          <w:p w14:paraId="30A8E9DD"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327420</w:t>
            </w:r>
          </w:p>
        </w:tc>
        <w:tc>
          <w:tcPr>
            <w:tcW w:w="2880" w:type="dxa"/>
            <w:shd w:val="clear" w:color="auto" w:fill="auto"/>
            <w:vAlign w:val="bottom"/>
            <w:hideMark/>
          </w:tcPr>
          <w:p w14:paraId="5B2085E5"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Plaster Manufacturing</w:t>
            </w:r>
          </w:p>
        </w:tc>
        <w:tc>
          <w:tcPr>
            <w:tcW w:w="1080" w:type="dxa"/>
            <w:shd w:val="clear" w:color="auto" w:fill="auto"/>
            <w:noWrap/>
            <w:vAlign w:val="bottom"/>
            <w:hideMark/>
          </w:tcPr>
          <w:p w14:paraId="09BD8E64"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480C50E5" w14:textId="547A6A58"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1B882E5F" w14:textId="1AAF9D60"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36542E25" w14:textId="77777777" w:rsidTr="006D009B">
        <w:trPr>
          <w:trHeight w:val="282"/>
        </w:trPr>
        <w:tc>
          <w:tcPr>
            <w:tcW w:w="1535" w:type="dxa"/>
            <w:vMerge/>
            <w:vAlign w:val="center"/>
            <w:hideMark/>
          </w:tcPr>
          <w:p w14:paraId="6DDBE6A1" w14:textId="77777777" w:rsidR="009708CA" w:rsidRPr="00B61FF1" w:rsidRDefault="009708CA" w:rsidP="00024BAE">
            <w:pPr>
              <w:autoSpaceDE/>
              <w:autoSpaceDN/>
              <w:adjustRightInd/>
              <w:rPr>
                <w:rFonts w:ascii="Arial" w:eastAsia="Times New Roman" w:hAnsi="Arial" w:cs="Arial"/>
              </w:rPr>
            </w:pPr>
          </w:p>
        </w:tc>
        <w:tc>
          <w:tcPr>
            <w:tcW w:w="3060" w:type="dxa"/>
            <w:vMerge/>
            <w:vAlign w:val="center"/>
            <w:hideMark/>
          </w:tcPr>
          <w:p w14:paraId="282BB07E" w14:textId="77777777" w:rsidR="009708CA" w:rsidRPr="00B61FF1" w:rsidRDefault="009708CA" w:rsidP="00024BAE">
            <w:pPr>
              <w:autoSpaceDE/>
              <w:autoSpaceDN/>
              <w:adjustRightInd/>
              <w:rPr>
                <w:rFonts w:ascii="Arial" w:eastAsia="Times New Roman" w:hAnsi="Arial" w:cs="Arial"/>
              </w:rPr>
            </w:pPr>
          </w:p>
        </w:tc>
        <w:tc>
          <w:tcPr>
            <w:tcW w:w="1080" w:type="dxa"/>
            <w:vMerge/>
            <w:vAlign w:val="center"/>
            <w:hideMark/>
          </w:tcPr>
          <w:p w14:paraId="2F1E8AF2" w14:textId="77777777" w:rsidR="009708CA" w:rsidRPr="00B61FF1" w:rsidRDefault="009708CA" w:rsidP="00024BAE">
            <w:pPr>
              <w:autoSpaceDE/>
              <w:autoSpaceDN/>
              <w:adjustRightInd/>
              <w:rPr>
                <w:rFonts w:ascii="Arial" w:eastAsia="Times New Roman" w:hAnsi="Arial" w:cs="Arial"/>
              </w:rPr>
            </w:pPr>
          </w:p>
        </w:tc>
        <w:tc>
          <w:tcPr>
            <w:tcW w:w="2880" w:type="dxa"/>
            <w:shd w:val="clear" w:color="auto" w:fill="auto"/>
            <w:vAlign w:val="bottom"/>
            <w:hideMark/>
          </w:tcPr>
          <w:p w14:paraId="41C53018"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Plaster Board Manufacturing</w:t>
            </w:r>
          </w:p>
        </w:tc>
        <w:tc>
          <w:tcPr>
            <w:tcW w:w="1080" w:type="dxa"/>
            <w:shd w:val="clear" w:color="auto" w:fill="auto"/>
            <w:noWrap/>
            <w:vAlign w:val="bottom"/>
            <w:hideMark/>
          </w:tcPr>
          <w:p w14:paraId="44D2DBD0"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6847A542" w14:textId="384282E2"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1F9BC7FE" w14:textId="2E463F12"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46262877" w14:textId="77777777" w:rsidTr="006D009B">
        <w:trPr>
          <w:trHeight w:val="282"/>
        </w:trPr>
        <w:tc>
          <w:tcPr>
            <w:tcW w:w="1535" w:type="dxa"/>
            <w:vMerge/>
            <w:vAlign w:val="center"/>
            <w:hideMark/>
          </w:tcPr>
          <w:p w14:paraId="567B173C"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4B3731D0" w14:textId="77777777" w:rsidR="009708CA" w:rsidRPr="00B61FF1" w:rsidRDefault="009708CA" w:rsidP="00024BAE">
            <w:pPr>
              <w:autoSpaceDE/>
              <w:autoSpaceDN/>
              <w:adjustRightInd/>
              <w:rPr>
                <w:rFonts w:ascii="Arial" w:eastAsia="Times New Roman" w:hAnsi="Arial" w:cs="Arial"/>
                <w:strike/>
              </w:rPr>
            </w:pPr>
            <w:r w:rsidRPr="00B61FF1">
              <w:rPr>
                <w:rFonts w:ascii="Arial" w:eastAsia="Times New Roman" w:hAnsi="Arial" w:cs="Arial"/>
                <w:strike/>
              </w:rPr>
              <w:t>Mineral Wool Manufacturing</w:t>
            </w:r>
          </w:p>
        </w:tc>
        <w:tc>
          <w:tcPr>
            <w:tcW w:w="1080" w:type="dxa"/>
            <w:shd w:val="clear" w:color="auto" w:fill="auto"/>
            <w:vAlign w:val="center"/>
            <w:hideMark/>
          </w:tcPr>
          <w:p w14:paraId="1F7ECA50" w14:textId="77777777" w:rsidR="009708CA" w:rsidRPr="00B61FF1" w:rsidRDefault="009708CA" w:rsidP="00024BAE">
            <w:pPr>
              <w:autoSpaceDE/>
              <w:autoSpaceDN/>
              <w:adjustRightInd/>
              <w:jc w:val="center"/>
              <w:rPr>
                <w:rFonts w:ascii="Arial" w:eastAsia="Times New Roman" w:hAnsi="Arial" w:cs="Arial"/>
                <w:strike/>
              </w:rPr>
            </w:pPr>
            <w:r w:rsidRPr="00B61FF1">
              <w:rPr>
                <w:rFonts w:ascii="Arial" w:eastAsia="Times New Roman" w:hAnsi="Arial" w:cs="Arial"/>
                <w:strike/>
              </w:rPr>
              <w:t>327993</w:t>
            </w:r>
          </w:p>
        </w:tc>
        <w:tc>
          <w:tcPr>
            <w:tcW w:w="2880" w:type="dxa"/>
            <w:shd w:val="clear" w:color="auto" w:fill="auto"/>
            <w:vAlign w:val="bottom"/>
            <w:hideMark/>
          </w:tcPr>
          <w:p w14:paraId="5E24190E" w14:textId="77777777" w:rsidR="009708CA" w:rsidRPr="00B61FF1" w:rsidRDefault="009708CA" w:rsidP="00024BAE">
            <w:pPr>
              <w:autoSpaceDE/>
              <w:autoSpaceDN/>
              <w:adjustRightInd/>
              <w:rPr>
                <w:rFonts w:ascii="Arial" w:eastAsia="Times New Roman" w:hAnsi="Arial" w:cs="Arial"/>
                <w:strike/>
              </w:rPr>
            </w:pPr>
            <w:r w:rsidRPr="00B61FF1">
              <w:rPr>
                <w:rFonts w:ascii="Arial" w:eastAsia="Times New Roman" w:hAnsi="Arial" w:cs="Arial"/>
                <w:strike/>
              </w:rPr>
              <w:t>Fiber Glass Manufacturing</w:t>
            </w:r>
          </w:p>
        </w:tc>
        <w:tc>
          <w:tcPr>
            <w:tcW w:w="1080" w:type="dxa"/>
            <w:shd w:val="clear" w:color="auto" w:fill="auto"/>
            <w:noWrap/>
            <w:vAlign w:val="bottom"/>
            <w:hideMark/>
          </w:tcPr>
          <w:p w14:paraId="29E21E8E" w14:textId="77777777"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strike/>
              </w:rPr>
              <w:t>100%</w:t>
            </w:r>
          </w:p>
        </w:tc>
        <w:tc>
          <w:tcPr>
            <w:tcW w:w="1080" w:type="dxa"/>
            <w:shd w:val="clear" w:color="auto" w:fill="auto"/>
            <w:noWrap/>
            <w:vAlign w:val="bottom"/>
            <w:hideMark/>
          </w:tcPr>
          <w:p w14:paraId="62BAF9B6" w14:textId="14757003" w:rsidR="009708CA" w:rsidRPr="00B61FF1" w:rsidRDefault="00D11BA8" w:rsidP="00024BAE">
            <w:pPr>
              <w:autoSpaceDE/>
              <w:autoSpaceDN/>
              <w:adjustRightInd/>
              <w:jc w:val="right"/>
              <w:rPr>
                <w:rFonts w:ascii="Arial" w:eastAsia="Times New Roman" w:hAnsi="Arial" w:cs="Arial"/>
                <w:strike/>
              </w:rPr>
            </w:pPr>
            <w:r w:rsidRPr="00B61FF1">
              <w:rPr>
                <w:rFonts w:ascii="Arial" w:eastAsia="Times New Roman" w:hAnsi="Arial" w:cs="Arial"/>
                <w:strike/>
              </w:rPr>
              <w:t>75</w:t>
            </w:r>
            <w:r w:rsidR="009708CA" w:rsidRPr="00B61FF1">
              <w:rPr>
                <w:rFonts w:ascii="Arial" w:eastAsia="Times New Roman" w:hAnsi="Arial" w:cs="Arial"/>
                <w:strike/>
              </w:rPr>
              <w:t>%</w:t>
            </w:r>
          </w:p>
        </w:tc>
        <w:tc>
          <w:tcPr>
            <w:tcW w:w="1170" w:type="dxa"/>
            <w:shd w:val="clear" w:color="auto" w:fill="auto"/>
            <w:noWrap/>
            <w:vAlign w:val="bottom"/>
            <w:hideMark/>
          </w:tcPr>
          <w:p w14:paraId="3A0AA9F0" w14:textId="3C8E4232"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strike/>
              </w:rPr>
              <w:t>50%</w:t>
            </w:r>
          </w:p>
        </w:tc>
      </w:tr>
      <w:tr w:rsidR="009708CA" w:rsidRPr="00B61FF1" w14:paraId="34DBA5B8" w14:textId="77777777" w:rsidTr="006D009B">
        <w:trPr>
          <w:trHeight w:val="282"/>
        </w:trPr>
        <w:tc>
          <w:tcPr>
            <w:tcW w:w="1535" w:type="dxa"/>
            <w:vMerge/>
            <w:vAlign w:val="center"/>
            <w:hideMark/>
          </w:tcPr>
          <w:p w14:paraId="40EB33A0" w14:textId="77777777" w:rsidR="009708CA" w:rsidRPr="00B61FF1" w:rsidRDefault="009708CA" w:rsidP="00024BAE">
            <w:pPr>
              <w:autoSpaceDE/>
              <w:autoSpaceDN/>
              <w:adjustRightInd/>
              <w:rPr>
                <w:rFonts w:ascii="Arial" w:eastAsia="Times New Roman" w:hAnsi="Arial" w:cs="Arial"/>
              </w:rPr>
            </w:pPr>
          </w:p>
        </w:tc>
        <w:tc>
          <w:tcPr>
            <w:tcW w:w="3060" w:type="dxa"/>
            <w:vMerge w:val="restart"/>
            <w:shd w:val="clear" w:color="auto" w:fill="auto"/>
            <w:vAlign w:val="center"/>
            <w:hideMark/>
          </w:tcPr>
          <w:p w14:paraId="1A28452A"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Rolled Steel Shape Manufacturing</w:t>
            </w:r>
          </w:p>
        </w:tc>
        <w:tc>
          <w:tcPr>
            <w:tcW w:w="1080" w:type="dxa"/>
            <w:vMerge w:val="restart"/>
            <w:shd w:val="clear" w:color="auto" w:fill="auto"/>
            <w:vAlign w:val="center"/>
            <w:hideMark/>
          </w:tcPr>
          <w:p w14:paraId="15F20D0A"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331221</w:t>
            </w:r>
          </w:p>
        </w:tc>
        <w:tc>
          <w:tcPr>
            <w:tcW w:w="2880" w:type="dxa"/>
            <w:shd w:val="clear" w:color="auto" w:fill="auto"/>
            <w:vAlign w:val="bottom"/>
            <w:hideMark/>
          </w:tcPr>
          <w:p w14:paraId="01EAF5A1"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Picked Steel Sheet Production</w:t>
            </w:r>
          </w:p>
        </w:tc>
        <w:tc>
          <w:tcPr>
            <w:tcW w:w="1080" w:type="dxa"/>
            <w:shd w:val="clear" w:color="auto" w:fill="auto"/>
            <w:noWrap/>
            <w:vAlign w:val="bottom"/>
            <w:hideMark/>
          </w:tcPr>
          <w:p w14:paraId="2DDDCF6C"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316B22FA" w14:textId="3D79F2C2"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762998E6" w14:textId="0CADB423"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2B616173" w14:textId="77777777" w:rsidTr="006D009B">
        <w:trPr>
          <w:trHeight w:val="525"/>
        </w:trPr>
        <w:tc>
          <w:tcPr>
            <w:tcW w:w="1535" w:type="dxa"/>
            <w:vMerge/>
            <w:vAlign w:val="center"/>
            <w:hideMark/>
          </w:tcPr>
          <w:p w14:paraId="6971488D" w14:textId="77777777" w:rsidR="009708CA" w:rsidRPr="00B61FF1" w:rsidRDefault="009708CA" w:rsidP="00024BAE">
            <w:pPr>
              <w:autoSpaceDE/>
              <w:autoSpaceDN/>
              <w:adjustRightInd/>
              <w:rPr>
                <w:rFonts w:ascii="Arial" w:eastAsia="Times New Roman" w:hAnsi="Arial" w:cs="Arial"/>
              </w:rPr>
            </w:pPr>
          </w:p>
        </w:tc>
        <w:tc>
          <w:tcPr>
            <w:tcW w:w="3060" w:type="dxa"/>
            <w:vMerge/>
            <w:vAlign w:val="center"/>
            <w:hideMark/>
          </w:tcPr>
          <w:p w14:paraId="39F938B7" w14:textId="77777777" w:rsidR="009708CA" w:rsidRPr="00B61FF1" w:rsidRDefault="009708CA" w:rsidP="00024BAE">
            <w:pPr>
              <w:autoSpaceDE/>
              <w:autoSpaceDN/>
              <w:adjustRightInd/>
              <w:rPr>
                <w:rFonts w:ascii="Arial" w:eastAsia="Times New Roman" w:hAnsi="Arial" w:cs="Arial"/>
              </w:rPr>
            </w:pPr>
          </w:p>
        </w:tc>
        <w:tc>
          <w:tcPr>
            <w:tcW w:w="1080" w:type="dxa"/>
            <w:vMerge/>
            <w:vAlign w:val="center"/>
            <w:hideMark/>
          </w:tcPr>
          <w:p w14:paraId="2901A91C" w14:textId="77777777" w:rsidR="009708CA" w:rsidRPr="00B61FF1" w:rsidRDefault="009708CA" w:rsidP="00024BAE">
            <w:pPr>
              <w:autoSpaceDE/>
              <w:autoSpaceDN/>
              <w:adjustRightInd/>
              <w:rPr>
                <w:rFonts w:ascii="Arial" w:eastAsia="Times New Roman" w:hAnsi="Arial" w:cs="Arial"/>
              </w:rPr>
            </w:pPr>
          </w:p>
        </w:tc>
        <w:tc>
          <w:tcPr>
            <w:tcW w:w="2880" w:type="dxa"/>
            <w:shd w:val="clear" w:color="auto" w:fill="auto"/>
            <w:vAlign w:val="bottom"/>
            <w:hideMark/>
          </w:tcPr>
          <w:p w14:paraId="3FC16ED7"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Cold Rolled and Annealed Steel Sheet Production</w:t>
            </w:r>
          </w:p>
        </w:tc>
        <w:tc>
          <w:tcPr>
            <w:tcW w:w="1080" w:type="dxa"/>
            <w:shd w:val="clear" w:color="auto" w:fill="auto"/>
            <w:noWrap/>
            <w:vAlign w:val="bottom"/>
            <w:hideMark/>
          </w:tcPr>
          <w:p w14:paraId="7AC5F582"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7688067" w14:textId="17EB3190"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1F12B2C8" w14:textId="091BC2BF" w:rsidR="009708CA" w:rsidRPr="00B61FF1" w:rsidRDefault="009708CA" w:rsidP="00024BAE">
            <w:pPr>
              <w:autoSpaceDE/>
              <w:autoSpaceDN/>
              <w:adjustRightInd/>
              <w:jc w:val="right"/>
              <w:rPr>
                <w:rFonts w:ascii="Arial" w:eastAsia="Times New Roman" w:hAnsi="Arial" w:cs="Arial"/>
                <w:strike/>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458C2B5B" w14:textId="77777777" w:rsidTr="006D009B">
        <w:trPr>
          <w:trHeight w:val="282"/>
        </w:trPr>
        <w:tc>
          <w:tcPr>
            <w:tcW w:w="1535" w:type="dxa"/>
            <w:vMerge/>
            <w:vAlign w:val="center"/>
            <w:hideMark/>
          </w:tcPr>
          <w:p w14:paraId="51E4347F" w14:textId="77777777" w:rsidR="009708CA" w:rsidRPr="00B61FF1" w:rsidRDefault="009708CA" w:rsidP="00024BAE">
            <w:pPr>
              <w:autoSpaceDE/>
              <w:autoSpaceDN/>
              <w:adjustRightInd/>
              <w:rPr>
                <w:rFonts w:ascii="Arial" w:eastAsia="Times New Roman" w:hAnsi="Arial" w:cs="Arial"/>
              </w:rPr>
            </w:pPr>
          </w:p>
        </w:tc>
        <w:tc>
          <w:tcPr>
            <w:tcW w:w="3060" w:type="dxa"/>
            <w:vMerge/>
            <w:vAlign w:val="center"/>
            <w:hideMark/>
          </w:tcPr>
          <w:p w14:paraId="3ABEBD0F" w14:textId="77777777" w:rsidR="009708CA" w:rsidRPr="00B61FF1" w:rsidRDefault="009708CA" w:rsidP="00024BAE">
            <w:pPr>
              <w:autoSpaceDE/>
              <w:autoSpaceDN/>
              <w:adjustRightInd/>
              <w:rPr>
                <w:rFonts w:ascii="Arial" w:eastAsia="Times New Roman" w:hAnsi="Arial" w:cs="Arial"/>
              </w:rPr>
            </w:pPr>
          </w:p>
        </w:tc>
        <w:tc>
          <w:tcPr>
            <w:tcW w:w="1080" w:type="dxa"/>
            <w:vMerge/>
            <w:vAlign w:val="center"/>
            <w:hideMark/>
          </w:tcPr>
          <w:p w14:paraId="4267C8E2" w14:textId="77777777" w:rsidR="009708CA" w:rsidRPr="00B61FF1" w:rsidRDefault="009708CA" w:rsidP="00024BAE">
            <w:pPr>
              <w:autoSpaceDE/>
              <w:autoSpaceDN/>
              <w:adjustRightInd/>
              <w:rPr>
                <w:rFonts w:ascii="Arial" w:eastAsia="Times New Roman" w:hAnsi="Arial" w:cs="Arial"/>
              </w:rPr>
            </w:pPr>
          </w:p>
        </w:tc>
        <w:tc>
          <w:tcPr>
            <w:tcW w:w="2880" w:type="dxa"/>
            <w:shd w:val="clear" w:color="auto" w:fill="auto"/>
            <w:vAlign w:val="bottom"/>
            <w:hideMark/>
          </w:tcPr>
          <w:p w14:paraId="2292572D"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Galvanized Steel Sheet Production</w:t>
            </w:r>
          </w:p>
        </w:tc>
        <w:tc>
          <w:tcPr>
            <w:tcW w:w="1080" w:type="dxa"/>
            <w:shd w:val="clear" w:color="auto" w:fill="auto"/>
            <w:noWrap/>
            <w:vAlign w:val="bottom"/>
            <w:hideMark/>
          </w:tcPr>
          <w:p w14:paraId="6327215A"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6F3768E3" w14:textId="79F29F68"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3BBFBB96" w14:textId="32AE6C0E"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437E9594" w14:textId="77777777" w:rsidTr="006D009B">
        <w:trPr>
          <w:trHeight w:val="282"/>
        </w:trPr>
        <w:tc>
          <w:tcPr>
            <w:tcW w:w="1535" w:type="dxa"/>
            <w:vMerge/>
            <w:vAlign w:val="center"/>
            <w:hideMark/>
          </w:tcPr>
          <w:p w14:paraId="2D680EF0" w14:textId="77777777" w:rsidR="009708CA" w:rsidRPr="00B61FF1" w:rsidRDefault="009708CA" w:rsidP="00024BAE">
            <w:pPr>
              <w:autoSpaceDE/>
              <w:autoSpaceDN/>
              <w:adjustRightInd/>
              <w:rPr>
                <w:rFonts w:ascii="Arial" w:eastAsia="Times New Roman" w:hAnsi="Arial" w:cs="Arial"/>
              </w:rPr>
            </w:pPr>
          </w:p>
        </w:tc>
        <w:tc>
          <w:tcPr>
            <w:tcW w:w="3060" w:type="dxa"/>
            <w:vMerge/>
            <w:vAlign w:val="center"/>
            <w:hideMark/>
          </w:tcPr>
          <w:p w14:paraId="0C11CE9A" w14:textId="77777777" w:rsidR="009708CA" w:rsidRPr="00B61FF1" w:rsidRDefault="009708CA" w:rsidP="00024BAE">
            <w:pPr>
              <w:autoSpaceDE/>
              <w:autoSpaceDN/>
              <w:adjustRightInd/>
              <w:rPr>
                <w:rFonts w:ascii="Arial" w:eastAsia="Times New Roman" w:hAnsi="Arial" w:cs="Arial"/>
              </w:rPr>
            </w:pPr>
          </w:p>
        </w:tc>
        <w:tc>
          <w:tcPr>
            <w:tcW w:w="1080" w:type="dxa"/>
            <w:vMerge/>
            <w:vAlign w:val="center"/>
            <w:hideMark/>
          </w:tcPr>
          <w:p w14:paraId="222FB361" w14:textId="77777777" w:rsidR="009708CA" w:rsidRPr="00B61FF1" w:rsidRDefault="009708CA" w:rsidP="00024BAE">
            <w:pPr>
              <w:autoSpaceDE/>
              <w:autoSpaceDN/>
              <w:adjustRightInd/>
              <w:rPr>
                <w:rFonts w:ascii="Arial" w:eastAsia="Times New Roman" w:hAnsi="Arial" w:cs="Arial"/>
              </w:rPr>
            </w:pPr>
          </w:p>
        </w:tc>
        <w:tc>
          <w:tcPr>
            <w:tcW w:w="2880" w:type="dxa"/>
            <w:shd w:val="clear" w:color="auto" w:fill="auto"/>
            <w:vAlign w:val="bottom"/>
            <w:hideMark/>
          </w:tcPr>
          <w:p w14:paraId="1B014404"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Tin Steel Plate Production</w:t>
            </w:r>
          </w:p>
        </w:tc>
        <w:tc>
          <w:tcPr>
            <w:tcW w:w="1080" w:type="dxa"/>
            <w:shd w:val="clear" w:color="auto" w:fill="auto"/>
            <w:noWrap/>
            <w:vAlign w:val="bottom"/>
            <w:hideMark/>
          </w:tcPr>
          <w:p w14:paraId="1A9B14A3"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4A737A1F" w14:textId="4C5B8A38"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4B20C6FC" w14:textId="160610AA"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0A010A32" w14:textId="77777777" w:rsidTr="006D009B">
        <w:trPr>
          <w:trHeight w:val="282"/>
        </w:trPr>
        <w:tc>
          <w:tcPr>
            <w:tcW w:w="1535" w:type="dxa"/>
            <w:vMerge/>
            <w:vAlign w:val="center"/>
            <w:hideMark/>
          </w:tcPr>
          <w:p w14:paraId="6A3D150C"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445D55BC"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Secondary Smelting and Alloying of Aluminum</w:t>
            </w:r>
          </w:p>
        </w:tc>
        <w:tc>
          <w:tcPr>
            <w:tcW w:w="1080" w:type="dxa"/>
            <w:shd w:val="clear" w:color="auto" w:fill="auto"/>
            <w:vAlign w:val="center"/>
            <w:hideMark/>
          </w:tcPr>
          <w:p w14:paraId="4BAEE81C"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331314</w:t>
            </w:r>
          </w:p>
        </w:tc>
        <w:tc>
          <w:tcPr>
            <w:tcW w:w="2880" w:type="dxa"/>
            <w:shd w:val="clear" w:color="auto" w:fill="auto"/>
            <w:vAlign w:val="bottom"/>
            <w:hideMark/>
          </w:tcPr>
          <w:p w14:paraId="100B59B5" w14:textId="0B90D9AC" w:rsidR="009708CA" w:rsidRPr="00B61FF1" w:rsidRDefault="009D67E1" w:rsidP="00B71B9A">
            <w:pPr>
              <w:autoSpaceDE/>
              <w:autoSpaceDN/>
              <w:adjustRightInd/>
              <w:rPr>
                <w:rFonts w:ascii="Arial" w:eastAsia="Times New Roman" w:hAnsi="Arial" w:cs="Arial"/>
              </w:rPr>
            </w:pPr>
            <w:r w:rsidRPr="00B61FF1">
              <w:rPr>
                <w:rFonts w:ascii="Arial" w:eastAsia="Times New Roman" w:hAnsi="Arial" w:cs="Arial"/>
                <w:strike/>
              </w:rPr>
              <w:t xml:space="preserve">Secondary Smelting and Alloying of Aluminum </w:t>
            </w:r>
            <w:r w:rsidRPr="00B61FF1">
              <w:rPr>
                <w:rFonts w:ascii="Arial" w:eastAsia="Times New Roman" w:hAnsi="Arial" w:cs="Arial"/>
                <w:u w:val="single"/>
              </w:rPr>
              <w:t>Aluminum</w:t>
            </w:r>
            <w:r w:rsidR="00B71B9A" w:rsidRPr="00B61FF1">
              <w:rPr>
                <w:rFonts w:ascii="Arial" w:eastAsia="Times New Roman" w:hAnsi="Arial" w:cs="Arial"/>
                <w:u w:val="single"/>
              </w:rPr>
              <w:t xml:space="preserve"> Alloy</w:t>
            </w:r>
            <w:r w:rsidR="001F3A12" w:rsidRPr="00B61FF1">
              <w:rPr>
                <w:rFonts w:ascii="Arial" w:eastAsia="Times New Roman" w:hAnsi="Arial" w:cs="Arial"/>
                <w:u w:val="single"/>
              </w:rPr>
              <w:t xml:space="preserve"> Billet Manufac</w:t>
            </w:r>
            <w:r w:rsidRPr="00B61FF1">
              <w:rPr>
                <w:rFonts w:ascii="Arial" w:eastAsia="Times New Roman" w:hAnsi="Arial" w:cs="Arial"/>
                <w:u w:val="single"/>
              </w:rPr>
              <w:t>turing</w:t>
            </w:r>
          </w:p>
        </w:tc>
        <w:tc>
          <w:tcPr>
            <w:tcW w:w="1080" w:type="dxa"/>
            <w:shd w:val="clear" w:color="auto" w:fill="auto"/>
            <w:noWrap/>
            <w:vAlign w:val="bottom"/>
            <w:hideMark/>
          </w:tcPr>
          <w:p w14:paraId="1E7D3EEF"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45E429EB" w14:textId="5A42954A"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5D290711" w14:textId="362F5BEE"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479BA437" w14:textId="77777777" w:rsidTr="006D009B">
        <w:trPr>
          <w:trHeight w:val="840"/>
        </w:trPr>
        <w:tc>
          <w:tcPr>
            <w:tcW w:w="1535" w:type="dxa"/>
            <w:vMerge/>
            <w:vAlign w:val="center"/>
            <w:hideMark/>
          </w:tcPr>
          <w:p w14:paraId="64F0CCAB"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04E8B848"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Secondary Smelting, Refining, and Alloying of Nonferrous Metal (Except Copper and Aluminum)</w:t>
            </w:r>
          </w:p>
        </w:tc>
        <w:tc>
          <w:tcPr>
            <w:tcW w:w="1080" w:type="dxa"/>
            <w:shd w:val="clear" w:color="auto" w:fill="auto"/>
            <w:vAlign w:val="center"/>
            <w:hideMark/>
          </w:tcPr>
          <w:p w14:paraId="6EF254CE"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331492</w:t>
            </w:r>
          </w:p>
        </w:tc>
        <w:tc>
          <w:tcPr>
            <w:tcW w:w="2880" w:type="dxa"/>
            <w:shd w:val="clear" w:color="auto" w:fill="auto"/>
            <w:vAlign w:val="bottom"/>
            <w:hideMark/>
          </w:tcPr>
          <w:p w14:paraId="61AC5AF2" w14:textId="5D7DCAA4" w:rsidR="009708CA" w:rsidRPr="00B61FF1" w:rsidRDefault="009D67E1" w:rsidP="00024BAE">
            <w:pPr>
              <w:autoSpaceDE/>
              <w:autoSpaceDN/>
              <w:adjustRightInd/>
              <w:rPr>
                <w:rFonts w:ascii="Arial" w:eastAsia="Times New Roman" w:hAnsi="Arial" w:cs="Arial"/>
              </w:rPr>
            </w:pPr>
            <w:r w:rsidRPr="00B61FF1">
              <w:rPr>
                <w:rFonts w:ascii="Arial" w:eastAsia="Times New Roman" w:hAnsi="Arial" w:cs="Arial"/>
                <w:strike/>
              </w:rPr>
              <w:t>Secondary Smelting, Refining, and Alloying of Nonferrous Metal (Except Copper and Aluminum)</w:t>
            </w:r>
            <w:r w:rsidRPr="00B61FF1">
              <w:rPr>
                <w:rFonts w:ascii="Arial" w:eastAsia="Times New Roman" w:hAnsi="Arial" w:cs="Arial"/>
                <w:u w:val="single"/>
              </w:rPr>
              <w:t>Lead Acid Battery Recycling</w:t>
            </w:r>
          </w:p>
        </w:tc>
        <w:tc>
          <w:tcPr>
            <w:tcW w:w="1080" w:type="dxa"/>
            <w:shd w:val="clear" w:color="auto" w:fill="auto"/>
            <w:noWrap/>
            <w:vAlign w:val="bottom"/>
            <w:hideMark/>
          </w:tcPr>
          <w:p w14:paraId="2C29D659"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5C10E567" w14:textId="1263888A"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0F3D8ECA" w14:textId="50E178B1"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139A5AEE" w14:textId="77777777" w:rsidTr="006D009B">
        <w:trPr>
          <w:trHeight w:val="255"/>
        </w:trPr>
        <w:tc>
          <w:tcPr>
            <w:tcW w:w="1535" w:type="dxa"/>
            <w:vMerge/>
            <w:vAlign w:val="center"/>
            <w:hideMark/>
          </w:tcPr>
          <w:p w14:paraId="38F79ABD"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0DF80673"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Iron Foundries</w:t>
            </w:r>
          </w:p>
        </w:tc>
        <w:tc>
          <w:tcPr>
            <w:tcW w:w="1080" w:type="dxa"/>
            <w:shd w:val="clear" w:color="auto" w:fill="auto"/>
            <w:vAlign w:val="center"/>
            <w:hideMark/>
          </w:tcPr>
          <w:p w14:paraId="7F1C2FAF"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331511</w:t>
            </w:r>
          </w:p>
        </w:tc>
        <w:tc>
          <w:tcPr>
            <w:tcW w:w="2880" w:type="dxa"/>
            <w:shd w:val="clear" w:color="auto" w:fill="auto"/>
            <w:vAlign w:val="bottom"/>
            <w:hideMark/>
          </w:tcPr>
          <w:p w14:paraId="775E3878"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Iron Foundries</w:t>
            </w:r>
          </w:p>
        </w:tc>
        <w:tc>
          <w:tcPr>
            <w:tcW w:w="1080" w:type="dxa"/>
            <w:shd w:val="clear" w:color="auto" w:fill="auto"/>
            <w:noWrap/>
            <w:vAlign w:val="bottom"/>
            <w:hideMark/>
          </w:tcPr>
          <w:p w14:paraId="74A94302"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C7CA7D4" w14:textId="524A4BB4"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753F2C7B" w14:textId="4BE0FB20"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0316C31A" w14:textId="77777777" w:rsidTr="006D009B">
        <w:trPr>
          <w:trHeight w:val="495"/>
        </w:trPr>
        <w:tc>
          <w:tcPr>
            <w:tcW w:w="1535" w:type="dxa"/>
            <w:vMerge/>
            <w:vAlign w:val="center"/>
            <w:hideMark/>
          </w:tcPr>
          <w:p w14:paraId="239F13D6"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28C8B523"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Turbine and Turbine Generator Set Units Manufacturing</w:t>
            </w:r>
          </w:p>
        </w:tc>
        <w:tc>
          <w:tcPr>
            <w:tcW w:w="1080" w:type="dxa"/>
            <w:shd w:val="clear" w:color="auto" w:fill="auto"/>
            <w:vAlign w:val="center"/>
            <w:hideMark/>
          </w:tcPr>
          <w:p w14:paraId="36D9C2A0"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333611</w:t>
            </w:r>
          </w:p>
        </w:tc>
        <w:tc>
          <w:tcPr>
            <w:tcW w:w="2880" w:type="dxa"/>
            <w:shd w:val="clear" w:color="auto" w:fill="auto"/>
            <w:vAlign w:val="bottom"/>
            <w:hideMark/>
          </w:tcPr>
          <w:p w14:paraId="5B0C55D5"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Testing of Turbines and Turbine Generator Sets</w:t>
            </w:r>
          </w:p>
        </w:tc>
        <w:tc>
          <w:tcPr>
            <w:tcW w:w="1080" w:type="dxa"/>
            <w:shd w:val="clear" w:color="auto" w:fill="auto"/>
            <w:noWrap/>
            <w:vAlign w:val="bottom"/>
            <w:hideMark/>
          </w:tcPr>
          <w:p w14:paraId="0345A0D4"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21378D54" w14:textId="7EF4422D"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75</w:t>
            </w:r>
            <w:r w:rsidRPr="00B61FF1">
              <w:rPr>
                <w:rFonts w:ascii="Arial" w:eastAsia="Times New Roman" w:hAnsi="Arial" w:cs="Arial"/>
              </w:rPr>
              <w:t>%</w:t>
            </w:r>
          </w:p>
        </w:tc>
        <w:tc>
          <w:tcPr>
            <w:tcW w:w="1170" w:type="dxa"/>
            <w:shd w:val="clear" w:color="auto" w:fill="auto"/>
            <w:noWrap/>
            <w:vAlign w:val="bottom"/>
            <w:hideMark/>
          </w:tcPr>
          <w:p w14:paraId="6B359EB7" w14:textId="21E0F581"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75</w:t>
            </w:r>
            <w:r w:rsidRPr="00B61FF1">
              <w:rPr>
                <w:rFonts w:ascii="Arial" w:eastAsia="Times New Roman" w:hAnsi="Arial" w:cs="Arial"/>
                <w:strike/>
              </w:rPr>
              <w:t>50</w:t>
            </w:r>
            <w:r w:rsidRPr="00B61FF1">
              <w:rPr>
                <w:rFonts w:ascii="Arial" w:eastAsia="Times New Roman" w:hAnsi="Arial" w:cs="Arial"/>
              </w:rPr>
              <w:t>%</w:t>
            </w:r>
          </w:p>
        </w:tc>
      </w:tr>
      <w:tr w:rsidR="009708CA" w:rsidRPr="00B61FF1" w14:paraId="63371FBC" w14:textId="77777777" w:rsidTr="006D009B">
        <w:trPr>
          <w:trHeight w:val="255"/>
        </w:trPr>
        <w:tc>
          <w:tcPr>
            <w:tcW w:w="1535" w:type="dxa"/>
            <w:vMerge w:val="restart"/>
            <w:shd w:val="clear" w:color="auto" w:fill="auto"/>
            <w:noWrap/>
            <w:vAlign w:val="center"/>
            <w:hideMark/>
          </w:tcPr>
          <w:p w14:paraId="1B477039"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Low</w:t>
            </w:r>
          </w:p>
        </w:tc>
        <w:tc>
          <w:tcPr>
            <w:tcW w:w="3060" w:type="dxa"/>
            <w:shd w:val="clear" w:color="auto" w:fill="auto"/>
            <w:vAlign w:val="bottom"/>
            <w:hideMark/>
          </w:tcPr>
          <w:p w14:paraId="1EA901E5"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Pharmaceutical and Medicine Manufacturing</w:t>
            </w:r>
          </w:p>
        </w:tc>
        <w:tc>
          <w:tcPr>
            <w:tcW w:w="1080" w:type="dxa"/>
            <w:shd w:val="clear" w:color="auto" w:fill="auto"/>
            <w:vAlign w:val="center"/>
            <w:hideMark/>
          </w:tcPr>
          <w:p w14:paraId="54BA67BC"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325412</w:t>
            </w:r>
          </w:p>
        </w:tc>
        <w:tc>
          <w:tcPr>
            <w:tcW w:w="2880" w:type="dxa"/>
            <w:shd w:val="clear" w:color="auto" w:fill="auto"/>
            <w:vAlign w:val="bottom"/>
            <w:hideMark/>
          </w:tcPr>
          <w:p w14:paraId="0E2A8452"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Pharmaceutical and Medicine Manufacturing</w:t>
            </w:r>
          </w:p>
        </w:tc>
        <w:tc>
          <w:tcPr>
            <w:tcW w:w="1080" w:type="dxa"/>
            <w:shd w:val="clear" w:color="auto" w:fill="auto"/>
            <w:noWrap/>
            <w:vAlign w:val="bottom"/>
            <w:hideMark/>
          </w:tcPr>
          <w:p w14:paraId="1022FC48"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29351C5E" w14:textId="4E371660"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50</w:t>
            </w:r>
            <w:r w:rsidRPr="00B61FF1">
              <w:rPr>
                <w:rFonts w:ascii="Arial" w:eastAsia="Times New Roman" w:hAnsi="Arial" w:cs="Arial"/>
              </w:rPr>
              <w:t>%</w:t>
            </w:r>
          </w:p>
        </w:tc>
        <w:tc>
          <w:tcPr>
            <w:tcW w:w="1170" w:type="dxa"/>
            <w:shd w:val="clear" w:color="auto" w:fill="auto"/>
            <w:noWrap/>
            <w:vAlign w:val="bottom"/>
            <w:hideMark/>
          </w:tcPr>
          <w:p w14:paraId="758DFD30" w14:textId="326249C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50</w:t>
            </w:r>
            <w:r w:rsidRPr="00B61FF1">
              <w:rPr>
                <w:rFonts w:ascii="Arial" w:eastAsia="Times New Roman" w:hAnsi="Arial" w:cs="Arial"/>
                <w:strike/>
              </w:rPr>
              <w:t>30</w:t>
            </w:r>
            <w:r w:rsidRPr="00B61FF1">
              <w:rPr>
                <w:rFonts w:ascii="Arial" w:eastAsia="Times New Roman" w:hAnsi="Arial" w:cs="Arial"/>
              </w:rPr>
              <w:t>%</w:t>
            </w:r>
          </w:p>
        </w:tc>
      </w:tr>
      <w:tr w:rsidR="009708CA" w:rsidRPr="00B61FF1" w14:paraId="34ED9CBE" w14:textId="77777777" w:rsidTr="006D009B">
        <w:trPr>
          <w:trHeight w:val="255"/>
        </w:trPr>
        <w:tc>
          <w:tcPr>
            <w:tcW w:w="1535" w:type="dxa"/>
            <w:vMerge/>
            <w:vAlign w:val="center"/>
            <w:hideMark/>
          </w:tcPr>
          <w:p w14:paraId="54C94E88"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49D68C13"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Aircraft Manufacturing</w:t>
            </w:r>
          </w:p>
        </w:tc>
        <w:tc>
          <w:tcPr>
            <w:tcW w:w="1080" w:type="dxa"/>
            <w:shd w:val="clear" w:color="auto" w:fill="auto"/>
            <w:vAlign w:val="center"/>
            <w:hideMark/>
          </w:tcPr>
          <w:p w14:paraId="46C8987B"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336411</w:t>
            </w:r>
          </w:p>
        </w:tc>
        <w:tc>
          <w:tcPr>
            <w:tcW w:w="2880" w:type="dxa"/>
            <w:shd w:val="clear" w:color="auto" w:fill="auto"/>
            <w:vAlign w:val="bottom"/>
            <w:hideMark/>
          </w:tcPr>
          <w:p w14:paraId="188E8FE3"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Aircraft Manufacturing</w:t>
            </w:r>
          </w:p>
        </w:tc>
        <w:tc>
          <w:tcPr>
            <w:tcW w:w="1080" w:type="dxa"/>
            <w:shd w:val="clear" w:color="auto" w:fill="auto"/>
            <w:noWrap/>
            <w:vAlign w:val="bottom"/>
            <w:hideMark/>
          </w:tcPr>
          <w:p w14:paraId="3032ABD7"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22F72FAC" w14:textId="39A1F721"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50</w:t>
            </w:r>
            <w:r w:rsidRPr="00B61FF1">
              <w:rPr>
                <w:rFonts w:ascii="Arial" w:eastAsia="Times New Roman" w:hAnsi="Arial" w:cs="Arial"/>
              </w:rPr>
              <w:t>%</w:t>
            </w:r>
          </w:p>
        </w:tc>
        <w:tc>
          <w:tcPr>
            <w:tcW w:w="1170" w:type="dxa"/>
            <w:shd w:val="clear" w:color="auto" w:fill="auto"/>
            <w:noWrap/>
            <w:vAlign w:val="bottom"/>
            <w:hideMark/>
          </w:tcPr>
          <w:p w14:paraId="7FECA7C8" w14:textId="324DF90D"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50</w:t>
            </w:r>
            <w:r w:rsidRPr="00B61FF1">
              <w:rPr>
                <w:rFonts w:ascii="Arial" w:eastAsia="Times New Roman" w:hAnsi="Arial" w:cs="Arial"/>
                <w:strike/>
              </w:rPr>
              <w:t>30</w:t>
            </w:r>
            <w:r w:rsidRPr="00B61FF1">
              <w:rPr>
                <w:rFonts w:ascii="Arial" w:eastAsia="Times New Roman" w:hAnsi="Arial" w:cs="Arial"/>
              </w:rPr>
              <w:t>%</w:t>
            </w:r>
          </w:p>
        </w:tc>
      </w:tr>
      <w:tr w:rsidR="009708CA" w:rsidRPr="00B61FF1" w14:paraId="5164025C" w14:textId="77777777" w:rsidTr="006D009B">
        <w:trPr>
          <w:trHeight w:val="255"/>
        </w:trPr>
        <w:tc>
          <w:tcPr>
            <w:tcW w:w="1535" w:type="dxa"/>
            <w:vMerge/>
            <w:vAlign w:val="center"/>
            <w:hideMark/>
          </w:tcPr>
          <w:p w14:paraId="1AA2ECE2"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hideMark/>
          </w:tcPr>
          <w:p w14:paraId="776654FE"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Support Activities for Air Transportation</w:t>
            </w:r>
          </w:p>
        </w:tc>
        <w:tc>
          <w:tcPr>
            <w:tcW w:w="1080" w:type="dxa"/>
            <w:shd w:val="clear" w:color="auto" w:fill="auto"/>
            <w:vAlign w:val="center"/>
            <w:hideMark/>
          </w:tcPr>
          <w:p w14:paraId="2BD78BA3" w14:textId="77777777" w:rsidR="009708CA" w:rsidRPr="00B61FF1" w:rsidRDefault="009708CA" w:rsidP="00024BAE">
            <w:pPr>
              <w:autoSpaceDE/>
              <w:autoSpaceDN/>
              <w:adjustRightInd/>
              <w:jc w:val="center"/>
              <w:rPr>
                <w:rFonts w:ascii="Arial" w:eastAsia="Times New Roman" w:hAnsi="Arial" w:cs="Arial"/>
              </w:rPr>
            </w:pPr>
            <w:r w:rsidRPr="00B61FF1">
              <w:rPr>
                <w:rFonts w:ascii="Arial" w:eastAsia="Times New Roman" w:hAnsi="Arial" w:cs="Arial"/>
              </w:rPr>
              <w:t>4881</w:t>
            </w:r>
          </w:p>
        </w:tc>
        <w:tc>
          <w:tcPr>
            <w:tcW w:w="2880" w:type="dxa"/>
            <w:shd w:val="clear" w:color="auto" w:fill="auto"/>
            <w:vAlign w:val="bottom"/>
            <w:hideMark/>
          </w:tcPr>
          <w:p w14:paraId="0714AD55" w14:textId="77777777" w:rsidR="009708CA" w:rsidRPr="00B61FF1" w:rsidRDefault="009708CA" w:rsidP="00024BAE">
            <w:pPr>
              <w:autoSpaceDE/>
              <w:autoSpaceDN/>
              <w:adjustRightInd/>
              <w:rPr>
                <w:rFonts w:ascii="Arial" w:eastAsia="Times New Roman" w:hAnsi="Arial" w:cs="Arial"/>
              </w:rPr>
            </w:pPr>
            <w:r w:rsidRPr="00B61FF1">
              <w:rPr>
                <w:rFonts w:ascii="Arial" w:eastAsia="Times New Roman" w:hAnsi="Arial" w:cs="Arial"/>
              </w:rPr>
              <w:t>Support Activities for Air Transportation</w:t>
            </w:r>
          </w:p>
        </w:tc>
        <w:tc>
          <w:tcPr>
            <w:tcW w:w="1080" w:type="dxa"/>
            <w:shd w:val="clear" w:color="auto" w:fill="auto"/>
            <w:noWrap/>
            <w:vAlign w:val="bottom"/>
            <w:hideMark/>
          </w:tcPr>
          <w:p w14:paraId="3F4A4370" w14:textId="77777777"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rPr>
              <w:t>100%</w:t>
            </w:r>
          </w:p>
        </w:tc>
        <w:tc>
          <w:tcPr>
            <w:tcW w:w="1080" w:type="dxa"/>
            <w:shd w:val="clear" w:color="auto" w:fill="auto"/>
            <w:noWrap/>
            <w:vAlign w:val="bottom"/>
            <w:hideMark/>
          </w:tcPr>
          <w:p w14:paraId="1F09E3F3" w14:textId="74EFAFFD"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r w:rsidRPr="00B61FF1">
              <w:rPr>
                <w:rFonts w:ascii="Arial" w:eastAsia="Times New Roman" w:hAnsi="Arial" w:cs="Arial"/>
                <w:strike/>
              </w:rPr>
              <w:t>50</w:t>
            </w:r>
            <w:r w:rsidRPr="00B61FF1">
              <w:rPr>
                <w:rFonts w:ascii="Arial" w:eastAsia="Times New Roman" w:hAnsi="Arial" w:cs="Arial"/>
              </w:rPr>
              <w:t>%</w:t>
            </w:r>
          </w:p>
        </w:tc>
        <w:tc>
          <w:tcPr>
            <w:tcW w:w="1170" w:type="dxa"/>
            <w:shd w:val="clear" w:color="auto" w:fill="auto"/>
            <w:noWrap/>
            <w:vAlign w:val="bottom"/>
            <w:hideMark/>
          </w:tcPr>
          <w:p w14:paraId="597AA6F6" w14:textId="5D11FCEC"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50</w:t>
            </w:r>
            <w:r w:rsidRPr="00B61FF1">
              <w:rPr>
                <w:rFonts w:ascii="Arial" w:eastAsia="Times New Roman" w:hAnsi="Arial" w:cs="Arial"/>
                <w:strike/>
              </w:rPr>
              <w:t>30</w:t>
            </w:r>
            <w:r w:rsidRPr="00B61FF1">
              <w:rPr>
                <w:rFonts w:ascii="Arial" w:eastAsia="Times New Roman" w:hAnsi="Arial" w:cs="Arial"/>
              </w:rPr>
              <w:t>%</w:t>
            </w:r>
          </w:p>
        </w:tc>
      </w:tr>
      <w:tr w:rsidR="009708CA" w:rsidRPr="00B61FF1" w14:paraId="0574CC83" w14:textId="77777777" w:rsidTr="003947AF">
        <w:trPr>
          <w:trHeight w:val="255"/>
        </w:trPr>
        <w:tc>
          <w:tcPr>
            <w:tcW w:w="1535" w:type="dxa"/>
            <w:vMerge/>
            <w:vAlign w:val="center"/>
          </w:tcPr>
          <w:p w14:paraId="074A8230" w14:textId="77777777" w:rsidR="009708CA" w:rsidRPr="00B61FF1" w:rsidRDefault="009708CA" w:rsidP="00024BAE">
            <w:pPr>
              <w:autoSpaceDE/>
              <w:autoSpaceDN/>
              <w:adjustRightInd/>
              <w:rPr>
                <w:rFonts w:ascii="Arial" w:eastAsia="Times New Roman" w:hAnsi="Arial" w:cs="Arial"/>
              </w:rPr>
            </w:pPr>
          </w:p>
        </w:tc>
        <w:tc>
          <w:tcPr>
            <w:tcW w:w="3060" w:type="dxa"/>
            <w:shd w:val="clear" w:color="auto" w:fill="auto"/>
            <w:vAlign w:val="bottom"/>
          </w:tcPr>
          <w:p w14:paraId="50710F1A" w14:textId="2349231A"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Guided Missile and Space Vehicle Manufacturing</w:t>
            </w:r>
          </w:p>
        </w:tc>
        <w:tc>
          <w:tcPr>
            <w:tcW w:w="1080" w:type="dxa"/>
            <w:shd w:val="clear" w:color="auto" w:fill="auto"/>
            <w:vAlign w:val="center"/>
          </w:tcPr>
          <w:p w14:paraId="1C5D43F8" w14:textId="47D453AB"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336414</w:t>
            </w:r>
          </w:p>
        </w:tc>
        <w:tc>
          <w:tcPr>
            <w:tcW w:w="2880" w:type="dxa"/>
            <w:shd w:val="clear" w:color="auto" w:fill="auto"/>
            <w:vAlign w:val="bottom"/>
          </w:tcPr>
          <w:p w14:paraId="41054DAC" w14:textId="302ED559"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Guided Missile and Space Vehicle Manufacturing</w:t>
            </w:r>
          </w:p>
        </w:tc>
        <w:tc>
          <w:tcPr>
            <w:tcW w:w="1080" w:type="dxa"/>
            <w:shd w:val="clear" w:color="auto" w:fill="auto"/>
            <w:noWrap/>
          </w:tcPr>
          <w:p w14:paraId="05D20BA8" w14:textId="77777777" w:rsidR="009708CA" w:rsidRPr="00B61FF1" w:rsidRDefault="009708CA" w:rsidP="00024BAE">
            <w:pPr>
              <w:autoSpaceDE/>
              <w:autoSpaceDN/>
              <w:adjustRightInd/>
              <w:jc w:val="right"/>
              <w:rPr>
                <w:rFonts w:ascii="Arial" w:eastAsia="Times New Roman" w:hAnsi="Arial" w:cs="Arial"/>
                <w:u w:val="single"/>
              </w:rPr>
            </w:pPr>
          </w:p>
          <w:p w14:paraId="03818B64" w14:textId="39ADE99F" w:rsidR="009708CA" w:rsidRPr="00B61FF1" w:rsidRDefault="009708CA" w:rsidP="00024BAE">
            <w:pPr>
              <w:autoSpaceDE/>
              <w:autoSpaceDN/>
              <w:adjustRightInd/>
              <w:jc w:val="right"/>
              <w:rPr>
                <w:rFonts w:ascii="Arial" w:eastAsia="Times New Roman" w:hAnsi="Arial" w:cs="Arial"/>
              </w:rPr>
            </w:pPr>
            <w:r w:rsidRPr="00B61FF1">
              <w:rPr>
                <w:rFonts w:ascii="Arial" w:eastAsia="Times New Roman" w:hAnsi="Arial" w:cs="Arial"/>
                <w:u w:val="single"/>
              </w:rPr>
              <w:t>100%</w:t>
            </w:r>
          </w:p>
        </w:tc>
        <w:tc>
          <w:tcPr>
            <w:tcW w:w="1080" w:type="dxa"/>
            <w:shd w:val="clear" w:color="auto" w:fill="auto"/>
            <w:noWrap/>
          </w:tcPr>
          <w:p w14:paraId="6615CF3F" w14:textId="77777777" w:rsidR="009708CA" w:rsidRPr="00B61FF1" w:rsidRDefault="009708CA" w:rsidP="00024BAE">
            <w:pPr>
              <w:autoSpaceDE/>
              <w:autoSpaceDN/>
              <w:adjustRightInd/>
              <w:jc w:val="right"/>
              <w:rPr>
                <w:rFonts w:ascii="Arial" w:eastAsia="Times New Roman" w:hAnsi="Arial" w:cs="Arial"/>
                <w:u w:val="single"/>
              </w:rPr>
            </w:pPr>
          </w:p>
          <w:p w14:paraId="1BCD2EE2" w14:textId="5FE84004"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298C4661" w14:textId="4CD7973E" w:rsidR="009708CA" w:rsidRPr="00B61FF1" w:rsidRDefault="009708CA" w:rsidP="009708CA">
            <w:pPr>
              <w:autoSpaceDE/>
              <w:autoSpaceDN/>
              <w:adjustRightInd/>
              <w:jc w:val="right"/>
              <w:rPr>
                <w:rFonts w:ascii="Arial" w:eastAsia="Times New Roman" w:hAnsi="Arial" w:cs="Arial"/>
                <w:u w:val="single"/>
              </w:rPr>
            </w:pPr>
            <w:r w:rsidRPr="00B61FF1">
              <w:rPr>
                <w:rFonts w:ascii="Arial" w:eastAsia="Times New Roman" w:hAnsi="Arial" w:cs="Arial"/>
                <w:u w:val="single"/>
              </w:rPr>
              <w:t>50%</w:t>
            </w:r>
          </w:p>
        </w:tc>
      </w:tr>
      <w:tr w:rsidR="009708CA" w:rsidRPr="00B61FF1" w14:paraId="7211A0DE" w14:textId="77777777" w:rsidTr="003947AF">
        <w:trPr>
          <w:trHeight w:val="255"/>
        </w:trPr>
        <w:tc>
          <w:tcPr>
            <w:tcW w:w="1535" w:type="dxa"/>
            <w:vMerge w:val="restart"/>
            <w:vAlign w:val="center"/>
          </w:tcPr>
          <w:p w14:paraId="39875C9F" w14:textId="295560BB" w:rsidR="009708CA" w:rsidRPr="00B61FF1" w:rsidRDefault="009708CA" w:rsidP="00B71508">
            <w:pPr>
              <w:autoSpaceDE/>
              <w:autoSpaceDN/>
              <w:adjustRightInd/>
              <w:jc w:val="center"/>
              <w:rPr>
                <w:rFonts w:ascii="Arial" w:eastAsia="Times New Roman" w:hAnsi="Arial" w:cs="Arial"/>
                <w:u w:val="single"/>
              </w:rPr>
            </w:pPr>
            <w:r w:rsidRPr="00B61FF1">
              <w:rPr>
                <w:rFonts w:ascii="Arial" w:eastAsia="Times New Roman" w:hAnsi="Arial" w:cs="Arial"/>
                <w:u w:val="single"/>
              </w:rPr>
              <w:t>TBD</w:t>
            </w:r>
          </w:p>
        </w:tc>
        <w:tc>
          <w:tcPr>
            <w:tcW w:w="3060" w:type="dxa"/>
            <w:shd w:val="clear" w:color="auto" w:fill="auto"/>
            <w:vAlign w:val="bottom"/>
          </w:tcPr>
          <w:p w14:paraId="18F91602" w14:textId="6DBC8BF6"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Ethyl Alcohol Manufacturing</w:t>
            </w:r>
          </w:p>
        </w:tc>
        <w:tc>
          <w:tcPr>
            <w:tcW w:w="1080" w:type="dxa"/>
            <w:shd w:val="clear" w:color="auto" w:fill="auto"/>
            <w:vAlign w:val="center"/>
          </w:tcPr>
          <w:p w14:paraId="26CE00D4" w14:textId="755241AB"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325193</w:t>
            </w:r>
          </w:p>
        </w:tc>
        <w:tc>
          <w:tcPr>
            <w:tcW w:w="2880" w:type="dxa"/>
            <w:shd w:val="clear" w:color="auto" w:fill="auto"/>
            <w:vAlign w:val="bottom"/>
          </w:tcPr>
          <w:p w14:paraId="48027E09" w14:textId="6FAE2D23"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Ethyl Alcohol Manufacturing</w:t>
            </w:r>
          </w:p>
        </w:tc>
        <w:tc>
          <w:tcPr>
            <w:tcW w:w="1080" w:type="dxa"/>
            <w:shd w:val="clear" w:color="auto" w:fill="auto"/>
            <w:noWrap/>
          </w:tcPr>
          <w:p w14:paraId="22AA01E1" w14:textId="6442ECE2"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080" w:type="dxa"/>
            <w:shd w:val="clear" w:color="auto" w:fill="auto"/>
            <w:noWrap/>
          </w:tcPr>
          <w:p w14:paraId="6F16C9B6" w14:textId="69492C72"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58453511" w14:textId="77777777" w:rsidR="009708CA" w:rsidRPr="00B61FF1" w:rsidRDefault="009708CA" w:rsidP="00024BAE">
            <w:pPr>
              <w:autoSpaceDE/>
              <w:autoSpaceDN/>
              <w:adjustRightInd/>
              <w:jc w:val="right"/>
              <w:rPr>
                <w:rFonts w:ascii="Arial" w:eastAsia="Times New Roman" w:hAnsi="Arial" w:cs="Arial"/>
                <w:u w:val="single"/>
              </w:rPr>
            </w:pPr>
          </w:p>
        </w:tc>
      </w:tr>
      <w:tr w:rsidR="009708CA" w:rsidRPr="00B61FF1" w14:paraId="748C8F7F" w14:textId="77777777" w:rsidTr="003947AF">
        <w:trPr>
          <w:trHeight w:val="255"/>
        </w:trPr>
        <w:tc>
          <w:tcPr>
            <w:tcW w:w="1535" w:type="dxa"/>
            <w:vMerge/>
            <w:vAlign w:val="center"/>
          </w:tcPr>
          <w:p w14:paraId="5AFC7F0C" w14:textId="77777777" w:rsidR="009708CA" w:rsidRPr="00B61FF1" w:rsidRDefault="009708CA" w:rsidP="00B71508">
            <w:pPr>
              <w:autoSpaceDE/>
              <w:autoSpaceDN/>
              <w:adjustRightInd/>
              <w:jc w:val="center"/>
              <w:rPr>
                <w:rFonts w:ascii="Arial" w:eastAsia="Times New Roman" w:hAnsi="Arial" w:cs="Arial"/>
              </w:rPr>
            </w:pPr>
          </w:p>
        </w:tc>
        <w:tc>
          <w:tcPr>
            <w:tcW w:w="3060" w:type="dxa"/>
            <w:shd w:val="clear" w:color="auto" w:fill="auto"/>
            <w:vAlign w:val="bottom"/>
          </w:tcPr>
          <w:p w14:paraId="23A2E11A" w14:textId="5DFDC6D9"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Asphalt Paving Mixture and Block Manufacturing</w:t>
            </w:r>
          </w:p>
        </w:tc>
        <w:tc>
          <w:tcPr>
            <w:tcW w:w="1080" w:type="dxa"/>
            <w:shd w:val="clear" w:color="auto" w:fill="auto"/>
            <w:vAlign w:val="center"/>
          </w:tcPr>
          <w:p w14:paraId="3AA271F2" w14:textId="7D6F819A"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324121</w:t>
            </w:r>
          </w:p>
        </w:tc>
        <w:tc>
          <w:tcPr>
            <w:tcW w:w="2880" w:type="dxa"/>
            <w:shd w:val="clear" w:color="auto" w:fill="auto"/>
            <w:vAlign w:val="bottom"/>
          </w:tcPr>
          <w:p w14:paraId="04FA200B" w14:textId="1B4E6E44"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Asphalt Paving Mixture and Block Manufacturing</w:t>
            </w:r>
          </w:p>
        </w:tc>
        <w:tc>
          <w:tcPr>
            <w:tcW w:w="1080" w:type="dxa"/>
            <w:shd w:val="clear" w:color="auto" w:fill="auto"/>
            <w:noWrap/>
          </w:tcPr>
          <w:p w14:paraId="0AABF248" w14:textId="7686967B"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080" w:type="dxa"/>
            <w:shd w:val="clear" w:color="auto" w:fill="auto"/>
            <w:noWrap/>
          </w:tcPr>
          <w:p w14:paraId="017A750C" w14:textId="373B1344"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51E90C60" w14:textId="77777777" w:rsidR="009708CA" w:rsidRPr="00B61FF1" w:rsidRDefault="009708CA" w:rsidP="00024BAE">
            <w:pPr>
              <w:autoSpaceDE/>
              <w:autoSpaceDN/>
              <w:adjustRightInd/>
              <w:jc w:val="right"/>
              <w:rPr>
                <w:rFonts w:ascii="Arial" w:eastAsia="Times New Roman" w:hAnsi="Arial" w:cs="Arial"/>
                <w:u w:val="single"/>
              </w:rPr>
            </w:pPr>
          </w:p>
        </w:tc>
      </w:tr>
      <w:tr w:rsidR="009708CA" w:rsidRPr="00B61FF1" w14:paraId="7E593763" w14:textId="77777777" w:rsidTr="003947AF">
        <w:trPr>
          <w:trHeight w:val="255"/>
        </w:trPr>
        <w:tc>
          <w:tcPr>
            <w:tcW w:w="1535" w:type="dxa"/>
            <w:vMerge/>
            <w:vAlign w:val="center"/>
          </w:tcPr>
          <w:p w14:paraId="2E615816" w14:textId="77777777" w:rsidR="009708CA" w:rsidRPr="00B61FF1" w:rsidRDefault="009708CA" w:rsidP="00B71508">
            <w:pPr>
              <w:autoSpaceDE/>
              <w:autoSpaceDN/>
              <w:adjustRightInd/>
              <w:jc w:val="center"/>
              <w:rPr>
                <w:rFonts w:ascii="Arial" w:eastAsia="Times New Roman" w:hAnsi="Arial" w:cs="Arial"/>
              </w:rPr>
            </w:pPr>
          </w:p>
        </w:tc>
        <w:tc>
          <w:tcPr>
            <w:tcW w:w="3060" w:type="dxa"/>
            <w:shd w:val="clear" w:color="auto" w:fill="auto"/>
            <w:vAlign w:val="bottom"/>
          </w:tcPr>
          <w:p w14:paraId="677D18A9" w14:textId="260C4C04" w:rsidR="009708CA" w:rsidRPr="00B61FF1" w:rsidRDefault="00D306CD" w:rsidP="00024BAE">
            <w:pPr>
              <w:autoSpaceDE/>
              <w:autoSpaceDN/>
              <w:adjustRightInd/>
              <w:rPr>
                <w:rFonts w:ascii="Arial" w:eastAsia="Times New Roman" w:hAnsi="Arial" w:cs="Arial"/>
                <w:u w:val="single"/>
              </w:rPr>
            </w:pPr>
            <w:r w:rsidRPr="00B61FF1">
              <w:rPr>
                <w:rFonts w:ascii="Arial" w:eastAsia="Times New Roman" w:hAnsi="Arial" w:cs="Arial"/>
                <w:u w:val="single"/>
              </w:rPr>
              <w:t xml:space="preserve">Metal </w:t>
            </w:r>
            <w:r w:rsidR="009708CA" w:rsidRPr="00B61FF1">
              <w:rPr>
                <w:rFonts w:ascii="Arial" w:eastAsia="Times New Roman" w:hAnsi="Arial" w:cs="Arial"/>
                <w:u w:val="single"/>
              </w:rPr>
              <w:t>Forging</w:t>
            </w:r>
          </w:p>
        </w:tc>
        <w:tc>
          <w:tcPr>
            <w:tcW w:w="1080" w:type="dxa"/>
            <w:shd w:val="clear" w:color="auto" w:fill="auto"/>
            <w:vAlign w:val="center"/>
          </w:tcPr>
          <w:p w14:paraId="4527EEF9" w14:textId="05CF02C6"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33211</w:t>
            </w:r>
          </w:p>
        </w:tc>
        <w:tc>
          <w:tcPr>
            <w:tcW w:w="2880" w:type="dxa"/>
            <w:shd w:val="clear" w:color="auto" w:fill="auto"/>
            <w:vAlign w:val="bottom"/>
          </w:tcPr>
          <w:p w14:paraId="2807AFA8" w14:textId="2B9D4B10"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 xml:space="preserve">Ferrous and </w:t>
            </w:r>
            <w:r w:rsidR="006B25CF" w:rsidRPr="00B61FF1">
              <w:rPr>
                <w:rFonts w:ascii="Arial" w:eastAsia="Times New Roman" w:hAnsi="Arial" w:cs="Arial"/>
                <w:u w:val="single"/>
              </w:rPr>
              <w:t xml:space="preserve">nonferrous </w:t>
            </w:r>
            <w:r w:rsidR="00D306CD" w:rsidRPr="00B61FF1">
              <w:rPr>
                <w:rFonts w:ascii="Arial" w:eastAsia="Times New Roman" w:hAnsi="Arial" w:cs="Arial"/>
                <w:u w:val="single"/>
              </w:rPr>
              <w:t xml:space="preserve">Metal </w:t>
            </w:r>
            <w:r w:rsidRPr="00B61FF1">
              <w:rPr>
                <w:rFonts w:ascii="Arial" w:eastAsia="Times New Roman" w:hAnsi="Arial" w:cs="Arial"/>
                <w:u w:val="single"/>
              </w:rPr>
              <w:t>Forging</w:t>
            </w:r>
          </w:p>
        </w:tc>
        <w:tc>
          <w:tcPr>
            <w:tcW w:w="1080" w:type="dxa"/>
            <w:shd w:val="clear" w:color="auto" w:fill="auto"/>
            <w:noWrap/>
          </w:tcPr>
          <w:p w14:paraId="49EA9AC5" w14:textId="2447DA9B"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080" w:type="dxa"/>
            <w:shd w:val="clear" w:color="auto" w:fill="auto"/>
            <w:noWrap/>
          </w:tcPr>
          <w:p w14:paraId="48405022" w14:textId="705EE939"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664EF6A6" w14:textId="77777777" w:rsidR="009708CA" w:rsidRPr="00B61FF1" w:rsidRDefault="009708CA" w:rsidP="00024BAE">
            <w:pPr>
              <w:autoSpaceDE/>
              <w:autoSpaceDN/>
              <w:adjustRightInd/>
              <w:jc w:val="right"/>
              <w:rPr>
                <w:rFonts w:ascii="Arial" w:eastAsia="Times New Roman" w:hAnsi="Arial" w:cs="Arial"/>
                <w:u w:val="single"/>
              </w:rPr>
            </w:pPr>
          </w:p>
        </w:tc>
      </w:tr>
      <w:tr w:rsidR="009708CA" w:rsidRPr="00B61FF1" w14:paraId="1FF3BCE2" w14:textId="77777777" w:rsidTr="003947AF">
        <w:trPr>
          <w:trHeight w:val="255"/>
        </w:trPr>
        <w:tc>
          <w:tcPr>
            <w:tcW w:w="1535" w:type="dxa"/>
            <w:vMerge/>
            <w:vAlign w:val="center"/>
          </w:tcPr>
          <w:p w14:paraId="509B5CA2" w14:textId="77777777" w:rsidR="009708CA" w:rsidRPr="00B61FF1" w:rsidRDefault="009708CA" w:rsidP="00B71508">
            <w:pPr>
              <w:autoSpaceDE/>
              <w:autoSpaceDN/>
              <w:adjustRightInd/>
              <w:jc w:val="center"/>
              <w:rPr>
                <w:rFonts w:ascii="Arial" w:eastAsia="Times New Roman" w:hAnsi="Arial" w:cs="Arial"/>
              </w:rPr>
            </w:pPr>
          </w:p>
        </w:tc>
        <w:tc>
          <w:tcPr>
            <w:tcW w:w="3060" w:type="dxa"/>
            <w:shd w:val="clear" w:color="auto" w:fill="auto"/>
            <w:vAlign w:val="bottom"/>
          </w:tcPr>
          <w:p w14:paraId="733DA3FE" w14:textId="64A1F6AD"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Hardware Manufacturing</w:t>
            </w:r>
          </w:p>
        </w:tc>
        <w:tc>
          <w:tcPr>
            <w:tcW w:w="1080" w:type="dxa"/>
            <w:shd w:val="clear" w:color="auto" w:fill="auto"/>
            <w:vAlign w:val="center"/>
          </w:tcPr>
          <w:p w14:paraId="1EC92BC1" w14:textId="792EFE5E" w:rsidR="009708CA" w:rsidRPr="00B61FF1" w:rsidRDefault="009708CA" w:rsidP="00024BAE">
            <w:pPr>
              <w:autoSpaceDE/>
              <w:autoSpaceDN/>
              <w:adjustRightInd/>
              <w:jc w:val="center"/>
              <w:rPr>
                <w:rFonts w:ascii="Arial" w:eastAsia="Times New Roman" w:hAnsi="Arial" w:cs="Arial"/>
                <w:u w:val="single"/>
              </w:rPr>
            </w:pPr>
            <w:r w:rsidRPr="00B61FF1">
              <w:rPr>
                <w:rFonts w:ascii="Arial" w:eastAsia="Times New Roman" w:hAnsi="Arial" w:cs="Arial"/>
                <w:u w:val="single"/>
              </w:rPr>
              <w:t>332510</w:t>
            </w:r>
          </w:p>
        </w:tc>
        <w:tc>
          <w:tcPr>
            <w:tcW w:w="2880" w:type="dxa"/>
            <w:shd w:val="clear" w:color="auto" w:fill="auto"/>
            <w:vAlign w:val="bottom"/>
          </w:tcPr>
          <w:p w14:paraId="26A054EB" w14:textId="1AE16678" w:rsidR="009708CA" w:rsidRPr="00B61FF1" w:rsidRDefault="009708CA" w:rsidP="00024BAE">
            <w:pPr>
              <w:autoSpaceDE/>
              <w:autoSpaceDN/>
              <w:adjustRightInd/>
              <w:rPr>
                <w:rFonts w:ascii="Arial" w:eastAsia="Times New Roman" w:hAnsi="Arial" w:cs="Arial"/>
                <w:u w:val="single"/>
              </w:rPr>
            </w:pPr>
            <w:r w:rsidRPr="00B61FF1">
              <w:rPr>
                <w:rFonts w:ascii="Arial" w:eastAsia="Times New Roman" w:hAnsi="Arial" w:cs="Arial"/>
                <w:u w:val="single"/>
              </w:rPr>
              <w:t>Hardware Manufacturing</w:t>
            </w:r>
          </w:p>
        </w:tc>
        <w:tc>
          <w:tcPr>
            <w:tcW w:w="1080" w:type="dxa"/>
            <w:shd w:val="clear" w:color="auto" w:fill="auto"/>
            <w:noWrap/>
          </w:tcPr>
          <w:p w14:paraId="6FE691FC" w14:textId="7D7414A6"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080" w:type="dxa"/>
            <w:shd w:val="clear" w:color="auto" w:fill="auto"/>
            <w:noWrap/>
          </w:tcPr>
          <w:p w14:paraId="7B7B6FD9" w14:textId="04262187" w:rsidR="009708CA" w:rsidRPr="00B61FF1" w:rsidRDefault="009708CA" w:rsidP="00024BAE">
            <w:pPr>
              <w:autoSpaceDE/>
              <w:autoSpaceDN/>
              <w:adjustRightInd/>
              <w:jc w:val="right"/>
              <w:rPr>
                <w:rFonts w:ascii="Arial" w:eastAsia="Times New Roman" w:hAnsi="Arial" w:cs="Arial"/>
                <w:u w:val="single"/>
              </w:rPr>
            </w:pPr>
            <w:r w:rsidRPr="00B61FF1">
              <w:rPr>
                <w:rFonts w:ascii="Arial" w:eastAsia="Times New Roman" w:hAnsi="Arial" w:cs="Arial"/>
                <w:u w:val="single"/>
              </w:rPr>
              <w:t>100%</w:t>
            </w:r>
          </w:p>
        </w:tc>
        <w:tc>
          <w:tcPr>
            <w:tcW w:w="1170" w:type="dxa"/>
            <w:shd w:val="clear" w:color="auto" w:fill="auto"/>
            <w:noWrap/>
            <w:vAlign w:val="bottom"/>
          </w:tcPr>
          <w:p w14:paraId="497EC90C" w14:textId="77777777" w:rsidR="009708CA" w:rsidRPr="00B61FF1" w:rsidRDefault="009708CA" w:rsidP="00024BAE">
            <w:pPr>
              <w:autoSpaceDE/>
              <w:autoSpaceDN/>
              <w:adjustRightInd/>
              <w:jc w:val="right"/>
              <w:rPr>
                <w:rFonts w:ascii="Arial" w:eastAsia="Times New Roman" w:hAnsi="Arial" w:cs="Arial"/>
                <w:u w:val="single"/>
              </w:rPr>
            </w:pPr>
          </w:p>
        </w:tc>
      </w:tr>
    </w:tbl>
    <w:p w14:paraId="04BB58D8" w14:textId="77777777" w:rsidR="002A1D37" w:rsidRPr="00B61FF1" w:rsidRDefault="002A1D37" w:rsidP="002E5348">
      <w:pPr>
        <w:rPr>
          <w:rFonts w:ascii="Arial" w:hAnsi="Arial" w:cs="Arial"/>
          <w:sz w:val="24"/>
          <w:szCs w:val="24"/>
        </w:rPr>
      </w:pPr>
    </w:p>
    <w:p w14:paraId="224C0CA5" w14:textId="77777777" w:rsidR="00863530" w:rsidRPr="00B61FF1" w:rsidRDefault="00863530" w:rsidP="002E5348">
      <w:pPr>
        <w:rPr>
          <w:rFonts w:ascii="Arial" w:hAnsi="Arial" w:cs="Arial"/>
          <w:sz w:val="24"/>
          <w:szCs w:val="24"/>
        </w:rPr>
        <w:sectPr w:rsidR="00863530" w:rsidRPr="00B61FF1" w:rsidSect="00A853B2">
          <w:footnotePr>
            <w:numRestart w:val="eachSect"/>
          </w:footnotePr>
          <w:pgSz w:w="15840" w:h="12240" w:orient="landscape"/>
          <w:pgMar w:top="1800" w:right="1440" w:bottom="1800" w:left="1440" w:header="720" w:footer="720" w:gutter="0"/>
          <w:cols w:space="720"/>
          <w:docGrid w:linePitch="360"/>
        </w:sectPr>
      </w:pPr>
    </w:p>
    <w:p w14:paraId="5A8DD5EE" w14:textId="77777777" w:rsidR="002A1D37" w:rsidRPr="00B61FF1" w:rsidRDefault="002A1D37" w:rsidP="002E5348">
      <w:pPr>
        <w:rPr>
          <w:rFonts w:ascii="Arial" w:hAnsi="Arial" w:cs="Arial"/>
          <w:sz w:val="24"/>
          <w:szCs w:val="24"/>
        </w:rPr>
      </w:pPr>
    </w:p>
    <w:p w14:paraId="6A9FC4A0" w14:textId="77777777" w:rsidR="00FE6B15" w:rsidRPr="00B61FF1" w:rsidRDefault="00FE6B15" w:rsidP="004E3B67">
      <w:pPr>
        <w:spacing w:line="360" w:lineRule="auto"/>
        <w:rPr>
          <w:rFonts w:ascii="Arial" w:hAnsi="Arial" w:cs="Arial"/>
          <w:sz w:val="24"/>
          <w:szCs w:val="24"/>
        </w:rPr>
      </w:pPr>
    </w:p>
    <w:p w14:paraId="0E47148E"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57EC4AAD" w14:textId="6B75543D"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r w:rsidRPr="00B61FF1">
        <w:rPr>
          <w:rFonts w:ascii="Arial" w:hAnsi="Arial" w:cs="Arial"/>
          <w:strike/>
        </w:rPr>
        <w:t>.</w:t>
      </w:r>
      <w:r w:rsidR="005803A9" w:rsidRPr="00B61FF1">
        <w:rPr>
          <w:rFonts w:ascii="Arial" w:hAnsi="Arial" w:cs="Arial"/>
          <w:u w:val="single"/>
        </w:rPr>
        <w:t xml:space="preserve"> and Section 16428.8, Government Code.</w:t>
      </w:r>
    </w:p>
    <w:p w14:paraId="1EF9A671" w14:textId="77777777" w:rsidR="00BD1FA4" w:rsidRPr="00B61FF1" w:rsidRDefault="00BD1FA4" w:rsidP="00EC7AFC">
      <w:pPr>
        <w:rPr>
          <w:rFonts w:ascii="Arial" w:hAnsi="Arial" w:cs="Arial"/>
        </w:rPr>
      </w:pPr>
    </w:p>
    <w:p w14:paraId="6A72FD7D" w14:textId="77777777" w:rsidR="00FE6B15" w:rsidRPr="00B61FF1" w:rsidRDefault="00FE6B15" w:rsidP="00CC193F">
      <w:pPr>
        <w:pStyle w:val="Heading1"/>
      </w:pPr>
      <w:bookmarkStart w:id="276" w:name="_Toc258839171"/>
      <w:bookmarkStart w:id="277" w:name="_Toc269798078"/>
      <w:bookmarkStart w:id="278" w:name="_Toc272527742"/>
      <w:bookmarkStart w:id="279" w:name="_Toc299094944"/>
      <w:bookmarkStart w:id="280" w:name="_Toc302746797"/>
      <w:bookmarkStart w:id="281" w:name="_Toc352146258"/>
      <w:bookmarkStart w:id="282" w:name="_Toc361659859"/>
      <w:bookmarkEnd w:id="267"/>
      <w:r w:rsidRPr="00B61FF1">
        <w:t>Subarticle 9: Direct Allocations of California GHG Allowance</w:t>
      </w:r>
      <w:bookmarkEnd w:id="276"/>
      <w:r w:rsidRPr="00B61FF1">
        <w:t>s</w:t>
      </w:r>
      <w:bookmarkEnd w:id="277"/>
      <w:bookmarkEnd w:id="278"/>
      <w:bookmarkEnd w:id="279"/>
      <w:bookmarkEnd w:id="280"/>
      <w:bookmarkEnd w:id="281"/>
      <w:bookmarkEnd w:id="282"/>
      <w:r w:rsidRPr="00B61FF1">
        <w:t xml:space="preserve"> </w:t>
      </w:r>
    </w:p>
    <w:p w14:paraId="58738657" w14:textId="77777777" w:rsidR="00FE6B15" w:rsidRPr="00B61FF1" w:rsidRDefault="00FE6B15" w:rsidP="004E3B67">
      <w:pPr>
        <w:pStyle w:val="Heading2"/>
        <w:keepNext w:val="0"/>
        <w:rPr>
          <w:i/>
          <w:szCs w:val="24"/>
        </w:rPr>
      </w:pPr>
      <w:bookmarkStart w:id="283" w:name="_Toc265240665"/>
      <w:bookmarkStart w:id="284" w:name="_Toc267031800"/>
      <w:bookmarkStart w:id="285" w:name="_Toc269798079"/>
      <w:bookmarkStart w:id="286" w:name="_Toc272527743"/>
      <w:bookmarkStart w:id="287" w:name="_Toc299094945"/>
      <w:bookmarkStart w:id="288" w:name="_Toc302746798"/>
      <w:bookmarkStart w:id="289" w:name="_Toc352146259"/>
      <w:bookmarkStart w:id="290" w:name="_Toc361659860"/>
      <w:bookmarkStart w:id="291" w:name="_Toc258839172"/>
      <w:r w:rsidRPr="00B61FF1">
        <w:rPr>
          <w:szCs w:val="24"/>
        </w:rPr>
        <w:t>§ 95890.  General Provisions for Direct Allocations</w:t>
      </w:r>
      <w:bookmarkEnd w:id="283"/>
      <w:bookmarkEnd w:id="284"/>
      <w:bookmarkEnd w:id="285"/>
      <w:bookmarkEnd w:id="286"/>
      <w:r w:rsidR="008A5A91" w:rsidRPr="00B61FF1">
        <w:rPr>
          <w:szCs w:val="24"/>
        </w:rPr>
        <w:t>.</w:t>
      </w:r>
      <w:bookmarkEnd w:id="287"/>
      <w:bookmarkEnd w:id="288"/>
      <w:bookmarkEnd w:id="289"/>
      <w:bookmarkEnd w:id="290"/>
    </w:p>
    <w:p w14:paraId="62F5A0F4" w14:textId="77777777" w:rsidR="00853F42" w:rsidRPr="00B61FF1" w:rsidRDefault="00853F42" w:rsidP="00FE6A4C">
      <w:pPr>
        <w:numPr>
          <w:ilvl w:val="0"/>
          <w:numId w:val="26"/>
        </w:numPr>
        <w:autoSpaceDE/>
        <w:autoSpaceDN/>
        <w:adjustRightInd/>
        <w:spacing w:line="360" w:lineRule="auto"/>
        <w:rPr>
          <w:rFonts w:ascii="Arial" w:hAnsi="Arial" w:cs="Arial"/>
          <w:sz w:val="24"/>
          <w:szCs w:val="24"/>
        </w:rPr>
      </w:pPr>
      <w:r w:rsidRPr="00B61FF1">
        <w:rPr>
          <w:rFonts w:ascii="Arial" w:hAnsi="Arial" w:cs="Arial"/>
          <w:sz w:val="24"/>
          <w:szCs w:val="24"/>
        </w:rPr>
        <w:t>Eligibility Requirements for Industrial Facilities.  A covered entity or opt-in covered entity from the industrial sectors listed in Table 8-1 shall be eligible for direct allocations of California GHG allowances if it has complied with the requirements of MRR and has obtained a positive or qualified positive</w:t>
      </w:r>
      <w:r w:rsidR="0039382B" w:rsidRPr="00B61FF1">
        <w:rPr>
          <w:rFonts w:ascii="Arial" w:hAnsi="Arial" w:cs="Arial"/>
          <w:sz w:val="24"/>
          <w:szCs w:val="24"/>
        </w:rPr>
        <w:t xml:space="preserve"> product data</w:t>
      </w:r>
      <w:r w:rsidRPr="00B61FF1">
        <w:rPr>
          <w:rFonts w:ascii="Arial" w:hAnsi="Arial" w:cs="Arial"/>
          <w:sz w:val="24"/>
          <w:szCs w:val="24"/>
        </w:rPr>
        <w:t xml:space="preserve"> verification statement</w:t>
      </w:r>
      <w:r w:rsidR="00F10B2A" w:rsidRPr="00B61FF1">
        <w:rPr>
          <w:rFonts w:ascii="Arial" w:hAnsi="Arial" w:cs="Arial"/>
          <w:sz w:val="24"/>
          <w:szCs w:val="24"/>
        </w:rPr>
        <w:t xml:space="preserve"> for the prior year</w:t>
      </w:r>
      <w:r w:rsidRPr="00B61FF1">
        <w:rPr>
          <w:rFonts w:ascii="Arial" w:hAnsi="Arial" w:cs="Arial"/>
          <w:sz w:val="24"/>
          <w:szCs w:val="24"/>
        </w:rPr>
        <w:t xml:space="preserve"> pursuant to MRR. </w:t>
      </w:r>
    </w:p>
    <w:p w14:paraId="042C9952" w14:textId="77777777" w:rsidR="00853F42" w:rsidRPr="00B61FF1" w:rsidRDefault="00853F42" w:rsidP="00FE6A4C">
      <w:pPr>
        <w:numPr>
          <w:ilvl w:val="0"/>
          <w:numId w:val="26"/>
        </w:numPr>
        <w:autoSpaceDE/>
        <w:autoSpaceDN/>
        <w:adjustRightInd/>
        <w:spacing w:line="360" w:lineRule="auto"/>
        <w:rPr>
          <w:rFonts w:ascii="Arial" w:hAnsi="Arial" w:cs="Arial"/>
          <w:sz w:val="24"/>
          <w:szCs w:val="24"/>
        </w:rPr>
      </w:pPr>
      <w:r w:rsidRPr="00B61FF1">
        <w:rPr>
          <w:rFonts w:ascii="Arial" w:eastAsia="MS Mincho" w:hAnsi="Arial" w:cs="Arial"/>
          <w:sz w:val="24"/>
          <w:szCs w:val="24"/>
          <w:lang w:eastAsia="ja-JP"/>
        </w:rPr>
        <w:t>Eligibility Requirements for Electrical Distribution Utilities.  An electrical distribution utility shall be eligible for direct allocation of California GHG allowances if it has</w:t>
      </w:r>
      <w:r w:rsidRPr="00B61FF1">
        <w:rPr>
          <w:rFonts w:ascii="Arial" w:hAnsi="Arial" w:cs="Arial"/>
          <w:sz w:val="24"/>
          <w:szCs w:val="24"/>
        </w:rPr>
        <w:t xml:space="preserve"> complied with the requirements of MRR and has obtained a positive or qualified positive </w:t>
      </w:r>
      <w:r w:rsidR="00391EFC" w:rsidRPr="00B61FF1">
        <w:rPr>
          <w:rFonts w:ascii="Arial" w:hAnsi="Arial" w:cs="Arial"/>
          <w:sz w:val="24"/>
          <w:szCs w:val="24"/>
        </w:rPr>
        <w:t xml:space="preserve">emissions data </w:t>
      </w:r>
      <w:r w:rsidRPr="00B61FF1">
        <w:rPr>
          <w:rFonts w:ascii="Arial" w:hAnsi="Arial" w:cs="Arial"/>
          <w:sz w:val="24"/>
          <w:szCs w:val="24"/>
        </w:rPr>
        <w:t>verification statement for the prior year pursuant to MRR.</w:t>
      </w:r>
    </w:p>
    <w:p w14:paraId="3E0288C0" w14:textId="3498FEF9" w:rsidR="00C56B07" w:rsidRPr="00B61FF1" w:rsidRDefault="00C56B07" w:rsidP="00C56B07">
      <w:pPr>
        <w:autoSpaceDE/>
        <w:autoSpaceDN/>
        <w:adjustRightInd/>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00203780" w:rsidRPr="00B61FF1">
        <w:rPr>
          <w:rFonts w:ascii="Arial" w:hAnsi="Arial" w:cs="Arial"/>
          <w:sz w:val="24"/>
          <w:szCs w:val="24"/>
          <w:u w:val="single"/>
        </w:rPr>
        <w:t xml:space="preserve">Electrical Distribution Utilities that are  not covered entities but are listed in Table 9-3 must register pursuant to section 95830 to receive allowances. </w:t>
      </w:r>
    </w:p>
    <w:p w14:paraId="3C9E3811" w14:textId="34A99522" w:rsidR="00E643F6" w:rsidRPr="00B61FF1" w:rsidRDefault="00E643F6" w:rsidP="00C56B07">
      <w:pPr>
        <w:autoSpaceDE/>
        <w:autoSpaceDN/>
        <w:adjustRightInd/>
        <w:spacing w:line="360" w:lineRule="auto"/>
        <w:ind w:left="72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Eligibility Requirements for University Covered Entities</w:t>
      </w:r>
      <w:r w:rsidR="00C21FCD" w:rsidRPr="00B61FF1">
        <w:t xml:space="preserve"> </w:t>
      </w:r>
      <w:r w:rsidR="00C21FCD" w:rsidRPr="00B61FF1">
        <w:rPr>
          <w:rFonts w:ascii="Arial" w:hAnsi="Arial" w:cs="Arial"/>
          <w:sz w:val="24"/>
          <w:szCs w:val="24"/>
          <w:u w:val="single"/>
        </w:rPr>
        <w:t>and Public Service Facilities</w:t>
      </w:r>
      <w:r w:rsidRPr="00B61FF1">
        <w:rPr>
          <w:rFonts w:ascii="Arial" w:hAnsi="Arial" w:cs="Arial"/>
          <w:sz w:val="24"/>
          <w:szCs w:val="24"/>
          <w:u w:val="single"/>
        </w:rPr>
        <w:t>. A University Covered Entity</w:t>
      </w:r>
      <w:r w:rsidR="00C21FCD" w:rsidRPr="00B61FF1">
        <w:t xml:space="preserve"> </w:t>
      </w:r>
      <w:r w:rsidR="00C21FCD" w:rsidRPr="00B61FF1">
        <w:rPr>
          <w:rFonts w:ascii="Arial" w:hAnsi="Arial" w:cs="Arial"/>
          <w:sz w:val="24"/>
          <w:szCs w:val="24"/>
          <w:u w:val="single"/>
        </w:rPr>
        <w:t>or public service facility</w:t>
      </w:r>
      <w:r w:rsidRPr="00B61FF1">
        <w:rPr>
          <w:rFonts w:ascii="Arial" w:hAnsi="Arial" w:cs="Arial"/>
          <w:sz w:val="24"/>
          <w:szCs w:val="24"/>
          <w:u w:val="single"/>
        </w:rPr>
        <w:t xml:space="preserve"> shall be eligible for direct allocations of California GHG allowances if it has complied with the requirements of MRR and has obtained a positive or qualified positive verification statement for the prior year pursuant to MRR.</w:t>
      </w:r>
    </w:p>
    <w:p w14:paraId="30E37451" w14:textId="0CF7491C" w:rsidR="002B4757" w:rsidRPr="00B61FF1" w:rsidRDefault="002B4757" w:rsidP="00C56B07">
      <w:pPr>
        <w:autoSpaceDE/>
        <w:autoSpaceDN/>
        <w:adjustRightInd/>
        <w:spacing w:line="360" w:lineRule="auto"/>
        <w:ind w:left="72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Eligibility Requirements for Legacy Contract Generators.  A Legacy Contract Generator that has demonstrated its eligibility to the satisfaction of the Executive Officer pursuant to section 95894 of this regulation shall be eligible for direct allocation of allowances if it has complied with the </w:t>
      </w:r>
      <w:r w:rsidRPr="00B61FF1">
        <w:rPr>
          <w:rFonts w:ascii="Arial" w:hAnsi="Arial" w:cs="Arial"/>
          <w:sz w:val="24"/>
          <w:szCs w:val="24"/>
          <w:u w:val="single"/>
        </w:rPr>
        <w:lastRenderedPageBreak/>
        <w:t>requirements of the MRR, section 95112 and has obtained a positive or a qualified positive verification statement for pursuant to MRR.</w:t>
      </w:r>
    </w:p>
    <w:p w14:paraId="0244FCCE" w14:textId="77777777" w:rsidR="00FE6B15" w:rsidRPr="00B61FF1" w:rsidRDefault="00FE6B15" w:rsidP="004E3B67">
      <w:pPr>
        <w:autoSpaceDE/>
        <w:autoSpaceDN/>
        <w:adjustRightInd/>
        <w:spacing w:line="360" w:lineRule="auto"/>
        <w:rPr>
          <w:rFonts w:ascii="Arial" w:hAnsi="Arial" w:cs="Arial"/>
          <w:sz w:val="24"/>
          <w:szCs w:val="24"/>
        </w:rPr>
      </w:pPr>
    </w:p>
    <w:p w14:paraId="2BA31027"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29AF6D2E"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70169522" w14:textId="26A91753" w:rsidR="00944ECE" w:rsidRPr="00B61FF1" w:rsidRDefault="00944ECE">
      <w:pPr>
        <w:autoSpaceDE/>
        <w:autoSpaceDN/>
        <w:adjustRightInd/>
        <w:rPr>
          <w:rFonts w:ascii="Arial" w:hAnsi="Arial" w:cs="Arial"/>
          <w:b/>
          <w:bCs/>
          <w:iCs/>
          <w:sz w:val="24"/>
          <w:szCs w:val="24"/>
        </w:rPr>
      </w:pPr>
      <w:bookmarkStart w:id="292" w:name="_Toc265240667"/>
      <w:bookmarkStart w:id="293" w:name="_Toc267031802"/>
      <w:bookmarkStart w:id="294" w:name="_Toc269798081"/>
      <w:bookmarkStart w:id="295" w:name="_Toc272527744"/>
      <w:bookmarkStart w:id="296" w:name="_Toc299094946"/>
      <w:bookmarkStart w:id="297" w:name="_Toc302746799"/>
      <w:bookmarkStart w:id="298" w:name="_Toc352146260"/>
    </w:p>
    <w:p w14:paraId="2D6439B5" w14:textId="77777777" w:rsidR="00FE6B15" w:rsidRPr="00B61FF1" w:rsidRDefault="00FE6B15" w:rsidP="004E3B67">
      <w:pPr>
        <w:pStyle w:val="Heading2"/>
        <w:rPr>
          <w:i/>
          <w:szCs w:val="24"/>
        </w:rPr>
      </w:pPr>
      <w:bookmarkStart w:id="299" w:name="_Toc361659861"/>
      <w:r w:rsidRPr="00B61FF1">
        <w:rPr>
          <w:szCs w:val="24"/>
        </w:rPr>
        <w:t>§ 95891.  Allocation for Industry Assistance</w:t>
      </w:r>
      <w:bookmarkEnd w:id="292"/>
      <w:bookmarkEnd w:id="293"/>
      <w:bookmarkEnd w:id="294"/>
      <w:bookmarkEnd w:id="295"/>
      <w:r w:rsidR="008A5A91" w:rsidRPr="00B61FF1">
        <w:rPr>
          <w:szCs w:val="24"/>
        </w:rPr>
        <w:t>.</w:t>
      </w:r>
      <w:bookmarkEnd w:id="296"/>
      <w:bookmarkEnd w:id="297"/>
      <w:bookmarkEnd w:id="298"/>
      <w:bookmarkEnd w:id="299"/>
    </w:p>
    <w:p w14:paraId="79068E12" w14:textId="77777777" w:rsidR="00520686" w:rsidRPr="00B61FF1" w:rsidRDefault="00C5649C" w:rsidP="00520686">
      <w:pPr>
        <w:autoSpaceDE/>
        <w:autoSpaceDN/>
        <w:adjustRightInd/>
        <w:spacing w:line="360" w:lineRule="auto"/>
        <w:ind w:left="720" w:hanging="720"/>
        <w:rPr>
          <w:rFonts w:ascii="Arial" w:hAnsi="Arial" w:cs="Arial"/>
          <w:sz w:val="24"/>
          <w:szCs w:val="24"/>
        </w:rPr>
      </w:pPr>
      <w:bookmarkStart w:id="300" w:name="_Toc265240670"/>
      <w:bookmarkStart w:id="301" w:name="_Toc267031805"/>
      <w:bookmarkStart w:id="302" w:name="_Toc269798084"/>
      <w:bookmarkStart w:id="303" w:name="_Toc272527747"/>
      <w:r w:rsidRPr="00B61FF1">
        <w:rPr>
          <w:rFonts w:ascii="Arial" w:hAnsi="Arial" w:cs="Arial"/>
          <w:sz w:val="24"/>
          <w:szCs w:val="24"/>
        </w:rPr>
        <w:t>(a)</w:t>
      </w:r>
      <w:r w:rsidRPr="00B61FF1">
        <w:rPr>
          <w:rFonts w:ascii="Arial" w:hAnsi="Arial" w:cs="Arial"/>
          <w:sz w:val="24"/>
          <w:szCs w:val="24"/>
        </w:rPr>
        <w:tab/>
      </w:r>
      <w:r w:rsidR="00520686" w:rsidRPr="00B61FF1">
        <w:rPr>
          <w:rFonts w:ascii="Arial" w:hAnsi="Arial" w:cs="Arial"/>
          <w:sz w:val="24"/>
          <w:szCs w:val="24"/>
        </w:rPr>
        <w:t>The Executive Officer shall determine the amount of allowances directly allocated to each eligible covered entity or opt-in covered entity using the product output-based allocation calculation methodology specified in section 95891(b) if the entity conducts an activity listed in both Table 8-1 and Table 9-1.  The Executive Officer shall determine the amount of allowances directly allocated to each eligible covered entity or opt-in covered entity using the energy-based allocation calculation methodology specified in section 95891(c) if the entity conducts an activity listed in Table 8-1 but not listed in Table 9-1.</w:t>
      </w:r>
    </w:p>
    <w:p w14:paraId="0B854706" w14:textId="77777777" w:rsidR="00520686" w:rsidRPr="00B61FF1" w:rsidRDefault="00520686" w:rsidP="00520686">
      <w:pPr>
        <w:autoSpaceDE/>
        <w:autoSpaceDN/>
        <w:adjustRightInd/>
        <w:spacing w:line="360" w:lineRule="auto"/>
        <w:ind w:left="144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First Compliance Period Refining Sector Allocation Exception.  For budget years 2013-2014 petroleum refineries shall </w:t>
      </w:r>
      <w:r w:rsidR="001913BE" w:rsidRPr="00B61FF1">
        <w:rPr>
          <w:rFonts w:ascii="Arial" w:hAnsi="Arial" w:cs="Arial"/>
          <w:sz w:val="24"/>
          <w:szCs w:val="24"/>
        </w:rPr>
        <w:t xml:space="preserve">receive their allocation of allowances pursuant to </w:t>
      </w:r>
      <w:r w:rsidRPr="00B61FF1">
        <w:rPr>
          <w:rFonts w:ascii="Arial" w:hAnsi="Arial" w:cs="Arial"/>
          <w:sz w:val="24"/>
          <w:szCs w:val="24"/>
        </w:rPr>
        <w:t xml:space="preserve">the methodology </w:t>
      </w:r>
      <w:r w:rsidR="001913BE" w:rsidRPr="00B61FF1">
        <w:rPr>
          <w:rFonts w:ascii="Arial" w:hAnsi="Arial" w:cs="Arial"/>
          <w:sz w:val="24"/>
          <w:szCs w:val="24"/>
        </w:rPr>
        <w:t>stated</w:t>
      </w:r>
      <w:r w:rsidRPr="00B61FF1">
        <w:rPr>
          <w:rFonts w:ascii="Arial" w:hAnsi="Arial" w:cs="Arial"/>
          <w:sz w:val="24"/>
          <w:szCs w:val="24"/>
        </w:rPr>
        <w:t xml:space="preserve"> in section 95891(d).</w:t>
      </w:r>
    </w:p>
    <w:p w14:paraId="130255AC" w14:textId="52418DA9" w:rsidR="00520686" w:rsidRPr="00B61FF1" w:rsidRDefault="00520686" w:rsidP="00520686">
      <w:pPr>
        <w:autoSpaceDE/>
        <w:autoSpaceDN/>
        <w:adjustRightInd/>
        <w:spacing w:line="360" w:lineRule="auto"/>
        <w:ind w:left="144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Second and Third Compliance Period Refining Sector Allocation.  For bu</w:t>
      </w:r>
      <w:r w:rsidR="000F2675" w:rsidRPr="00B61FF1">
        <w:rPr>
          <w:rFonts w:ascii="Arial" w:hAnsi="Arial" w:cs="Arial"/>
          <w:sz w:val="24"/>
          <w:szCs w:val="24"/>
          <w:u w:val="single"/>
        </w:rPr>
        <w:t>d</w:t>
      </w:r>
      <w:r w:rsidRPr="00B61FF1">
        <w:rPr>
          <w:rFonts w:ascii="Arial" w:hAnsi="Arial" w:cs="Arial"/>
          <w:sz w:val="24"/>
          <w:szCs w:val="24"/>
        </w:rPr>
        <w:t xml:space="preserve">get years 2015-2020 petroleum refineries shall </w:t>
      </w:r>
      <w:r w:rsidR="001913BE" w:rsidRPr="00B61FF1">
        <w:rPr>
          <w:rFonts w:ascii="Arial" w:hAnsi="Arial" w:cs="Arial"/>
          <w:sz w:val="24"/>
          <w:szCs w:val="24"/>
        </w:rPr>
        <w:t>receive their allocation of allowances pursuant to</w:t>
      </w:r>
      <w:r w:rsidRPr="00B61FF1">
        <w:rPr>
          <w:rFonts w:ascii="Arial" w:hAnsi="Arial" w:cs="Arial"/>
          <w:sz w:val="24"/>
          <w:szCs w:val="24"/>
        </w:rPr>
        <w:t xml:space="preserve"> the product output-based allocation calculation methodology </w:t>
      </w:r>
      <w:r w:rsidR="001913BE" w:rsidRPr="00B61FF1">
        <w:rPr>
          <w:rFonts w:ascii="Arial" w:hAnsi="Arial" w:cs="Arial"/>
          <w:sz w:val="24"/>
          <w:szCs w:val="24"/>
        </w:rPr>
        <w:t>stated</w:t>
      </w:r>
      <w:r w:rsidRPr="00B61FF1">
        <w:rPr>
          <w:rFonts w:ascii="Arial" w:hAnsi="Arial" w:cs="Arial"/>
          <w:sz w:val="24"/>
          <w:szCs w:val="24"/>
        </w:rPr>
        <w:t xml:space="preserve"> in section 95891(b). </w:t>
      </w:r>
    </w:p>
    <w:p w14:paraId="527A8DCB" w14:textId="5542D3F9" w:rsidR="00421FC4" w:rsidRPr="00B61FF1" w:rsidRDefault="00421FC4" w:rsidP="00520686">
      <w:pPr>
        <w:autoSpaceDE/>
        <w:autoSpaceDN/>
        <w:adjustRightInd/>
        <w:spacing w:line="360" w:lineRule="auto"/>
        <w:ind w:left="1440" w:hanging="720"/>
        <w:rPr>
          <w:rFonts w:ascii="Arial" w:eastAsia="Calibri" w:hAnsi="Arial"/>
          <w:sz w:val="24"/>
          <w:szCs w:val="22"/>
        </w:rPr>
      </w:pPr>
      <w:r w:rsidRPr="00B61FF1">
        <w:rPr>
          <w:rFonts w:ascii="Arial" w:eastAsia="Calibri" w:hAnsi="Arial"/>
          <w:sz w:val="24"/>
          <w:szCs w:val="22"/>
          <w:u w:val="single"/>
        </w:rPr>
        <w:t>(3)</w:t>
      </w:r>
      <w:r w:rsidRPr="002807B7">
        <w:rPr>
          <w:rFonts w:ascii="Arial" w:eastAsia="Calibri" w:hAnsi="Arial"/>
          <w:sz w:val="24"/>
          <w:szCs w:val="22"/>
        </w:rPr>
        <w:tab/>
      </w:r>
      <w:r w:rsidRPr="00B61FF1">
        <w:rPr>
          <w:rFonts w:ascii="Arial" w:eastAsia="Calibri" w:hAnsi="Arial"/>
          <w:sz w:val="24"/>
          <w:szCs w:val="22"/>
          <w:u w:val="single"/>
        </w:rPr>
        <w:t>New Entrant Industrial Allocation Without Leakage Risk.  C</w:t>
      </w:r>
      <w:r w:rsidRPr="00B61FF1">
        <w:rPr>
          <w:rFonts w:ascii="Arial" w:hAnsi="Arial" w:cs="Arial"/>
          <w:sz w:val="24"/>
          <w:szCs w:val="24"/>
          <w:u w:val="single"/>
        </w:rPr>
        <w:t xml:space="preserve">overed facilities that were not covered under the California Cap-and-Trade Program prior to 2012 and do not have a leakage risk in Table 8-1 are eligible to receive allocated allowances under the new entrant energy-based allocation methodology pursuant to 95891(b)(3) if the first three digits of the facility NAICS code matches a NAICS code in Table 8-1. The leakage risk classification shall be low until a </w:t>
      </w:r>
      <w:r w:rsidRPr="00B61FF1">
        <w:rPr>
          <w:rFonts w:ascii="Arial" w:hAnsi="Arial" w:cs="Arial"/>
          <w:sz w:val="24"/>
          <w:szCs w:val="24"/>
          <w:u w:val="single"/>
        </w:rPr>
        <w:lastRenderedPageBreak/>
        <w:t>leakage risk classification is added for that sector. Food processors that are only classified by a three digit NAICS code are exempt from this classification.</w:t>
      </w:r>
    </w:p>
    <w:p w14:paraId="5B9D6C91" w14:textId="77777777" w:rsidR="00FE6B15" w:rsidRPr="00B61FF1" w:rsidRDefault="00C5649C" w:rsidP="00C5649C">
      <w:pPr>
        <w:autoSpaceDE/>
        <w:autoSpaceDN/>
        <w:adjustRightInd/>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Product Output-Based Allocation Calculation Methodology.  The Executive Officer shall calculate the amount of California GHG Allowances directly allocated under a product output-based methodology annually using the following formula:</w:t>
      </w:r>
    </w:p>
    <w:p w14:paraId="415AE2A6" w14:textId="05BC7418" w:rsidR="00FE6B15" w:rsidRPr="00B61FF1" w:rsidRDefault="00FE6B15" w:rsidP="00707C6D">
      <w:pPr>
        <w:autoSpaceDE/>
        <w:autoSpaceDN/>
        <w:adjustRightInd/>
        <w:spacing w:line="360" w:lineRule="auto"/>
        <w:ind w:left="720"/>
        <w:rPr>
          <w:rFonts w:ascii="Arial" w:hAnsi="Arial" w:cs="Arial"/>
          <w:sz w:val="24"/>
          <w:szCs w:val="24"/>
        </w:rPr>
      </w:pPr>
    </w:p>
    <w:p w14:paraId="0144C712" w14:textId="77777777" w:rsidR="00FF0A78" w:rsidRPr="00B61FF1" w:rsidRDefault="00661852" w:rsidP="00FF0A78">
      <w:pPr>
        <w:autoSpaceDE/>
        <w:autoSpaceDN/>
        <w:adjustRightInd/>
        <w:spacing w:line="360" w:lineRule="auto"/>
        <w:ind w:left="720"/>
        <w:rPr>
          <w:rFonts w:ascii="Arial" w:eastAsia="Calibri" w:hAnsi="Arial" w:cs="Arial"/>
          <w:strike/>
          <w:sz w:val="24"/>
          <w:szCs w:val="24"/>
        </w:rPr>
      </w:pPr>
      <m:oMathPara>
        <m:oMath>
          <m:sSub>
            <m:sSubPr>
              <m:ctrlPr>
                <w:rPr>
                  <w:rFonts w:ascii="Cambria Math" w:eastAsia="Calibri" w:hAnsi="Cambria Math" w:cs="Arial"/>
                  <w:i/>
                  <w:strike/>
                  <w:sz w:val="24"/>
                  <w:szCs w:val="24"/>
                </w:rPr>
              </m:ctrlPr>
            </m:sSubPr>
            <m:e>
              <m:r>
                <w:rPr>
                  <w:rFonts w:ascii="Cambria Math" w:eastAsia="Calibri" w:hAnsi="Cambria Math" w:cs="Arial"/>
                  <w:strike/>
                  <w:sz w:val="24"/>
                  <w:szCs w:val="24"/>
                </w:rPr>
                <m:t>A</m:t>
              </m:r>
            </m:e>
            <m:sub>
              <m:r>
                <w:rPr>
                  <w:rFonts w:ascii="Cambria Math" w:eastAsia="Calibri" w:hAnsi="Cambria Math" w:cs="Arial"/>
                  <w:strike/>
                  <w:sz w:val="24"/>
                  <w:szCs w:val="24"/>
                </w:rPr>
                <m:t>t</m:t>
              </m:r>
            </m:sub>
          </m:sSub>
          <m:r>
            <w:rPr>
              <w:rFonts w:ascii="Cambria Math" w:eastAsia="Calibri" w:hAnsi="Cambria Math" w:cs="Arial"/>
              <w:strike/>
              <w:sz w:val="24"/>
              <w:szCs w:val="24"/>
            </w:rPr>
            <m:t>=</m:t>
          </m:r>
          <m:nary>
            <m:naryPr>
              <m:chr m:val="∑"/>
              <m:limLoc m:val="undOvr"/>
              <m:ctrlPr>
                <w:rPr>
                  <w:rFonts w:ascii="Cambria Math" w:eastAsia="Calibri" w:hAnsi="Cambria Math" w:cs="Arial"/>
                  <w:i/>
                  <w:strike/>
                  <w:sz w:val="24"/>
                  <w:szCs w:val="24"/>
                </w:rPr>
              </m:ctrlPr>
            </m:naryPr>
            <m:sub>
              <m:r>
                <w:rPr>
                  <w:rFonts w:ascii="Cambria Math" w:eastAsia="Calibri" w:hAnsi="Cambria Math" w:cs="Arial"/>
                  <w:strike/>
                  <w:sz w:val="24"/>
                  <w:szCs w:val="24"/>
                </w:rPr>
                <m:t>a=1</m:t>
              </m:r>
            </m:sub>
            <m:sup>
              <m:r>
                <w:rPr>
                  <w:rFonts w:ascii="Cambria Math" w:eastAsia="Calibri" w:hAnsi="Cambria Math" w:cs="Arial"/>
                  <w:strike/>
                  <w:sz w:val="24"/>
                  <w:szCs w:val="24"/>
                </w:rPr>
                <m:t>n</m:t>
              </m:r>
            </m:sup>
            <m:e>
              <m:sSub>
                <m:sSubPr>
                  <m:ctrlPr>
                    <w:rPr>
                      <w:rFonts w:ascii="Cambria Math" w:eastAsia="Calibri" w:hAnsi="Cambria Math" w:cs="Arial"/>
                      <w:i/>
                      <w:strike/>
                      <w:sz w:val="24"/>
                      <w:szCs w:val="24"/>
                    </w:rPr>
                  </m:ctrlPr>
                </m:sSubPr>
                <m:e>
                  <m:r>
                    <w:rPr>
                      <w:rFonts w:ascii="Cambria Math" w:eastAsia="Calibri" w:hAnsi="Cambria Math" w:cs="Arial"/>
                      <w:strike/>
                      <w:sz w:val="24"/>
                      <w:szCs w:val="24"/>
                    </w:rPr>
                    <m:t>O</m:t>
                  </m:r>
                </m:e>
                <m:sub>
                  <m:r>
                    <w:rPr>
                      <w:rFonts w:ascii="Cambria Math" w:eastAsia="Calibri" w:hAnsi="Cambria Math" w:cs="Arial"/>
                      <w:strike/>
                      <w:sz w:val="24"/>
                      <w:szCs w:val="24"/>
                    </w:rPr>
                    <m:t>a,initial</m:t>
                  </m:r>
                </m:sub>
              </m:sSub>
              <m:r>
                <w:rPr>
                  <w:rFonts w:ascii="Cambria Math" w:eastAsia="Calibri" w:hAnsi="Cambria Math" w:cs="Arial"/>
                  <w:strike/>
                  <w:sz w:val="24"/>
                  <w:szCs w:val="24"/>
                </w:rPr>
                <m:t>*</m:t>
              </m:r>
              <m:sSub>
                <m:sSubPr>
                  <m:ctrlPr>
                    <w:rPr>
                      <w:rFonts w:ascii="Cambria Math" w:eastAsia="Calibri" w:hAnsi="Cambria Math" w:cs="Arial"/>
                      <w:i/>
                      <w:strike/>
                      <w:sz w:val="24"/>
                      <w:szCs w:val="24"/>
                    </w:rPr>
                  </m:ctrlPr>
                </m:sSubPr>
                <m:e>
                  <m:r>
                    <w:rPr>
                      <w:rFonts w:ascii="Cambria Math" w:eastAsia="Calibri" w:hAnsi="Cambria Math" w:cs="Arial"/>
                      <w:strike/>
                      <w:sz w:val="24"/>
                      <w:szCs w:val="24"/>
                    </w:rPr>
                    <m:t>B</m:t>
                  </m:r>
                </m:e>
                <m:sub>
                  <m:r>
                    <w:rPr>
                      <w:rFonts w:ascii="Cambria Math" w:eastAsia="Calibri" w:hAnsi="Cambria Math" w:cs="Arial"/>
                      <w:strike/>
                      <w:sz w:val="24"/>
                      <w:szCs w:val="24"/>
                    </w:rPr>
                    <m:t>a</m:t>
                  </m:r>
                </m:sub>
              </m:sSub>
              <m:r>
                <w:rPr>
                  <w:rFonts w:ascii="Cambria Math" w:eastAsia="Calibri" w:hAnsi="Cambria Math" w:cs="Arial"/>
                  <w:strike/>
                  <w:sz w:val="24"/>
                  <w:szCs w:val="24"/>
                </w:rPr>
                <m:t>*</m:t>
              </m:r>
              <m:sSub>
                <m:sSubPr>
                  <m:ctrlPr>
                    <w:rPr>
                      <w:rFonts w:ascii="Cambria Math" w:eastAsia="Calibri" w:hAnsi="Cambria Math" w:cs="Arial"/>
                      <w:i/>
                      <w:strike/>
                      <w:sz w:val="24"/>
                      <w:szCs w:val="24"/>
                    </w:rPr>
                  </m:ctrlPr>
                </m:sSubPr>
                <m:e>
                  <m:r>
                    <w:rPr>
                      <w:rFonts w:ascii="Cambria Math" w:eastAsia="Calibri" w:hAnsi="Cambria Math" w:cs="Arial"/>
                      <w:strike/>
                      <w:sz w:val="24"/>
                      <w:szCs w:val="24"/>
                    </w:rPr>
                    <m:t>AF</m:t>
                  </m:r>
                </m:e>
                <m:sub>
                  <m:r>
                    <w:rPr>
                      <w:rFonts w:ascii="Cambria Math" w:eastAsia="Calibri" w:hAnsi="Cambria Math" w:cs="Arial"/>
                      <w:strike/>
                      <w:sz w:val="24"/>
                      <w:szCs w:val="24"/>
                    </w:rPr>
                    <m:t>a,t</m:t>
                  </m:r>
                </m:sub>
              </m:sSub>
              <m:r>
                <w:rPr>
                  <w:rFonts w:ascii="Cambria Math" w:eastAsia="Calibri" w:hAnsi="Cambria Math" w:cs="Arial"/>
                  <w:strike/>
                  <w:sz w:val="24"/>
                  <w:szCs w:val="24"/>
                </w:rPr>
                <m:t>*</m:t>
              </m:r>
              <m:sSub>
                <m:sSubPr>
                  <m:ctrlPr>
                    <w:rPr>
                      <w:rFonts w:ascii="Cambria Math" w:eastAsia="Calibri" w:hAnsi="Cambria Math" w:cs="Arial"/>
                      <w:i/>
                      <w:strike/>
                      <w:sz w:val="24"/>
                      <w:szCs w:val="24"/>
                    </w:rPr>
                  </m:ctrlPr>
                </m:sSubPr>
                <m:e>
                  <m:r>
                    <w:rPr>
                      <w:rFonts w:ascii="Cambria Math" w:eastAsia="Calibri" w:hAnsi="Cambria Math" w:cs="Arial"/>
                      <w:strike/>
                      <w:sz w:val="24"/>
                      <w:szCs w:val="24"/>
                    </w:rPr>
                    <m:t>c</m:t>
                  </m:r>
                </m:e>
                <m:sub>
                  <m:r>
                    <w:rPr>
                      <w:rFonts w:ascii="Cambria Math" w:eastAsia="Calibri" w:hAnsi="Cambria Math" w:cs="Arial"/>
                      <w:strike/>
                      <w:sz w:val="24"/>
                      <w:szCs w:val="24"/>
                    </w:rPr>
                    <m:t>a,t</m:t>
                  </m:r>
                </m:sub>
              </m:sSub>
              <m:r>
                <w:rPr>
                  <w:rFonts w:ascii="Cambria Math" w:eastAsia="Calibri" w:hAnsi="Cambria Math" w:cs="Arial"/>
                  <w:strike/>
                  <w:sz w:val="24"/>
                  <w:szCs w:val="24"/>
                </w:rPr>
                <m:t>+</m:t>
              </m:r>
              <m:nary>
                <m:naryPr>
                  <m:chr m:val="∑"/>
                  <m:limLoc m:val="undOvr"/>
                  <m:ctrlPr>
                    <w:rPr>
                      <w:rFonts w:ascii="Cambria Math" w:eastAsia="Calibri" w:hAnsi="Cambria Math" w:cs="Arial"/>
                      <w:i/>
                      <w:strike/>
                      <w:sz w:val="24"/>
                      <w:szCs w:val="24"/>
                    </w:rPr>
                  </m:ctrlPr>
                </m:naryPr>
                <m:sub>
                  <m:r>
                    <w:rPr>
                      <w:rFonts w:ascii="Cambria Math" w:eastAsia="Calibri" w:hAnsi="Cambria Math" w:cs="Arial"/>
                      <w:strike/>
                      <w:sz w:val="24"/>
                      <w:szCs w:val="24"/>
                    </w:rPr>
                    <m:t>a=1</m:t>
                  </m:r>
                </m:sub>
                <m:sup>
                  <m:r>
                    <w:rPr>
                      <w:rFonts w:ascii="Cambria Math" w:eastAsia="Calibri" w:hAnsi="Cambria Math" w:cs="Arial"/>
                      <w:strike/>
                      <w:sz w:val="24"/>
                      <w:szCs w:val="24"/>
                    </w:rPr>
                    <m:t>n</m:t>
                  </m:r>
                </m:sup>
                <m:e>
                  <m:sSub>
                    <m:sSubPr>
                      <m:ctrlPr>
                        <w:rPr>
                          <w:rFonts w:ascii="Cambria Math" w:eastAsia="Calibri" w:hAnsi="Cambria Math" w:cs="Arial"/>
                          <w:i/>
                          <w:strike/>
                          <w:sz w:val="24"/>
                          <w:szCs w:val="24"/>
                        </w:rPr>
                      </m:ctrlPr>
                    </m:sSubPr>
                    <m:e>
                      <m:r>
                        <w:rPr>
                          <w:rFonts w:ascii="Cambria Math" w:eastAsia="Calibri" w:hAnsi="Cambria Math" w:cs="Arial"/>
                          <w:strike/>
                          <w:sz w:val="24"/>
                          <w:szCs w:val="24"/>
                        </w:rPr>
                        <m:t>O</m:t>
                      </m:r>
                    </m:e>
                    <m:sub>
                      <m:r>
                        <w:rPr>
                          <w:rFonts w:ascii="Cambria Math" w:eastAsia="Calibri" w:hAnsi="Cambria Math" w:cs="Arial"/>
                          <w:strike/>
                          <w:sz w:val="24"/>
                          <w:szCs w:val="24"/>
                        </w:rPr>
                        <m:t>a,trueup</m:t>
                      </m:r>
                    </m:sub>
                  </m:sSub>
                  <m:r>
                    <w:rPr>
                      <w:rFonts w:ascii="Cambria Math" w:eastAsia="Calibri" w:hAnsi="Cambria Math" w:cs="Arial"/>
                      <w:strike/>
                      <w:sz w:val="24"/>
                      <w:szCs w:val="24"/>
                    </w:rPr>
                    <m:t>*</m:t>
                  </m:r>
                  <m:sSub>
                    <m:sSubPr>
                      <m:ctrlPr>
                        <w:rPr>
                          <w:rFonts w:ascii="Cambria Math" w:eastAsia="Calibri" w:hAnsi="Cambria Math" w:cs="Arial"/>
                          <w:i/>
                          <w:strike/>
                          <w:sz w:val="24"/>
                          <w:szCs w:val="24"/>
                        </w:rPr>
                      </m:ctrlPr>
                    </m:sSubPr>
                    <m:e>
                      <m:r>
                        <w:rPr>
                          <w:rFonts w:ascii="Cambria Math" w:eastAsia="Calibri" w:hAnsi="Cambria Math" w:cs="Arial"/>
                          <w:strike/>
                          <w:sz w:val="24"/>
                          <w:szCs w:val="24"/>
                        </w:rPr>
                        <m:t>B</m:t>
                      </m:r>
                    </m:e>
                    <m:sub>
                      <m:r>
                        <w:rPr>
                          <w:rFonts w:ascii="Cambria Math" w:eastAsia="Calibri" w:hAnsi="Cambria Math" w:cs="Arial"/>
                          <w:strike/>
                          <w:sz w:val="24"/>
                          <w:szCs w:val="24"/>
                        </w:rPr>
                        <m:t>a</m:t>
                      </m:r>
                    </m:sub>
                  </m:sSub>
                  <m:r>
                    <w:rPr>
                      <w:rFonts w:ascii="Cambria Math" w:eastAsia="Calibri" w:hAnsi="Cambria Math" w:cs="Arial"/>
                      <w:strike/>
                      <w:sz w:val="24"/>
                      <w:szCs w:val="24"/>
                    </w:rPr>
                    <m:t>*</m:t>
                  </m:r>
                  <m:sSub>
                    <m:sSubPr>
                      <m:ctrlPr>
                        <w:rPr>
                          <w:rFonts w:ascii="Cambria Math" w:eastAsia="Calibri" w:hAnsi="Cambria Math" w:cs="Arial"/>
                          <w:i/>
                          <w:strike/>
                          <w:sz w:val="24"/>
                          <w:szCs w:val="24"/>
                        </w:rPr>
                      </m:ctrlPr>
                    </m:sSubPr>
                    <m:e>
                      <m:r>
                        <w:rPr>
                          <w:rFonts w:ascii="Cambria Math" w:eastAsia="Calibri" w:hAnsi="Cambria Math" w:cs="Arial"/>
                          <w:strike/>
                          <w:sz w:val="24"/>
                          <w:szCs w:val="24"/>
                        </w:rPr>
                        <m:t>AF</m:t>
                      </m:r>
                    </m:e>
                    <m:sub>
                      <m:r>
                        <w:rPr>
                          <w:rFonts w:ascii="Cambria Math" w:eastAsia="Calibri" w:hAnsi="Cambria Math" w:cs="Arial"/>
                          <w:strike/>
                          <w:sz w:val="24"/>
                          <w:szCs w:val="24"/>
                        </w:rPr>
                        <m:t>a,t-2</m:t>
                      </m:r>
                    </m:sub>
                  </m:sSub>
                  <m:r>
                    <w:rPr>
                      <w:rFonts w:ascii="Cambria Math" w:eastAsia="Calibri" w:hAnsi="Cambria Math" w:cs="Arial"/>
                      <w:strike/>
                      <w:sz w:val="24"/>
                      <w:szCs w:val="24"/>
                    </w:rPr>
                    <m:t>*</m:t>
                  </m:r>
                  <m:sSub>
                    <m:sSubPr>
                      <m:ctrlPr>
                        <w:rPr>
                          <w:rFonts w:ascii="Cambria Math" w:eastAsia="Calibri" w:hAnsi="Cambria Math" w:cs="Arial"/>
                          <w:i/>
                          <w:strike/>
                          <w:sz w:val="24"/>
                          <w:szCs w:val="24"/>
                        </w:rPr>
                      </m:ctrlPr>
                    </m:sSubPr>
                    <m:e>
                      <m:r>
                        <w:rPr>
                          <w:rFonts w:ascii="Cambria Math" w:eastAsia="Calibri" w:hAnsi="Cambria Math" w:cs="Arial"/>
                          <w:strike/>
                          <w:sz w:val="24"/>
                          <w:szCs w:val="24"/>
                        </w:rPr>
                        <m:t>c</m:t>
                      </m:r>
                    </m:e>
                    <m:sub>
                      <m:r>
                        <w:rPr>
                          <w:rFonts w:ascii="Cambria Math" w:eastAsia="Calibri" w:hAnsi="Cambria Math" w:cs="Arial"/>
                          <w:strike/>
                          <w:sz w:val="24"/>
                          <w:szCs w:val="24"/>
                        </w:rPr>
                        <m:t>a,t-2</m:t>
                      </m:r>
                    </m:sub>
                  </m:sSub>
                </m:e>
              </m:nary>
            </m:e>
          </m:nary>
        </m:oMath>
      </m:oMathPara>
    </w:p>
    <w:p w14:paraId="4695A0C1" w14:textId="77777777" w:rsidR="00FF0A78" w:rsidRPr="00B61FF1" w:rsidRDefault="00661852" w:rsidP="00FF0A78">
      <w:pPr>
        <w:autoSpaceDE/>
        <w:autoSpaceDN/>
        <w:adjustRightInd/>
        <w:spacing w:line="360" w:lineRule="auto"/>
        <w:ind w:left="720" w:hanging="720"/>
        <w:rPr>
          <w:rFonts w:ascii="Arial" w:hAnsi="Arial" w:cs="Arial"/>
          <w:sz w:val="24"/>
          <w:szCs w:val="24"/>
          <w:u w:val="single"/>
        </w:rPr>
      </w:pPr>
      <m:oMathPara>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m:t>
              </m:r>
            </m:e>
            <m:sub>
              <m:r>
                <w:rPr>
                  <w:rFonts w:ascii="Cambria Math" w:eastAsia="Calibri" w:hAnsi="Cambria Math" w:cs="Arial"/>
                  <w:sz w:val="24"/>
                  <w:szCs w:val="24"/>
                  <w:u w:val="single"/>
                </w:rPr>
                <m:t>t</m:t>
              </m:r>
            </m:sub>
          </m:sSub>
          <m:r>
            <w:rPr>
              <w:rFonts w:ascii="Cambria Math" w:eastAsia="Calibri" w:hAnsi="Cambria Math" w:cs="Arial"/>
              <w:sz w:val="24"/>
              <w:szCs w:val="24"/>
              <w:u w:val="single"/>
            </w:rPr>
            <m:t>=</m:t>
          </m:r>
          <m:d>
            <m:dPr>
              <m:ctrlPr>
                <w:rPr>
                  <w:rFonts w:ascii="Cambria Math" w:eastAsia="Calibri" w:hAnsi="Cambria Math" w:cs="Arial"/>
                  <w:i/>
                  <w:sz w:val="24"/>
                  <w:szCs w:val="24"/>
                  <w:u w:val="single"/>
                </w:rPr>
              </m:ctrlPr>
            </m:dPr>
            <m:e>
              <m:nary>
                <m:naryPr>
                  <m:chr m:val="∑"/>
                  <m:limLoc m:val="undOvr"/>
                  <m:ctrlPr>
                    <w:rPr>
                      <w:rFonts w:ascii="Cambria Math" w:eastAsia="Calibri" w:hAnsi="Cambria Math" w:cs="Arial"/>
                      <w:i/>
                      <w:sz w:val="24"/>
                      <w:szCs w:val="24"/>
                      <w:u w:val="single"/>
                    </w:rPr>
                  </m:ctrlPr>
                </m:naryPr>
                <m:sub>
                  <m:r>
                    <w:rPr>
                      <w:rFonts w:ascii="Cambria Math" w:eastAsia="Calibri" w:hAnsi="Cambria Math" w:cs="Arial"/>
                      <w:sz w:val="24"/>
                      <w:szCs w:val="24"/>
                      <w:u w:val="single"/>
                    </w:rPr>
                    <m:t>a=1</m:t>
                  </m:r>
                </m:sub>
                <m:sup>
                  <m:r>
                    <w:rPr>
                      <w:rFonts w:ascii="Cambria Math" w:eastAsia="Calibri" w:hAnsi="Cambria Math" w:cs="Arial"/>
                      <w:sz w:val="24"/>
                      <w:szCs w:val="24"/>
                      <w:u w:val="single"/>
                    </w:rPr>
                    <m:t>n</m:t>
                  </m:r>
                </m:sup>
                <m:e>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O</m:t>
                      </m:r>
                    </m:e>
                    <m:sub>
                      <m:r>
                        <w:rPr>
                          <w:rFonts w:ascii="Cambria Math" w:eastAsia="Calibri" w:hAnsi="Cambria Math" w:cs="Arial"/>
                          <w:sz w:val="24"/>
                          <w:szCs w:val="24"/>
                          <w:u w:val="single"/>
                        </w:rPr>
                        <m:t>a,initial</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B</m:t>
                      </m:r>
                    </m:e>
                    <m:sub>
                      <m:r>
                        <w:rPr>
                          <w:rFonts w:ascii="Cambria Math" w:eastAsia="Calibri" w:hAnsi="Cambria Math" w:cs="Arial"/>
                          <w:sz w:val="24"/>
                          <w:szCs w:val="24"/>
                          <w:u w:val="single"/>
                        </w:rPr>
                        <m:t>a</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AF</m:t>
                      </m:r>
                    </m:e>
                    <m:sub>
                      <m:r>
                        <w:rPr>
                          <w:rFonts w:ascii="Cambria Math" w:eastAsia="Calibri" w:hAnsi="Cambria Math" w:cs="Arial"/>
                          <w:sz w:val="24"/>
                          <w:szCs w:val="24"/>
                          <w:u w:val="single"/>
                        </w:rPr>
                        <m:t>a,t</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c</m:t>
                      </m:r>
                    </m:e>
                    <m:sub>
                      <m:r>
                        <w:rPr>
                          <w:rFonts w:ascii="Cambria Math" w:eastAsia="Calibri" w:hAnsi="Cambria Math" w:cs="Arial"/>
                          <w:sz w:val="24"/>
                          <w:szCs w:val="24"/>
                          <w:u w:val="single"/>
                        </w:rPr>
                        <m:t>a,t</m:t>
                      </m:r>
                    </m:sub>
                  </m:sSub>
                </m:e>
              </m:nary>
            </m:e>
          </m:d>
          <m:r>
            <w:rPr>
              <w:rFonts w:ascii="Cambria Math" w:eastAsia="Calibri" w:hAnsi="Cambria Math" w:cs="Arial"/>
              <w:sz w:val="24"/>
              <w:szCs w:val="24"/>
              <w:u w:val="single"/>
            </w:rPr>
            <m:t>+TrueUp</m:t>
          </m:r>
        </m:oMath>
      </m:oMathPara>
    </w:p>
    <w:p w14:paraId="7BE93DC2" w14:textId="77777777" w:rsidR="00F1353A" w:rsidRPr="00B61FF1" w:rsidRDefault="00F1353A" w:rsidP="00707C6D">
      <w:pPr>
        <w:autoSpaceDE/>
        <w:autoSpaceDN/>
        <w:adjustRightInd/>
        <w:spacing w:line="360" w:lineRule="auto"/>
        <w:ind w:left="720"/>
        <w:rPr>
          <w:rFonts w:ascii="Arial" w:hAnsi="Arial" w:cs="Arial"/>
          <w:sz w:val="24"/>
          <w:szCs w:val="24"/>
        </w:rPr>
      </w:pPr>
    </w:p>
    <w:p w14:paraId="3DF32E91" w14:textId="77777777" w:rsidR="00FE6B15" w:rsidRPr="00B61FF1" w:rsidRDefault="00FE6B15" w:rsidP="00707C6D">
      <w:pPr>
        <w:autoSpaceDE/>
        <w:autoSpaceDN/>
        <w:adjustRightInd/>
        <w:spacing w:line="360" w:lineRule="auto"/>
        <w:ind w:left="720"/>
        <w:rPr>
          <w:rFonts w:ascii="Arial" w:hAnsi="Arial" w:cs="Arial"/>
          <w:sz w:val="24"/>
          <w:szCs w:val="24"/>
        </w:rPr>
      </w:pPr>
      <w:r w:rsidRPr="00B61FF1">
        <w:rPr>
          <w:rFonts w:ascii="Arial" w:hAnsi="Arial" w:cs="Arial"/>
          <w:sz w:val="24"/>
          <w:szCs w:val="24"/>
        </w:rPr>
        <w:t>Where:</w:t>
      </w:r>
    </w:p>
    <w:p w14:paraId="354E4A84" w14:textId="77777777" w:rsidR="00FE6B15" w:rsidRPr="00B61FF1" w:rsidRDefault="00FE6B15" w:rsidP="004E3B67">
      <w:pPr>
        <w:spacing w:line="360" w:lineRule="auto"/>
        <w:ind w:left="720"/>
        <w:rPr>
          <w:rFonts w:ascii="Arial" w:hAnsi="Arial" w:cs="Arial"/>
          <w:sz w:val="24"/>
          <w:szCs w:val="24"/>
        </w:rPr>
      </w:pPr>
    </w:p>
    <w:p w14:paraId="178D7BA1" w14:textId="77777777" w:rsidR="00FE6B15" w:rsidRPr="00B61FF1" w:rsidRDefault="00FE6B15" w:rsidP="004E3B67">
      <w:pPr>
        <w:spacing w:line="360" w:lineRule="auto"/>
        <w:ind w:left="720"/>
        <w:rPr>
          <w:rFonts w:ascii="Arial" w:hAnsi="Arial" w:cs="Arial"/>
          <w:sz w:val="24"/>
          <w:szCs w:val="24"/>
        </w:rPr>
      </w:pPr>
      <w:r w:rsidRPr="00B61FF1">
        <w:rPr>
          <w:rFonts w:ascii="Arial" w:hAnsi="Arial" w:cs="Arial"/>
          <w:sz w:val="24"/>
          <w:szCs w:val="24"/>
        </w:rPr>
        <w:t>“A</w:t>
      </w:r>
      <w:r w:rsidRPr="00B61FF1">
        <w:rPr>
          <w:rFonts w:ascii="Arial" w:hAnsi="Arial" w:cs="Arial"/>
          <w:sz w:val="24"/>
          <w:szCs w:val="24"/>
          <w:vertAlign w:val="subscript"/>
        </w:rPr>
        <w:t>t</w:t>
      </w:r>
      <w:r w:rsidRPr="00B61FF1">
        <w:rPr>
          <w:rFonts w:ascii="Arial" w:hAnsi="Arial" w:cs="Arial"/>
          <w:sz w:val="24"/>
          <w:szCs w:val="24"/>
        </w:rPr>
        <w:t xml:space="preserve">” is the amount of California GHG allowances directly allocated to the operator of an industrial facility for all activities with a product output-based allocation from budget year “t”; </w:t>
      </w:r>
    </w:p>
    <w:p w14:paraId="29CC8284" w14:textId="77777777" w:rsidR="00FE6B15" w:rsidRPr="00B61FF1" w:rsidRDefault="00FE6B15" w:rsidP="004E3B67">
      <w:pPr>
        <w:spacing w:line="360" w:lineRule="auto"/>
        <w:ind w:firstLine="720"/>
        <w:rPr>
          <w:rFonts w:ascii="Arial" w:hAnsi="Arial" w:cs="Arial"/>
          <w:sz w:val="24"/>
          <w:szCs w:val="24"/>
        </w:rPr>
      </w:pPr>
    </w:p>
    <w:p w14:paraId="25B7D02E" w14:textId="77777777" w:rsidR="00FE6B15" w:rsidRPr="00B61FF1" w:rsidRDefault="00FE6B15" w:rsidP="00296901">
      <w:pPr>
        <w:spacing w:line="360" w:lineRule="auto"/>
        <w:ind w:firstLine="720"/>
        <w:rPr>
          <w:rFonts w:ascii="Arial" w:hAnsi="Arial" w:cs="Arial"/>
          <w:sz w:val="24"/>
          <w:szCs w:val="24"/>
        </w:rPr>
      </w:pPr>
      <w:r w:rsidRPr="00B61FF1">
        <w:rPr>
          <w:rFonts w:ascii="Arial" w:hAnsi="Arial" w:cs="Arial"/>
          <w:sz w:val="24"/>
          <w:szCs w:val="24"/>
        </w:rPr>
        <w:t>“t” is the budget year from whic</w:t>
      </w:r>
      <w:r w:rsidR="00296901" w:rsidRPr="00B61FF1">
        <w:rPr>
          <w:rFonts w:ascii="Arial" w:hAnsi="Arial" w:cs="Arial"/>
          <w:sz w:val="24"/>
          <w:szCs w:val="24"/>
        </w:rPr>
        <w:t>h the direct allocation occurs;</w:t>
      </w:r>
    </w:p>
    <w:p w14:paraId="17BA4077" w14:textId="77777777" w:rsidR="008664E6" w:rsidRPr="00B61FF1" w:rsidRDefault="008664E6" w:rsidP="00296901">
      <w:pPr>
        <w:spacing w:line="360" w:lineRule="auto"/>
        <w:ind w:firstLine="720"/>
        <w:rPr>
          <w:rFonts w:ascii="Arial" w:hAnsi="Arial" w:cs="Arial"/>
          <w:sz w:val="24"/>
          <w:szCs w:val="24"/>
        </w:rPr>
      </w:pPr>
    </w:p>
    <w:p w14:paraId="5F47E135" w14:textId="77777777" w:rsidR="00FE6B15" w:rsidRPr="00B61FF1" w:rsidRDefault="00FE6B15" w:rsidP="00296901">
      <w:pPr>
        <w:spacing w:line="360" w:lineRule="auto"/>
        <w:ind w:left="720"/>
        <w:rPr>
          <w:rFonts w:ascii="Arial" w:hAnsi="Arial" w:cs="Arial"/>
          <w:sz w:val="24"/>
          <w:szCs w:val="24"/>
        </w:rPr>
      </w:pPr>
      <w:r w:rsidRPr="00B61FF1">
        <w:rPr>
          <w:rFonts w:ascii="Arial" w:hAnsi="Arial" w:cs="Arial"/>
          <w:sz w:val="24"/>
          <w:szCs w:val="24"/>
        </w:rPr>
        <w:t>“t-2” is the ye</w:t>
      </w:r>
      <w:r w:rsidR="00296901" w:rsidRPr="00B61FF1">
        <w:rPr>
          <w:rFonts w:ascii="Arial" w:hAnsi="Arial" w:cs="Arial"/>
          <w:sz w:val="24"/>
          <w:szCs w:val="24"/>
        </w:rPr>
        <w:t>ar two years prior to year “t”;</w:t>
      </w:r>
    </w:p>
    <w:p w14:paraId="63978F22" w14:textId="77777777" w:rsidR="008664E6" w:rsidRPr="00B61FF1" w:rsidRDefault="008664E6" w:rsidP="00296901">
      <w:pPr>
        <w:spacing w:line="360" w:lineRule="auto"/>
        <w:ind w:left="720"/>
        <w:rPr>
          <w:rFonts w:ascii="Arial" w:hAnsi="Arial" w:cs="Arial"/>
          <w:sz w:val="24"/>
          <w:szCs w:val="24"/>
        </w:rPr>
      </w:pPr>
    </w:p>
    <w:p w14:paraId="485B063C" w14:textId="77777777" w:rsidR="00FE6B15" w:rsidRPr="00B61FF1" w:rsidRDefault="00FE6B15" w:rsidP="00296901">
      <w:pPr>
        <w:spacing w:line="360" w:lineRule="auto"/>
        <w:ind w:left="720"/>
        <w:rPr>
          <w:rFonts w:ascii="Arial" w:hAnsi="Arial" w:cs="Arial"/>
          <w:strike/>
          <w:sz w:val="24"/>
          <w:szCs w:val="24"/>
        </w:rPr>
      </w:pPr>
      <w:r w:rsidRPr="00B61FF1">
        <w:rPr>
          <w:rFonts w:ascii="Arial" w:hAnsi="Arial" w:cs="Arial"/>
          <w:strike/>
          <w:sz w:val="24"/>
          <w:szCs w:val="24"/>
        </w:rPr>
        <w:t>“t-4” is the yea</w:t>
      </w:r>
      <w:r w:rsidR="00296901" w:rsidRPr="00B61FF1">
        <w:rPr>
          <w:rFonts w:ascii="Arial" w:hAnsi="Arial" w:cs="Arial"/>
          <w:strike/>
          <w:sz w:val="24"/>
          <w:szCs w:val="24"/>
        </w:rPr>
        <w:t>r four years prior to year “t”;</w:t>
      </w:r>
    </w:p>
    <w:p w14:paraId="670B0170" w14:textId="77777777" w:rsidR="008664E6" w:rsidRPr="00B61FF1" w:rsidRDefault="008664E6" w:rsidP="00296901">
      <w:pPr>
        <w:spacing w:line="360" w:lineRule="auto"/>
        <w:ind w:left="720"/>
        <w:rPr>
          <w:rFonts w:ascii="Arial" w:hAnsi="Arial" w:cs="Arial"/>
          <w:sz w:val="24"/>
          <w:szCs w:val="24"/>
        </w:rPr>
      </w:pPr>
    </w:p>
    <w:p w14:paraId="2C431721" w14:textId="77777777" w:rsidR="00FE6B15" w:rsidRPr="00B61FF1" w:rsidRDefault="00FE6B15" w:rsidP="00296901">
      <w:pPr>
        <w:spacing w:line="360" w:lineRule="auto"/>
        <w:ind w:left="720"/>
        <w:rPr>
          <w:rFonts w:ascii="Arial" w:hAnsi="Arial" w:cs="Arial"/>
          <w:sz w:val="24"/>
          <w:szCs w:val="24"/>
        </w:rPr>
      </w:pPr>
      <w:r w:rsidRPr="00B61FF1">
        <w:rPr>
          <w:rFonts w:ascii="Arial" w:hAnsi="Arial" w:cs="Arial"/>
          <w:sz w:val="24"/>
          <w:szCs w:val="24"/>
        </w:rPr>
        <w:t>“a” is each eligible ac</w:t>
      </w:r>
      <w:r w:rsidR="00296901" w:rsidRPr="00B61FF1">
        <w:rPr>
          <w:rFonts w:ascii="Arial" w:hAnsi="Arial" w:cs="Arial"/>
          <w:sz w:val="24"/>
          <w:szCs w:val="24"/>
        </w:rPr>
        <w:t>tivity as defined in Table 9-1;</w:t>
      </w:r>
    </w:p>
    <w:p w14:paraId="24DB26FB" w14:textId="77777777" w:rsidR="008664E6" w:rsidRPr="00B61FF1" w:rsidRDefault="008664E6" w:rsidP="00296901">
      <w:pPr>
        <w:spacing w:line="360" w:lineRule="auto"/>
        <w:ind w:left="720"/>
        <w:rPr>
          <w:rFonts w:ascii="Arial" w:hAnsi="Arial" w:cs="Arial"/>
          <w:sz w:val="24"/>
          <w:szCs w:val="24"/>
        </w:rPr>
      </w:pPr>
    </w:p>
    <w:p w14:paraId="0673246F" w14:textId="77777777" w:rsidR="00FE6B15" w:rsidRPr="00B61FF1" w:rsidRDefault="00FE6B15" w:rsidP="00296901">
      <w:pPr>
        <w:spacing w:line="360" w:lineRule="auto"/>
        <w:ind w:left="720"/>
        <w:rPr>
          <w:rFonts w:ascii="Arial" w:hAnsi="Arial" w:cs="Arial"/>
          <w:sz w:val="24"/>
          <w:szCs w:val="24"/>
        </w:rPr>
      </w:pPr>
      <w:r w:rsidRPr="00B61FF1">
        <w:rPr>
          <w:rFonts w:ascii="Arial" w:hAnsi="Arial" w:cs="Arial"/>
          <w:sz w:val="24"/>
          <w:szCs w:val="24"/>
        </w:rPr>
        <w:t>“n” is the number of elig</w:t>
      </w:r>
      <w:r w:rsidR="00296901" w:rsidRPr="00B61FF1">
        <w:rPr>
          <w:rFonts w:ascii="Arial" w:hAnsi="Arial" w:cs="Arial"/>
          <w:sz w:val="24"/>
          <w:szCs w:val="24"/>
        </w:rPr>
        <w:t xml:space="preserve">ible activities at a facility; </w:t>
      </w:r>
    </w:p>
    <w:p w14:paraId="0A49611D" w14:textId="77777777" w:rsidR="008664E6" w:rsidRPr="00B61FF1" w:rsidRDefault="008664E6" w:rsidP="00296901">
      <w:pPr>
        <w:spacing w:line="360" w:lineRule="auto"/>
        <w:ind w:left="720"/>
        <w:rPr>
          <w:rFonts w:ascii="Arial" w:hAnsi="Arial" w:cs="Arial"/>
          <w:sz w:val="24"/>
          <w:szCs w:val="24"/>
        </w:rPr>
      </w:pPr>
    </w:p>
    <w:p w14:paraId="3C1F3E26" w14:textId="77777777" w:rsidR="00FE6B15" w:rsidRPr="00B61FF1" w:rsidRDefault="00263D54" w:rsidP="00296901">
      <w:pPr>
        <w:spacing w:line="360" w:lineRule="auto"/>
        <w:ind w:left="720"/>
        <w:rPr>
          <w:rFonts w:ascii="Arial" w:hAnsi="Arial" w:cs="Arial"/>
          <w:strike/>
          <w:sz w:val="24"/>
          <w:szCs w:val="24"/>
        </w:rPr>
      </w:pPr>
      <w:r w:rsidRPr="00B61FF1">
        <w:rPr>
          <w:rFonts w:ascii="Arial" w:hAnsi="Arial" w:cs="Arial"/>
          <w:sz w:val="24"/>
          <w:szCs w:val="24"/>
        </w:rPr>
        <w:t>“O</w:t>
      </w:r>
      <w:r w:rsidR="0008579E" w:rsidRPr="00B61FF1">
        <w:rPr>
          <w:rFonts w:ascii="Arial" w:hAnsi="Arial" w:cs="Arial"/>
          <w:sz w:val="24"/>
          <w:szCs w:val="24"/>
          <w:vertAlign w:val="subscript"/>
        </w:rPr>
        <w:t xml:space="preserve">a, </w:t>
      </w:r>
      <w:r w:rsidRPr="00B61FF1">
        <w:rPr>
          <w:rFonts w:ascii="Arial" w:hAnsi="Arial" w:cs="Arial"/>
          <w:sz w:val="24"/>
          <w:szCs w:val="24"/>
          <w:vertAlign w:val="subscript"/>
        </w:rPr>
        <w:t>initial</w:t>
      </w:r>
      <w:r w:rsidRPr="00B61FF1">
        <w:rPr>
          <w:rFonts w:ascii="Arial" w:hAnsi="Arial" w:cs="Arial"/>
          <w:sz w:val="24"/>
          <w:szCs w:val="24"/>
        </w:rPr>
        <w:t>”</w:t>
      </w:r>
      <w:r w:rsidR="0008579E" w:rsidRPr="00B61FF1">
        <w:rPr>
          <w:rFonts w:ascii="Arial" w:hAnsi="Arial" w:cs="Arial"/>
          <w:sz w:val="24"/>
          <w:szCs w:val="24"/>
        </w:rPr>
        <w:t xml:space="preserve"> </w:t>
      </w:r>
      <w:r w:rsidR="00FE6B15" w:rsidRPr="00B61FF1">
        <w:rPr>
          <w:rFonts w:ascii="Arial" w:hAnsi="Arial" w:cs="Arial"/>
          <w:sz w:val="24"/>
          <w:szCs w:val="24"/>
        </w:rPr>
        <w:t>will be calculated by the Executive Officer as the output in year “t-2” as reported to ARB.</w:t>
      </w:r>
      <w:r w:rsidR="00296901" w:rsidRPr="00B61FF1">
        <w:rPr>
          <w:rFonts w:ascii="Arial" w:hAnsi="Arial" w:cs="Arial"/>
          <w:strike/>
          <w:sz w:val="24"/>
          <w:szCs w:val="24"/>
        </w:rPr>
        <w:t xml:space="preserve">  </w:t>
      </w:r>
    </w:p>
    <w:p w14:paraId="159FFC84" w14:textId="77777777" w:rsidR="008664E6" w:rsidRPr="00B61FF1" w:rsidRDefault="008664E6" w:rsidP="00296901">
      <w:pPr>
        <w:spacing w:line="360" w:lineRule="auto"/>
        <w:ind w:left="720"/>
        <w:rPr>
          <w:rFonts w:ascii="Arial" w:hAnsi="Arial" w:cs="Arial"/>
          <w:strike/>
          <w:sz w:val="24"/>
          <w:szCs w:val="24"/>
        </w:rPr>
      </w:pPr>
    </w:p>
    <w:p w14:paraId="35A71D16" w14:textId="77777777" w:rsidR="00FE6B15" w:rsidRPr="00B61FF1" w:rsidRDefault="00263D54" w:rsidP="00296901">
      <w:pPr>
        <w:spacing w:line="360" w:lineRule="auto"/>
        <w:ind w:left="720"/>
        <w:rPr>
          <w:rFonts w:ascii="Arial" w:hAnsi="Arial" w:cs="Arial"/>
          <w:strike/>
          <w:sz w:val="24"/>
          <w:szCs w:val="24"/>
        </w:rPr>
      </w:pPr>
      <w:r w:rsidRPr="00B61FF1">
        <w:rPr>
          <w:rFonts w:ascii="Arial" w:hAnsi="Arial" w:cs="Arial"/>
          <w:strike/>
          <w:sz w:val="24"/>
          <w:szCs w:val="24"/>
        </w:rPr>
        <w:t>“O</w:t>
      </w:r>
      <w:r w:rsidRPr="00B61FF1">
        <w:rPr>
          <w:rFonts w:ascii="Arial" w:hAnsi="Arial" w:cs="Arial"/>
          <w:strike/>
          <w:sz w:val="24"/>
          <w:szCs w:val="24"/>
          <w:vertAlign w:val="subscript"/>
        </w:rPr>
        <w:t>a,trueup</w:t>
      </w:r>
      <w:r w:rsidRPr="00B61FF1">
        <w:rPr>
          <w:rFonts w:ascii="Arial" w:hAnsi="Arial" w:cs="Arial"/>
          <w:strike/>
          <w:sz w:val="24"/>
          <w:szCs w:val="24"/>
        </w:rPr>
        <w:t>” adjusts for any output in year “t” not properly accounted for in prior allocations.  The Executive Officer will calculate this term using the difference between the output reported in data year “t-2” and the outp</w:t>
      </w:r>
      <w:r w:rsidR="00296901" w:rsidRPr="00B61FF1">
        <w:rPr>
          <w:rFonts w:ascii="Arial" w:hAnsi="Arial" w:cs="Arial"/>
          <w:strike/>
          <w:sz w:val="24"/>
          <w:szCs w:val="24"/>
        </w:rPr>
        <w:t>ut reported in data year “t-4.”</w:t>
      </w:r>
    </w:p>
    <w:p w14:paraId="67139341" w14:textId="77777777" w:rsidR="008664E6" w:rsidRPr="00B61FF1" w:rsidRDefault="008664E6" w:rsidP="00296901">
      <w:pPr>
        <w:spacing w:line="360" w:lineRule="auto"/>
        <w:ind w:left="720"/>
        <w:rPr>
          <w:rFonts w:ascii="Arial" w:hAnsi="Arial" w:cs="Arial"/>
          <w:sz w:val="24"/>
          <w:szCs w:val="24"/>
        </w:rPr>
      </w:pPr>
    </w:p>
    <w:p w14:paraId="750522A4" w14:textId="77777777" w:rsidR="00C67D02" w:rsidRPr="00B61FF1" w:rsidRDefault="00FE6B15" w:rsidP="00296901">
      <w:pPr>
        <w:spacing w:line="360" w:lineRule="auto"/>
        <w:ind w:left="709"/>
        <w:rPr>
          <w:rFonts w:ascii="Arial" w:hAnsi="Arial" w:cs="Arial"/>
          <w:b/>
          <w:sz w:val="24"/>
          <w:szCs w:val="24"/>
        </w:rPr>
      </w:pPr>
      <w:r w:rsidRPr="00B61FF1">
        <w:rPr>
          <w:rFonts w:ascii="Arial" w:hAnsi="Arial" w:cs="Arial"/>
          <w:sz w:val="24"/>
          <w:szCs w:val="24"/>
        </w:rPr>
        <w:t>“B</w:t>
      </w:r>
      <w:r w:rsidRPr="00B61FF1">
        <w:rPr>
          <w:rFonts w:ascii="Arial" w:hAnsi="Arial" w:cs="Arial"/>
          <w:sz w:val="24"/>
          <w:szCs w:val="24"/>
          <w:vertAlign w:val="subscript"/>
        </w:rPr>
        <w:t>a</w:t>
      </w:r>
      <w:r w:rsidRPr="00B61FF1">
        <w:rPr>
          <w:rFonts w:ascii="Arial" w:hAnsi="Arial" w:cs="Arial"/>
          <w:sz w:val="24"/>
          <w:szCs w:val="24"/>
          <w:vertAlign w:val="superscript"/>
        </w:rPr>
        <w:t xml:space="preserve">” </w:t>
      </w:r>
      <w:r w:rsidRPr="00B61FF1">
        <w:rPr>
          <w:rFonts w:ascii="Arial" w:hAnsi="Arial" w:cs="Arial"/>
          <w:sz w:val="24"/>
          <w:szCs w:val="24"/>
        </w:rPr>
        <w:t>is the emissions efficiency benchmark per unit of output for each eligible activity defined in Table 9-1;</w:t>
      </w:r>
      <w:r w:rsidR="00296901" w:rsidRPr="00B61FF1">
        <w:rPr>
          <w:rFonts w:ascii="Arial" w:hAnsi="Arial" w:cs="Arial"/>
          <w:b/>
          <w:sz w:val="24"/>
          <w:szCs w:val="24"/>
        </w:rPr>
        <w:t xml:space="preserve">  </w:t>
      </w:r>
    </w:p>
    <w:p w14:paraId="610EDB59" w14:textId="77777777" w:rsidR="008664E6" w:rsidRPr="00B61FF1" w:rsidRDefault="008664E6" w:rsidP="00296901">
      <w:pPr>
        <w:spacing w:line="360" w:lineRule="auto"/>
        <w:ind w:left="709"/>
        <w:rPr>
          <w:rFonts w:ascii="Arial" w:hAnsi="Arial" w:cs="Arial"/>
          <w:b/>
          <w:sz w:val="24"/>
          <w:szCs w:val="24"/>
        </w:rPr>
      </w:pPr>
    </w:p>
    <w:p w14:paraId="1201C338" w14:textId="77777777" w:rsidR="00C67D02" w:rsidRPr="00B61FF1" w:rsidRDefault="00C67D02" w:rsidP="00296901">
      <w:pPr>
        <w:spacing w:line="360" w:lineRule="auto"/>
        <w:ind w:left="709"/>
        <w:rPr>
          <w:rFonts w:ascii="Arial" w:hAnsi="Arial" w:cs="Arial"/>
          <w:sz w:val="24"/>
          <w:szCs w:val="24"/>
        </w:rPr>
      </w:pPr>
      <w:bookmarkStart w:id="304" w:name="_Toc294275117"/>
      <w:r w:rsidRPr="00B61FF1">
        <w:rPr>
          <w:rFonts w:ascii="Arial" w:hAnsi="Arial" w:cs="Arial"/>
          <w:sz w:val="24"/>
          <w:szCs w:val="24"/>
        </w:rPr>
        <w:t>“AF</w:t>
      </w:r>
      <w:r w:rsidRPr="00B61FF1">
        <w:rPr>
          <w:rFonts w:ascii="Arial" w:hAnsi="Arial" w:cs="Arial"/>
          <w:sz w:val="24"/>
          <w:szCs w:val="24"/>
          <w:vertAlign w:val="subscript"/>
        </w:rPr>
        <w:t>a, t</w:t>
      </w:r>
      <w:r w:rsidRPr="00B61FF1">
        <w:rPr>
          <w:rFonts w:ascii="Arial" w:hAnsi="Arial" w:cs="Arial"/>
          <w:sz w:val="24"/>
          <w:szCs w:val="24"/>
        </w:rPr>
        <w:t xml:space="preserve">” </w:t>
      </w:r>
      <w:r w:rsidRPr="00B61FF1">
        <w:rPr>
          <w:rFonts w:ascii="Arial" w:hAnsi="Arial" w:cs="Arial"/>
          <w:sz w:val="24"/>
          <w:szCs w:val="24"/>
          <w:vertAlign w:val="subscript"/>
        </w:rPr>
        <w:t xml:space="preserve"> </w:t>
      </w:r>
      <w:r w:rsidRPr="00B61FF1">
        <w:rPr>
          <w:rFonts w:ascii="Arial" w:hAnsi="Arial" w:cs="Arial"/>
          <w:sz w:val="24"/>
          <w:szCs w:val="24"/>
        </w:rPr>
        <w:t xml:space="preserve">is the assistance factor for budget year “t” assigned to each activity “a” </w:t>
      </w:r>
      <w:r w:rsidR="00296901" w:rsidRPr="00B61FF1">
        <w:rPr>
          <w:rFonts w:ascii="Arial" w:hAnsi="Arial" w:cs="Arial"/>
          <w:sz w:val="24"/>
          <w:szCs w:val="24"/>
        </w:rPr>
        <w:t xml:space="preserve">as specified in Table 8-1; </w:t>
      </w:r>
      <w:r w:rsidR="00296901" w:rsidRPr="00B61FF1">
        <w:rPr>
          <w:rFonts w:ascii="Arial" w:hAnsi="Arial" w:cs="Arial"/>
          <w:strike/>
          <w:sz w:val="24"/>
          <w:szCs w:val="24"/>
        </w:rPr>
        <w:t>and</w:t>
      </w:r>
      <w:r w:rsidR="00296901" w:rsidRPr="00B61FF1">
        <w:rPr>
          <w:rFonts w:ascii="Arial" w:hAnsi="Arial" w:cs="Arial"/>
          <w:sz w:val="24"/>
          <w:szCs w:val="24"/>
        </w:rPr>
        <w:t xml:space="preserve"> </w:t>
      </w:r>
    </w:p>
    <w:p w14:paraId="68AB05AC" w14:textId="77777777" w:rsidR="008664E6" w:rsidRPr="00B61FF1" w:rsidRDefault="008664E6" w:rsidP="00296901">
      <w:pPr>
        <w:spacing w:line="360" w:lineRule="auto"/>
        <w:ind w:left="709"/>
        <w:rPr>
          <w:rFonts w:ascii="Arial" w:hAnsi="Arial" w:cs="Arial"/>
          <w:sz w:val="24"/>
          <w:szCs w:val="24"/>
        </w:rPr>
      </w:pPr>
    </w:p>
    <w:p w14:paraId="04057885" w14:textId="4704091C" w:rsidR="008664E6" w:rsidRPr="00B61FF1" w:rsidRDefault="00C67D02" w:rsidP="00C67D02">
      <w:pPr>
        <w:spacing w:line="360" w:lineRule="auto"/>
        <w:ind w:left="709"/>
        <w:rPr>
          <w:rFonts w:ascii="Arial" w:hAnsi="Arial" w:cs="Arial"/>
          <w:sz w:val="24"/>
          <w:szCs w:val="24"/>
        </w:rPr>
      </w:pPr>
      <w:r w:rsidRPr="00B61FF1">
        <w:rPr>
          <w:rFonts w:ascii="Arial" w:hAnsi="Arial" w:cs="Arial"/>
          <w:sz w:val="24"/>
          <w:szCs w:val="24"/>
        </w:rPr>
        <w:t>“c</w:t>
      </w:r>
      <w:r w:rsidRPr="00B61FF1">
        <w:rPr>
          <w:rFonts w:ascii="Arial" w:hAnsi="Arial" w:cs="Arial"/>
          <w:sz w:val="24"/>
          <w:szCs w:val="24"/>
          <w:vertAlign w:val="subscript"/>
        </w:rPr>
        <w:t>a,t</w:t>
      </w:r>
      <w:r w:rsidRPr="00B61FF1">
        <w:rPr>
          <w:rFonts w:ascii="Arial" w:hAnsi="Arial" w:cs="Arial"/>
          <w:sz w:val="24"/>
          <w:szCs w:val="24"/>
        </w:rPr>
        <w:t>”</w:t>
      </w:r>
      <w:r w:rsidRPr="00B61FF1">
        <w:rPr>
          <w:rFonts w:ascii="Arial" w:hAnsi="Arial" w:cs="Arial"/>
          <w:sz w:val="24"/>
          <w:szCs w:val="24"/>
          <w:vertAlign w:val="subscript"/>
        </w:rPr>
        <w:t xml:space="preserve"> </w:t>
      </w:r>
      <w:r w:rsidRPr="00B61FF1">
        <w:rPr>
          <w:rFonts w:ascii="Arial" w:hAnsi="Arial" w:cs="Arial"/>
          <w:sz w:val="24"/>
          <w:szCs w:val="24"/>
        </w:rPr>
        <w:t xml:space="preserve"> is the adjustment factor for budget year “t” assigned to each activity</w:t>
      </w:r>
      <w:r w:rsidR="00FF0A78" w:rsidRPr="00B61FF1">
        <w:rPr>
          <w:rFonts w:ascii="Arial" w:hAnsi="Arial" w:cs="Arial"/>
          <w:sz w:val="24"/>
          <w:szCs w:val="24"/>
          <w:u w:val="single"/>
        </w:rPr>
        <w:t>;</w:t>
      </w:r>
      <w:r w:rsidRPr="00B61FF1">
        <w:rPr>
          <w:rFonts w:ascii="Arial" w:hAnsi="Arial" w:cs="Arial"/>
          <w:sz w:val="24"/>
          <w:szCs w:val="24"/>
        </w:rPr>
        <w:t xml:space="preserve"> </w:t>
      </w:r>
    </w:p>
    <w:p w14:paraId="60ED4268" w14:textId="77777777" w:rsidR="008664E6" w:rsidRPr="00B61FF1" w:rsidRDefault="008664E6" w:rsidP="00C67D02">
      <w:pPr>
        <w:spacing w:line="360" w:lineRule="auto"/>
        <w:ind w:left="709"/>
        <w:rPr>
          <w:rFonts w:ascii="Arial" w:hAnsi="Arial" w:cs="Arial"/>
          <w:sz w:val="24"/>
          <w:szCs w:val="24"/>
        </w:rPr>
      </w:pPr>
    </w:p>
    <w:p w14:paraId="0919838D" w14:textId="75B8A0F7" w:rsidR="00DB5D54" w:rsidRPr="00B61FF1" w:rsidRDefault="00C67D02" w:rsidP="00944ECE">
      <w:pPr>
        <w:spacing w:line="360" w:lineRule="auto"/>
        <w:ind w:left="709"/>
        <w:rPr>
          <w:rFonts w:ascii="Arial" w:hAnsi="Arial" w:cs="Arial"/>
          <w:sz w:val="24"/>
          <w:szCs w:val="24"/>
          <w:u w:val="single"/>
        </w:rPr>
      </w:pPr>
      <w:r w:rsidRPr="00B61FF1">
        <w:rPr>
          <w:rFonts w:ascii="Arial" w:hAnsi="Arial" w:cs="Arial"/>
          <w:sz w:val="24"/>
          <w:szCs w:val="24"/>
        </w:rPr>
        <w:t>“a” to account for cap decline as specified in Table 9-2</w:t>
      </w:r>
      <w:bookmarkEnd w:id="304"/>
      <w:r w:rsidR="00FF0A78" w:rsidRPr="00B61FF1">
        <w:rPr>
          <w:rFonts w:ascii="Arial" w:hAnsi="Arial" w:cs="Arial"/>
          <w:strike/>
          <w:sz w:val="24"/>
          <w:szCs w:val="24"/>
        </w:rPr>
        <w:t>.</w:t>
      </w:r>
      <w:r w:rsidR="00FF0A78" w:rsidRPr="00B61FF1">
        <w:rPr>
          <w:rFonts w:ascii="Arial" w:hAnsi="Arial" w:cs="Arial"/>
          <w:sz w:val="24"/>
          <w:szCs w:val="24"/>
          <w:u w:val="single"/>
        </w:rPr>
        <w:t>; and</w:t>
      </w:r>
    </w:p>
    <w:p w14:paraId="0ED540D7" w14:textId="77777777" w:rsidR="00FF0A78" w:rsidRPr="00B61FF1" w:rsidRDefault="00FF0A78" w:rsidP="00FF0A78">
      <w:pPr>
        <w:autoSpaceDE/>
        <w:autoSpaceDN/>
        <w:adjustRightInd/>
        <w:spacing w:line="360" w:lineRule="auto"/>
        <w:ind w:left="720"/>
        <w:rPr>
          <w:rFonts w:ascii="Arial" w:hAnsi="Arial" w:cs="Arial"/>
          <w:sz w:val="24"/>
          <w:szCs w:val="24"/>
          <w:u w:val="single"/>
        </w:rPr>
      </w:pPr>
    </w:p>
    <w:p w14:paraId="39D9E2E4" w14:textId="4808F02E" w:rsidR="00FF0A78" w:rsidRPr="00B61FF1" w:rsidRDefault="00FF0A78" w:rsidP="00FF0A78">
      <w:pPr>
        <w:autoSpaceDE/>
        <w:autoSpaceDN/>
        <w:adjustRightInd/>
        <w:spacing w:line="360" w:lineRule="auto"/>
        <w:ind w:left="720"/>
        <w:rPr>
          <w:rFonts w:ascii="Arial" w:hAnsi="Arial" w:cs="Arial"/>
          <w:sz w:val="24"/>
          <w:szCs w:val="24"/>
          <w:u w:val="single"/>
        </w:rPr>
      </w:pPr>
      <w:r w:rsidRPr="00B61FF1">
        <w:rPr>
          <w:rFonts w:ascii="Arial" w:hAnsi="Arial" w:cs="Arial"/>
          <w:sz w:val="24"/>
          <w:szCs w:val="24"/>
          <w:u w:val="single"/>
        </w:rPr>
        <w:t>“trueup” is the</w:t>
      </w:r>
      <w:r w:rsidR="00130E24" w:rsidRPr="00B61FF1">
        <w:rPr>
          <w:rFonts w:ascii="Arial" w:hAnsi="Arial" w:cs="Arial"/>
          <w:sz w:val="24"/>
          <w:szCs w:val="24"/>
          <w:u w:val="single"/>
        </w:rPr>
        <w:t xml:space="preserve"> amount</w:t>
      </w:r>
      <w:r w:rsidRPr="00B61FF1">
        <w:rPr>
          <w:rFonts w:ascii="Arial" w:hAnsi="Arial" w:cs="Arial"/>
          <w:sz w:val="24"/>
          <w:szCs w:val="24"/>
          <w:u w:val="single"/>
        </w:rPr>
        <w:t xml:space="preserve"> true-up allowance</w:t>
      </w:r>
      <w:r w:rsidR="00BC06E0" w:rsidRPr="00B61FF1">
        <w:rPr>
          <w:rFonts w:ascii="Arial" w:hAnsi="Arial" w:cs="Arial"/>
          <w:sz w:val="24"/>
          <w:szCs w:val="24"/>
          <w:u w:val="single"/>
        </w:rPr>
        <w:t>s</w:t>
      </w:r>
      <w:r w:rsidRPr="00B61FF1">
        <w:rPr>
          <w:rFonts w:ascii="Arial" w:hAnsi="Arial" w:cs="Arial"/>
          <w:sz w:val="24"/>
          <w:szCs w:val="24"/>
          <w:u w:val="single"/>
        </w:rPr>
        <w:t xml:space="preserve"> allocated to account for changes in production or allocation not properly accounted for in prior allocations. This value of allowances for budget year “t” shall be allowed to be used for budget year “t-2” pursuant to </w:t>
      </w:r>
      <w:r w:rsidR="00130E24" w:rsidRPr="00B61FF1">
        <w:rPr>
          <w:rFonts w:ascii="Arial" w:hAnsi="Arial" w:cs="Arial"/>
          <w:sz w:val="24"/>
          <w:szCs w:val="24"/>
          <w:u w:val="single"/>
        </w:rPr>
        <w:t>95856(h)(1)(C) and 95856(h)(2)(C)</w:t>
      </w:r>
      <w:r w:rsidRPr="00B61FF1">
        <w:rPr>
          <w:rFonts w:ascii="Arial" w:hAnsi="Arial" w:cs="Arial"/>
          <w:sz w:val="24"/>
          <w:szCs w:val="24"/>
          <w:u w:val="single"/>
        </w:rPr>
        <w:t>.  This value is calculated using the following formula:</w:t>
      </w:r>
    </w:p>
    <w:p w14:paraId="76E2257C" w14:textId="77777777" w:rsidR="00FF0A78" w:rsidRPr="00B61FF1" w:rsidRDefault="00FF0A78" w:rsidP="00FF0A78">
      <w:pPr>
        <w:autoSpaceDE/>
        <w:autoSpaceDN/>
        <w:adjustRightInd/>
        <w:spacing w:line="360" w:lineRule="auto"/>
        <w:ind w:left="1800" w:hanging="720"/>
        <w:rPr>
          <w:rFonts w:ascii="Arial" w:hAnsi="Arial" w:cs="Arial"/>
          <w:sz w:val="24"/>
          <w:szCs w:val="24"/>
          <w:u w:val="single"/>
        </w:rPr>
      </w:pPr>
    </w:p>
    <w:p w14:paraId="5CC4EC06" w14:textId="77777777" w:rsidR="00FF0A78" w:rsidRPr="00B61FF1" w:rsidRDefault="00FF0A78" w:rsidP="00FF0A78">
      <w:pPr>
        <w:autoSpaceDE/>
        <w:autoSpaceDN/>
        <w:adjustRightInd/>
        <w:spacing w:line="360" w:lineRule="auto"/>
        <w:ind w:left="720" w:hanging="720"/>
        <w:rPr>
          <w:rFonts w:ascii="Arial" w:hAnsi="Arial" w:cs="Arial"/>
          <w:sz w:val="24"/>
          <w:szCs w:val="24"/>
          <w:u w:val="single"/>
        </w:rPr>
      </w:pPr>
      <m:oMathPara>
        <m:oMath>
          <m:r>
            <w:rPr>
              <w:rFonts w:ascii="Cambria Math" w:hAnsi="Cambria Math" w:cs="Arial"/>
              <w:sz w:val="24"/>
              <w:szCs w:val="24"/>
              <w:u w:val="single"/>
            </w:rPr>
            <m:t xml:space="preserve">TrueUp= </m:t>
          </m:r>
          <m:d>
            <m:dPr>
              <m:ctrlPr>
                <w:rPr>
                  <w:rFonts w:ascii="Cambria Math" w:eastAsia="Calibri" w:hAnsi="Cambria Math" w:cs="Arial"/>
                  <w:i/>
                  <w:sz w:val="24"/>
                  <w:szCs w:val="24"/>
                  <w:u w:val="single"/>
                </w:rPr>
              </m:ctrlPr>
            </m:dPr>
            <m:e>
              <m:nary>
                <m:naryPr>
                  <m:chr m:val="∑"/>
                  <m:limLoc m:val="undOvr"/>
                  <m:ctrlPr>
                    <w:rPr>
                      <w:rFonts w:ascii="Cambria Math" w:eastAsia="Calibri" w:hAnsi="Cambria Math" w:cs="Arial"/>
                      <w:i/>
                      <w:sz w:val="24"/>
                      <w:szCs w:val="24"/>
                      <w:u w:val="single"/>
                    </w:rPr>
                  </m:ctrlPr>
                </m:naryPr>
                <m:sub>
                  <m:r>
                    <w:rPr>
                      <w:rFonts w:ascii="Cambria Math" w:eastAsia="Calibri" w:hAnsi="Cambria Math" w:cs="Arial"/>
                      <w:sz w:val="24"/>
                      <w:szCs w:val="24"/>
                      <w:u w:val="single"/>
                    </w:rPr>
                    <m:t>a=1</m:t>
                  </m:r>
                </m:sub>
                <m:sup>
                  <m:r>
                    <w:rPr>
                      <w:rFonts w:ascii="Cambria Math" w:eastAsia="Calibri" w:hAnsi="Cambria Math" w:cs="Arial"/>
                      <w:sz w:val="24"/>
                      <w:szCs w:val="24"/>
                      <w:u w:val="single"/>
                    </w:rPr>
                    <m:t>n</m:t>
                  </m:r>
                </m:sup>
                <m:e>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O</m:t>
                      </m:r>
                    </m:e>
                    <m:sub>
                      <m:r>
                        <w:rPr>
                          <w:rFonts w:ascii="Cambria Math" w:eastAsia="Calibri" w:hAnsi="Cambria Math" w:cs="Arial"/>
                          <w:sz w:val="24"/>
                          <w:szCs w:val="24"/>
                          <w:u w:val="single"/>
                        </w:rPr>
                        <m:t>a,t-2</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B</m:t>
                      </m:r>
                    </m:e>
                    <m:sub>
                      <m:r>
                        <w:rPr>
                          <w:rFonts w:ascii="Cambria Math" w:eastAsia="Calibri" w:hAnsi="Cambria Math" w:cs="Arial"/>
                          <w:sz w:val="24"/>
                          <w:szCs w:val="24"/>
                          <w:u w:val="single"/>
                        </w:rPr>
                        <m:t>a</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AF</m:t>
                      </m:r>
                    </m:e>
                    <m:sub>
                      <m:r>
                        <w:rPr>
                          <w:rFonts w:ascii="Cambria Math" w:eastAsia="Calibri" w:hAnsi="Cambria Math" w:cs="Arial"/>
                          <w:sz w:val="24"/>
                          <w:szCs w:val="24"/>
                          <w:u w:val="single"/>
                        </w:rPr>
                        <m:t>a,t-2</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c</m:t>
                      </m:r>
                    </m:e>
                    <m:sub>
                      <m:r>
                        <w:rPr>
                          <w:rFonts w:ascii="Cambria Math" w:eastAsia="Calibri" w:hAnsi="Cambria Math" w:cs="Arial"/>
                          <w:sz w:val="24"/>
                          <w:szCs w:val="24"/>
                          <w:u w:val="single"/>
                        </w:rPr>
                        <m:t>a,t-2</m:t>
                      </m:r>
                    </m:sub>
                  </m:sSub>
                </m:e>
              </m:nary>
            </m:e>
          </m:d>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m:t>
              </m:r>
            </m:e>
            <m:sub>
              <m:r>
                <w:rPr>
                  <w:rFonts w:ascii="Cambria Math" w:eastAsia="Calibri" w:hAnsi="Cambria Math" w:cs="Arial"/>
                  <w:sz w:val="24"/>
                  <w:szCs w:val="24"/>
                  <w:u w:val="single"/>
                </w:rPr>
                <m:t>t-2</m:t>
              </m:r>
            </m:sub>
          </m:sSub>
        </m:oMath>
      </m:oMathPara>
    </w:p>
    <w:p w14:paraId="099F8444" w14:textId="77777777" w:rsidR="00FF0A78" w:rsidRPr="00B61FF1" w:rsidRDefault="00FF0A78" w:rsidP="00FF0A78">
      <w:pPr>
        <w:autoSpaceDE/>
        <w:autoSpaceDN/>
        <w:adjustRightInd/>
        <w:spacing w:line="360" w:lineRule="auto"/>
        <w:ind w:left="1800" w:hanging="720"/>
        <w:rPr>
          <w:rFonts w:ascii="Arial" w:hAnsi="Arial" w:cs="Arial"/>
          <w:sz w:val="24"/>
          <w:szCs w:val="22"/>
        </w:rPr>
      </w:pPr>
    </w:p>
    <w:p w14:paraId="47A1CF43" w14:textId="77777777" w:rsidR="00FF0A78" w:rsidRPr="00B61FF1" w:rsidRDefault="00FF0A78" w:rsidP="00FF0A78">
      <w:pPr>
        <w:autoSpaceDE/>
        <w:autoSpaceDN/>
        <w:adjustRightInd/>
        <w:spacing w:line="360" w:lineRule="auto"/>
        <w:ind w:left="720"/>
        <w:rPr>
          <w:rFonts w:ascii="Arial" w:hAnsi="Arial" w:cs="Arial"/>
          <w:sz w:val="24"/>
          <w:szCs w:val="22"/>
          <w:u w:val="single"/>
        </w:rPr>
      </w:pPr>
      <w:r w:rsidRPr="00B61FF1">
        <w:rPr>
          <w:rFonts w:ascii="Arial" w:hAnsi="Arial" w:cs="Arial"/>
          <w:sz w:val="24"/>
          <w:szCs w:val="22"/>
          <w:u w:val="single"/>
        </w:rPr>
        <w:t>Where:</w:t>
      </w:r>
    </w:p>
    <w:p w14:paraId="25991DC6" w14:textId="77777777" w:rsidR="00FF0A78" w:rsidRPr="00B61FF1" w:rsidRDefault="00FF0A78" w:rsidP="00FF0A78">
      <w:pPr>
        <w:spacing w:line="360" w:lineRule="auto"/>
        <w:ind w:left="720"/>
        <w:rPr>
          <w:rFonts w:ascii="Arial" w:hAnsi="Arial" w:cs="Arial"/>
          <w:sz w:val="24"/>
          <w:szCs w:val="24"/>
          <w:u w:val="single"/>
        </w:rPr>
      </w:pPr>
    </w:p>
    <w:p w14:paraId="7E180600" w14:textId="77777777" w:rsidR="00FF0A78" w:rsidRPr="00B61FF1" w:rsidRDefault="00FF0A78" w:rsidP="00FF0A78">
      <w:pPr>
        <w:spacing w:line="360" w:lineRule="auto"/>
        <w:ind w:left="720"/>
        <w:rPr>
          <w:rFonts w:ascii="Arial" w:hAnsi="Arial" w:cs="Arial"/>
          <w:strike/>
          <w:sz w:val="24"/>
          <w:szCs w:val="24"/>
          <w:u w:val="single"/>
        </w:rPr>
      </w:pPr>
      <w:r w:rsidRPr="00B61FF1">
        <w:rPr>
          <w:rFonts w:ascii="Arial" w:hAnsi="Arial" w:cs="Arial"/>
          <w:sz w:val="24"/>
          <w:szCs w:val="24"/>
          <w:u w:val="single"/>
        </w:rPr>
        <w:t>“O</w:t>
      </w:r>
      <w:r w:rsidRPr="00B61FF1">
        <w:rPr>
          <w:rFonts w:ascii="Arial" w:hAnsi="Arial" w:cs="Arial"/>
          <w:sz w:val="24"/>
          <w:szCs w:val="24"/>
          <w:u w:val="single"/>
          <w:vertAlign w:val="subscript"/>
        </w:rPr>
        <w:t>a, t-2</w:t>
      </w:r>
      <w:r w:rsidRPr="00B61FF1">
        <w:rPr>
          <w:rFonts w:ascii="Arial" w:hAnsi="Arial" w:cs="Arial"/>
          <w:sz w:val="24"/>
          <w:szCs w:val="24"/>
          <w:u w:val="single"/>
        </w:rPr>
        <w:t>” will be calculated by the Executive Officer as the output in year “t-2” as reported to ARB;</w:t>
      </w:r>
    </w:p>
    <w:p w14:paraId="7AAB1C5E" w14:textId="77777777" w:rsidR="00FF0A78" w:rsidRPr="00B61FF1" w:rsidRDefault="00FF0A78" w:rsidP="00FF0A78">
      <w:pPr>
        <w:spacing w:line="360" w:lineRule="auto"/>
        <w:ind w:left="720"/>
        <w:rPr>
          <w:rFonts w:ascii="Arial" w:hAnsi="Arial" w:cs="Arial"/>
          <w:strike/>
          <w:sz w:val="24"/>
          <w:szCs w:val="24"/>
          <w:u w:val="single"/>
        </w:rPr>
      </w:pPr>
    </w:p>
    <w:p w14:paraId="116C316C" w14:textId="77777777" w:rsidR="00FF0A78" w:rsidRPr="00B61FF1" w:rsidRDefault="00FF0A78" w:rsidP="00FF0A78">
      <w:pPr>
        <w:spacing w:line="360" w:lineRule="auto"/>
        <w:ind w:left="720"/>
        <w:rPr>
          <w:rFonts w:ascii="Arial" w:hAnsi="Arial" w:cs="Arial"/>
          <w:sz w:val="24"/>
          <w:szCs w:val="24"/>
          <w:u w:val="single"/>
        </w:rPr>
      </w:pPr>
      <w:r w:rsidRPr="00B61FF1">
        <w:rPr>
          <w:rFonts w:ascii="Arial" w:hAnsi="Arial" w:cs="Arial"/>
          <w:sz w:val="24"/>
          <w:szCs w:val="24"/>
          <w:u w:val="single"/>
        </w:rPr>
        <w:lastRenderedPageBreak/>
        <w:t>“A</w:t>
      </w:r>
      <w:r w:rsidRPr="00B61FF1">
        <w:rPr>
          <w:rFonts w:ascii="Arial" w:hAnsi="Arial" w:cs="Arial"/>
          <w:sz w:val="24"/>
          <w:szCs w:val="24"/>
          <w:u w:val="single"/>
          <w:vertAlign w:val="subscript"/>
        </w:rPr>
        <w:t>t-2</w:t>
      </w:r>
      <w:r w:rsidRPr="00B61FF1">
        <w:rPr>
          <w:rFonts w:ascii="Arial" w:hAnsi="Arial" w:cs="Arial"/>
          <w:sz w:val="24"/>
          <w:szCs w:val="24"/>
          <w:u w:val="single"/>
        </w:rPr>
        <w:t xml:space="preserve">” is the amount of California GHG allowances directly allocated to the operator of an industrial facility for all activities from budget year “t-2”; </w:t>
      </w:r>
    </w:p>
    <w:p w14:paraId="7EB0A5AB" w14:textId="77777777" w:rsidR="00FF0A78" w:rsidRPr="00B61FF1" w:rsidRDefault="00FF0A78" w:rsidP="00FF0A78">
      <w:pPr>
        <w:spacing w:line="360" w:lineRule="auto"/>
        <w:ind w:left="720"/>
        <w:rPr>
          <w:rFonts w:ascii="Arial" w:hAnsi="Arial" w:cs="Arial"/>
          <w:strike/>
          <w:sz w:val="24"/>
          <w:szCs w:val="24"/>
          <w:u w:val="single"/>
        </w:rPr>
      </w:pPr>
    </w:p>
    <w:p w14:paraId="59D07C1E" w14:textId="77777777" w:rsidR="00FF0A78" w:rsidRPr="00B61FF1" w:rsidRDefault="00FF0A78" w:rsidP="00FF0A78">
      <w:pPr>
        <w:spacing w:line="360" w:lineRule="auto"/>
        <w:ind w:left="709"/>
        <w:rPr>
          <w:rFonts w:ascii="Arial" w:hAnsi="Arial" w:cs="Arial"/>
          <w:sz w:val="24"/>
          <w:szCs w:val="24"/>
          <w:u w:val="single"/>
        </w:rPr>
      </w:pPr>
      <w:r w:rsidRPr="00B61FF1">
        <w:rPr>
          <w:rFonts w:ascii="Arial" w:hAnsi="Arial" w:cs="Arial"/>
          <w:sz w:val="24"/>
          <w:szCs w:val="24"/>
          <w:u w:val="single"/>
        </w:rPr>
        <w:t>“AF</w:t>
      </w:r>
      <w:r w:rsidRPr="00B61FF1">
        <w:rPr>
          <w:rFonts w:ascii="Arial" w:hAnsi="Arial" w:cs="Arial"/>
          <w:sz w:val="24"/>
          <w:szCs w:val="24"/>
          <w:u w:val="single"/>
          <w:vertAlign w:val="subscript"/>
        </w:rPr>
        <w:t>a, t-2</w:t>
      </w:r>
      <w:r w:rsidRPr="00B61FF1">
        <w:rPr>
          <w:rFonts w:ascii="Arial" w:hAnsi="Arial" w:cs="Arial"/>
          <w:sz w:val="24"/>
          <w:szCs w:val="24"/>
          <w:u w:val="single"/>
        </w:rPr>
        <w:t xml:space="preserve">” </w:t>
      </w:r>
      <w:r w:rsidRPr="00B61FF1">
        <w:rPr>
          <w:rFonts w:ascii="Arial" w:hAnsi="Arial" w:cs="Arial"/>
          <w:sz w:val="24"/>
          <w:szCs w:val="24"/>
          <w:u w:val="single"/>
          <w:vertAlign w:val="subscript"/>
        </w:rPr>
        <w:t xml:space="preserve"> </w:t>
      </w:r>
      <w:r w:rsidRPr="00B61FF1">
        <w:rPr>
          <w:rFonts w:ascii="Arial" w:hAnsi="Arial" w:cs="Arial"/>
          <w:sz w:val="24"/>
          <w:szCs w:val="24"/>
          <w:u w:val="single"/>
        </w:rPr>
        <w:t xml:space="preserve">is the assistance factor for budget year “t-2” assigned to each activity “a” as specified in Table 8-1; and </w:t>
      </w:r>
    </w:p>
    <w:p w14:paraId="2E36736D" w14:textId="77777777" w:rsidR="00FF0A78" w:rsidRPr="00B61FF1" w:rsidRDefault="00FF0A78" w:rsidP="00FF0A78">
      <w:pPr>
        <w:spacing w:line="360" w:lineRule="auto"/>
        <w:ind w:left="720"/>
        <w:rPr>
          <w:rFonts w:ascii="Arial" w:hAnsi="Arial" w:cs="Arial"/>
          <w:strike/>
          <w:sz w:val="24"/>
          <w:szCs w:val="24"/>
          <w:u w:val="single"/>
        </w:rPr>
      </w:pPr>
    </w:p>
    <w:p w14:paraId="79F6DEFB" w14:textId="77777777" w:rsidR="00FF0A78" w:rsidRPr="00B61FF1" w:rsidRDefault="00FF0A78" w:rsidP="00FF0A78">
      <w:pPr>
        <w:spacing w:line="360" w:lineRule="auto"/>
        <w:ind w:left="709"/>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u w:val="single"/>
          <w:vertAlign w:val="subscript"/>
        </w:rPr>
        <w:t>a,t-2</w:t>
      </w:r>
      <w:r w:rsidRPr="00B61FF1">
        <w:rPr>
          <w:rFonts w:ascii="Arial" w:hAnsi="Arial" w:cs="Arial"/>
          <w:sz w:val="24"/>
          <w:szCs w:val="24"/>
          <w:u w:val="single"/>
        </w:rPr>
        <w:t>”</w:t>
      </w:r>
      <w:r w:rsidRPr="00B61FF1">
        <w:rPr>
          <w:rFonts w:ascii="Arial" w:hAnsi="Arial" w:cs="Arial"/>
          <w:sz w:val="24"/>
          <w:szCs w:val="24"/>
          <w:u w:val="single"/>
          <w:vertAlign w:val="subscript"/>
        </w:rPr>
        <w:t xml:space="preserve"> </w:t>
      </w:r>
      <w:r w:rsidRPr="00B61FF1">
        <w:rPr>
          <w:rFonts w:ascii="Arial" w:hAnsi="Arial" w:cs="Arial"/>
          <w:sz w:val="24"/>
          <w:szCs w:val="24"/>
          <w:u w:val="single"/>
        </w:rPr>
        <w:t xml:space="preserve"> is the adjustment factor for budget year “t-2” assigned to each activity.</w:t>
      </w:r>
    </w:p>
    <w:p w14:paraId="00DE47E0" w14:textId="77777777" w:rsidR="00FF0A78" w:rsidRPr="00B61FF1" w:rsidRDefault="00FF0A78" w:rsidP="00944ECE">
      <w:pPr>
        <w:spacing w:line="360" w:lineRule="auto"/>
        <w:ind w:left="709"/>
        <w:rPr>
          <w:rFonts w:ascii="Arial" w:hAnsi="Arial" w:cs="Arial"/>
          <w:sz w:val="24"/>
          <w:szCs w:val="24"/>
        </w:rPr>
      </w:pPr>
    </w:p>
    <w:p w14:paraId="2D6A1AB6" w14:textId="5A8F7F13" w:rsidR="00E977D8" w:rsidRPr="00B61FF1" w:rsidRDefault="00E977D8">
      <w:pPr>
        <w:autoSpaceDE/>
        <w:autoSpaceDN/>
        <w:adjustRightInd/>
        <w:rPr>
          <w:rFonts w:ascii="Arial" w:hAnsi="Arial" w:cs="Arial"/>
          <w:sz w:val="24"/>
          <w:szCs w:val="24"/>
        </w:rPr>
      </w:pPr>
      <w:r w:rsidRPr="00B61FF1">
        <w:rPr>
          <w:rFonts w:ascii="Arial" w:hAnsi="Arial" w:cs="Arial"/>
          <w:sz w:val="24"/>
          <w:szCs w:val="24"/>
        </w:rPr>
        <w:br w:type="page"/>
      </w:r>
    </w:p>
    <w:p w14:paraId="32D85DB0" w14:textId="77777777" w:rsidR="007C2F50" w:rsidRPr="00B61FF1" w:rsidRDefault="007C2F50" w:rsidP="007C2F50">
      <w:pPr>
        <w:pStyle w:val="Heading2"/>
        <w:rPr>
          <w:szCs w:val="24"/>
        </w:rPr>
      </w:pPr>
      <w:bookmarkStart w:id="305" w:name="_Toc299094947"/>
      <w:bookmarkStart w:id="306" w:name="_Toc302746800"/>
      <w:bookmarkStart w:id="307" w:name="_Toc352146261"/>
      <w:bookmarkStart w:id="308" w:name="_Toc361659862"/>
      <w:r w:rsidRPr="00B61FF1">
        <w:rPr>
          <w:szCs w:val="24"/>
        </w:rPr>
        <w:lastRenderedPageBreak/>
        <w:t>Table 9-1: Product-Based Emissions Efficiency Benchmarks</w:t>
      </w:r>
      <w:bookmarkEnd w:id="305"/>
      <w:bookmarkEnd w:id="306"/>
      <w:bookmarkEnd w:id="307"/>
      <w:bookmarkEnd w:id="308"/>
    </w:p>
    <w:p w14:paraId="318EFBE2" w14:textId="77777777" w:rsidR="003A6E2D" w:rsidRPr="00B61FF1" w:rsidRDefault="003A6E2D" w:rsidP="00853F42">
      <w:pPr>
        <w:rPr>
          <w:rFonts w:ascii="Arial" w:hAnsi="Arial" w:cs="Arial"/>
          <w:sz w:val="24"/>
          <w:szCs w:val="24"/>
        </w:rPr>
      </w:pPr>
    </w:p>
    <w:tbl>
      <w:tblPr>
        <w:tblW w:w="10005" w:type="dxa"/>
        <w:tblLook w:val="04A0" w:firstRow="1" w:lastRow="0" w:firstColumn="1" w:lastColumn="0" w:noHBand="0" w:noVBand="1"/>
      </w:tblPr>
      <w:tblGrid>
        <w:gridCol w:w="2445"/>
        <w:gridCol w:w="1080"/>
        <w:gridCol w:w="2250"/>
        <w:gridCol w:w="1800"/>
        <w:gridCol w:w="2430"/>
      </w:tblGrid>
      <w:tr w:rsidR="000155BC" w:rsidRPr="00B61FF1" w14:paraId="4E101722" w14:textId="77777777" w:rsidTr="00BF6D6B">
        <w:trPr>
          <w:trHeight w:val="880"/>
        </w:trPr>
        <w:tc>
          <w:tcPr>
            <w:tcW w:w="244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70415B"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Sector Definition</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14:paraId="35883266"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code</w:t>
            </w:r>
          </w:p>
        </w:tc>
        <w:tc>
          <w:tcPr>
            <w:tcW w:w="2250" w:type="dxa"/>
            <w:tcBorders>
              <w:top w:val="single" w:sz="8" w:space="0" w:color="auto"/>
              <w:left w:val="nil"/>
              <w:bottom w:val="single" w:sz="8" w:space="0" w:color="auto"/>
              <w:right w:val="single" w:sz="8" w:space="0" w:color="auto"/>
            </w:tcBorders>
            <w:shd w:val="clear" w:color="000000" w:fill="BFBFBF"/>
            <w:vAlign w:val="center"/>
            <w:hideMark/>
          </w:tcPr>
          <w:p w14:paraId="450253F0"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Activity (a)</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14:paraId="055AF2B6"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(B</w:t>
            </w:r>
            <w:r w:rsidRPr="00B61FF1">
              <w:rPr>
                <w:rFonts w:ascii="Arial" w:eastAsia="Times New Roman" w:hAnsi="Arial" w:cs="Arial"/>
                <w:b/>
                <w:bCs/>
                <w:color w:val="000000"/>
                <w:sz w:val="24"/>
                <w:szCs w:val="24"/>
                <w:vertAlign w:val="subscript"/>
              </w:rPr>
              <w:t>a</w:t>
            </w:r>
            <w:r w:rsidRPr="00B61FF1">
              <w:rPr>
                <w:rFonts w:ascii="Arial" w:eastAsia="Times New Roman" w:hAnsi="Arial" w:cs="Arial"/>
                <w:b/>
                <w:bCs/>
                <w:color w:val="000000"/>
                <w:sz w:val="24"/>
                <w:szCs w:val="24"/>
              </w:rPr>
              <w:t>)</w:t>
            </w:r>
          </w:p>
        </w:tc>
        <w:tc>
          <w:tcPr>
            <w:tcW w:w="2430" w:type="dxa"/>
            <w:tcBorders>
              <w:top w:val="single" w:sz="8" w:space="0" w:color="auto"/>
              <w:left w:val="nil"/>
              <w:bottom w:val="single" w:sz="8" w:space="0" w:color="auto"/>
              <w:right w:val="single" w:sz="8" w:space="0" w:color="auto"/>
            </w:tcBorders>
            <w:shd w:val="clear" w:color="000000" w:fill="BFBFBF"/>
            <w:vAlign w:val="center"/>
            <w:hideMark/>
          </w:tcPr>
          <w:p w14:paraId="0D1DDF66"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Units</w:t>
            </w:r>
          </w:p>
        </w:tc>
      </w:tr>
      <w:tr w:rsidR="000155BC" w:rsidRPr="00B61FF1" w14:paraId="4D785712" w14:textId="77777777" w:rsidTr="00BF6D6B">
        <w:trPr>
          <w:trHeight w:val="1213"/>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14:paraId="5A544D57"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Crude Petroleum and Natural Gas Extraction</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27E236"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211111</w:t>
            </w:r>
          </w:p>
        </w:tc>
        <w:tc>
          <w:tcPr>
            <w:tcW w:w="2250" w:type="dxa"/>
            <w:tcBorders>
              <w:top w:val="nil"/>
              <w:left w:val="nil"/>
              <w:bottom w:val="single" w:sz="8" w:space="0" w:color="auto"/>
              <w:right w:val="single" w:sz="8" w:space="0" w:color="auto"/>
            </w:tcBorders>
            <w:shd w:val="clear" w:color="auto" w:fill="auto"/>
            <w:vAlign w:val="center"/>
            <w:hideMark/>
          </w:tcPr>
          <w:p w14:paraId="681E292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Thermal EOR Crude Oil Extraction</w:t>
            </w:r>
          </w:p>
        </w:tc>
        <w:tc>
          <w:tcPr>
            <w:tcW w:w="1800" w:type="dxa"/>
            <w:tcBorders>
              <w:top w:val="nil"/>
              <w:left w:val="nil"/>
              <w:bottom w:val="single" w:sz="8" w:space="0" w:color="auto"/>
              <w:right w:val="single" w:sz="8" w:space="0" w:color="auto"/>
            </w:tcBorders>
            <w:shd w:val="clear" w:color="auto" w:fill="auto"/>
            <w:noWrap/>
            <w:vAlign w:val="center"/>
            <w:hideMark/>
          </w:tcPr>
          <w:p w14:paraId="681CA609" w14:textId="77777777" w:rsidR="000155BC" w:rsidRPr="00B61FF1" w:rsidRDefault="000155BC" w:rsidP="00322802">
            <w:pPr>
              <w:autoSpaceDE/>
              <w:autoSpaceDN/>
              <w:adjustRightInd/>
              <w:jc w:val="center"/>
              <w:rPr>
                <w:rFonts w:ascii="Arial" w:eastAsia="Times New Roman" w:hAnsi="Arial" w:cs="Arial"/>
                <w:strike/>
                <w:color w:val="000000"/>
                <w:sz w:val="24"/>
                <w:szCs w:val="24"/>
              </w:rPr>
            </w:pPr>
            <w:r w:rsidRPr="00B61FF1">
              <w:rPr>
                <w:rFonts w:ascii="Arial" w:eastAsia="Times New Roman" w:hAnsi="Arial" w:cs="Arial"/>
                <w:strike/>
                <w:color w:val="000000"/>
                <w:sz w:val="24"/>
                <w:szCs w:val="24"/>
              </w:rPr>
              <w:t>0.0816</w:t>
            </w:r>
            <w:r w:rsidRPr="00B61FF1">
              <w:rPr>
                <w:rFonts w:ascii="Arial" w:eastAsia="Times New Roman" w:hAnsi="Arial" w:cs="Arial"/>
                <w:color w:val="000000"/>
                <w:sz w:val="24"/>
                <w:szCs w:val="24"/>
                <w:u w:val="single"/>
              </w:rPr>
              <w:t>0.0811</w:t>
            </w:r>
          </w:p>
        </w:tc>
        <w:tc>
          <w:tcPr>
            <w:tcW w:w="2430" w:type="dxa"/>
            <w:tcBorders>
              <w:top w:val="nil"/>
              <w:left w:val="nil"/>
              <w:bottom w:val="single" w:sz="8" w:space="0" w:color="auto"/>
              <w:right w:val="single" w:sz="8" w:space="0" w:color="auto"/>
            </w:tcBorders>
            <w:shd w:val="clear" w:color="auto" w:fill="auto"/>
            <w:vAlign w:val="center"/>
            <w:hideMark/>
          </w:tcPr>
          <w:p w14:paraId="2E1A995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Barrel of Thermal Crude Oil Eqv.</w:t>
            </w:r>
          </w:p>
        </w:tc>
      </w:tr>
      <w:tr w:rsidR="000155BC" w:rsidRPr="00B61FF1" w14:paraId="0EBB96DE" w14:textId="77777777" w:rsidTr="00BF6D6B">
        <w:trPr>
          <w:trHeight w:val="1600"/>
        </w:trPr>
        <w:tc>
          <w:tcPr>
            <w:tcW w:w="2445" w:type="dxa"/>
            <w:vMerge/>
            <w:tcBorders>
              <w:top w:val="nil"/>
              <w:left w:val="single" w:sz="8" w:space="0" w:color="auto"/>
              <w:bottom w:val="single" w:sz="8" w:space="0" w:color="000000"/>
              <w:right w:val="single" w:sz="8" w:space="0" w:color="auto"/>
            </w:tcBorders>
            <w:vAlign w:val="center"/>
            <w:hideMark/>
          </w:tcPr>
          <w:p w14:paraId="1CB1328B"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54ECD2A4"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2250" w:type="dxa"/>
            <w:tcBorders>
              <w:top w:val="nil"/>
              <w:left w:val="nil"/>
              <w:bottom w:val="single" w:sz="8" w:space="0" w:color="auto"/>
              <w:right w:val="single" w:sz="8" w:space="0" w:color="auto"/>
            </w:tcBorders>
            <w:shd w:val="clear" w:color="auto" w:fill="auto"/>
            <w:vAlign w:val="center"/>
            <w:hideMark/>
          </w:tcPr>
          <w:p w14:paraId="1C59B6BF"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Non Thermal Crude Oil Extraction</w:t>
            </w:r>
          </w:p>
        </w:tc>
        <w:tc>
          <w:tcPr>
            <w:tcW w:w="1800" w:type="dxa"/>
            <w:tcBorders>
              <w:top w:val="nil"/>
              <w:left w:val="nil"/>
              <w:bottom w:val="single" w:sz="8" w:space="0" w:color="auto"/>
              <w:right w:val="single" w:sz="8" w:space="0" w:color="auto"/>
            </w:tcBorders>
            <w:shd w:val="clear" w:color="auto" w:fill="auto"/>
            <w:noWrap/>
            <w:vAlign w:val="center"/>
            <w:hideMark/>
          </w:tcPr>
          <w:p w14:paraId="38C476B5"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strike/>
                <w:color w:val="000000"/>
                <w:sz w:val="24"/>
                <w:szCs w:val="24"/>
              </w:rPr>
              <w:t>0.0082</w:t>
            </w:r>
            <w:r w:rsidRPr="00B61FF1">
              <w:rPr>
                <w:rFonts w:ascii="Arial" w:eastAsia="Times New Roman" w:hAnsi="Arial" w:cs="Arial"/>
                <w:color w:val="000000"/>
                <w:sz w:val="24"/>
                <w:szCs w:val="24"/>
                <w:u w:val="single"/>
              </w:rPr>
              <w:t>0.0076</w:t>
            </w:r>
          </w:p>
        </w:tc>
        <w:tc>
          <w:tcPr>
            <w:tcW w:w="2430" w:type="dxa"/>
            <w:tcBorders>
              <w:top w:val="nil"/>
              <w:left w:val="nil"/>
              <w:bottom w:val="single" w:sz="8" w:space="0" w:color="auto"/>
              <w:right w:val="single" w:sz="8" w:space="0" w:color="auto"/>
            </w:tcBorders>
            <w:shd w:val="clear" w:color="auto" w:fill="auto"/>
            <w:vAlign w:val="center"/>
            <w:hideMark/>
          </w:tcPr>
          <w:p w14:paraId="640AD5DE"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Barrel of Non Thermal Crude Oil Eqv.</w:t>
            </w:r>
          </w:p>
        </w:tc>
      </w:tr>
      <w:tr w:rsidR="000155BC" w:rsidRPr="00B61FF1" w14:paraId="4CF33BA5" w14:textId="77777777" w:rsidTr="00BF6D6B">
        <w:trPr>
          <w:trHeight w:val="175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D9787BB"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Natural Gas Liquid Extraction</w:t>
            </w:r>
          </w:p>
        </w:tc>
        <w:tc>
          <w:tcPr>
            <w:tcW w:w="1080" w:type="dxa"/>
            <w:tcBorders>
              <w:top w:val="nil"/>
              <w:left w:val="nil"/>
              <w:bottom w:val="single" w:sz="8" w:space="0" w:color="auto"/>
              <w:right w:val="single" w:sz="8" w:space="0" w:color="auto"/>
            </w:tcBorders>
            <w:shd w:val="clear" w:color="auto" w:fill="auto"/>
            <w:noWrap/>
            <w:vAlign w:val="center"/>
            <w:hideMark/>
          </w:tcPr>
          <w:p w14:paraId="493EFCE8"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211112</w:t>
            </w:r>
          </w:p>
        </w:tc>
        <w:tc>
          <w:tcPr>
            <w:tcW w:w="2250" w:type="dxa"/>
            <w:tcBorders>
              <w:top w:val="nil"/>
              <w:left w:val="nil"/>
              <w:bottom w:val="single" w:sz="8" w:space="0" w:color="auto"/>
              <w:right w:val="single" w:sz="8" w:space="0" w:color="auto"/>
            </w:tcBorders>
            <w:shd w:val="clear" w:color="auto" w:fill="auto"/>
            <w:vAlign w:val="center"/>
            <w:hideMark/>
          </w:tcPr>
          <w:p w14:paraId="1079204F"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Natural Gas Liquid Processing</w:t>
            </w:r>
          </w:p>
        </w:tc>
        <w:tc>
          <w:tcPr>
            <w:tcW w:w="1800" w:type="dxa"/>
            <w:tcBorders>
              <w:top w:val="nil"/>
              <w:left w:val="nil"/>
              <w:bottom w:val="single" w:sz="8" w:space="0" w:color="auto"/>
              <w:right w:val="single" w:sz="8" w:space="0" w:color="auto"/>
            </w:tcBorders>
            <w:shd w:val="clear" w:color="auto" w:fill="auto"/>
            <w:noWrap/>
            <w:vAlign w:val="center"/>
            <w:hideMark/>
          </w:tcPr>
          <w:p w14:paraId="11D929E1"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strike/>
                <w:color w:val="000000"/>
                <w:sz w:val="24"/>
                <w:szCs w:val="24"/>
              </w:rPr>
              <w:t>0.0146</w:t>
            </w:r>
            <w:r w:rsidRPr="00B61FF1">
              <w:rPr>
                <w:rFonts w:ascii="Arial" w:eastAsia="Times New Roman" w:hAnsi="Arial" w:cs="Arial"/>
                <w:color w:val="000000"/>
                <w:sz w:val="24"/>
                <w:szCs w:val="24"/>
                <w:u w:val="single"/>
              </w:rPr>
              <w:t>0.0118</w:t>
            </w:r>
          </w:p>
        </w:tc>
        <w:tc>
          <w:tcPr>
            <w:tcW w:w="2430" w:type="dxa"/>
            <w:tcBorders>
              <w:top w:val="nil"/>
              <w:left w:val="nil"/>
              <w:bottom w:val="single" w:sz="8" w:space="0" w:color="auto"/>
              <w:right w:val="single" w:sz="8" w:space="0" w:color="auto"/>
            </w:tcBorders>
            <w:shd w:val="clear" w:color="auto" w:fill="auto"/>
            <w:vAlign w:val="center"/>
            <w:hideMark/>
          </w:tcPr>
          <w:p w14:paraId="53285289"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Barrel of Natural Gas Liquids Produced</w:t>
            </w:r>
          </w:p>
        </w:tc>
      </w:tr>
      <w:tr w:rsidR="000155BC" w:rsidRPr="00B61FF1" w14:paraId="6AABCA23" w14:textId="77777777" w:rsidTr="00BF6D6B">
        <w:trPr>
          <w:trHeight w:val="1537"/>
        </w:trPr>
        <w:tc>
          <w:tcPr>
            <w:tcW w:w="2445" w:type="dxa"/>
            <w:tcBorders>
              <w:top w:val="nil"/>
              <w:left w:val="single" w:sz="8" w:space="0" w:color="auto"/>
              <w:bottom w:val="single" w:sz="8" w:space="0" w:color="auto"/>
              <w:right w:val="single" w:sz="8" w:space="0" w:color="auto"/>
            </w:tcBorders>
            <w:shd w:val="clear" w:color="auto" w:fill="auto"/>
            <w:noWrap/>
            <w:vAlign w:val="center"/>
          </w:tcPr>
          <w:p w14:paraId="2A43F5AB"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Onshore Natural Gas Processing Plants</w:t>
            </w:r>
          </w:p>
          <w:p w14:paraId="0C347AF7"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p>
        </w:tc>
        <w:tc>
          <w:tcPr>
            <w:tcW w:w="1080" w:type="dxa"/>
            <w:tcBorders>
              <w:top w:val="nil"/>
              <w:left w:val="nil"/>
              <w:bottom w:val="single" w:sz="8" w:space="0" w:color="auto"/>
              <w:right w:val="single" w:sz="8" w:space="0" w:color="auto"/>
            </w:tcBorders>
            <w:shd w:val="clear" w:color="auto" w:fill="auto"/>
            <w:noWrap/>
            <w:vAlign w:val="center"/>
          </w:tcPr>
          <w:p w14:paraId="545E010A" w14:textId="6141A1DD" w:rsidR="000155BC" w:rsidRPr="00B61FF1" w:rsidRDefault="002807B7" w:rsidP="00322802">
            <w:pPr>
              <w:autoSpaceDE/>
              <w:autoSpaceDN/>
              <w:adjustRightInd/>
              <w:jc w:val="center"/>
              <w:rPr>
                <w:rFonts w:ascii="Arial" w:eastAsia="Times New Roman" w:hAnsi="Arial" w:cs="Arial"/>
                <w:color w:val="000000"/>
                <w:sz w:val="24"/>
                <w:szCs w:val="24"/>
                <w:u w:val="single"/>
              </w:rPr>
            </w:pPr>
            <w:r>
              <w:rPr>
                <w:rFonts w:ascii="Arial" w:eastAsia="Times New Roman" w:hAnsi="Arial" w:cs="Arial"/>
                <w:color w:val="000000"/>
                <w:sz w:val="24"/>
                <w:szCs w:val="24"/>
                <w:u w:val="single"/>
              </w:rPr>
              <w:t>211111</w:t>
            </w:r>
          </w:p>
        </w:tc>
        <w:tc>
          <w:tcPr>
            <w:tcW w:w="2250" w:type="dxa"/>
            <w:tcBorders>
              <w:top w:val="nil"/>
              <w:left w:val="nil"/>
              <w:bottom w:val="single" w:sz="8" w:space="0" w:color="auto"/>
              <w:right w:val="single" w:sz="8" w:space="0" w:color="auto"/>
            </w:tcBorders>
            <w:shd w:val="clear" w:color="auto" w:fill="auto"/>
            <w:vAlign w:val="center"/>
          </w:tcPr>
          <w:p w14:paraId="355AB606"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Natural Gas Processing ≥ 25MMscf/day</w:t>
            </w:r>
          </w:p>
          <w:p w14:paraId="7405D267" w14:textId="77777777" w:rsidR="000155BC" w:rsidRPr="00B61FF1" w:rsidRDefault="000155BC" w:rsidP="00322802">
            <w:pPr>
              <w:autoSpaceDE/>
              <w:autoSpaceDN/>
              <w:adjustRightInd/>
              <w:jc w:val="center"/>
              <w:rPr>
                <w:rFonts w:ascii="Arial" w:eastAsia="Times New Roman" w:hAnsi="Arial" w:cs="Arial"/>
                <w:color w:val="000000"/>
                <w:sz w:val="24"/>
                <w:szCs w:val="24"/>
              </w:rPr>
            </w:pPr>
          </w:p>
        </w:tc>
        <w:tc>
          <w:tcPr>
            <w:tcW w:w="1800" w:type="dxa"/>
            <w:tcBorders>
              <w:top w:val="nil"/>
              <w:left w:val="nil"/>
              <w:bottom w:val="single" w:sz="8" w:space="0" w:color="auto"/>
              <w:right w:val="single" w:sz="8" w:space="0" w:color="auto"/>
            </w:tcBorders>
            <w:shd w:val="clear" w:color="auto" w:fill="auto"/>
            <w:noWrap/>
            <w:vAlign w:val="center"/>
          </w:tcPr>
          <w:p w14:paraId="1E65AB89"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0.0220</w:t>
            </w:r>
          </w:p>
        </w:tc>
        <w:tc>
          <w:tcPr>
            <w:tcW w:w="2430" w:type="dxa"/>
            <w:tcBorders>
              <w:top w:val="nil"/>
              <w:left w:val="nil"/>
              <w:bottom w:val="single" w:sz="8" w:space="0" w:color="auto"/>
              <w:right w:val="single" w:sz="8" w:space="0" w:color="auto"/>
            </w:tcBorders>
            <w:shd w:val="clear" w:color="auto" w:fill="auto"/>
            <w:vAlign w:val="center"/>
          </w:tcPr>
          <w:p w14:paraId="3D7272D2"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u w:val="single"/>
              </w:rPr>
              <w:t xml:space="preserve">Allowances / Barrel of Gas Processed Eqv. </w:t>
            </w:r>
          </w:p>
        </w:tc>
      </w:tr>
      <w:tr w:rsidR="000155BC" w:rsidRPr="00B61FF1" w14:paraId="7F06FE3D" w14:textId="77777777" w:rsidTr="00BF6D6B">
        <w:trPr>
          <w:trHeight w:val="2410"/>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5B76977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Potash, Soda, and Borate Mineral Mining</w:t>
            </w:r>
          </w:p>
        </w:tc>
        <w:tc>
          <w:tcPr>
            <w:tcW w:w="1080" w:type="dxa"/>
            <w:tcBorders>
              <w:top w:val="nil"/>
              <w:left w:val="nil"/>
              <w:bottom w:val="single" w:sz="8" w:space="0" w:color="auto"/>
              <w:right w:val="single" w:sz="8" w:space="0" w:color="auto"/>
            </w:tcBorders>
            <w:shd w:val="clear" w:color="auto" w:fill="auto"/>
            <w:noWrap/>
            <w:vAlign w:val="center"/>
            <w:hideMark/>
          </w:tcPr>
          <w:p w14:paraId="6F9DF956"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212391</w:t>
            </w:r>
          </w:p>
        </w:tc>
        <w:tc>
          <w:tcPr>
            <w:tcW w:w="2250" w:type="dxa"/>
            <w:tcBorders>
              <w:top w:val="nil"/>
              <w:left w:val="nil"/>
              <w:bottom w:val="single" w:sz="8" w:space="0" w:color="auto"/>
              <w:right w:val="single" w:sz="8" w:space="0" w:color="auto"/>
            </w:tcBorders>
            <w:shd w:val="clear" w:color="auto" w:fill="auto"/>
            <w:vAlign w:val="center"/>
            <w:hideMark/>
          </w:tcPr>
          <w:p w14:paraId="1A73462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Mining and Manufacturing of Soda Ash and Related Products</w:t>
            </w:r>
          </w:p>
        </w:tc>
        <w:tc>
          <w:tcPr>
            <w:tcW w:w="1800" w:type="dxa"/>
            <w:tcBorders>
              <w:top w:val="nil"/>
              <w:left w:val="nil"/>
              <w:bottom w:val="single" w:sz="8" w:space="0" w:color="auto"/>
              <w:right w:val="single" w:sz="8" w:space="0" w:color="auto"/>
            </w:tcBorders>
            <w:shd w:val="clear" w:color="auto" w:fill="auto"/>
            <w:noWrap/>
            <w:vAlign w:val="center"/>
            <w:hideMark/>
          </w:tcPr>
          <w:p w14:paraId="53577EB7"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0.948</w:t>
            </w:r>
          </w:p>
        </w:tc>
        <w:tc>
          <w:tcPr>
            <w:tcW w:w="2430" w:type="dxa"/>
            <w:tcBorders>
              <w:top w:val="nil"/>
              <w:left w:val="nil"/>
              <w:bottom w:val="single" w:sz="8" w:space="0" w:color="auto"/>
              <w:right w:val="single" w:sz="8" w:space="0" w:color="auto"/>
            </w:tcBorders>
            <w:shd w:val="clear" w:color="auto" w:fill="auto"/>
            <w:vAlign w:val="center"/>
            <w:hideMark/>
          </w:tcPr>
          <w:p w14:paraId="5EA51AEE"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Soda Ash Equivalent (Soda Ash,  Biocarb, Borax, V-Bor, DECA, PYROBOR, Boric Acid, and Sulfate)</w:t>
            </w:r>
          </w:p>
        </w:tc>
      </w:tr>
      <w:tr w:rsidR="000155BC" w:rsidRPr="00B61FF1" w14:paraId="3B78C96C" w14:textId="77777777" w:rsidTr="00BF6D6B">
        <w:trPr>
          <w:trHeight w:val="1987"/>
        </w:trPr>
        <w:tc>
          <w:tcPr>
            <w:tcW w:w="2445" w:type="dxa"/>
            <w:tcBorders>
              <w:top w:val="single" w:sz="8" w:space="0" w:color="auto"/>
              <w:left w:val="single" w:sz="8" w:space="0" w:color="auto"/>
              <w:bottom w:val="single" w:sz="8" w:space="0" w:color="auto"/>
              <w:right w:val="single" w:sz="8" w:space="0" w:color="auto"/>
            </w:tcBorders>
            <w:shd w:val="clear" w:color="auto" w:fill="auto"/>
            <w:vAlign w:val="center"/>
          </w:tcPr>
          <w:p w14:paraId="4A546BF0"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All Other Nonmetallic Mineral</w:t>
            </w:r>
          </w:p>
          <w:p w14:paraId="23BDA0BE"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Mining</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3CCC6899" w14:textId="77777777" w:rsidR="000155BC" w:rsidRPr="00B61FF1" w:rsidRDefault="000155BC" w:rsidP="00322802">
            <w:pPr>
              <w:autoSpaceDE/>
              <w:autoSpaceDN/>
              <w:adjustRightInd/>
              <w:rPr>
                <w:rFonts w:ascii="Arial" w:eastAsia="Times New Roman" w:hAnsi="Arial" w:cs="Arial"/>
                <w:sz w:val="24"/>
                <w:szCs w:val="24"/>
                <w:u w:val="single"/>
                <w:lang w:eastAsia="ja-JP"/>
              </w:rPr>
            </w:pPr>
            <w:r w:rsidRPr="00B61FF1">
              <w:rPr>
                <w:rFonts w:ascii="Arial" w:eastAsia="Times New Roman" w:hAnsi="Arial" w:cs="Arial"/>
                <w:sz w:val="24"/>
                <w:szCs w:val="24"/>
                <w:u w:val="single"/>
                <w:lang w:eastAsia="ja-JP"/>
              </w:rPr>
              <w:t>212399</w:t>
            </w:r>
          </w:p>
          <w:p w14:paraId="08D58BAE"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p>
        </w:tc>
        <w:tc>
          <w:tcPr>
            <w:tcW w:w="2250" w:type="dxa"/>
            <w:tcBorders>
              <w:top w:val="single" w:sz="8" w:space="0" w:color="auto"/>
              <w:left w:val="nil"/>
              <w:bottom w:val="single" w:sz="8" w:space="0" w:color="auto"/>
              <w:right w:val="single" w:sz="8" w:space="0" w:color="auto"/>
            </w:tcBorders>
            <w:shd w:val="clear" w:color="auto" w:fill="auto"/>
            <w:vAlign w:val="center"/>
          </w:tcPr>
          <w:p w14:paraId="035C3A60"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Freshwater Diatomite Filter Aids Manufacturing</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04383624"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0.418</w:t>
            </w:r>
          </w:p>
        </w:tc>
        <w:tc>
          <w:tcPr>
            <w:tcW w:w="2430" w:type="dxa"/>
            <w:tcBorders>
              <w:top w:val="single" w:sz="8" w:space="0" w:color="auto"/>
              <w:left w:val="nil"/>
              <w:bottom w:val="single" w:sz="8" w:space="0" w:color="auto"/>
              <w:right w:val="single" w:sz="8" w:space="0" w:color="auto"/>
            </w:tcBorders>
            <w:shd w:val="clear" w:color="auto" w:fill="auto"/>
            <w:vAlign w:val="center"/>
          </w:tcPr>
          <w:p w14:paraId="7B81BE91"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Allowances / Short Ton of Freshwater Diatomite Filter Aids</w:t>
            </w:r>
          </w:p>
        </w:tc>
      </w:tr>
    </w:tbl>
    <w:p w14:paraId="5C1AFCA2" w14:textId="77777777" w:rsidR="005C0A48" w:rsidRPr="00B61FF1" w:rsidRDefault="005C0A48" w:rsidP="004E3B67">
      <w:pPr>
        <w:spacing w:line="360" w:lineRule="auto"/>
        <w:rPr>
          <w:rFonts w:ascii="Arial" w:hAnsi="Arial" w:cs="Arial"/>
          <w:sz w:val="24"/>
          <w:szCs w:val="24"/>
        </w:rPr>
      </w:pPr>
    </w:p>
    <w:p w14:paraId="125AA773" w14:textId="77777777" w:rsidR="005C0A48" w:rsidRPr="00B61FF1" w:rsidRDefault="005C0A48" w:rsidP="004E3B67">
      <w:pPr>
        <w:spacing w:line="360" w:lineRule="auto"/>
        <w:rPr>
          <w:rFonts w:ascii="Arial" w:hAnsi="Arial" w:cs="Arial"/>
          <w:sz w:val="24"/>
          <w:szCs w:val="24"/>
        </w:rPr>
      </w:pPr>
    </w:p>
    <w:tbl>
      <w:tblPr>
        <w:tblW w:w="10300" w:type="dxa"/>
        <w:tblInd w:w="93" w:type="dxa"/>
        <w:tblLook w:val="04A0" w:firstRow="1" w:lastRow="0" w:firstColumn="1" w:lastColumn="0" w:noHBand="0" w:noVBand="1"/>
      </w:tblPr>
      <w:tblGrid>
        <w:gridCol w:w="2060"/>
        <w:gridCol w:w="2060"/>
        <w:gridCol w:w="2060"/>
        <w:gridCol w:w="2060"/>
        <w:gridCol w:w="2060"/>
      </w:tblGrid>
      <w:tr w:rsidR="00BF6D6B" w:rsidRPr="00B61FF1" w14:paraId="3ECC7A09" w14:textId="77777777" w:rsidTr="00BF6D6B">
        <w:trPr>
          <w:cantSplit/>
          <w:trHeight w:val="1275"/>
          <w:tblHeader/>
        </w:trPr>
        <w:tc>
          <w:tcPr>
            <w:tcW w:w="20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0605CF9" w14:textId="77777777" w:rsidR="00BF6D6B" w:rsidRPr="00B61FF1" w:rsidRDefault="00BF6D6B" w:rsidP="00BF6D6B">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Sector Definition</w:t>
            </w:r>
          </w:p>
        </w:tc>
        <w:tc>
          <w:tcPr>
            <w:tcW w:w="2060" w:type="dxa"/>
            <w:tcBorders>
              <w:top w:val="single" w:sz="8" w:space="0" w:color="auto"/>
              <w:left w:val="nil"/>
              <w:bottom w:val="single" w:sz="8" w:space="0" w:color="auto"/>
              <w:right w:val="single" w:sz="8" w:space="0" w:color="auto"/>
            </w:tcBorders>
            <w:shd w:val="clear" w:color="000000" w:fill="BFBFBF"/>
            <w:vAlign w:val="center"/>
            <w:hideMark/>
          </w:tcPr>
          <w:p w14:paraId="7BDB8CA1" w14:textId="77777777" w:rsidR="00BF6D6B" w:rsidRPr="00B61FF1" w:rsidRDefault="00BF6D6B" w:rsidP="00BF6D6B">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code</w:t>
            </w:r>
          </w:p>
        </w:tc>
        <w:tc>
          <w:tcPr>
            <w:tcW w:w="2060" w:type="dxa"/>
            <w:tcBorders>
              <w:top w:val="single" w:sz="8" w:space="0" w:color="auto"/>
              <w:left w:val="nil"/>
              <w:bottom w:val="single" w:sz="8" w:space="0" w:color="auto"/>
              <w:right w:val="single" w:sz="8" w:space="0" w:color="auto"/>
            </w:tcBorders>
            <w:shd w:val="clear" w:color="000000" w:fill="BFBFBF"/>
            <w:vAlign w:val="center"/>
            <w:hideMark/>
          </w:tcPr>
          <w:p w14:paraId="30AEE3F7" w14:textId="77777777" w:rsidR="00BF6D6B" w:rsidRPr="00B61FF1" w:rsidRDefault="00BF6D6B" w:rsidP="00BF6D6B">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Activity (a)</w:t>
            </w:r>
          </w:p>
        </w:tc>
        <w:tc>
          <w:tcPr>
            <w:tcW w:w="2060" w:type="dxa"/>
            <w:tcBorders>
              <w:top w:val="single" w:sz="8" w:space="0" w:color="auto"/>
              <w:left w:val="nil"/>
              <w:bottom w:val="single" w:sz="8" w:space="0" w:color="auto"/>
              <w:right w:val="single" w:sz="8" w:space="0" w:color="auto"/>
            </w:tcBorders>
            <w:shd w:val="clear" w:color="000000" w:fill="BFBFBF"/>
            <w:vAlign w:val="center"/>
            <w:hideMark/>
          </w:tcPr>
          <w:p w14:paraId="406C4EBA" w14:textId="77777777" w:rsidR="00BF6D6B" w:rsidRPr="00B61FF1" w:rsidRDefault="00BF6D6B" w:rsidP="00BF6D6B">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(B</w:t>
            </w:r>
            <w:r w:rsidRPr="00B61FF1">
              <w:rPr>
                <w:rFonts w:ascii="Arial" w:eastAsia="Times New Roman" w:hAnsi="Arial" w:cs="Arial"/>
                <w:b/>
                <w:bCs/>
                <w:color w:val="000000"/>
                <w:sz w:val="24"/>
                <w:szCs w:val="24"/>
                <w:vertAlign w:val="subscript"/>
              </w:rPr>
              <w:t>a</w:t>
            </w:r>
            <w:r w:rsidRPr="00B61FF1">
              <w:rPr>
                <w:rFonts w:ascii="Arial" w:eastAsia="Times New Roman" w:hAnsi="Arial" w:cs="Arial"/>
                <w:b/>
                <w:bCs/>
                <w:color w:val="000000"/>
                <w:sz w:val="24"/>
                <w:szCs w:val="24"/>
              </w:rPr>
              <w:t>)</w:t>
            </w:r>
          </w:p>
        </w:tc>
        <w:tc>
          <w:tcPr>
            <w:tcW w:w="2060" w:type="dxa"/>
            <w:tcBorders>
              <w:top w:val="single" w:sz="8" w:space="0" w:color="auto"/>
              <w:left w:val="nil"/>
              <w:bottom w:val="single" w:sz="8" w:space="0" w:color="auto"/>
              <w:right w:val="single" w:sz="8" w:space="0" w:color="auto"/>
            </w:tcBorders>
            <w:shd w:val="clear" w:color="000000" w:fill="BFBFBF"/>
            <w:vAlign w:val="center"/>
            <w:hideMark/>
          </w:tcPr>
          <w:p w14:paraId="161500CD" w14:textId="77777777" w:rsidR="00BF6D6B" w:rsidRPr="00B61FF1" w:rsidRDefault="00BF6D6B" w:rsidP="00BF6D6B">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Units</w:t>
            </w:r>
          </w:p>
        </w:tc>
      </w:tr>
      <w:tr w:rsidR="00BF6D6B" w:rsidRPr="00B61FF1" w14:paraId="01FB2005" w14:textId="77777777" w:rsidTr="00BF6D6B">
        <w:trPr>
          <w:cantSplit/>
          <w:trHeight w:val="6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457282A3" w14:textId="4B4442EC"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Fruit and vegetable canning</w:t>
            </w:r>
          </w:p>
        </w:tc>
        <w:tc>
          <w:tcPr>
            <w:tcW w:w="2060" w:type="dxa"/>
            <w:tcBorders>
              <w:top w:val="nil"/>
              <w:left w:val="nil"/>
              <w:bottom w:val="single" w:sz="8" w:space="0" w:color="auto"/>
              <w:right w:val="single" w:sz="8" w:space="0" w:color="auto"/>
            </w:tcBorders>
            <w:shd w:val="clear" w:color="auto" w:fill="auto"/>
            <w:vAlign w:val="center"/>
            <w:hideMark/>
          </w:tcPr>
          <w:p w14:paraId="550A791C"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311421</w:t>
            </w:r>
          </w:p>
        </w:tc>
        <w:tc>
          <w:tcPr>
            <w:tcW w:w="2060" w:type="dxa"/>
            <w:tcBorders>
              <w:top w:val="nil"/>
              <w:left w:val="nil"/>
              <w:bottom w:val="single" w:sz="8" w:space="0" w:color="auto"/>
              <w:right w:val="single" w:sz="8" w:space="0" w:color="auto"/>
            </w:tcBorders>
            <w:shd w:val="clear" w:color="auto" w:fill="auto"/>
            <w:vAlign w:val="center"/>
            <w:hideMark/>
          </w:tcPr>
          <w:p w14:paraId="0DD51578"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Tomato Processing (TBD)</w:t>
            </w:r>
          </w:p>
        </w:tc>
        <w:tc>
          <w:tcPr>
            <w:tcW w:w="2060" w:type="dxa"/>
            <w:tcBorders>
              <w:top w:val="nil"/>
              <w:left w:val="nil"/>
              <w:bottom w:val="single" w:sz="8" w:space="0" w:color="auto"/>
              <w:right w:val="single" w:sz="8" w:space="0" w:color="auto"/>
            </w:tcBorders>
            <w:shd w:val="clear" w:color="auto" w:fill="auto"/>
            <w:vAlign w:val="center"/>
            <w:hideMark/>
          </w:tcPr>
          <w:p w14:paraId="42A55E75"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5D257B61"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BF6D6B" w:rsidRPr="00B61FF1" w14:paraId="1203D72E" w14:textId="77777777" w:rsidTr="00BF6D6B">
        <w:trPr>
          <w:cantSplit/>
          <w:trHeight w:val="915"/>
        </w:trPr>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0802E3"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Poultry Processing</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63723E"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311615</w:t>
            </w:r>
          </w:p>
        </w:tc>
        <w:tc>
          <w:tcPr>
            <w:tcW w:w="2060" w:type="dxa"/>
            <w:tcBorders>
              <w:top w:val="nil"/>
              <w:left w:val="nil"/>
              <w:bottom w:val="single" w:sz="8" w:space="0" w:color="auto"/>
              <w:right w:val="single" w:sz="8" w:space="0" w:color="auto"/>
            </w:tcBorders>
            <w:shd w:val="clear" w:color="auto" w:fill="auto"/>
            <w:vAlign w:val="center"/>
            <w:hideMark/>
          </w:tcPr>
          <w:p w14:paraId="422292B5"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Whole Chicken and Parts Processing</w:t>
            </w:r>
          </w:p>
        </w:tc>
        <w:tc>
          <w:tcPr>
            <w:tcW w:w="2060" w:type="dxa"/>
            <w:tcBorders>
              <w:top w:val="nil"/>
              <w:left w:val="nil"/>
              <w:bottom w:val="single" w:sz="8" w:space="0" w:color="auto"/>
              <w:right w:val="single" w:sz="8" w:space="0" w:color="auto"/>
            </w:tcBorders>
            <w:shd w:val="clear" w:color="auto" w:fill="auto"/>
            <w:vAlign w:val="center"/>
            <w:hideMark/>
          </w:tcPr>
          <w:p w14:paraId="43630FF5"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4A67FA8D"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 xml:space="preserve">Allowances / </w:t>
            </w:r>
            <w:r w:rsidRPr="00B61FF1">
              <w:rPr>
                <w:rFonts w:ascii="Arial" w:eastAsia="Times New Roman" w:hAnsi="Arial" w:cs="Arial"/>
                <w:color w:val="000000"/>
                <w:sz w:val="24"/>
                <w:szCs w:val="24"/>
                <w:u w:val="single"/>
              </w:rPr>
              <w:br/>
              <w:t>lb Whole Chicken and Parts</w:t>
            </w:r>
          </w:p>
        </w:tc>
      </w:tr>
      <w:tr w:rsidR="00BF6D6B" w:rsidRPr="00B61FF1" w14:paraId="361063A9" w14:textId="77777777" w:rsidTr="00BF6D6B">
        <w:trPr>
          <w:cantSplit/>
          <w:trHeight w:val="915"/>
        </w:trPr>
        <w:tc>
          <w:tcPr>
            <w:tcW w:w="2060" w:type="dxa"/>
            <w:vMerge/>
            <w:tcBorders>
              <w:top w:val="nil"/>
              <w:left w:val="single" w:sz="8" w:space="0" w:color="auto"/>
              <w:bottom w:val="single" w:sz="8" w:space="0" w:color="000000"/>
              <w:right w:val="single" w:sz="8" w:space="0" w:color="auto"/>
            </w:tcBorders>
            <w:vAlign w:val="center"/>
            <w:hideMark/>
          </w:tcPr>
          <w:p w14:paraId="3862BF07"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3F4735AD"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tcBorders>
              <w:top w:val="nil"/>
              <w:left w:val="nil"/>
              <w:bottom w:val="single" w:sz="8" w:space="0" w:color="auto"/>
              <w:right w:val="single" w:sz="8" w:space="0" w:color="auto"/>
            </w:tcBorders>
            <w:shd w:val="clear" w:color="auto" w:fill="auto"/>
            <w:vAlign w:val="center"/>
            <w:hideMark/>
          </w:tcPr>
          <w:p w14:paraId="29E3084A"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Poultry Deli Product Processing</w:t>
            </w:r>
          </w:p>
        </w:tc>
        <w:tc>
          <w:tcPr>
            <w:tcW w:w="2060" w:type="dxa"/>
            <w:tcBorders>
              <w:top w:val="nil"/>
              <w:left w:val="nil"/>
              <w:bottom w:val="single" w:sz="8" w:space="0" w:color="auto"/>
              <w:right w:val="single" w:sz="8" w:space="0" w:color="auto"/>
            </w:tcBorders>
            <w:shd w:val="clear" w:color="auto" w:fill="auto"/>
            <w:vAlign w:val="center"/>
            <w:hideMark/>
          </w:tcPr>
          <w:p w14:paraId="05C1BB94"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7445D52F"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 xml:space="preserve">Allowances / </w:t>
            </w:r>
            <w:r w:rsidRPr="00B61FF1">
              <w:rPr>
                <w:rFonts w:ascii="Arial" w:eastAsia="Times New Roman" w:hAnsi="Arial" w:cs="Arial"/>
                <w:color w:val="000000"/>
                <w:sz w:val="24"/>
                <w:szCs w:val="24"/>
                <w:u w:val="single"/>
              </w:rPr>
              <w:br/>
              <w:t>lb Poultry Deli Product</w:t>
            </w:r>
          </w:p>
        </w:tc>
      </w:tr>
      <w:tr w:rsidR="00BF6D6B" w:rsidRPr="00B61FF1" w14:paraId="55F7F96A" w14:textId="77777777" w:rsidTr="00BF6D6B">
        <w:trPr>
          <w:cantSplit/>
          <w:trHeight w:val="615"/>
        </w:trPr>
        <w:tc>
          <w:tcPr>
            <w:tcW w:w="2060" w:type="dxa"/>
            <w:vMerge/>
            <w:tcBorders>
              <w:top w:val="nil"/>
              <w:left w:val="single" w:sz="8" w:space="0" w:color="auto"/>
              <w:bottom w:val="single" w:sz="8" w:space="0" w:color="000000"/>
              <w:right w:val="single" w:sz="8" w:space="0" w:color="auto"/>
            </w:tcBorders>
            <w:vAlign w:val="center"/>
            <w:hideMark/>
          </w:tcPr>
          <w:p w14:paraId="2DCC2057"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0B016A32"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tcBorders>
              <w:top w:val="nil"/>
              <w:left w:val="nil"/>
              <w:bottom w:val="single" w:sz="8" w:space="0" w:color="auto"/>
              <w:right w:val="single" w:sz="8" w:space="0" w:color="auto"/>
            </w:tcBorders>
            <w:shd w:val="clear" w:color="auto" w:fill="auto"/>
            <w:vAlign w:val="center"/>
            <w:hideMark/>
          </w:tcPr>
          <w:p w14:paraId="5053C9A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Protein Meal Processing</w:t>
            </w:r>
          </w:p>
        </w:tc>
        <w:tc>
          <w:tcPr>
            <w:tcW w:w="2060" w:type="dxa"/>
            <w:tcBorders>
              <w:top w:val="nil"/>
              <w:left w:val="nil"/>
              <w:bottom w:val="single" w:sz="8" w:space="0" w:color="auto"/>
              <w:right w:val="single" w:sz="8" w:space="0" w:color="auto"/>
            </w:tcBorders>
            <w:shd w:val="clear" w:color="auto" w:fill="auto"/>
            <w:vAlign w:val="center"/>
            <w:hideMark/>
          </w:tcPr>
          <w:p w14:paraId="396C863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1366487F"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 xml:space="preserve">Allowances / </w:t>
            </w:r>
            <w:r w:rsidRPr="00B61FF1">
              <w:rPr>
                <w:rFonts w:ascii="Arial" w:eastAsia="Times New Roman" w:hAnsi="Arial" w:cs="Arial"/>
                <w:color w:val="000000"/>
                <w:sz w:val="24"/>
                <w:szCs w:val="24"/>
                <w:u w:val="single"/>
              </w:rPr>
              <w:br/>
              <w:t>lb Protein Meal</w:t>
            </w:r>
          </w:p>
        </w:tc>
      </w:tr>
      <w:tr w:rsidR="00BF6D6B" w:rsidRPr="00B61FF1" w14:paraId="3F1F3F86" w14:textId="77777777" w:rsidTr="00BF6D6B">
        <w:trPr>
          <w:cantSplit/>
          <w:trHeight w:val="915"/>
        </w:trPr>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25284A13"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Dried and Dehydrated Food Manufacturing</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AE8A54"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311423</w:t>
            </w:r>
          </w:p>
        </w:tc>
        <w:tc>
          <w:tcPr>
            <w:tcW w:w="2060" w:type="dxa"/>
            <w:tcBorders>
              <w:top w:val="nil"/>
              <w:left w:val="nil"/>
              <w:bottom w:val="single" w:sz="8" w:space="0" w:color="auto"/>
              <w:right w:val="single" w:sz="8" w:space="0" w:color="auto"/>
            </w:tcBorders>
            <w:shd w:val="clear" w:color="auto" w:fill="auto"/>
            <w:vAlign w:val="center"/>
            <w:hideMark/>
          </w:tcPr>
          <w:p w14:paraId="63FD80A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Dehydrated Garlic Processing</w:t>
            </w:r>
          </w:p>
        </w:tc>
        <w:tc>
          <w:tcPr>
            <w:tcW w:w="2060" w:type="dxa"/>
            <w:tcBorders>
              <w:top w:val="nil"/>
              <w:left w:val="nil"/>
              <w:bottom w:val="single" w:sz="8" w:space="0" w:color="auto"/>
              <w:right w:val="single" w:sz="8" w:space="0" w:color="auto"/>
            </w:tcBorders>
            <w:shd w:val="clear" w:color="auto" w:fill="auto"/>
            <w:vAlign w:val="center"/>
            <w:hideMark/>
          </w:tcPr>
          <w:p w14:paraId="0F3E1D41"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5CF50720"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r w:rsidRPr="00B61FF1">
              <w:rPr>
                <w:rFonts w:eastAsia="Times New Roman" w:cs="Arial"/>
                <w:color w:val="000000"/>
                <w:sz w:val="16"/>
                <w:szCs w:val="16"/>
              </w:rPr>
              <w:t> </w:t>
            </w:r>
          </w:p>
        </w:tc>
      </w:tr>
      <w:tr w:rsidR="00BF6D6B" w:rsidRPr="00B61FF1" w14:paraId="40A3BCCE" w14:textId="77777777" w:rsidTr="00BF6D6B">
        <w:trPr>
          <w:cantSplit/>
          <w:trHeight w:val="615"/>
        </w:trPr>
        <w:tc>
          <w:tcPr>
            <w:tcW w:w="2060" w:type="dxa"/>
            <w:vMerge/>
            <w:tcBorders>
              <w:top w:val="nil"/>
              <w:left w:val="single" w:sz="8" w:space="0" w:color="auto"/>
              <w:bottom w:val="single" w:sz="8" w:space="0" w:color="000000"/>
              <w:right w:val="single" w:sz="8" w:space="0" w:color="auto"/>
            </w:tcBorders>
            <w:vAlign w:val="center"/>
            <w:hideMark/>
          </w:tcPr>
          <w:p w14:paraId="2CD4DCE9"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7D2B9954"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tcBorders>
              <w:top w:val="nil"/>
              <w:left w:val="nil"/>
              <w:bottom w:val="single" w:sz="8" w:space="0" w:color="auto"/>
              <w:right w:val="single" w:sz="8" w:space="0" w:color="auto"/>
            </w:tcBorders>
            <w:shd w:val="clear" w:color="auto" w:fill="auto"/>
            <w:vAlign w:val="center"/>
            <w:hideMark/>
          </w:tcPr>
          <w:p w14:paraId="0CA61EAF"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Dehydrated Onion Processing</w:t>
            </w:r>
          </w:p>
        </w:tc>
        <w:tc>
          <w:tcPr>
            <w:tcW w:w="2060" w:type="dxa"/>
            <w:tcBorders>
              <w:top w:val="nil"/>
              <w:left w:val="nil"/>
              <w:bottom w:val="single" w:sz="8" w:space="0" w:color="auto"/>
              <w:right w:val="single" w:sz="8" w:space="0" w:color="auto"/>
            </w:tcBorders>
            <w:shd w:val="clear" w:color="auto" w:fill="auto"/>
            <w:vAlign w:val="center"/>
            <w:hideMark/>
          </w:tcPr>
          <w:p w14:paraId="5BF3DA18"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35029F3D"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r w:rsidRPr="00B61FF1">
              <w:rPr>
                <w:rFonts w:eastAsia="Times New Roman" w:cs="Arial"/>
                <w:color w:val="000000"/>
                <w:sz w:val="16"/>
                <w:szCs w:val="16"/>
              </w:rPr>
              <w:t> </w:t>
            </w:r>
          </w:p>
        </w:tc>
      </w:tr>
      <w:tr w:rsidR="00BF6D6B" w:rsidRPr="00B61FF1" w14:paraId="6116D898" w14:textId="77777777" w:rsidTr="00BF6D6B">
        <w:trPr>
          <w:cantSplit/>
          <w:trHeight w:val="915"/>
        </w:trPr>
        <w:tc>
          <w:tcPr>
            <w:tcW w:w="2060" w:type="dxa"/>
            <w:vMerge/>
            <w:tcBorders>
              <w:top w:val="nil"/>
              <w:left w:val="single" w:sz="8" w:space="0" w:color="auto"/>
              <w:bottom w:val="single" w:sz="8" w:space="0" w:color="000000"/>
              <w:right w:val="single" w:sz="8" w:space="0" w:color="auto"/>
            </w:tcBorders>
            <w:vAlign w:val="center"/>
            <w:hideMark/>
          </w:tcPr>
          <w:p w14:paraId="648EF5EA"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5B7CEBFF"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tcBorders>
              <w:top w:val="nil"/>
              <w:left w:val="nil"/>
              <w:bottom w:val="single" w:sz="8" w:space="0" w:color="auto"/>
              <w:right w:val="single" w:sz="8" w:space="0" w:color="auto"/>
            </w:tcBorders>
            <w:shd w:val="clear" w:color="auto" w:fill="auto"/>
            <w:vAlign w:val="center"/>
            <w:hideMark/>
          </w:tcPr>
          <w:p w14:paraId="6276753E"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Dehydrated Chili Pepper Processing</w:t>
            </w:r>
          </w:p>
        </w:tc>
        <w:tc>
          <w:tcPr>
            <w:tcW w:w="2060" w:type="dxa"/>
            <w:tcBorders>
              <w:top w:val="nil"/>
              <w:left w:val="nil"/>
              <w:bottom w:val="single" w:sz="8" w:space="0" w:color="auto"/>
              <w:right w:val="single" w:sz="8" w:space="0" w:color="auto"/>
            </w:tcBorders>
            <w:shd w:val="clear" w:color="auto" w:fill="auto"/>
            <w:vAlign w:val="center"/>
            <w:hideMark/>
          </w:tcPr>
          <w:p w14:paraId="757CC308"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4E52FF3E"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r w:rsidRPr="00B61FF1">
              <w:rPr>
                <w:rFonts w:eastAsia="Times New Roman" w:cs="Arial"/>
                <w:color w:val="000000"/>
                <w:sz w:val="16"/>
                <w:szCs w:val="16"/>
              </w:rPr>
              <w:t> </w:t>
            </w:r>
          </w:p>
        </w:tc>
      </w:tr>
      <w:tr w:rsidR="00BF6D6B" w:rsidRPr="00B61FF1" w14:paraId="6CFDB3DA" w14:textId="77777777" w:rsidTr="00BF6D6B">
        <w:trPr>
          <w:cantSplit/>
          <w:trHeight w:val="915"/>
        </w:trPr>
        <w:tc>
          <w:tcPr>
            <w:tcW w:w="2060" w:type="dxa"/>
            <w:vMerge/>
            <w:tcBorders>
              <w:top w:val="nil"/>
              <w:left w:val="single" w:sz="8" w:space="0" w:color="auto"/>
              <w:bottom w:val="single" w:sz="8" w:space="0" w:color="000000"/>
              <w:right w:val="single" w:sz="8" w:space="0" w:color="auto"/>
            </w:tcBorders>
            <w:vAlign w:val="center"/>
            <w:hideMark/>
          </w:tcPr>
          <w:p w14:paraId="44802EB6"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048CE0C0"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tcBorders>
              <w:top w:val="nil"/>
              <w:left w:val="nil"/>
              <w:bottom w:val="single" w:sz="8" w:space="0" w:color="auto"/>
              <w:right w:val="single" w:sz="8" w:space="0" w:color="auto"/>
            </w:tcBorders>
            <w:shd w:val="clear" w:color="auto" w:fill="auto"/>
            <w:vAlign w:val="center"/>
            <w:hideMark/>
          </w:tcPr>
          <w:p w14:paraId="2B96D70E"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Dehydrated Spinach Processing</w:t>
            </w:r>
          </w:p>
        </w:tc>
        <w:tc>
          <w:tcPr>
            <w:tcW w:w="2060" w:type="dxa"/>
            <w:tcBorders>
              <w:top w:val="nil"/>
              <w:left w:val="nil"/>
              <w:bottom w:val="single" w:sz="8" w:space="0" w:color="auto"/>
              <w:right w:val="single" w:sz="8" w:space="0" w:color="auto"/>
            </w:tcBorders>
            <w:shd w:val="clear" w:color="auto" w:fill="auto"/>
            <w:vAlign w:val="center"/>
            <w:hideMark/>
          </w:tcPr>
          <w:p w14:paraId="54C4FB7E"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23F0EE96"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r w:rsidRPr="00B61FF1">
              <w:rPr>
                <w:rFonts w:eastAsia="Times New Roman" w:cs="Arial"/>
                <w:color w:val="000000"/>
                <w:sz w:val="16"/>
                <w:szCs w:val="16"/>
              </w:rPr>
              <w:t> </w:t>
            </w:r>
          </w:p>
        </w:tc>
      </w:tr>
      <w:tr w:rsidR="00BF6D6B" w:rsidRPr="00B61FF1" w14:paraId="22D8AC36" w14:textId="77777777" w:rsidTr="00BF6D6B">
        <w:trPr>
          <w:cantSplit/>
          <w:trHeight w:val="915"/>
        </w:trPr>
        <w:tc>
          <w:tcPr>
            <w:tcW w:w="2060" w:type="dxa"/>
            <w:vMerge/>
            <w:tcBorders>
              <w:top w:val="nil"/>
              <w:left w:val="single" w:sz="8" w:space="0" w:color="auto"/>
              <w:bottom w:val="single" w:sz="8" w:space="0" w:color="000000"/>
              <w:right w:val="single" w:sz="8" w:space="0" w:color="auto"/>
            </w:tcBorders>
            <w:vAlign w:val="center"/>
            <w:hideMark/>
          </w:tcPr>
          <w:p w14:paraId="5BE99759"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2B60136A"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tcBorders>
              <w:top w:val="nil"/>
              <w:left w:val="nil"/>
              <w:bottom w:val="single" w:sz="8" w:space="0" w:color="auto"/>
              <w:right w:val="single" w:sz="8" w:space="0" w:color="auto"/>
            </w:tcBorders>
            <w:shd w:val="clear" w:color="auto" w:fill="auto"/>
            <w:vAlign w:val="center"/>
            <w:hideMark/>
          </w:tcPr>
          <w:p w14:paraId="1FD59A6F"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Dehydrated Parsley Processing</w:t>
            </w:r>
          </w:p>
        </w:tc>
        <w:tc>
          <w:tcPr>
            <w:tcW w:w="2060" w:type="dxa"/>
            <w:tcBorders>
              <w:top w:val="nil"/>
              <w:left w:val="nil"/>
              <w:bottom w:val="single" w:sz="8" w:space="0" w:color="auto"/>
              <w:right w:val="single" w:sz="8" w:space="0" w:color="auto"/>
            </w:tcBorders>
            <w:shd w:val="clear" w:color="auto" w:fill="auto"/>
            <w:vAlign w:val="center"/>
            <w:hideMark/>
          </w:tcPr>
          <w:p w14:paraId="60924E64"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67D649C3"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r w:rsidRPr="00B61FF1">
              <w:rPr>
                <w:rFonts w:eastAsia="Times New Roman" w:cs="Arial"/>
                <w:color w:val="000000"/>
                <w:sz w:val="16"/>
                <w:szCs w:val="16"/>
              </w:rPr>
              <w:t> </w:t>
            </w:r>
          </w:p>
        </w:tc>
      </w:tr>
      <w:tr w:rsidR="00BF6D6B" w:rsidRPr="00B61FF1" w14:paraId="431F32D6" w14:textId="77777777" w:rsidTr="00BF6D6B">
        <w:trPr>
          <w:cantSplit/>
          <w:trHeight w:val="6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D535C72"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Food Manufacturing</w:t>
            </w:r>
          </w:p>
        </w:tc>
        <w:tc>
          <w:tcPr>
            <w:tcW w:w="2060" w:type="dxa"/>
            <w:tcBorders>
              <w:top w:val="nil"/>
              <w:left w:val="nil"/>
              <w:bottom w:val="single" w:sz="8" w:space="0" w:color="auto"/>
              <w:right w:val="single" w:sz="8" w:space="0" w:color="auto"/>
            </w:tcBorders>
            <w:shd w:val="clear" w:color="auto" w:fill="auto"/>
            <w:vAlign w:val="center"/>
            <w:hideMark/>
          </w:tcPr>
          <w:p w14:paraId="320E7089"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w:t>
            </w:r>
          </w:p>
        </w:tc>
        <w:tc>
          <w:tcPr>
            <w:tcW w:w="2060" w:type="dxa"/>
            <w:tcBorders>
              <w:top w:val="nil"/>
              <w:left w:val="nil"/>
              <w:bottom w:val="single" w:sz="8" w:space="0" w:color="auto"/>
              <w:right w:val="single" w:sz="8" w:space="0" w:color="auto"/>
            </w:tcBorders>
            <w:shd w:val="clear" w:color="auto" w:fill="auto"/>
            <w:vAlign w:val="center"/>
            <w:hideMark/>
          </w:tcPr>
          <w:p w14:paraId="6EFFF9A1"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Dairies (TBD)</w:t>
            </w:r>
          </w:p>
        </w:tc>
        <w:tc>
          <w:tcPr>
            <w:tcW w:w="2060" w:type="dxa"/>
            <w:tcBorders>
              <w:top w:val="nil"/>
              <w:left w:val="nil"/>
              <w:bottom w:val="single" w:sz="8" w:space="0" w:color="auto"/>
              <w:right w:val="single" w:sz="8" w:space="0" w:color="auto"/>
            </w:tcBorders>
            <w:shd w:val="clear" w:color="auto" w:fill="auto"/>
            <w:vAlign w:val="center"/>
            <w:hideMark/>
          </w:tcPr>
          <w:p w14:paraId="6D1888BA"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61422F58"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BF6D6B" w:rsidRPr="00B61FF1" w14:paraId="46A4B5DF" w14:textId="77777777" w:rsidTr="00BF6D6B">
        <w:trPr>
          <w:cantSplit/>
          <w:trHeight w:val="12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EEE1CDA"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Food Manufacturing</w:t>
            </w:r>
          </w:p>
        </w:tc>
        <w:tc>
          <w:tcPr>
            <w:tcW w:w="2060" w:type="dxa"/>
            <w:tcBorders>
              <w:top w:val="nil"/>
              <w:left w:val="nil"/>
              <w:bottom w:val="single" w:sz="8" w:space="0" w:color="auto"/>
              <w:right w:val="single" w:sz="8" w:space="0" w:color="auto"/>
            </w:tcBorders>
            <w:shd w:val="clear" w:color="auto" w:fill="auto"/>
            <w:vAlign w:val="center"/>
            <w:hideMark/>
          </w:tcPr>
          <w:p w14:paraId="2FD59A42"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w:t>
            </w:r>
          </w:p>
        </w:tc>
        <w:tc>
          <w:tcPr>
            <w:tcW w:w="2060" w:type="dxa"/>
            <w:tcBorders>
              <w:top w:val="nil"/>
              <w:left w:val="nil"/>
              <w:bottom w:val="single" w:sz="8" w:space="0" w:color="auto"/>
              <w:right w:val="single" w:sz="8" w:space="0" w:color="auto"/>
            </w:tcBorders>
            <w:shd w:val="clear" w:color="auto" w:fill="auto"/>
            <w:vAlign w:val="center"/>
            <w:hideMark/>
          </w:tcPr>
          <w:p w14:paraId="308B9F42"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Pistachios and Almond Processing  (TBD)</w:t>
            </w:r>
          </w:p>
        </w:tc>
        <w:tc>
          <w:tcPr>
            <w:tcW w:w="2060" w:type="dxa"/>
            <w:tcBorders>
              <w:top w:val="nil"/>
              <w:left w:val="nil"/>
              <w:bottom w:val="single" w:sz="8" w:space="0" w:color="auto"/>
              <w:right w:val="single" w:sz="8" w:space="0" w:color="auto"/>
            </w:tcBorders>
            <w:shd w:val="clear" w:color="auto" w:fill="auto"/>
            <w:vAlign w:val="center"/>
            <w:hideMark/>
          </w:tcPr>
          <w:p w14:paraId="7769732D"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23747B23"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BF6D6B" w:rsidRPr="00B61FF1" w14:paraId="51B2C0A9" w14:textId="77777777" w:rsidTr="00BF6D6B">
        <w:trPr>
          <w:cantSplit/>
          <w:trHeight w:val="6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7E202C8"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Food Manufacturing</w:t>
            </w:r>
          </w:p>
        </w:tc>
        <w:tc>
          <w:tcPr>
            <w:tcW w:w="2060" w:type="dxa"/>
            <w:tcBorders>
              <w:top w:val="nil"/>
              <w:left w:val="nil"/>
              <w:bottom w:val="single" w:sz="8" w:space="0" w:color="auto"/>
              <w:right w:val="single" w:sz="8" w:space="0" w:color="auto"/>
            </w:tcBorders>
            <w:shd w:val="clear" w:color="auto" w:fill="auto"/>
            <w:vAlign w:val="center"/>
            <w:hideMark/>
          </w:tcPr>
          <w:p w14:paraId="7491732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w:t>
            </w:r>
          </w:p>
        </w:tc>
        <w:tc>
          <w:tcPr>
            <w:tcW w:w="2060" w:type="dxa"/>
            <w:tcBorders>
              <w:top w:val="nil"/>
              <w:left w:val="nil"/>
              <w:bottom w:val="single" w:sz="8" w:space="0" w:color="auto"/>
              <w:right w:val="single" w:sz="8" w:space="0" w:color="auto"/>
            </w:tcBorders>
            <w:shd w:val="clear" w:color="auto" w:fill="auto"/>
            <w:vAlign w:val="center"/>
            <w:hideMark/>
          </w:tcPr>
          <w:p w14:paraId="0AFC2186"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Snack Chips (TBD)</w:t>
            </w:r>
          </w:p>
        </w:tc>
        <w:tc>
          <w:tcPr>
            <w:tcW w:w="2060" w:type="dxa"/>
            <w:tcBorders>
              <w:top w:val="nil"/>
              <w:left w:val="nil"/>
              <w:bottom w:val="single" w:sz="8" w:space="0" w:color="auto"/>
              <w:right w:val="single" w:sz="8" w:space="0" w:color="auto"/>
            </w:tcBorders>
            <w:shd w:val="clear" w:color="auto" w:fill="auto"/>
            <w:vAlign w:val="center"/>
            <w:hideMark/>
          </w:tcPr>
          <w:p w14:paraId="059ED08C"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38B34D8C"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BF6D6B" w:rsidRPr="00B61FF1" w14:paraId="4906C010" w14:textId="77777777" w:rsidTr="00BF6D6B">
        <w:trPr>
          <w:cantSplit/>
          <w:trHeight w:val="12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195F433"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lastRenderedPageBreak/>
              <w:t>Food Manufacturing</w:t>
            </w:r>
          </w:p>
        </w:tc>
        <w:tc>
          <w:tcPr>
            <w:tcW w:w="2060" w:type="dxa"/>
            <w:tcBorders>
              <w:top w:val="nil"/>
              <w:left w:val="nil"/>
              <w:bottom w:val="single" w:sz="8" w:space="0" w:color="auto"/>
              <w:right w:val="single" w:sz="8" w:space="0" w:color="auto"/>
            </w:tcBorders>
            <w:shd w:val="clear" w:color="auto" w:fill="auto"/>
            <w:vAlign w:val="center"/>
            <w:hideMark/>
          </w:tcPr>
          <w:p w14:paraId="00C63C72"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w:t>
            </w:r>
          </w:p>
        </w:tc>
        <w:tc>
          <w:tcPr>
            <w:tcW w:w="2060" w:type="dxa"/>
            <w:tcBorders>
              <w:top w:val="nil"/>
              <w:left w:val="nil"/>
              <w:bottom w:val="single" w:sz="8" w:space="0" w:color="auto"/>
              <w:right w:val="single" w:sz="8" w:space="0" w:color="auto"/>
            </w:tcBorders>
            <w:shd w:val="clear" w:color="auto" w:fill="auto"/>
            <w:vAlign w:val="center"/>
            <w:hideMark/>
          </w:tcPr>
          <w:p w14:paraId="500994D0"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Juice Manufacturing (TBD)</w:t>
            </w:r>
          </w:p>
        </w:tc>
        <w:tc>
          <w:tcPr>
            <w:tcW w:w="2060" w:type="dxa"/>
            <w:tcBorders>
              <w:top w:val="nil"/>
              <w:left w:val="nil"/>
              <w:bottom w:val="single" w:sz="8" w:space="0" w:color="auto"/>
              <w:right w:val="single" w:sz="8" w:space="0" w:color="auto"/>
            </w:tcBorders>
            <w:shd w:val="clear" w:color="auto" w:fill="auto"/>
            <w:vAlign w:val="center"/>
            <w:hideMark/>
          </w:tcPr>
          <w:p w14:paraId="1A9EE0A2"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5C1C6976"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BF6D6B" w:rsidRPr="00B61FF1" w14:paraId="0081F4C4" w14:textId="77777777" w:rsidTr="00BF6D6B">
        <w:trPr>
          <w:cantSplit/>
          <w:trHeight w:val="12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3030ABE"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Beet sugar manufacturing</w:t>
            </w:r>
          </w:p>
        </w:tc>
        <w:tc>
          <w:tcPr>
            <w:tcW w:w="2060" w:type="dxa"/>
            <w:tcBorders>
              <w:top w:val="nil"/>
              <w:left w:val="nil"/>
              <w:bottom w:val="single" w:sz="8" w:space="0" w:color="auto"/>
              <w:right w:val="single" w:sz="8" w:space="0" w:color="auto"/>
            </w:tcBorders>
            <w:shd w:val="clear" w:color="auto" w:fill="auto"/>
            <w:vAlign w:val="center"/>
            <w:hideMark/>
          </w:tcPr>
          <w:p w14:paraId="46BFE833"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311313</w:t>
            </w:r>
          </w:p>
        </w:tc>
        <w:tc>
          <w:tcPr>
            <w:tcW w:w="2060" w:type="dxa"/>
            <w:tcBorders>
              <w:top w:val="nil"/>
              <w:left w:val="nil"/>
              <w:bottom w:val="single" w:sz="8" w:space="0" w:color="auto"/>
              <w:right w:val="single" w:sz="8" w:space="0" w:color="auto"/>
            </w:tcBorders>
            <w:shd w:val="clear" w:color="auto" w:fill="auto"/>
            <w:vAlign w:val="center"/>
            <w:hideMark/>
          </w:tcPr>
          <w:p w14:paraId="4B3BC9D0"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Beet sugar manufacturing</w:t>
            </w:r>
          </w:p>
        </w:tc>
        <w:tc>
          <w:tcPr>
            <w:tcW w:w="2060" w:type="dxa"/>
            <w:tcBorders>
              <w:top w:val="nil"/>
              <w:left w:val="nil"/>
              <w:bottom w:val="single" w:sz="8" w:space="0" w:color="auto"/>
              <w:right w:val="single" w:sz="8" w:space="0" w:color="auto"/>
            </w:tcBorders>
            <w:shd w:val="clear" w:color="auto" w:fill="auto"/>
            <w:vAlign w:val="center"/>
            <w:hideMark/>
          </w:tcPr>
          <w:p w14:paraId="4FBA0FDF"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2FFFB9A6"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 xml:space="preserve">Allowances / </w:t>
            </w:r>
            <w:r w:rsidRPr="00B61FF1">
              <w:rPr>
                <w:rFonts w:ascii="Arial" w:eastAsia="Times New Roman" w:hAnsi="Arial" w:cs="Arial"/>
                <w:color w:val="000000"/>
                <w:sz w:val="24"/>
                <w:szCs w:val="24"/>
                <w:u w:val="single"/>
              </w:rPr>
              <w:br/>
              <w:t>short ton Granulated-Refined Sugar</w:t>
            </w:r>
          </w:p>
        </w:tc>
      </w:tr>
      <w:tr w:rsidR="00BF6D6B" w:rsidRPr="00B61FF1" w14:paraId="4E60D591" w14:textId="77777777" w:rsidTr="00BF6D6B">
        <w:trPr>
          <w:cantSplit/>
          <w:trHeight w:val="181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497C66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Breweries</w:t>
            </w:r>
          </w:p>
        </w:tc>
        <w:tc>
          <w:tcPr>
            <w:tcW w:w="2060" w:type="dxa"/>
            <w:tcBorders>
              <w:top w:val="nil"/>
              <w:left w:val="nil"/>
              <w:bottom w:val="single" w:sz="8" w:space="0" w:color="auto"/>
              <w:right w:val="single" w:sz="8" w:space="0" w:color="auto"/>
            </w:tcBorders>
            <w:shd w:val="clear" w:color="auto" w:fill="auto"/>
            <w:vAlign w:val="center"/>
            <w:hideMark/>
          </w:tcPr>
          <w:p w14:paraId="1DA3A7BA"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312120</w:t>
            </w:r>
          </w:p>
        </w:tc>
        <w:tc>
          <w:tcPr>
            <w:tcW w:w="2060" w:type="dxa"/>
            <w:tcBorders>
              <w:top w:val="nil"/>
              <w:left w:val="nil"/>
              <w:bottom w:val="single" w:sz="8" w:space="0" w:color="auto"/>
              <w:right w:val="single" w:sz="8" w:space="0" w:color="auto"/>
            </w:tcBorders>
            <w:shd w:val="clear" w:color="auto" w:fill="auto"/>
            <w:vAlign w:val="center"/>
            <w:hideMark/>
          </w:tcPr>
          <w:p w14:paraId="2A665A09"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Lager Beer Manufacturing</w:t>
            </w:r>
          </w:p>
        </w:tc>
        <w:tc>
          <w:tcPr>
            <w:tcW w:w="2060" w:type="dxa"/>
            <w:tcBorders>
              <w:top w:val="nil"/>
              <w:left w:val="nil"/>
              <w:bottom w:val="single" w:sz="8" w:space="0" w:color="auto"/>
              <w:right w:val="single" w:sz="8" w:space="0" w:color="auto"/>
            </w:tcBorders>
            <w:shd w:val="clear" w:color="auto" w:fill="auto"/>
            <w:vAlign w:val="center"/>
            <w:hideMark/>
          </w:tcPr>
          <w:p w14:paraId="3398C3B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tcBorders>
              <w:top w:val="nil"/>
              <w:left w:val="nil"/>
              <w:bottom w:val="single" w:sz="8" w:space="0" w:color="auto"/>
              <w:right w:val="single" w:sz="8" w:space="0" w:color="auto"/>
            </w:tcBorders>
            <w:shd w:val="clear" w:color="auto" w:fill="auto"/>
            <w:vAlign w:val="center"/>
            <w:hideMark/>
          </w:tcPr>
          <w:p w14:paraId="06999E76"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Allowances / Barrel of Lager Beer</w:t>
            </w:r>
          </w:p>
        </w:tc>
      </w:tr>
      <w:tr w:rsidR="00BF6D6B" w:rsidRPr="00B61FF1" w14:paraId="0AE4FFCA" w14:textId="77777777" w:rsidTr="00BF6D6B">
        <w:trPr>
          <w:cantSplit/>
          <w:trHeight w:val="885"/>
        </w:trPr>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3EE02D0"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Wineries</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EED3B6"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312130</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13CA10B"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Spirits Manufacturing (TBD)</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AF81D"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0D5790" w14:textId="77777777" w:rsidR="00BF6D6B" w:rsidRPr="00B61FF1" w:rsidRDefault="00BF6D6B" w:rsidP="00BF6D6B">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BF6D6B" w:rsidRPr="00B61FF1" w14:paraId="0FC1C9C0" w14:textId="77777777" w:rsidTr="00BF6D6B">
        <w:trPr>
          <w:cantSplit/>
          <w:trHeight w:val="315"/>
        </w:trPr>
        <w:tc>
          <w:tcPr>
            <w:tcW w:w="2060" w:type="dxa"/>
            <w:vMerge/>
            <w:tcBorders>
              <w:top w:val="nil"/>
              <w:left w:val="single" w:sz="8" w:space="0" w:color="auto"/>
              <w:bottom w:val="single" w:sz="8" w:space="0" w:color="000000"/>
              <w:right w:val="single" w:sz="8" w:space="0" w:color="auto"/>
            </w:tcBorders>
            <w:vAlign w:val="center"/>
            <w:hideMark/>
          </w:tcPr>
          <w:p w14:paraId="0E359F02"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3A21D32A"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3EAEB804"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4FD64F6A"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c>
          <w:tcPr>
            <w:tcW w:w="2060" w:type="dxa"/>
            <w:vMerge/>
            <w:tcBorders>
              <w:top w:val="nil"/>
              <w:left w:val="single" w:sz="8" w:space="0" w:color="auto"/>
              <w:bottom w:val="single" w:sz="8" w:space="0" w:color="000000"/>
              <w:right w:val="single" w:sz="8" w:space="0" w:color="auto"/>
            </w:tcBorders>
            <w:vAlign w:val="center"/>
            <w:hideMark/>
          </w:tcPr>
          <w:p w14:paraId="6BB166CD" w14:textId="77777777" w:rsidR="00BF6D6B" w:rsidRPr="00B61FF1" w:rsidRDefault="00BF6D6B" w:rsidP="00BF6D6B">
            <w:pPr>
              <w:autoSpaceDE/>
              <w:autoSpaceDN/>
              <w:adjustRightInd/>
              <w:rPr>
                <w:rFonts w:ascii="Arial" w:eastAsia="Times New Roman" w:hAnsi="Arial" w:cs="Arial"/>
                <w:color w:val="000000"/>
                <w:sz w:val="24"/>
                <w:szCs w:val="24"/>
                <w:u w:val="single"/>
              </w:rPr>
            </w:pPr>
          </w:p>
        </w:tc>
      </w:tr>
    </w:tbl>
    <w:p w14:paraId="4B8B78FF" w14:textId="77777777" w:rsidR="000155BC" w:rsidRPr="00B61FF1" w:rsidRDefault="000155BC" w:rsidP="004E3B67">
      <w:pPr>
        <w:spacing w:line="360" w:lineRule="auto"/>
        <w:rPr>
          <w:rFonts w:ascii="Arial" w:hAnsi="Arial" w:cs="Arial"/>
          <w:sz w:val="24"/>
          <w:szCs w:val="24"/>
        </w:rPr>
      </w:pPr>
    </w:p>
    <w:p w14:paraId="40ADAFAB" w14:textId="77777777" w:rsidR="000155BC" w:rsidRPr="00B61FF1" w:rsidRDefault="000155BC" w:rsidP="004E3B67">
      <w:pPr>
        <w:spacing w:line="360" w:lineRule="auto"/>
        <w:rPr>
          <w:rFonts w:ascii="Arial" w:hAnsi="Arial" w:cs="Arial"/>
          <w:sz w:val="24"/>
          <w:szCs w:val="24"/>
        </w:rPr>
      </w:pPr>
    </w:p>
    <w:p w14:paraId="34517627" w14:textId="342E8F1C" w:rsidR="000155BC" w:rsidRPr="00B61FF1" w:rsidRDefault="000155BC" w:rsidP="000155BC">
      <w:pPr>
        <w:autoSpaceDE/>
        <w:autoSpaceDN/>
        <w:adjustRightInd/>
        <w:rPr>
          <w:rFonts w:ascii="Arial" w:hAnsi="Arial" w:cs="Arial"/>
          <w:sz w:val="24"/>
          <w:szCs w:val="24"/>
        </w:rPr>
      </w:pPr>
      <w:r w:rsidRPr="00B61FF1">
        <w:rPr>
          <w:rFonts w:ascii="Arial" w:hAnsi="Arial" w:cs="Arial"/>
          <w:sz w:val="24"/>
          <w:szCs w:val="24"/>
        </w:rPr>
        <w:br w:type="page"/>
      </w:r>
    </w:p>
    <w:tbl>
      <w:tblPr>
        <w:tblW w:w="10005" w:type="dxa"/>
        <w:tblLook w:val="04A0" w:firstRow="1" w:lastRow="0" w:firstColumn="1" w:lastColumn="0" w:noHBand="0" w:noVBand="1"/>
      </w:tblPr>
      <w:tblGrid>
        <w:gridCol w:w="2445"/>
        <w:gridCol w:w="1080"/>
        <w:gridCol w:w="2315"/>
        <w:gridCol w:w="1960"/>
        <w:gridCol w:w="2205"/>
      </w:tblGrid>
      <w:tr w:rsidR="000155BC" w:rsidRPr="00B61FF1" w14:paraId="78D3C1CF" w14:textId="77777777" w:rsidTr="00BF6D6B">
        <w:trPr>
          <w:trHeight w:val="645"/>
        </w:trPr>
        <w:tc>
          <w:tcPr>
            <w:tcW w:w="244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5379FDB"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lastRenderedPageBreak/>
              <w:t>NAICS Sector Definition</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14:paraId="71FC8912"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code</w:t>
            </w:r>
          </w:p>
        </w:tc>
        <w:tc>
          <w:tcPr>
            <w:tcW w:w="2315" w:type="dxa"/>
            <w:tcBorders>
              <w:top w:val="single" w:sz="8" w:space="0" w:color="auto"/>
              <w:left w:val="nil"/>
              <w:bottom w:val="single" w:sz="8" w:space="0" w:color="auto"/>
              <w:right w:val="single" w:sz="8" w:space="0" w:color="auto"/>
            </w:tcBorders>
            <w:shd w:val="clear" w:color="000000" w:fill="BFBFBF"/>
            <w:vAlign w:val="center"/>
            <w:hideMark/>
          </w:tcPr>
          <w:p w14:paraId="002362C4"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Activity (a)</w:t>
            </w:r>
          </w:p>
        </w:tc>
        <w:tc>
          <w:tcPr>
            <w:tcW w:w="1960" w:type="dxa"/>
            <w:tcBorders>
              <w:top w:val="single" w:sz="8" w:space="0" w:color="auto"/>
              <w:left w:val="nil"/>
              <w:bottom w:val="single" w:sz="8" w:space="0" w:color="auto"/>
              <w:right w:val="single" w:sz="8" w:space="0" w:color="auto"/>
            </w:tcBorders>
            <w:shd w:val="clear" w:color="000000" w:fill="BFBFBF"/>
            <w:vAlign w:val="center"/>
            <w:hideMark/>
          </w:tcPr>
          <w:p w14:paraId="6890A9FB"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(B</w:t>
            </w:r>
            <w:r w:rsidRPr="00B61FF1">
              <w:rPr>
                <w:rFonts w:ascii="Arial" w:eastAsia="Times New Roman" w:hAnsi="Arial" w:cs="Arial"/>
                <w:b/>
                <w:bCs/>
                <w:color w:val="000000"/>
                <w:sz w:val="24"/>
                <w:szCs w:val="24"/>
                <w:vertAlign w:val="subscript"/>
              </w:rPr>
              <w:t>a</w:t>
            </w:r>
            <w:r w:rsidRPr="00B61FF1">
              <w:rPr>
                <w:rFonts w:ascii="Arial" w:eastAsia="Times New Roman" w:hAnsi="Arial" w:cs="Arial"/>
                <w:b/>
                <w:bCs/>
                <w:color w:val="000000"/>
                <w:sz w:val="24"/>
                <w:szCs w:val="24"/>
              </w:rPr>
              <w:t>)</w:t>
            </w:r>
          </w:p>
        </w:tc>
        <w:tc>
          <w:tcPr>
            <w:tcW w:w="2205" w:type="dxa"/>
            <w:tcBorders>
              <w:top w:val="single" w:sz="8" w:space="0" w:color="auto"/>
              <w:left w:val="nil"/>
              <w:bottom w:val="single" w:sz="8" w:space="0" w:color="auto"/>
              <w:right w:val="single" w:sz="8" w:space="0" w:color="auto"/>
            </w:tcBorders>
            <w:shd w:val="clear" w:color="000000" w:fill="BFBFBF"/>
            <w:vAlign w:val="center"/>
            <w:hideMark/>
          </w:tcPr>
          <w:p w14:paraId="10D5E58B"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Units</w:t>
            </w:r>
          </w:p>
        </w:tc>
      </w:tr>
      <w:tr w:rsidR="000155BC" w:rsidRPr="00B61FF1" w14:paraId="16C09D13" w14:textId="77777777" w:rsidTr="00BF6D6B">
        <w:trPr>
          <w:trHeight w:val="9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6EBF2ADE"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Paper (except Newsprint) Mills</w:t>
            </w:r>
          </w:p>
        </w:tc>
        <w:tc>
          <w:tcPr>
            <w:tcW w:w="1080" w:type="dxa"/>
            <w:tcBorders>
              <w:top w:val="nil"/>
              <w:left w:val="nil"/>
              <w:bottom w:val="single" w:sz="8" w:space="0" w:color="auto"/>
              <w:right w:val="single" w:sz="8" w:space="0" w:color="auto"/>
            </w:tcBorders>
            <w:shd w:val="clear" w:color="auto" w:fill="auto"/>
            <w:noWrap/>
            <w:vAlign w:val="center"/>
            <w:hideMark/>
          </w:tcPr>
          <w:p w14:paraId="36DC6C7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322121</w:t>
            </w:r>
          </w:p>
        </w:tc>
        <w:tc>
          <w:tcPr>
            <w:tcW w:w="2315" w:type="dxa"/>
            <w:tcBorders>
              <w:top w:val="nil"/>
              <w:left w:val="nil"/>
              <w:bottom w:val="single" w:sz="8" w:space="0" w:color="auto"/>
              <w:right w:val="single" w:sz="8" w:space="0" w:color="auto"/>
            </w:tcBorders>
            <w:shd w:val="clear" w:color="auto" w:fill="auto"/>
            <w:vAlign w:val="center"/>
            <w:hideMark/>
          </w:tcPr>
          <w:p w14:paraId="413A5877"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Tissue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7660A664" w14:textId="77777777" w:rsidR="000155BC" w:rsidRPr="00B61FF1" w:rsidRDefault="000155BC" w:rsidP="00322802">
            <w:pPr>
              <w:autoSpaceDE/>
              <w:autoSpaceDN/>
              <w:adjustRightInd/>
              <w:jc w:val="center"/>
              <w:rPr>
                <w:rFonts w:ascii="Arial" w:eastAsia="Times New Roman" w:hAnsi="Arial" w:cs="Arial"/>
                <w:strike/>
                <w:color w:val="000000"/>
                <w:sz w:val="24"/>
                <w:szCs w:val="24"/>
              </w:rPr>
            </w:pPr>
            <w:r w:rsidRPr="00B61FF1">
              <w:rPr>
                <w:rFonts w:ascii="Arial" w:eastAsia="Times New Roman" w:hAnsi="Arial" w:cs="Arial"/>
                <w:color w:val="000000"/>
                <w:sz w:val="24"/>
                <w:szCs w:val="24"/>
              </w:rPr>
              <w:t xml:space="preserve"> </w:t>
            </w:r>
            <w:r w:rsidRPr="00B61FF1">
              <w:rPr>
                <w:rFonts w:ascii="Arial" w:eastAsia="Times New Roman" w:hAnsi="Arial" w:cs="Arial"/>
                <w:strike/>
                <w:color w:val="000000"/>
                <w:sz w:val="24"/>
                <w:szCs w:val="24"/>
              </w:rPr>
              <w:t>1.14</w:t>
            </w:r>
            <w:r w:rsidRPr="00B61FF1">
              <w:rPr>
                <w:rFonts w:ascii="Arial" w:eastAsia="Times New Roman" w:hAnsi="Arial" w:cs="Arial"/>
                <w:color w:val="000000"/>
                <w:sz w:val="24"/>
                <w:szCs w:val="24"/>
                <w:u w:val="single"/>
              </w:rPr>
              <w:t>TBD</w:t>
            </w:r>
          </w:p>
          <w:p w14:paraId="74DC505F" w14:textId="77777777" w:rsidR="000155BC" w:rsidRPr="00B61FF1" w:rsidRDefault="000155BC" w:rsidP="00322802">
            <w:pPr>
              <w:autoSpaceDE/>
              <w:autoSpaceDN/>
              <w:adjustRightInd/>
              <w:rPr>
                <w:rFonts w:ascii="Arial" w:eastAsia="Times New Roman" w:hAnsi="Arial" w:cs="Arial"/>
                <w:dstrike/>
                <w:color w:val="000000"/>
                <w:sz w:val="24"/>
                <w:szCs w:val="24"/>
              </w:rPr>
            </w:pPr>
          </w:p>
        </w:tc>
        <w:tc>
          <w:tcPr>
            <w:tcW w:w="2205" w:type="dxa"/>
            <w:tcBorders>
              <w:top w:val="nil"/>
              <w:left w:val="nil"/>
              <w:bottom w:val="single" w:sz="8" w:space="0" w:color="auto"/>
              <w:right w:val="single" w:sz="8" w:space="0" w:color="auto"/>
            </w:tcBorders>
            <w:shd w:val="clear" w:color="auto" w:fill="auto"/>
            <w:vAlign w:val="center"/>
            <w:hideMark/>
          </w:tcPr>
          <w:p w14:paraId="43044B11"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 xml:space="preserve">Allowances / Air Dried Short Ton of tissue </w:t>
            </w:r>
            <w:r w:rsidRPr="00B61FF1">
              <w:rPr>
                <w:rFonts w:ascii="Arial" w:eastAsia="Times New Roman" w:hAnsi="Arial" w:cs="Arial"/>
                <w:color w:val="000000"/>
                <w:sz w:val="24"/>
                <w:szCs w:val="24"/>
                <w:u w:val="single"/>
              </w:rPr>
              <w:t>produced adjusted by water absorption capacity</w:t>
            </w:r>
          </w:p>
        </w:tc>
      </w:tr>
      <w:tr w:rsidR="000155BC" w:rsidRPr="00B61FF1" w14:paraId="50C58F82" w14:textId="77777777" w:rsidTr="00BF6D6B">
        <w:trPr>
          <w:trHeight w:val="1215"/>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14:paraId="7656A9D5"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Paperboard Mills</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BE389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322130</w:t>
            </w:r>
          </w:p>
        </w:tc>
        <w:tc>
          <w:tcPr>
            <w:tcW w:w="2315" w:type="dxa"/>
            <w:tcBorders>
              <w:top w:val="nil"/>
              <w:left w:val="nil"/>
              <w:bottom w:val="single" w:sz="8" w:space="0" w:color="auto"/>
              <w:right w:val="single" w:sz="8" w:space="0" w:color="auto"/>
            </w:tcBorders>
            <w:shd w:val="clear" w:color="auto" w:fill="auto"/>
            <w:vAlign w:val="center"/>
            <w:hideMark/>
          </w:tcPr>
          <w:p w14:paraId="1D8E5F4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Recycled Boxboard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79E955CB"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0.499</w:t>
            </w:r>
          </w:p>
        </w:tc>
        <w:tc>
          <w:tcPr>
            <w:tcW w:w="2205" w:type="dxa"/>
            <w:tcBorders>
              <w:top w:val="nil"/>
              <w:left w:val="nil"/>
              <w:bottom w:val="single" w:sz="8" w:space="0" w:color="auto"/>
              <w:right w:val="single" w:sz="8" w:space="0" w:color="auto"/>
            </w:tcBorders>
            <w:shd w:val="clear" w:color="auto" w:fill="auto"/>
            <w:vAlign w:val="center"/>
            <w:hideMark/>
          </w:tcPr>
          <w:p w14:paraId="078D3F64"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Air Dried Short Ton of recycled boxboard</w:t>
            </w:r>
          </w:p>
        </w:tc>
      </w:tr>
      <w:tr w:rsidR="000155BC" w:rsidRPr="00B61FF1" w14:paraId="70C6D16D" w14:textId="77777777" w:rsidTr="00BF6D6B">
        <w:trPr>
          <w:trHeight w:val="1515"/>
        </w:trPr>
        <w:tc>
          <w:tcPr>
            <w:tcW w:w="2445" w:type="dxa"/>
            <w:vMerge/>
            <w:tcBorders>
              <w:top w:val="nil"/>
              <w:left w:val="single" w:sz="8" w:space="0" w:color="auto"/>
              <w:bottom w:val="single" w:sz="8" w:space="0" w:color="000000"/>
              <w:right w:val="single" w:sz="8" w:space="0" w:color="auto"/>
            </w:tcBorders>
            <w:vAlign w:val="center"/>
            <w:hideMark/>
          </w:tcPr>
          <w:p w14:paraId="461F4033"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37EEB36D"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2315" w:type="dxa"/>
            <w:tcBorders>
              <w:top w:val="nil"/>
              <w:left w:val="nil"/>
              <w:bottom w:val="single" w:sz="8" w:space="0" w:color="auto"/>
              <w:right w:val="single" w:sz="8" w:space="0" w:color="auto"/>
            </w:tcBorders>
            <w:shd w:val="clear" w:color="auto" w:fill="auto"/>
            <w:vAlign w:val="center"/>
            <w:hideMark/>
          </w:tcPr>
          <w:p w14:paraId="5B6640B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Recycled Linerboard (Testliner)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7CCD06A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0.562</w:t>
            </w:r>
          </w:p>
          <w:p w14:paraId="6084A5D5" w14:textId="77777777" w:rsidR="000155BC" w:rsidRPr="00B61FF1" w:rsidRDefault="000155BC" w:rsidP="00322802">
            <w:pPr>
              <w:autoSpaceDE/>
              <w:autoSpaceDN/>
              <w:adjustRightInd/>
              <w:jc w:val="center"/>
              <w:rPr>
                <w:rFonts w:ascii="Arial" w:eastAsia="Times New Roman" w:hAnsi="Arial" w:cs="Arial"/>
                <w:dstrike/>
                <w:color w:val="000000"/>
                <w:sz w:val="24"/>
                <w:szCs w:val="24"/>
              </w:rPr>
            </w:pPr>
          </w:p>
        </w:tc>
        <w:tc>
          <w:tcPr>
            <w:tcW w:w="2205" w:type="dxa"/>
            <w:tcBorders>
              <w:top w:val="nil"/>
              <w:left w:val="nil"/>
              <w:bottom w:val="single" w:sz="8" w:space="0" w:color="auto"/>
              <w:right w:val="single" w:sz="8" w:space="0" w:color="auto"/>
            </w:tcBorders>
            <w:shd w:val="clear" w:color="auto" w:fill="auto"/>
            <w:vAlign w:val="center"/>
            <w:hideMark/>
          </w:tcPr>
          <w:p w14:paraId="5BDAB7B7"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Air Dried Short Ton of recycled linerboard</w:t>
            </w:r>
          </w:p>
        </w:tc>
      </w:tr>
      <w:tr w:rsidR="000155BC" w:rsidRPr="00B61FF1" w14:paraId="0D76D482" w14:textId="77777777" w:rsidTr="00BF6D6B">
        <w:trPr>
          <w:trHeight w:val="1515"/>
        </w:trPr>
        <w:tc>
          <w:tcPr>
            <w:tcW w:w="2445" w:type="dxa"/>
            <w:vMerge/>
            <w:tcBorders>
              <w:top w:val="nil"/>
              <w:left w:val="single" w:sz="8" w:space="0" w:color="auto"/>
              <w:bottom w:val="single" w:sz="8" w:space="0" w:color="000000"/>
              <w:right w:val="single" w:sz="8" w:space="0" w:color="auto"/>
            </w:tcBorders>
            <w:vAlign w:val="center"/>
            <w:hideMark/>
          </w:tcPr>
          <w:p w14:paraId="165D3CA9"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11ECCED4"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2315" w:type="dxa"/>
            <w:tcBorders>
              <w:top w:val="nil"/>
              <w:left w:val="nil"/>
              <w:bottom w:val="single" w:sz="8" w:space="0" w:color="auto"/>
              <w:right w:val="single" w:sz="8" w:space="0" w:color="auto"/>
            </w:tcBorders>
            <w:shd w:val="clear" w:color="auto" w:fill="auto"/>
            <w:vAlign w:val="center"/>
            <w:hideMark/>
          </w:tcPr>
          <w:p w14:paraId="44C74DAB"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Recycled Medium (Fluting)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2CFB6ADF"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0.392</w:t>
            </w:r>
          </w:p>
          <w:p w14:paraId="443FA702" w14:textId="77777777" w:rsidR="000155BC" w:rsidRPr="00B61FF1" w:rsidRDefault="000155BC" w:rsidP="00322802">
            <w:pPr>
              <w:autoSpaceDE/>
              <w:autoSpaceDN/>
              <w:adjustRightInd/>
              <w:jc w:val="center"/>
              <w:rPr>
                <w:rFonts w:ascii="Arial" w:eastAsia="Times New Roman" w:hAnsi="Arial" w:cs="Arial"/>
                <w:dstrike/>
                <w:color w:val="000000"/>
                <w:sz w:val="24"/>
                <w:szCs w:val="24"/>
              </w:rPr>
            </w:pPr>
          </w:p>
        </w:tc>
        <w:tc>
          <w:tcPr>
            <w:tcW w:w="2205" w:type="dxa"/>
            <w:tcBorders>
              <w:top w:val="nil"/>
              <w:left w:val="nil"/>
              <w:bottom w:val="single" w:sz="8" w:space="0" w:color="auto"/>
              <w:right w:val="single" w:sz="8" w:space="0" w:color="auto"/>
            </w:tcBorders>
            <w:shd w:val="clear" w:color="auto" w:fill="auto"/>
            <w:vAlign w:val="center"/>
            <w:hideMark/>
          </w:tcPr>
          <w:p w14:paraId="58F6C1D4"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Air Dried Short Ton of recycled medium</w:t>
            </w:r>
          </w:p>
        </w:tc>
      </w:tr>
      <w:tr w:rsidR="001173BD" w:rsidRPr="00B61FF1" w14:paraId="3F7F4373" w14:textId="77777777" w:rsidTr="00BF6D6B">
        <w:trPr>
          <w:trHeight w:val="600"/>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14:paraId="22C347AF" w14:textId="15A58FF7"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Petroleum Refineries</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A1D0DA" w14:textId="4BD25767"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324110</w:t>
            </w:r>
          </w:p>
        </w:tc>
        <w:tc>
          <w:tcPr>
            <w:tcW w:w="2315" w:type="dxa"/>
            <w:tcBorders>
              <w:top w:val="nil"/>
              <w:left w:val="nil"/>
              <w:bottom w:val="nil"/>
              <w:right w:val="single" w:sz="8" w:space="0" w:color="auto"/>
            </w:tcBorders>
            <w:shd w:val="clear" w:color="auto" w:fill="auto"/>
            <w:vAlign w:val="center"/>
            <w:hideMark/>
          </w:tcPr>
          <w:p w14:paraId="32D61197" w14:textId="63973E02"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Petroleum Refining</w:t>
            </w:r>
          </w:p>
        </w:tc>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6D91E4" w14:textId="00EA7324"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strike/>
                <w:color w:val="000000"/>
                <w:sz w:val="24"/>
                <w:szCs w:val="24"/>
              </w:rPr>
              <w:t>0.0295</w:t>
            </w:r>
            <w:r w:rsidRPr="00B61FF1">
              <w:rPr>
                <w:rFonts w:ascii="Arial" w:eastAsia="Times New Roman" w:hAnsi="Arial" w:cs="Arial"/>
                <w:color w:val="000000"/>
                <w:sz w:val="24"/>
                <w:szCs w:val="24"/>
                <w:u w:val="single"/>
              </w:rPr>
              <w:t xml:space="preserve"> TBD</w:t>
            </w:r>
          </w:p>
        </w:tc>
        <w:tc>
          <w:tcPr>
            <w:tcW w:w="2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B82AEF8" w14:textId="3E6243B0"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 xml:space="preserve">Allowances / </w:t>
            </w:r>
            <w:r w:rsidRPr="00B61FF1">
              <w:rPr>
                <w:rFonts w:ascii="Arial" w:eastAsia="Times New Roman" w:hAnsi="Arial" w:cs="Arial"/>
                <w:strike/>
                <w:color w:val="000000"/>
                <w:sz w:val="24"/>
                <w:szCs w:val="24"/>
              </w:rPr>
              <w:t>CO</w:t>
            </w:r>
            <w:r w:rsidRPr="00B61FF1">
              <w:rPr>
                <w:rFonts w:ascii="Arial" w:eastAsia="Times New Roman" w:hAnsi="Arial" w:cs="Arial"/>
                <w:strike/>
                <w:color w:val="000000"/>
                <w:sz w:val="24"/>
                <w:szCs w:val="24"/>
                <w:vertAlign w:val="subscript"/>
              </w:rPr>
              <w:t>2</w:t>
            </w:r>
            <w:r w:rsidRPr="00B61FF1">
              <w:rPr>
                <w:rFonts w:ascii="Arial" w:eastAsia="Times New Roman" w:hAnsi="Arial" w:cs="Arial"/>
                <w:strike/>
                <w:color w:val="000000"/>
                <w:sz w:val="24"/>
                <w:szCs w:val="24"/>
              </w:rPr>
              <w:t xml:space="preserve"> Weighted Tonne</w:t>
            </w:r>
            <w:r w:rsidRPr="00B61FF1">
              <w:rPr>
                <w:rFonts w:ascii="Arial" w:eastAsia="Times New Roman" w:hAnsi="Arial" w:cs="Arial"/>
                <w:color w:val="000000"/>
                <w:sz w:val="24"/>
                <w:szCs w:val="24"/>
                <w:u w:val="single"/>
              </w:rPr>
              <w:t xml:space="preserve"> TBD</w:t>
            </w:r>
          </w:p>
        </w:tc>
      </w:tr>
      <w:tr w:rsidR="001173BD" w:rsidRPr="00B61FF1" w14:paraId="5AC83433" w14:textId="77777777" w:rsidTr="00BF6D6B">
        <w:trPr>
          <w:trHeight w:val="736"/>
        </w:trPr>
        <w:tc>
          <w:tcPr>
            <w:tcW w:w="2445" w:type="dxa"/>
            <w:vMerge/>
            <w:tcBorders>
              <w:top w:val="nil"/>
              <w:left w:val="single" w:sz="8" w:space="0" w:color="auto"/>
              <w:bottom w:val="single" w:sz="8" w:space="0" w:color="000000"/>
              <w:right w:val="single" w:sz="8" w:space="0" w:color="auto"/>
            </w:tcBorders>
            <w:vAlign w:val="center"/>
            <w:hideMark/>
          </w:tcPr>
          <w:p w14:paraId="104B6713" w14:textId="77777777" w:rsidR="001173BD" w:rsidRPr="00B61FF1" w:rsidRDefault="001173BD"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37BE04A4" w14:textId="77777777" w:rsidR="001173BD" w:rsidRPr="00B61FF1" w:rsidRDefault="001173BD" w:rsidP="00322802">
            <w:pPr>
              <w:autoSpaceDE/>
              <w:autoSpaceDN/>
              <w:adjustRightInd/>
              <w:rPr>
                <w:rFonts w:ascii="Arial" w:eastAsia="Times New Roman" w:hAnsi="Arial" w:cs="Arial"/>
                <w:color w:val="000000"/>
                <w:sz w:val="24"/>
                <w:szCs w:val="24"/>
              </w:rPr>
            </w:pPr>
          </w:p>
        </w:tc>
        <w:tc>
          <w:tcPr>
            <w:tcW w:w="2315" w:type="dxa"/>
            <w:tcBorders>
              <w:top w:val="nil"/>
              <w:left w:val="nil"/>
              <w:bottom w:val="single" w:sz="8" w:space="0" w:color="auto"/>
              <w:right w:val="single" w:sz="8" w:space="0" w:color="auto"/>
            </w:tcBorders>
            <w:shd w:val="clear" w:color="auto" w:fill="auto"/>
            <w:vAlign w:val="center"/>
            <w:hideMark/>
          </w:tcPr>
          <w:p w14:paraId="0FC4DF06" w14:textId="4DC8DC1D"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strike/>
                <w:color w:val="000000"/>
                <w:sz w:val="24"/>
                <w:szCs w:val="24"/>
              </w:rPr>
              <w:t>(CO</w:t>
            </w:r>
            <w:r w:rsidRPr="00B61FF1">
              <w:rPr>
                <w:rFonts w:ascii="Arial" w:eastAsia="Times New Roman" w:hAnsi="Arial" w:cs="Arial"/>
                <w:strike/>
                <w:color w:val="000000"/>
                <w:sz w:val="24"/>
                <w:szCs w:val="24"/>
                <w:vertAlign w:val="subscript"/>
              </w:rPr>
              <w:t>2</w:t>
            </w:r>
            <w:r w:rsidRPr="00B61FF1">
              <w:rPr>
                <w:rFonts w:ascii="Arial" w:eastAsia="Times New Roman" w:hAnsi="Arial" w:cs="Arial"/>
                <w:strike/>
                <w:color w:val="000000"/>
                <w:sz w:val="24"/>
                <w:szCs w:val="24"/>
              </w:rPr>
              <w:t xml:space="preserve"> Weighted Tonne)</w:t>
            </w:r>
            <w:r w:rsidRPr="00B61FF1">
              <w:rPr>
                <w:rFonts w:ascii="Arial" w:eastAsia="Times New Roman" w:hAnsi="Arial" w:cs="Arial"/>
                <w:color w:val="000000"/>
                <w:sz w:val="24"/>
                <w:szCs w:val="24"/>
                <w:u w:val="single"/>
              </w:rPr>
              <w:t xml:space="preserve"> TBD</w:t>
            </w:r>
          </w:p>
        </w:tc>
        <w:tc>
          <w:tcPr>
            <w:tcW w:w="1960" w:type="dxa"/>
            <w:vMerge/>
            <w:tcBorders>
              <w:top w:val="nil"/>
              <w:left w:val="single" w:sz="8" w:space="0" w:color="auto"/>
              <w:bottom w:val="single" w:sz="8" w:space="0" w:color="000000"/>
              <w:right w:val="single" w:sz="8" w:space="0" w:color="auto"/>
            </w:tcBorders>
            <w:vAlign w:val="center"/>
            <w:hideMark/>
          </w:tcPr>
          <w:p w14:paraId="0EAC9BAF" w14:textId="77777777" w:rsidR="001173BD" w:rsidRPr="00B61FF1" w:rsidRDefault="001173BD" w:rsidP="00322802">
            <w:pPr>
              <w:autoSpaceDE/>
              <w:autoSpaceDN/>
              <w:adjustRightInd/>
              <w:rPr>
                <w:rFonts w:ascii="Arial" w:eastAsia="Times New Roman" w:hAnsi="Arial" w:cs="Arial"/>
                <w:color w:val="000000"/>
                <w:sz w:val="24"/>
                <w:szCs w:val="24"/>
              </w:rPr>
            </w:pPr>
          </w:p>
        </w:tc>
        <w:tc>
          <w:tcPr>
            <w:tcW w:w="2205" w:type="dxa"/>
            <w:vMerge/>
            <w:tcBorders>
              <w:top w:val="nil"/>
              <w:left w:val="single" w:sz="8" w:space="0" w:color="auto"/>
              <w:bottom w:val="single" w:sz="8" w:space="0" w:color="000000"/>
              <w:right w:val="single" w:sz="8" w:space="0" w:color="auto"/>
            </w:tcBorders>
            <w:vAlign w:val="center"/>
            <w:hideMark/>
          </w:tcPr>
          <w:p w14:paraId="0EDD4C63" w14:textId="77777777" w:rsidR="001173BD" w:rsidRPr="00B61FF1" w:rsidRDefault="001173BD" w:rsidP="00322802">
            <w:pPr>
              <w:autoSpaceDE/>
              <w:autoSpaceDN/>
              <w:adjustRightInd/>
              <w:rPr>
                <w:rFonts w:ascii="Arial" w:eastAsia="Times New Roman" w:hAnsi="Arial" w:cs="Arial"/>
                <w:color w:val="000000"/>
                <w:sz w:val="24"/>
                <w:szCs w:val="24"/>
              </w:rPr>
            </w:pPr>
          </w:p>
        </w:tc>
      </w:tr>
      <w:tr w:rsidR="001173BD" w:rsidRPr="00B61FF1" w14:paraId="5E775EB5" w14:textId="77777777" w:rsidTr="00BF6D6B">
        <w:trPr>
          <w:trHeight w:val="6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4D87783F" w14:textId="7D7FCAB6"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 Other Petroleum and Coal Products Manufacturing</w:t>
            </w:r>
          </w:p>
        </w:tc>
        <w:tc>
          <w:tcPr>
            <w:tcW w:w="1080" w:type="dxa"/>
            <w:tcBorders>
              <w:top w:val="nil"/>
              <w:left w:val="nil"/>
              <w:bottom w:val="single" w:sz="8" w:space="0" w:color="auto"/>
              <w:right w:val="single" w:sz="8" w:space="0" w:color="auto"/>
            </w:tcBorders>
            <w:shd w:val="clear" w:color="auto" w:fill="auto"/>
            <w:noWrap/>
            <w:vAlign w:val="center"/>
            <w:hideMark/>
          </w:tcPr>
          <w:p w14:paraId="611CDC0E" w14:textId="073AAA22"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324199</w:t>
            </w:r>
          </w:p>
        </w:tc>
        <w:tc>
          <w:tcPr>
            <w:tcW w:w="2315" w:type="dxa"/>
            <w:tcBorders>
              <w:top w:val="nil"/>
              <w:left w:val="nil"/>
              <w:bottom w:val="single" w:sz="8" w:space="0" w:color="auto"/>
              <w:right w:val="single" w:sz="8" w:space="0" w:color="auto"/>
            </w:tcBorders>
            <w:shd w:val="clear" w:color="auto" w:fill="auto"/>
            <w:vAlign w:val="center"/>
            <w:hideMark/>
          </w:tcPr>
          <w:p w14:paraId="2B32F6C1" w14:textId="67F4E893"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Coke Calcining</w:t>
            </w:r>
          </w:p>
        </w:tc>
        <w:tc>
          <w:tcPr>
            <w:tcW w:w="1960" w:type="dxa"/>
            <w:tcBorders>
              <w:top w:val="nil"/>
              <w:left w:val="nil"/>
              <w:bottom w:val="single" w:sz="8" w:space="0" w:color="auto"/>
              <w:right w:val="single" w:sz="8" w:space="0" w:color="auto"/>
            </w:tcBorders>
            <w:shd w:val="clear" w:color="auto" w:fill="auto"/>
            <w:noWrap/>
            <w:vAlign w:val="center"/>
            <w:hideMark/>
          </w:tcPr>
          <w:p w14:paraId="5D3112A4" w14:textId="2B32BBC4"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strike/>
                <w:color w:val="000000"/>
                <w:sz w:val="24"/>
                <w:szCs w:val="24"/>
              </w:rPr>
              <w:t>0.341</w:t>
            </w:r>
            <w:r w:rsidRPr="00B61FF1">
              <w:rPr>
                <w:rFonts w:ascii="Arial" w:eastAsia="Times New Roman" w:hAnsi="Arial" w:cs="Arial"/>
                <w:color w:val="000000"/>
                <w:sz w:val="24"/>
                <w:szCs w:val="24"/>
                <w:u w:val="single"/>
              </w:rPr>
              <w:t xml:space="preserve"> TBD</w:t>
            </w:r>
          </w:p>
        </w:tc>
        <w:tc>
          <w:tcPr>
            <w:tcW w:w="2205" w:type="dxa"/>
            <w:tcBorders>
              <w:top w:val="nil"/>
              <w:left w:val="nil"/>
              <w:bottom w:val="single" w:sz="8" w:space="0" w:color="auto"/>
              <w:right w:val="single" w:sz="8" w:space="0" w:color="auto"/>
            </w:tcBorders>
            <w:shd w:val="clear" w:color="auto" w:fill="auto"/>
            <w:noWrap/>
            <w:vAlign w:val="center"/>
            <w:hideMark/>
          </w:tcPr>
          <w:p w14:paraId="3EA51730" w14:textId="1EBCA254" w:rsidR="001173BD" w:rsidRPr="00B61FF1" w:rsidRDefault="001173B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w:t>
            </w:r>
            <w:r w:rsidRPr="00B61FF1">
              <w:rPr>
                <w:rFonts w:ascii="Arial" w:eastAsia="Times New Roman" w:hAnsi="Arial" w:cs="Arial"/>
                <w:color w:val="000000"/>
                <w:sz w:val="24"/>
                <w:szCs w:val="24"/>
                <w:u w:val="single"/>
              </w:rPr>
              <w:t xml:space="preserve"> TBD</w:t>
            </w:r>
            <w:r w:rsidRPr="00B61FF1">
              <w:rPr>
                <w:rFonts w:ascii="Arial" w:eastAsia="Times New Roman" w:hAnsi="Arial" w:cs="Arial"/>
                <w:strike/>
                <w:color w:val="000000"/>
                <w:sz w:val="24"/>
                <w:szCs w:val="24"/>
              </w:rPr>
              <w:t xml:space="preserve"> Short Ton </w:t>
            </w:r>
            <w:r w:rsidRPr="00B61FF1">
              <w:rPr>
                <w:rFonts w:ascii="Arial" w:eastAsia="Times New Roman" w:hAnsi="Arial" w:cs="Arial"/>
                <w:color w:val="000000"/>
                <w:sz w:val="24"/>
                <w:szCs w:val="24"/>
              </w:rPr>
              <w:t>Calcined Coke</w:t>
            </w:r>
          </w:p>
        </w:tc>
      </w:tr>
      <w:tr w:rsidR="00D306CD" w:rsidRPr="00B61FF1" w14:paraId="1048E595" w14:textId="77777777" w:rsidTr="00BF6D6B">
        <w:trPr>
          <w:trHeight w:val="1672"/>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14:paraId="24793087" w14:textId="77777777"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Industrial Gas Manufacturing</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477EA9" w14:textId="77777777"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325120</w:t>
            </w:r>
          </w:p>
        </w:tc>
        <w:tc>
          <w:tcPr>
            <w:tcW w:w="2315" w:type="dxa"/>
            <w:tcBorders>
              <w:top w:val="nil"/>
              <w:left w:val="nil"/>
              <w:bottom w:val="single" w:sz="8" w:space="0" w:color="auto"/>
              <w:right w:val="single" w:sz="8" w:space="0" w:color="auto"/>
            </w:tcBorders>
            <w:shd w:val="clear" w:color="auto" w:fill="auto"/>
            <w:vAlign w:val="center"/>
            <w:hideMark/>
          </w:tcPr>
          <w:p w14:paraId="49D30E82" w14:textId="77777777"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Gaseous Hydrogen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40E06765" w14:textId="290731A5"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strike/>
                <w:color w:val="000000"/>
                <w:sz w:val="24"/>
                <w:szCs w:val="24"/>
              </w:rPr>
              <w:t>8.85</w:t>
            </w:r>
            <w:r w:rsidRPr="00B61FF1">
              <w:rPr>
                <w:rFonts w:ascii="Arial" w:eastAsia="Times New Roman" w:hAnsi="Arial" w:cs="Arial"/>
                <w:color w:val="000000"/>
                <w:sz w:val="24"/>
                <w:szCs w:val="24"/>
                <w:u w:val="single"/>
              </w:rPr>
              <w:t>TBD</w:t>
            </w:r>
          </w:p>
        </w:tc>
        <w:tc>
          <w:tcPr>
            <w:tcW w:w="2205" w:type="dxa"/>
            <w:tcBorders>
              <w:top w:val="nil"/>
              <w:left w:val="nil"/>
              <w:bottom w:val="single" w:sz="8" w:space="0" w:color="auto"/>
              <w:right w:val="single" w:sz="8" w:space="0" w:color="auto"/>
            </w:tcBorders>
            <w:shd w:val="clear" w:color="auto" w:fill="auto"/>
            <w:vAlign w:val="center"/>
            <w:hideMark/>
          </w:tcPr>
          <w:p w14:paraId="7BEB632E" w14:textId="1E48036B"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 xml:space="preserve">Allowances / </w:t>
            </w:r>
            <w:r w:rsidRPr="00B61FF1">
              <w:rPr>
                <w:rFonts w:ascii="Arial" w:eastAsia="Times New Roman" w:hAnsi="Arial" w:cs="Arial"/>
                <w:color w:val="000000"/>
                <w:sz w:val="24"/>
                <w:szCs w:val="24"/>
                <w:u w:val="single"/>
              </w:rPr>
              <w:t>TBD</w:t>
            </w:r>
            <w:r w:rsidRPr="00B61FF1">
              <w:rPr>
                <w:rFonts w:ascii="Arial" w:eastAsia="Times New Roman" w:hAnsi="Arial" w:cs="Arial"/>
                <w:color w:val="000000"/>
                <w:sz w:val="24"/>
                <w:szCs w:val="24"/>
              </w:rPr>
              <w:t xml:space="preserve"> </w:t>
            </w:r>
            <w:r w:rsidRPr="00B61FF1">
              <w:rPr>
                <w:rFonts w:ascii="Arial" w:eastAsia="Times New Roman" w:hAnsi="Arial" w:cs="Arial"/>
                <w:strike/>
                <w:color w:val="000000"/>
                <w:sz w:val="24"/>
                <w:szCs w:val="24"/>
              </w:rPr>
              <w:t>Metric Ton</w:t>
            </w:r>
            <w:r w:rsidRPr="00B61FF1">
              <w:rPr>
                <w:rFonts w:ascii="Arial" w:eastAsia="Times New Roman" w:hAnsi="Arial" w:cs="Arial"/>
                <w:color w:val="000000"/>
                <w:sz w:val="24"/>
                <w:szCs w:val="24"/>
              </w:rPr>
              <w:t xml:space="preserve"> of Hydrogen Gas</w:t>
            </w:r>
          </w:p>
        </w:tc>
      </w:tr>
      <w:tr w:rsidR="00D306CD" w:rsidRPr="00B61FF1" w14:paraId="33A57619" w14:textId="77777777" w:rsidTr="00BF6D6B">
        <w:trPr>
          <w:trHeight w:val="1510"/>
        </w:trPr>
        <w:tc>
          <w:tcPr>
            <w:tcW w:w="2445" w:type="dxa"/>
            <w:vMerge/>
            <w:tcBorders>
              <w:top w:val="nil"/>
              <w:left w:val="single" w:sz="8" w:space="0" w:color="auto"/>
              <w:bottom w:val="single" w:sz="8" w:space="0" w:color="000000"/>
              <w:right w:val="single" w:sz="8" w:space="0" w:color="auto"/>
            </w:tcBorders>
            <w:vAlign w:val="center"/>
            <w:hideMark/>
          </w:tcPr>
          <w:p w14:paraId="579C40FF" w14:textId="77777777" w:rsidR="00D306CD" w:rsidRPr="00B61FF1" w:rsidRDefault="00D306CD"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20765580" w14:textId="77777777" w:rsidR="00D306CD" w:rsidRPr="00B61FF1" w:rsidRDefault="00D306CD" w:rsidP="00322802">
            <w:pPr>
              <w:autoSpaceDE/>
              <w:autoSpaceDN/>
              <w:adjustRightInd/>
              <w:rPr>
                <w:rFonts w:ascii="Arial" w:eastAsia="Times New Roman" w:hAnsi="Arial" w:cs="Arial"/>
                <w:color w:val="000000"/>
                <w:sz w:val="24"/>
                <w:szCs w:val="24"/>
              </w:rPr>
            </w:pPr>
          </w:p>
        </w:tc>
        <w:tc>
          <w:tcPr>
            <w:tcW w:w="2315" w:type="dxa"/>
            <w:tcBorders>
              <w:top w:val="nil"/>
              <w:left w:val="nil"/>
              <w:bottom w:val="single" w:sz="8" w:space="0" w:color="auto"/>
              <w:right w:val="single" w:sz="8" w:space="0" w:color="auto"/>
            </w:tcBorders>
            <w:shd w:val="clear" w:color="auto" w:fill="auto"/>
            <w:vAlign w:val="center"/>
            <w:hideMark/>
          </w:tcPr>
          <w:p w14:paraId="76BAC153" w14:textId="77777777"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Liquid Hydrogen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75978556" w14:textId="140FC8DD"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strike/>
                <w:color w:val="000000"/>
                <w:sz w:val="24"/>
                <w:szCs w:val="24"/>
              </w:rPr>
              <w:t>8.85</w:t>
            </w:r>
            <w:r w:rsidRPr="00B61FF1">
              <w:rPr>
                <w:rFonts w:ascii="Arial" w:eastAsia="Times New Roman" w:hAnsi="Arial" w:cs="Arial"/>
                <w:color w:val="000000"/>
                <w:sz w:val="24"/>
                <w:szCs w:val="24"/>
                <w:u w:val="single"/>
              </w:rPr>
              <w:t>TBD</w:t>
            </w:r>
          </w:p>
        </w:tc>
        <w:tc>
          <w:tcPr>
            <w:tcW w:w="2205" w:type="dxa"/>
            <w:tcBorders>
              <w:top w:val="nil"/>
              <w:left w:val="nil"/>
              <w:bottom w:val="single" w:sz="8" w:space="0" w:color="auto"/>
              <w:right w:val="single" w:sz="8" w:space="0" w:color="auto"/>
            </w:tcBorders>
            <w:shd w:val="clear" w:color="auto" w:fill="auto"/>
            <w:vAlign w:val="center"/>
            <w:hideMark/>
          </w:tcPr>
          <w:p w14:paraId="50E31B91" w14:textId="69BDFE88" w:rsidR="00D306CD" w:rsidRPr="00B61FF1" w:rsidRDefault="00D306CD"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 xml:space="preserve">Allowances / </w:t>
            </w:r>
            <w:r w:rsidRPr="00B61FF1">
              <w:rPr>
                <w:rFonts w:ascii="Arial" w:eastAsia="Times New Roman" w:hAnsi="Arial" w:cs="Arial"/>
                <w:color w:val="000000"/>
                <w:sz w:val="24"/>
                <w:szCs w:val="24"/>
                <w:u w:val="single"/>
              </w:rPr>
              <w:t>TBD</w:t>
            </w:r>
            <w:r w:rsidRPr="00B61FF1">
              <w:rPr>
                <w:rFonts w:ascii="Arial" w:eastAsia="Times New Roman" w:hAnsi="Arial" w:cs="Arial"/>
                <w:color w:val="000000"/>
                <w:sz w:val="24"/>
                <w:szCs w:val="24"/>
              </w:rPr>
              <w:t xml:space="preserve"> </w:t>
            </w:r>
            <w:r w:rsidRPr="00B61FF1">
              <w:rPr>
                <w:rFonts w:ascii="Arial" w:eastAsia="Times New Roman" w:hAnsi="Arial" w:cs="Arial"/>
                <w:strike/>
                <w:color w:val="000000"/>
                <w:sz w:val="24"/>
                <w:szCs w:val="24"/>
              </w:rPr>
              <w:t>Metric Ton</w:t>
            </w:r>
            <w:r w:rsidRPr="00B61FF1">
              <w:rPr>
                <w:rFonts w:ascii="Arial" w:eastAsia="Times New Roman" w:hAnsi="Arial" w:cs="Arial"/>
                <w:color w:val="000000"/>
                <w:sz w:val="24"/>
                <w:szCs w:val="24"/>
              </w:rPr>
              <w:t xml:space="preserve"> of Liquid Hydrogen</w:t>
            </w:r>
          </w:p>
        </w:tc>
      </w:tr>
    </w:tbl>
    <w:p w14:paraId="638A5E02" w14:textId="77777777" w:rsidR="00024BAE" w:rsidRPr="00B61FF1" w:rsidRDefault="00024BAE">
      <w:pPr>
        <w:autoSpaceDE/>
        <w:autoSpaceDN/>
        <w:adjustRightInd/>
        <w:rPr>
          <w:rFonts w:ascii="Arial" w:hAnsi="Arial" w:cs="Arial"/>
          <w:sz w:val="24"/>
          <w:szCs w:val="24"/>
        </w:rPr>
      </w:pPr>
    </w:p>
    <w:p w14:paraId="3A9AED27" w14:textId="77777777" w:rsidR="000155BC" w:rsidRPr="00B61FF1" w:rsidRDefault="000155BC">
      <w:pPr>
        <w:autoSpaceDE/>
        <w:autoSpaceDN/>
        <w:adjustRightInd/>
        <w:rPr>
          <w:rFonts w:ascii="Arial" w:hAnsi="Arial" w:cs="Arial"/>
          <w:sz w:val="24"/>
          <w:szCs w:val="24"/>
        </w:rPr>
      </w:pPr>
    </w:p>
    <w:p w14:paraId="6488BBA5" w14:textId="77777777" w:rsidR="000155BC" w:rsidRPr="00B61FF1" w:rsidRDefault="000155BC">
      <w:pPr>
        <w:autoSpaceDE/>
        <w:autoSpaceDN/>
        <w:adjustRightInd/>
        <w:rPr>
          <w:rFonts w:ascii="Arial" w:hAnsi="Arial" w:cs="Arial"/>
          <w:sz w:val="24"/>
          <w:szCs w:val="24"/>
        </w:rPr>
      </w:pPr>
    </w:p>
    <w:tbl>
      <w:tblPr>
        <w:tblW w:w="10005" w:type="dxa"/>
        <w:tblLook w:val="04A0" w:firstRow="1" w:lastRow="0" w:firstColumn="1" w:lastColumn="0" w:noHBand="0" w:noVBand="1"/>
      </w:tblPr>
      <w:tblGrid>
        <w:gridCol w:w="2445"/>
        <w:gridCol w:w="1080"/>
        <w:gridCol w:w="2420"/>
        <w:gridCol w:w="1960"/>
        <w:gridCol w:w="2100"/>
      </w:tblGrid>
      <w:tr w:rsidR="000155BC" w:rsidRPr="00B61FF1" w14:paraId="566B1844" w14:textId="77777777" w:rsidTr="00BF6D6B">
        <w:trPr>
          <w:cantSplit/>
          <w:trHeight w:val="645"/>
          <w:tblHeader/>
        </w:trPr>
        <w:tc>
          <w:tcPr>
            <w:tcW w:w="244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B870292"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lastRenderedPageBreak/>
              <w:t>NAICS Sector Definition</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14:paraId="157A6B84"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code</w:t>
            </w:r>
          </w:p>
        </w:tc>
        <w:tc>
          <w:tcPr>
            <w:tcW w:w="2420" w:type="dxa"/>
            <w:tcBorders>
              <w:top w:val="single" w:sz="8" w:space="0" w:color="auto"/>
              <w:left w:val="nil"/>
              <w:bottom w:val="single" w:sz="8" w:space="0" w:color="auto"/>
              <w:right w:val="single" w:sz="8" w:space="0" w:color="auto"/>
            </w:tcBorders>
            <w:shd w:val="clear" w:color="000000" w:fill="BFBFBF"/>
            <w:vAlign w:val="center"/>
            <w:hideMark/>
          </w:tcPr>
          <w:p w14:paraId="147B5D94"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Activity (a)</w:t>
            </w:r>
          </w:p>
        </w:tc>
        <w:tc>
          <w:tcPr>
            <w:tcW w:w="1960" w:type="dxa"/>
            <w:tcBorders>
              <w:top w:val="single" w:sz="8" w:space="0" w:color="auto"/>
              <w:left w:val="nil"/>
              <w:bottom w:val="single" w:sz="8" w:space="0" w:color="auto"/>
              <w:right w:val="single" w:sz="8" w:space="0" w:color="auto"/>
            </w:tcBorders>
            <w:shd w:val="clear" w:color="000000" w:fill="BFBFBF"/>
            <w:vAlign w:val="center"/>
            <w:hideMark/>
          </w:tcPr>
          <w:p w14:paraId="5BC1BA33"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(B</w:t>
            </w:r>
            <w:r w:rsidRPr="00B61FF1">
              <w:rPr>
                <w:rFonts w:ascii="Arial" w:eastAsia="Times New Roman" w:hAnsi="Arial" w:cs="Arial"/>
                <w:b/>
                <w:bCs/>
                <w:color w:val="000000"/>
                <w:sz w:val="24"/>
                <w:szCs w:val="24"/>
                <w:vertAlign w:val="subscript"/>
              </w:rPr>
              <w:t>a</w:t>
            </w:r>
            <w:r w:rsidRPr="00B61FF1">
              <w:rPr>
                <w:rFonts w:ascii="Arial" w:eastAsia="Times New Roman" w:hAnsi="Arial" w:cs="Arial"/>
                <w:b/>
                <w:bCs/>
                <w:color w:val="000000"/>
                <w:sz w:val="24"/>
                <w:szCs w:val="24"/>
              </w:rPr>
              <w:t>)</w:t>
            </w:r>
          </w:p>
        </w:tc>
        <w:tc>
          <w:tcPr>
            <w:tcW w:w="2100" w:type="dxa"/>
            <w:tcBorders>
              <w:top w:val="single" w:sz="8" w:space="0" w:color="auto"/>
              <w:left w:val="nil"/>
              <w:bottom w:val="single" w:sz="8" w:space="0" w:color="auto"/>
              <w:right w:val="single" w:sz="8" w:space="0" w:color="auto"/>
            </w:tcBorders>
            <w:shd w:val="clear" w:color="000000" w:fill="BFBFBF"/>
            <w:vAlign w:val="center"/>
            <w:hideMark/>
          </w:tcPr>
          <w:p w14:paraId="321122A6" w14:textId="77777777" w:rsidR="000155BC" w:rsidRPr="00B61FF1" w:rsidRDefault="000155BC" w:rsidP="00322802">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Units</w:t>
            </w:r>
          </w:p>
        </w:tc>
      </w:tr>
      <w:tr w:rsidR="000155BC" w:rsidRPr="00B61FF1" w14:paraId="0154585C" w14:textId="77777777" w:rsidTr="00BF6D6B">
        <w:trPr>
          <w:cantSplit/>
          <w:trHeight w:val="615"/>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14:paraId="658EBA0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Nitrogenous Fertilizer Manufacturing</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826EE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325311</w:t>
            </w:r>
          </w:p>
        </w:tc>
        <w:tc>
          <w:tcPr>
            <w:tcW w:w="2420" w:type="dxa"/>
            <w:tcBorders>
              <w:top w:val="nil"/>
              <w:left w:val="nil"/>
              <w:bottom w:val="single" w:sz="8" w:space="0" w:color="auto"/>
              <w:right w:val="single" w:sz="8" w:space="0" w:color="auto"/>
            </w:tcBorders>
            <w:shd w:val="clear" w:color="auto" w:fill="auto"/>
            <w:vAlign w:val="center"/>
            <w:hideMark/>
          </w:tcPr>
          <w:p w14:paraId="39E5C37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Nitric Acid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3E88E93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0.349</w:t>
            </w:r>
          </w:p>
        </w:tc>
        <w:tc>
          <w:tcPr>
            <w:tcW w:w="2100" w:type="dxa"/>
            <w:tcBorders>
              <w:top w:val="nil"/>
              <w:left w:val="nil"/>
              <w:bottom w:val="single" w:sz="8" w:space="0" w:color="auto"/>
              <w:right w:val="single" w:sz="8" w:space="0" w:color="auto"/>
            </w:tcBorders>
            <w:shd w:val="clear" w:color="auto" w:fill="auto"/>
            <w:vAlign w:val="center"/>
            <w:hideMark/>
          </w:tcPr>
          <w:p w14:paraId="2567271D"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nitric acid (HNO3 100%)</w:t>
            </w:r>
          </w:p>
        </w:tc>
      </w:tr>
      <w:tr w:rsidR="000155BC" w:rsidRPr="00B61FF1" w14:paraId="16C52858" w14:textId="77777777" w:rsidTr="00BF6D6B">
        <w:trPr>
          <w:cantSplit/>
          <w:trHeight w:val="1515"/>
        </w:trPr>
        <w:tc>
          <w:tcPr>
            <w:tcW w:w="2445" w:type="dxa"/>
            <w:vMerge/>
            <w:tcBorders>
              <w:top w:val="nil"/>
              <w:left w:val="single" w:sz="8" w:space="0" w:color="auto"/>
              <w:bottom w:val="single" w:sz="8" w:space="0" w:color="000000"/>
              <w:right w:val="single" w:sz="8" w:space="0" w:color="auto"/>
            </w:tcBorders>
            <w:vAlign w:val="center"/>
            <w:hideMark/>
          </w:tcPr>
          <w:p w14:paraId="1BCE6637"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58340693"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2420" w:type="dxa"/>
            <w:tcBorders>
              <w:top w:val="nil"/>
              <w:left w:val="nil"/>
              <w:bottom w:val="single" w:sz="8" w:space="0" w:color="auto"/>
              <w:right w:val="single" w:sz="8" w:space="0" w:color="auto"/>
            </w:tcBorders>
            <w:shd w:val="clear" w:color="auto" w:fill="auto"/>
            <w:vAlign w:val="center"/>
            <w:hideMark/>
          </w:tcPr>
          <w:p w14:paraId="5EED1C64"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Calcium Ammonium Nitrate Solution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49670889"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0.0902</w:t>
            </w:r>
          </w:p>
        </w:tc>
        <w:tc>
          <w:tcPr>
            <w:tcW w:w="2100" w:type="dxa"/>
            <w:tcBorders>
              <w:top w:val="nil"/>
              <w:left w:val="nil"/>
              <w:bottom w:val="single" w:sz="8" w:space="0" w:color="auto"/>
              <w:right w:val="single" w:sz="8" w:space="0" w:color="auto"/>
            </w:tcBorders>
            <w:shd w:val="clear" w:color="auto" w:fill="auto"/>
            <w:vAlign w:val="center"/>
            <w:hideMark/>
          </w:tcPr>
          <w:p w14:paraId="10BF524E"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calcium ammonium nitrate solution</w:t>
            </w:r>
          </w:p>
        </w:tc>
      </w:tr>
      <w:tr w:rsidR="000155BC" w:rsidRPr="00B61FF1" w14:paraId="0E72B649" w14:textId="77777777" w:rsidTr="00BF6D6B">
        <w:trPr>
          <w:cantSplit/>
          <w:trHeight w:val="9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24A97FAD"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Flat Glass Manufacturing</w:t>
            </w:r>
          </w:p>
        </w:tc>
        <w:tc>
          <w:tcPr>
            <w:tcW w:w="1080" w:type="dxa"/>
            <w:tcBorders>
              <w:top w:val="nil"/>
              <w:left w:val="nil"/>
              <w:bottom w:val="single" w:sz="8" w:space="0" w:color="auto"/>
              <w:right w:val="single" w:sz="8" w:space="0" w:color="auto"/>
            </w:tcBorders>
            <w:shd w:val="clear" w:color="auto" w:fill="auto"/>
            <w:noWrap/>
            <w:vAlign w:val="center"/>
            <w:hideMark/>
          </w:tcPr>
          <w:p w14:paraId="1593E32C"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327211</w:t>
            </w:r>
          </w:p>
        </w:tc>
        <w:tc>
          <w:tcPr>
            <w:tcW w:w="2420" w:type="dxa"/>
            <w:tcBorders>
              <w:top w:val="nil"/>
              <w:left w:val="nil"/>
              <w:bottom w:val="single" w:sz="8" w:space="0" w:color="auto"/>
              <w:right w:val="single" w:sz="8" w:space="0" w:color="auto"/>
            </w:tcBorders>
            <w:shd w:val="clear" w:color="auto" w:fill="auto"/>
            <w:vAlign w:val="center"/>
            <w:hideMark/>
          </w:tcPr>
          <w:p w14:paraId="657EC1DC"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Flat glass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4ADFFB93" w14:textId="77777777" w:rsidR="000155BC" w:rsidRPr="00B61FF1" w:rsidRDefault="000155BC" w:rsidP="00322802">
            <w:pPr>
              <w:autoSpaceDE/>
              <w:autoSpaceDN/>
              <w:adjustRightInd/>
              <w:jc w:val="center"/>
              <w:rPr>
                <w:rFonts w:ascii="Arial" w:eastAsia="Times New Roman" w:hAnsi="Arial" w:cs="Arial"/>
                <w:strike/>
                <w:color w:val="000000"/>
                <w:sz w:val="24"/>
                <w:szCs w:val="24"/>
              </w:rPr>
            </w:pPr>
            <w:r w:rsidRPr="00B61FF1">
              <w:rPr>
                <w:rFonts w:ascii="Arial" w:eastAsia="Times New Roman" w:hAnsi="Arial" w:cs="Arial"/>
                <w:strike/>
                <w:color w:val="000000"/>
                <w:sz w:val="24"/>
                <w:szCs w:val="24"/>
              </w:rPr>
              <w:t>0.471</w:t>
            </w:r>
            <w:r w:rsidRPr="00B61FF1">
              <w:rPr>
                <w:rFonts w:ascii="Arial" w:eastAsia="Times New Roman" w:hAnsi="Arial" w:cs="Arial"/>
                <w:color w:val="000000"/>
                <w:sz w:val="24"/>
                <w:szCs w:val="24"/>
                <w:u w:val="single"/>
              </w:rPr>
              <w:t>0.495</w:t>
            </w:r>
          </w:p>
        </w:tc>
        <w:tc>
          <w:tcPr>
            <w:tcW w:w="2100" w:type="dxa"/>
            <w:tcBorders>
              <w:top w:val="nil"/>
              <w:left w:val="nil"/>
              <w:bottom w:val="single" w:sz="8" w:space="0" w:color="auto"/>
              <w:right w:val="single" w:sz="8" w:space="0" w:color="auto"/>
            </w:tcBorders>
            <w:shd w:val="clear" w:color="auto" w:fill="auto"/>
            <w:vAlign w:val="center"/>
            <w:hideMark/>
          </w:tcPr>
          <w:p w14:paraId="0DC30A66"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Flat Glass Pulled</w:t>
            </w:r>
          </w:p>
        </w:tc>
      </w:tr>
      <w:tr w:rsidR="000155BC" w:rsidRPr="00B61FF1" w14:paraId="5B2CF47D" w14:textId="77777777" w:rsidTr="00BF6D6B">
        <w:trPr>
          <w:cantSplit/>
          <w:trHeight w:val="12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61C7D014"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Glass Container Manufacturing</w:t>
            </w:r>
          </w:p>
        </w:tc>
        <w:tc>
          <w:tcPr>
            <w:tcW w:w="1080" w:type="dxa"/>
            <w:tcBorders>
              <w:top w:val="nil"/>
              <w:left w:val="nil"/>
              <w:bottom w:val="single" w:sz="8" w:space="0" w:color="auto"/>
              <w:right w:val="single" w:sz="8" w:space="0" w:color="auto"/>
            </w:tcBorders>
            <w:shd w:val="clear" w:color="auto" w:fill="auto"/>
            <w:noWrap/>
            <w:vAlign w:val="center"/>
            <w:hideMark/>
          </w:tcPr>
          <w:p w14:paraId="49868CFF"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327213</w:t>
            </w:r>
          </w:p>
        </w:tc>
        <w:tc>
          <w:tcPr>
            <w:tcW w:w="2420" w:type="dxa"/>
            <w:tcBorders>
              <w:top w:val="nil"/>
              <w:left w:val="nil"/>
              <w:bottom w:val="single" w:sz="8" w:space="0" w:color="auto"/>
              <w:right w:val="single" w:sz="8" w:space="0" w:color="auto"/>
            </w:tcBorders>
            <w:shd w:val="clear" w:color="auto" w:fill="auto"/>
            <w:vAlign w:val="center"/>
            <w:hideMark/>
          </w:tcPr>
          <w:p w14:paraId="49DBE488"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Container Glass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13DB23B4" w14:textId="77777777" w:rsidR="000155BC" w:rsidRPr="00B61FF1" w:rsidRDefault="000155BC" w:rsidP="00322802">
            <w:pPr>
              <w:autoSpaceDE/>
              <w:autoSpaceDN/>
              <w:adjustRightInd/>
              <w:jc w:val="center"/>
              <w:rPr>
                <w:rFonts w:ascii="Arial" w:eastAsia="Times New Roman" w:hAnsi="Arial" w:cs="Arial"/>
                <w:strike/>
                <w:color w:val="000000"/>
                <w:sz w:val="24"/>
                <w:szCs w:val="24"/>
              </w:rPr>
            </w:pPr>
            <w:r w:rsidRPr="00B61FF1">
              <w:rPr>
                <w:rFonts w:ascii="Arial" w:eastAsia="Times New Roman" w:hAnsi="Arial" w:cs="Arial"/>
                <w:strike/>
                <w:color w:val="000000"/>
                <w:sz w:val="24"/>
                <w:szCs w:val="24"/>
              </w:rPr>
              <w:t>0.264</w:t>
            </w:r>
            <w:r w:rsidRPr="00B61FF1">
              <w:rPr>
                <w:rFonts w:ascii="Arial" w:eastAsia="Times New Roman" w:hAnsi="Arial" w:cs="Arial"/>
                <w:color w:val="000000"/>
                <w:sz w:val="24"/>
                <w:szCs w:val="24"/>
              </w:rPr>
              <w:t xml:space="preserve"> </w:t>
            </w:r>
            <w:r w:rsidRPr="00B61FF1">
              <w:rPr>
                <w:rFonts w:ascii="Arial" w:eastAsia="Times New Roman" w:hAnsi="Arial" w:cs="Arial"/>
                <w:color w:val="000000"/>
                <w:sz w:val="24"/>
                <w:szCs w:val="24"/>
                <w:u w:val="single"/>
              </w:rPr>
              <w:t>(TBD)</w:t>
            </w:r>
            <w:r w:rsidRPr="00B61FF1">
              <w:rPr>
                <w:rStyle w:val="FootnoteReference"/>
                <w:rFonts w:ascii="Arial" w:eastAsia="Times New Roman" w:hAnsi="Arial" w:cs="Arial"/>
                <w:color w:val="000000"/>
                <w:sz w:val="24"/>
                <w:szCs w:val="24"/>
              </w:rPr>
              <w:footnoteReference w:id="1"/>
            </w:r>
            <w:r w:rsidRPr="00B61FF1">
              <w:rPr>
                <w:rFonts w:ascii="Arial" w:eastAsia="Times New Roman" w:hAnsi="Arial" w:cs="Arial"/>
                <w:color w:val="000000"/>
                <w:sz w:val="24"/>
                <w:szCs w:val="24"/>
                <w:u w:val="single"/>
              </w:rPr>
              <w:t xml:space="preserve"> </w:t>
            </w:r>
          </w:p>
        </w:tc>
        <w:tc>
          <w:tcPr>
            <w:tcW w:w="2100" w:type="dxa"/>
            <w:tcBorders>
              <w:top w:val="nil"/>
              <w:left w:val="nil"/>
              <w:bottom w:val="single" w:sz="8" w:space="0" w:color="auto"/>
              <w:right w:val="single" w:sz="8" w:space="0" w:color="auto"/>
            </w:tcBorders>
            <w:shd w:val="clear" w:color="auto" w:fill="auto"/>
            <w:vAlign w:val="center"/>
            <w:hideMark/>
          </w:tcPr>
          <w:p w14:paraId="58F5724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Container Glass Pulled</w:t>
            </w:r>
          </w:p>
        </w:tc>
      </w:tr>
      <w:tr w:rsidR="000155BC" w:rsidRPr="00B61FF1" w14:paraId="16EAFBE5" w14:textId="77777777" w:rsidTr="00BF6D6B">
        <w:trPr>
          <w:cantSplit/>
          <w:trHeight w:val="12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66AC472F"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Mineral Wool Manufacturing</w:t>
            </w:r>
          </w:p>
        </w:tc>
        <w:tc>
          <w:tcPr>
            <w:tcW w:w="1080" w:type="dxa"/>
            <w:tcBorders>
              <w:top w:val="nil"/>
              <w:left w:val="nil"/>
              <w:bottom w:val="single" w:sz="8" w:space="0" w:color="auto"/>
              <w:right w:val="single" w:sz="8" w:space="0" w:color="auto"/>
            </w:tcBorders>
            <w:shd w:val="clear" w:color="auto" w:fill="auto"/>
            <w:noWrap/>
            <w:vAlign w:val="center"/>
            <w:hideMark/>
          </w:tcPr>
          <w:p w14:paraId="7A33C5DD"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327993</w:t>
            </w:r>
          </w:p>
        </w:tc>
        <w:tc>
          <w:tcPr>
            <w:tcW w:w="2420" w:type="dxa"/>
            <w:tcBorders>
              <w:top w:val="nil"/>
              <w:left w:val="nil"/>
              <w:bottom w:val="single" w:sz="8" w:space="0" w:color="auto"/>
              <w:right w:val="single" w:sz="8" w:space="0" w:color="auto"/>
            </w:tcBorders>
            <w:shd w:val="clear" w:color="auto" w:fill="auto"/>
            <w:vAlign w:val="center"/>
            <w:hideMark/>
          </w:tcPr>
          <w:p w14:paraId="2F3AAFC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Fiber Glass Manufacturing</w:t>
            </w:r>
          </w:p>
        </w:tc>
        <w:tc>
          <w:tcPr>
            <w:tcW w:w="1960" w:type="dxa"/>
            <w:tcBorders>
              <w:top w:val="nil"/>
              <w:left w:val="nil"/>
              <w:bottom w:val="single" w:sz="8" w:space="0" w:color="auto"/>
              <w:right w:val="single" w:sz="8" w:space="0" w:color="auto"/>
            </w:tcBorders>
            <w:shd w:val="clear" w:color="auto" w:fill="auto"/>
            <w:vAlign w:val="center"/>
            <w:hideMark/>
          </w:tcPr>
          <w:p w14:paraId="79769FA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0.394</w:t>
            </w:r>
          </w:p>
        </w:tc>
        <w:tc>
          <w:tcPr>
            <w:tcW w:w="2100" w:type="dxa"/>
            <w:tcBorders>
              <w:top w:val="nil"/>
              <w:left w:val="nil"/>
              <w:bottom w:val="single" w:sz="8" w:space="0" w:color="auto"/>
              <w:right w:val="single" w:sz="8" w:space="0" w:color="auto"/>
            </w:tcBorders>
            <w:shd w:val="clear" w:color="auto" w:fill="auto"/>
            <w:vAlign w:val="center"/>
            <w:hideMark/>
          </w:tcPr>
          <w:p w14:paraId="56D7267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Fiberglass Pulled</w:t>
            </w:r>
          </w:p>
        </w:tc>
      </w:tr>
      <w:tr w:rsidR="000155BC" w:rsidRPr="00B61FF1" w14:paraId="310FB497" w14:textId="77777777" w:rsidTr="00BF6D6B">
        <w:trPr>
          <w:cantSplit/>
          <w:trHeight w:val="9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4FCE4C2B"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Cement Manufacturing</w:t>
            </w:r>
          </w:p>
        </w:tc>
        <w:tc>
          <w:tcPr>
            <w:tcW w:w="1080" w:type="dxa"/>
            <w:tcBorders>
              <w:top w:val="nil"/>
              <w:left w:val="nil"/>
              <w:bottom w:val="single" w:sz="8" w:space="0" w:color="auto"/>
              <w:right w:val="single" w:sz="8" w:space="0" w:color="auto"/>
            </w:tcBorders>
            <w:shd w:val="clear" w:color="auto" w:fill="auto"/>
            <w:noWrap/>
            <w:vAlign w:val="center"/>
            <w:hideMark/>
          </w:tcPr>
          <w:p w14:paraId="384CEE81"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327310</w:t>
            </w:r>
          </w:p>
        </w:tc>
        <w:tc>
          <w:tcPr>
            <w:tcW w:w="2420" w:type="dxa"/>
            <w:tcBorders>
              <w:top w:val="nil"/>
              <w:left w:val="nil"/>
              <w:bottom w:val="single" w:sz="8" w:space="0" w:color="auto"/>
              <w:right w:val="single" w:sz="8" w:space="0" w:color="auto"/>
            </w:tcBorders>
            <w:shd w:val="clear" w:color="auto" w:fill="auto"/>
            <w:vAlign w:val="center"/>
            <w:hideMark/>
          </w:tcPr>
          <w:p w14:paraId="7A669F61"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Cement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4DFD483E"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strike/>
                <w:color w:val="000000"/>
                <w:sz w:val="24"/>
                <w:szCs w:val="24"/>
              </w:rPr>
              <w:t>0.718</w:t>
            </w:r>
            <w:r w:rsidRPr="00B61FF1">
              <w:rPr>
                <w:rFonts w:ascii="Arial" w:eastAsia="Times New Roman" w:hAnsi="Arial" w:cs="Arial"/>
                <w:color w:val="000000"/>
                <w:sz w:val="24"/>
                <w:szCs w:val="24"/>
                <w:u w:val="single"/>
              </w:rPr>
              <w:t xml:space="preserve"> TBD</w:t>
            </w:r>
            <w:r w:rsidRPr="00B61FF1">
              <w:rPr>
                <w:rStyle w:val="FootnoteReference"/>
                <w:rFonts w:ascii="Arial" w:eastAsia="Times New Roman" w:hAnsi="Arial" w:cs="Arial"/>
                <w:color w:val="000000"/>
                <w:sz w:val="24"/>
                <w:szCs w:val="24"/>
                <w:u w:val="single"/>
              </w:rPr>
              <w:footnoteReference w:id="2"/>
            </w:r>
          </w:p>
        </w:tc>
        <w:tc>
          <w:tcPr>
            <w:tcW w:w="2100" w:type="dxa"/>
            <w:tcBorders>
              <w:top w:val="nil"/>
              <w:left w:val="nil"/>
              <w:bottom w:val="single" w:sz="8" w:space="0" w:color="auto"/>
              <w:right w:val="single" w:sz="8" w:space="0" w:color="auto"/>
            </w:tcBorders>
            <w:shd w:val="clear" w:color="auto" w:fill="auto"/>
            <w:vAlign w:val="center"/>
            <w:hideMark/>
          </w:tcPr>
          <w:p w14:paraId="08C9640B"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adjusted clinker and mineral additives produced</w:t>
            </w:r>
          </w:p>
        </w:tc>
      </w:tr>
      <w:tr w:rsidR="000155BC" w:rsidRPr="00B61FF1" w14:paraId="6BE35779" w14:textId="77777777" w:rsidTr="00BF6D6B">
        <w:trPr>
          <w:cantSplit/>
          <w:trHeight w:val="9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428FE058"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Lime Manufacturing</w:t>
            </w:r>
          </w:p>
        </w:tc>
        <w:tc>
          <w:tcPr>
            <w:tcW w:w="1080" w:type="dxa"/>
            <w:tcBorders>
              <w:top w:val="nil"/>
              <w:left w:val="nil"/>
              <w:bottom w:val="single" w:sz="8" w:space="0" w:color="auto"/>
              <w:right w:val="single" w:sz="8" w:space="0" w:color="auto"/>
            </w:tcBorders>
            <w:shd w:val="clear" w:color="auto" w:fill="auto"/>
            <w:noWrap/>
            <w:vAlign w:val="center"/>
            <w:hideMark/>
          </w:tcPr>
          <w:p w14:paraId="249E617E"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327410</w:t>
            </w:r>
          </w:p>
        </w:tc>
        <w:tc>
          <w:tcPr>
            <w:tcW w:w="2420" w:type="dxa"/>
            <w:tcBorders>
              <w:top w:val="nil"/>
              <w:left w:val="nil"/>
              <w:bottom w:val="single" w:sz="8" w:space="0" w:color="auto"/>
              <w:right w:val="single" w:sz="8" w:space="0" w:color="auto"/>
            </w:tcBorders>
            <w:shd w:val="clear" w:color="auto" w:fill="auto"/>
            <w:vAlign w:val="center"/>
            <w:hideMark/>
          </w:tcPr>
          <w:p w14:paraId="6B0EEA39"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Dolime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363C898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1.40</w:t>
            </w:r>
          </w:p>
        </w:tc>
        <w:tc>
          <w:tcPr>
            <w:tcW w:w="2100" w:type="dxa"/>
            <w:tcBorders>
              <w:top w:val="nil"/>
              <w:left w:val="nil"/>
              <w:bottom w:val="single" w:sz="8" w:space="0" w:color="auto"/>
              <w:right w:val="single" w:sz="8" w:space="0" w:color="auto"/>
            </w:tcBorders>
            <w:shd w:val="clear" w:color="auto" w:fill="auto"/>
            <w:vAlign w:val="center"/>
            <w:hideMark/>
          </w:tcPr>
          <w:p w14:paraId="4B753E49"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Dolime Produced</w:t>
            </w:r>
          </w:p>
        </w:tc>
      </w:tr>
      <w:tr w:rsidR="000155BC" w:rsidRPr="00B61FF1" w14:paraId="2970C746" w14:textId="77777777" w:rsidTr="00BF6D6B">
        <w:trPr>
          <w:cantSplit/>
          <w:trHeight w:val="615"/>
        </w:trPr>
        <w:tc>
          <w:tcPr>
            <w:tcW w:w="2445" w:type="dxa"/>
            <w:vMerge w:val="restart"/>
            <w:tcBorders>
              <w:top w:val="nil"/>
              <w:left w:val="single" w:sz="8" w:space="0" w:color="auto"/>
              <w:bottom w:val="single" w:sz="8" w:space="0" w:color="000000"/>
              <w:right w:val="single" w:sz="8" w:space="0" w:color="auto"/>
            </w:tcBorders>
            <w:shd w:val="clear" w:color="auto" w:fill="auto"/>
            <w:vAlign w:val="center"/>
            <w:hideMark/>
          </w:tcPr>
          <w:p w14:paraId="0B9FBED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Gypsum Product Manufacturing</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67DCCD"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327420</w:t>
            </w:r>
          </w:p>
        </w:tc>
        <w:tc>
          <w:tcPr>
            <w:tcW w:w="2420" w:type="dxa"/>
            <w:tcBorders>
              <w:top w:val="nil"/>
              <w:left w:val="nil"/>
              <w:bottom w:val="single" w:sz="8" w:space="0" w:color="auto"/>
              <w:right w:val="single" w:sz="8" w:space="0" w:color="auto"/>
            </w:tcBorders>
            <w:shd w:val="clear" w:color="auto" w:fill="auto"/>
            <w:vAlign w:val="center"/>
            <w:hideMark/>
          </w:tcPr>
          <w:p w14:paraId="4D8E5088"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Plaster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67B443C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0.0454</w:t>
            </w:r>
          </w:p>
        </w:tc>
        <w:tc>
          <w:tcPr>
            <w:tcW w:w="2100" w:type="dxa"/>
            <w:tcBorders>
              <w:top w:val="nil"/>
              <w:left w:val="nil"/>
              <w:bottom w:val="single" w:sz="8" w:space="0" w:color="auto"/>
              <w:right w:val="single" w:sz="8" w:space="0" w:color="auto"/>
            </w:tcBorders>
            <w:shd w:val="clear" w:color="auto" w:fill="auto"/>
            <w:vAlign w:val="center"/>
            <w:hideMark/>
          </w:tcPr>
          <w:p w14:paraId="09980E7F"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Plaster</w:t>
            </w:r>
          </w:p>
        </w:tc>
      </w:tr>
      <w:tr w:rsidR="000155BC" w:rsidRPr="00B61FF1" w14:paraId="0B887B44" w14:textId="77777777" w:rsidTr="00BF6D6B">
        <w:trPr>
          <w:cantSplit/>
          <w:trHeight w:val="615"/>
        </w:trPr>
        <w:tc>
          <w:tcPr>
            <w:tcW w:w="2445" w:type="dxa"/>
            <w:vMerge/>
            <w:tcBorders>
              <w:top w:val="nil"/>
              <w:left w:val="single" w:sz="8" w:space="0" w:color="auto"/>
              <w:bottom w:val="single" w:sz="8" w:space="0" w:color="000000"/>
              <w:right w:val="single" w:sz="8" w:space="0" w:color="auto"/>
            </w:tcBorders>
            <w:vAlign w:val="center"/>
            <w:hideMark/>
          </w:tcPr>
          <w:p w14:paraId="6699978D"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14:paraId="2D57F53C" w14:textId="77777777" w:rsidR="000155BC" w:rsidRPr="00B61FF1" w:rsidRDefault="000155BC" w:rsidP="00322802">
            <w:pPr>
              <w:autoSpaceDE/>
              <w:autoSpaceDN/>
              <w:adjustRightInd/>
              <w:rPr>
                <w:rFonts w:ascii="Arial" w:eastAsia="Times New Roman" w:hAnsi="Arial" w:cs="Arial"/>
                <w:color w:val="000000"/>
                <w:sz w:val="24"/>
                <w:szCs w:val="24"/>
              </w:rPr>
            </w:pPr>
          </w:p>
        </w:tc>
        <w:tc>
          <w:tcPr>
            <w:tcW w:w="2420" w:type="dxa"/>
            <w:tcBorders>
              <w:top w:val="nil"/>
              <w:left w:val="nil"/>
              <w:bottom w:val="single" w:sz="8" w:space="0" w:color="auto"/>
              <w:right w:val="single" w:sz="8" w:space="0" w:color="auto"/>
            </w:tcBorders>
            <w:shd w:val="clear" w:color="auto" w:fill="auto"/>
            <w:vAlign w:val="center"/>
            <w:hideMark/>
          </w:tcPr>
          <w:p w14:paraId="2267BFB0"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Plaster Board Manufacturing</w:t>
            </w:r>
          </w:p>
        </w:tc>
        <w:tc>
          <w:tcPr>
            <w:tcW w:w="1960" w:type="dxa"/>
            <w:tcBorders>
              <w:top w:val="nil"/>
              <w:left w:val="nil"/>
              <w:bottom w:val="single" w:sz="8" w:space="0" w:color="auto"/>
              <w:right w:val="single" w:sz="8" w:space="0" w:color="auto"/>
            </w:tcBorders>
            <w:shd w:val="clear" w:color="auto" w:fill="auto"/>
            <w:noWrap/>
            <w:vAlign w:val="center"/>
            <w:hideMark/>
          </w:tcPr>
          <w:p w14:paraId="013181F5"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0.134</w:t>
            </w:r>
          </w:p>
        </w:tc>
        <w:tc>
          <w:tcPr>
            <w:tcW w:w="2100" w:type="dxa"/>
            <w:tcBorders>
              <w:top w:val="nil"/>
              <w:left w:val="nil"/>
              <w:bottom w:val="single" w:sz="8" w:space="0" w:color="auto"/>
              <w:right w:val="single" w:sz="8" w:space="0" w:color="auto"/>
            </w:tcBorders>
            <w:shd w:val="clear" w:color="auto" w:fill="auto"/>
            <w:vAlign w:val="center"/>
            <w:hideMark/>
          </w:tcPr>
          <w:p w14:paraId="63533E43"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Plaster Board</w:t>
            </w:r>
          </w:p>
        </w:tc>
      </w:tr>
      <w:tr w:rsidR="000155BC" w:rsidRPr="00B61FF1" w14:paraId="46305088" w14:textId="77777777" w:rsidTr="00BF6D6B">
        <w:trPr>
          <w:cantSplit/>
          <w:trHeight w:val="1515"/>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0DEDA65D"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lastRenderedPageBreak/>
              <w:t>Iron and Steel Mills</w:t>
            </w:r>
          </w:p>
        </w:tc>
        <w:tc>
          <w:tcPr>
            <w:tcW w:w="1080" w:type="dxa"/>
            <w:tcBorders>
              <w:top w:val="nil"/>
              <w:left w:val="nil"/>
              <w:bottom w:val="single" w:sz="8" w:space="0" w:color="auto"/>
              <w:right w:val="single" w:sz="8" w:space="0" w:color="auto"/>
            </w:tcBorders>
            <w:shd w:val="clear" w:color="auto" w:fill="auto"/>
            <w:noWrap/>
            <w:vAlign w:val="center"/>
            <w:hideMark/>
          </w:tcPr>
          <w:p w14:paraId="7113FC46"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331111</w:t>
            </w:r>
          </w:p>
        </w:tc>
        <w:tc>
          <w:tcPr>
            <w:tcW w:w="2420" w:type="dxa"/>
            <w:tcBorders>
              <w:top w:val="nil"/>
              <w:left w:val="nil"/>
              <w:bottom w:val="single" w:sz="8" w:space="0" w:color="auto"/>
              <w:right w:val="single" w:sz="8" w:space="0" w:color="auto"/>
            </w:tcBorders>
            <w:shd w:val="clear" w:color="auto" w:fill="auto"/>
            <w:vAlign w:val="center"/>
            <w:hideMark/>
          </w:tcPr>
          <w:p w14:paraId="26C1F601"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Steel Production Using an Electric Arc Furnace</w:t>
            </w:r>
          </w:p>
        </w:tc>
        <w:tc>
          <w:tcPr>
            <w:tcW w:w="1960" w:type="dxa"/>
            <w:tcBorders>
              <w:top w:val="nil"/>
              <w:left w:val="nil"/>
              <w:bottom w:val="single" w:sz="8" w:space="0" w:color="auto"/>
              <w:right w:val="single" w:sz="8" w:space="0" w:color="auto"/>
            </w:tcBorders>
            <w:shd w:val="clear" w:color="auto" w:fill="auto"/>
            <w:noWrap/>
            <w:vAlign w:val="center"/>
            <w:hideMark/>
          </w:tcPr>
          <w:p w14:paraId="7A073F7A"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0.170</w:t>
            </w:r>
          </w:p>
        </w:tc>
        <w:tc>
          <w:tcPr>
            <w:tcW w:w="2100" w:type="dxa"/>
            <w:tcBorders>
              <w:top w:val="nil"/>
              <w:left w:val="nil"/>
              <w:bottom w:val="single" w:sz="8" w:space="0" w:color="auto"/>
              <w:right w:val="single" w:sz="8" w:space="0" w:color="auto"/>
            </w:tcBorders>
            <w:shd w:val="clear" w:color="auto" w:fill="auto"/>
            <w:vAlign w:val="center"/>
            <w:hideMark/>
          </w:tcPr>
          <w:p w14:paraId="031B3797" w14:textId="77777777" w:rsidR="000155BC" w:rsidRPr="00B61FF1" w:rsidRDefault="000155BC" w:rsidP="00322802">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Steel produced using EAF</w:t>
            </w:r>
          </w:p>
        </w:tc>
      </w:tr>
      <w:tr w:rsidR="000155BC" w:rsidRPr="00B61FF1" w14:paraId="5E57204C" w14:textId="77777777" w:rsidTr="00BF6D6B">
        <w:trPr>
          <w:cantSplit/>
          <w:trHeight w:val="1515"/>
        </w:trPr>
        <w:tc>
          <w:tcPr>
            <w:tcW w:w="2445" w:type="dxa"/>
            <w:tcBorders>
              <w:top w:val="nil"/>
              <w:left w:val="single" w:sz="8" w:space="0" w:color="auto"/>
              <w:bottom w:val="single" w:sz="8" w:space="0" w:color="auto"/>
              <w:right w:val="single" w:sz="8" w:space="0" w:color="auto"/>
            </w:tcBorders>
            <w:shd w:val="clear" w:color="auto" w:fill="auto"/>
            <w:vAlign w:val="center"/>
          </w:tcPr>
          <w:p w14:paraId="468E3F7C"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Secondary smelting and alloying of aluminum</w:t>
            </w:r>
          </w:p>
        </w:tc>
        <w:tc>
          <w:tcPr>
            <w:tcW w:w="1080" w:type="dxa"/>
            <w:tcBorders>
              <w:top w:val="nil"/>
              <w:left w:val="nil"/>
              <w:bottom w:val="single" w:sz="8" w:space="0" w:color="auto"/>
              <w:right w:val="single" w:sz="8" w:space="0" w:color="auto"/>
            </w:tcBorders>
            <w:shd w:val="clear" w:color="auto" w:fill="auto"/>
            <w:noWrap/>
            <w:vAlign w:val="center"/>
          </w:tcPr>
          <w:p w14:paraId="5A264CDD"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331314</w:t>
            </w:r>
          </w:p>
        </w:tc>
        <w:tc>
          <w:tcPr>
            <w:tcW w:w="2420" w:type="dxa"/>
            <w:tcBorders>
              <w:top w:val="nil"/>
              <w:left w:val="nil"/>
              <w:bottom w:val="single" w:sz="8" w:space="0" w:color="auto"/>
              <w:right w:val="single" w:sz="8" w:space="0" w:color="auto"/>
            </w:tcBorders>
            <w:shd w:val="clear" w:color="auto" w:fill="auto"/>
            <w:vAlign w:val="center"/>
          </w:tcPr>
          <w:p w14:paraId="0A5FABCE" w14:textId="538D9D23" w:rsidR="000155BC" w:rsidRPr="00B61FF1" w:rsidRDefault="00B71B9A"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Aluminum Alloy Billet</w:t>
            </w:r>
            <w:r w:rsidR="000155BC" w:rsidRPr="00B61FF1">
              <w:rPr>
                <w:rFonts w:ascii="Arial" w:eastAsia="Times New Roman" w:hAnsi="Arial" w:cs="Arial"/>
                <w:color w:val="000000"/>
                <w:sz w:val="24"/>
                <w:szCs w:val="24"/>
                <w:u w:val="single"/>
              </w:rPr>
              <w:t xml:space="preserve"> Manufacturing</w:t>
            </w:r>
          </w:p>
        </w:tc>
        <w:tc>
          <w:tcPr>
            <w:tcW w:w="1960" w:type="dxa"/>
            <w:tcBorders>
              <w:top w:val="nil"/>
              <w:left w:val="nil"/>
              <w:bottom w:val="single" w:sz="8" w:space="0" w:color="auto"/>
              <w:right w:val="single" w:sz="8" w:space="0" w:color="auto"/>
            </w:tcBorders>
            <w:shd w:val="clear" w:color="auto" w:fill="auto"/>
            <w:noWrap/>
            <w:vAlign w:val="center"/>
          </w:tcPr>
          <w:p w14:paraId="134EB86F"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0.371</w:t>
            </w:r>
          </w:p>
        </w:tc>
        <w:tc>
          <w:tcPr>
            <w:tcW w:w="2100" w:type="dxa"/>
            <w:tcBorders>
              <w:top w:val="nil"/>
              <w:left w:val="nil"/>
              <w:bottom w:val="single" w:sz="8" w:space="0" w:color="auto"/>
              <w:right w:val="single" w:sz="8" w:space="0" w:color="auto"/>
            </w:tcBorders>
            <w:shd w:val="clear" w:color="auto" w:fill="auto"/>
            <w:vAlign w:val="center"/>
          </w:tcPr>
          <w:p w14:paraId="4E062F73" w14:textId="7AD233AF" w:rsidR="000155BC" w:rsidRPr="00B61FF1" w:rsidRDefault="000155BC" w:rsidP="00B71B9A">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Allowances / Short ton of Aluminum Billet</w:t>
            </w:r>
          </w:p>
        </w:tc>
      </w:tr>
      <w:tr w:rsidR="000155BC" w:rsidRPr="00B61FF1" w14:paraId="0DD349E8" w14:textId="77777777" w:rsidTr="00BF6D6B">
        <w:trPr>
          <w:cantSplit/>
          <w:trHeight w:val="1515"/>
        </w:trPr>
        <w:tc>
          <w:tcPr>
            <w:tcW w:w="2445" w:type="dxa"/>
            <w:tcBorders>
              <w:top w:val="nil"/>
              <w:left w:val="single" w:sz="8" w:space="0" w:color="auto"/>
              <w:bottom w:val="single" w:sz="8" w:space="0" w:color="auto"/>
              <w:right w:val="single" w:sz="8" w:space="0" w:color="auto"/>
            </w:tcBorders>
            <w:shd w:val="clear" w:color="auto" w:fill="auto"/>
            <w:vAlign w:val="center"/>
          </w:tcPr>
          <w:p w14:paraId="4F7EF56D" w14:textId="77777777" w:rsidR="000155BC" w:rsidRPr="00B61FF1" w:rsidRDefault="000155BC" w:rsidP="00322802">
            <w:pPr>
              <w:jc w:val="center"/>
              <w:rPr>
                <w:rFonts w:ascii="Arial" w:hAnsi="Arial" w:cs="Arial"/>
                <w:color w:val="000000"/>
                <w:sz w:val="24"/>
                <w:szCs w:val="24"/>
                <w:u w:val="single"/>
              </w:rPr>
            </w:pPr>
            <w:r w:rsidRPr="00B61FF1">
              <w:rPr>
                <w:rFonts w:ascii="Arial" w:hAnsi="Arial" w:cs="Arial"/>
                <w:color w:val="000000"/>
                <w:sz w:val="24"/>
                <w:szCs w:val="24"/>
                <w:u w:val="single"/>
              </w:rPr>
              <w:t>Secondary smelting, refining, and alloying of nonferrous metal (except copper and aluminum)</w:t>
            </w:r>
          </w:p>
          <w:p w14:paraId="549A2D10"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p>
        </w:tc>
        <w:tc>
          <w:tcPr>
            <w:tcW w:w="1080" w:type="dxa"/>
            <w:tcBorders>
              <w:top w:val="nil"/>
              <w:left w:val="nil"/>
              <w:bottom w:val="single" w:sz="8" w:space="0" w:color="auto"/>
              <w:right w:val="single" w:sz="8" w:space="0" w:color="auto"/>
            </w:tcBorders>
            <w:shd w:val="clear" w:color="auto" w:fill="auto"/>
            <w:noWrap/>
            <w:vAlign w:val="center"/>
          </w:tcPr>
          <w:p w14:paraId="39BFB02E"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331492</w:t>
            </w:r>
          </w:p>
        </w:tc>
        <w:tc>
          <w:tcPr>
            <w:tcW w:w="2420" w:type="dxa"/>
            <w:tcBorders>
              <w:top w:val="nil"/>
              <w:left w:val="nil"/>
              <w:bottom w:val="single" w:sz="8" w:space="0" w:color="auto"/>
              <w:right w:val="single" w:sz="8" w:space="0" w:color="auto"/>
            </w:tcBorders>
            <w:shd w:val="clear" w:color="auto" w:fill="auto"/>
            <w:vAlign w:val="center"/>
          </w:tcPr>
          <w:p w14:paraId="09D6A7BC"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Lead Acid Battery Recycling (TBD)</w:t>
            </w:r>
          </w:p>
        </w:tc>
        <w:tc>
          <w:tcPr>
            <w:tcW w:w="1960" w:type="dxa"/>
            <w:tcBorders>
              <w:top w:val="nil"/>
              <w:left w:val="nil"/>
              <w:bottom w:val="single" w:sz="8" w:space="0" w:color="auto"/>
              <w:right w:val="single" w:sz="8" w:space="0" w:color="auto"/>
            </w:tcBorders>
            <w:shd w:val="clear" w:color="auto" w:fill="auto"/>
            <w:noWrap/>
            <w:vAlign w:val="center"/>
          </w:tcPr>
          <w:p w14:paraId="0AED94AB"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100" w:type="dxa"/>
            <w:tcBorders>
              <w:top w:val="nil"/>
              <w:left w:val="nil"/>
              <w:bottom w:val="single" w:sz="8" w:space="0" w:color="auto"/>
              <w:right w:val="single" w:sz="8" w:space="0" w:color="auto"/>
            </w:tcBorders>
            <w:shd w:val="clear" w:color="auto" w:fill="auto"/>
            <w:vAlign w:val="center"/>
          </w:tcPr>
          <w:p w14:paraId="576D0E88"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0155BC" w:rsidRPr="00B61FF1" w14:paraId="068EE878" w14:textId="77777777" w:rsidTr="00BF6D6B">
        <w:trPr>
          <w:cantSplit/>
          <w:trHeight w:val="1515"/>
        </w:trPr>
        <w:tc>
          <w:tcPr>
            <w:tcW w:w="2445" w:type="dxa"/>
            <w:tcBorders>
              <w:top w:val="single" w:sz="8" w:space="0" w:color="auto"/>
              <w:left w:val="single" w:sz="8" w:space="0" w:color="auto"/>
              <w:bottom w:val="single" w:sz="8" w:space="0" w:color="auto"/>
              <w:right w:val="single" w:sz="8" w:space="0" w:color="auto"/>
            </w:tcBorders>
            <w:shd w:val="clear" w:color="auto" w:fill="auto"/>
            <w:vAlign w:val="center"/>
          </w:tcPr>
          <w:p w14:paraId="7DC6FC3B"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Iron Foundries</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7510D"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331511</w:t>
            </w:r>
          </w:p>
        </w:tc>
        <w:tc>
          <w:tcPr>
            <w:tcW w:w="2420" w:type="dxa"/>
            <w:tcBorders>
              <w:top w:val="single" w:sz="8" w:space="0" w:color="auto"/>
              <w:left w:val="nil"/>
              <w:bottom w:val="single" w:sz="8" w:space="0" w:color="auto"/>
              <w:right w:val="single" w:sz="8" w:space="0" w:color="auto"/>
            </w:tcBorders>
            <w:shd w:val="clear" w:color="auto" w:fill="auto"/>
            <w:vAlign w:val="center"/>
          </w:tcPr>
          <w:p w14:paraId="5A7D5608"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Ductile Iron Pipe Manufacturing</w:t>
            </w:r>
          </w:p>
        </w:tc>
        <w:tc>
          <w:tcPr>
            <w:tcW w:w="1960" w:type="dxa"/>
            <w:tcBorders>
              <w:top w:val="single" w:sz="8" w:space="0" w:color="auto"/>
              <w:left w:val="nil"/>
              <w:bottom w:val="single" w:sz="8" w:space="0" w:color="auto"/>
              <w:right w:val="single" w:sz="8" w:space="0" w:color="auto"/>
            </w:tcBorders>
            <w:shd w:val="clear" w:color="auto" w:fill="auto"/>
            <w:noWrap/>
            <w:vAlign w:val="center"/>
          </w:tcPr>
          <w:p w14:paraId="155A69D8"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0.561</w:t>
            </w:r>
          </w:p>
        </w:tc>
        <w:tc>
          <w:tcPr>
            <w:tcW w:w="2100" w:type="dxa"/>
            <w:tcBorders>
              <w:top w:val="single" w:sz="8" w:space="0" w:color="auto"/>
              <w:left w:val="nil"/>
              <w:bottom w:val="single" w:sz="8" w:space="0" w:color="auto"/>
              <w:right w:val="single" w:sz="8" w:space="0" w:color="auto"/>
            </w:tcBorders>
            <w:shd w:val="clear" w:color="auto" w:fill="auto"/>
            <w:vAlign w:val="center"/>
          </w:tcPr>
          <w:p w14:paraId="489B3D63" w14:textId="12215F8E" w:rsidR="000155BC" w:rsidRPr="00B61FF1" w:rsidRDefault="001F3A12"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Allowances / Short ton of Du</w:t>
            </w:r>
            <w:r w:rsidR="000155BC" w:rsidRPr="00B61FF1">
              <w:rPr>
                <w:rFonts w:ascii="Arial" w:eastAsia="Times New Roman" w:hAnsi="Arial" w:cs="Arial"/>
                <w:color w:val="000000"/>
                <w:sz w:val="24"/>
                <w:szCs w:val="24"/>
                <w:u w:val="single"/>
              </w:rPr>
              <w:t xml:space="preserve">ctile Iron Pipe </w:t>
            </w:r>
          </w:p>
        </w:tc>
      </w:tr>
      <w:tr w:rsidR="000155BC" w:rsidRPr="00B61FF1" w14:paraId="26E474A5" w14:textId="77777777" w:rsidTr="00BF6D6B">
        <w:trPr>
          <w:cantSplit/>
          <w:trHeight w:val="1515"/>
        </w:trPr>
        <w:tc>
          <w:tcPr>
            <w:tcW w:w="2445" w:type="dxa"/>
            <w:tcBorders>
              <w:top w:val="single" w:sz="8" w:space="0" w:color="auto"/>
              <w:left w:val="single" w:sz="8" w:space="0" w:color="auto"/>
              <w:bottom w:val="single" w:sz="8" w:space="0" w:color="auto"/>
              <w:right w:val="single" w:sz="8" w:space="0" w:color="auto"/>
            </w:tcBorders>
            <w:shd w:val="clear" w:color="auto" w:fill="auto"/>
            <w:vAlign w:val="center"/>
          </w:tcPr>
          <w:p w14:paraId="3378ED7B"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Iron and Steel Forging</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413B4FC4"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332111</w:t>
            </w:r>
          </w:p>
        </w:tc>
        <w:tc>
          <w:tcPr>
            <w:tcW w:w="2420" w:type="dxa"/>
            <w:tcBorders>
              <w:top w:val="single" w:sz="8" w:space="0" w:color="auto"/>
              <w:left w:val="nil"/>
              <w:bottom w:val="single" w:sz="8" w:space="0" w:color="auto"/>
              <w:right w:val="single" w:sz="8" w:space="0" w:color="auto"/>
            </w:tcBorders>
            <w:shd w:val="clear" w:color="auto" w:fill="auto"/>
            <w:vAlign w:val="center"/>
          </w:tcPr>
          <w:p w14:paraId="1B6FE201"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1960" w:type="dxa"/>
            <w:tcBorders>
              <w:top w:val="single" w:sz="8" w:space="0" w:color="auto"/>
              <w:left w:val="nil"/>
              <w:bottom w:val="single" w:sz="8" w:space="0" w:color="auto"/>
              <w:right w:val="single" w:sz="8" w:space="0" w:color="auto"/>
            </w:tcBorders>
            <w:shd w:val="clear" w:color="auto" w:fill="auto"/>
            <w:noWrap/>
            <w:vAlign w:val="center"/>
          </w:tcPr>
          <w:p w14:paraId="2E3E0500"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100" w:type="dxa"/>
            <w:tcBorders>
              <w:top w:val="single" w:sz="8" w:space="0" w:color="auto"/>
              <w:left w:val="nil"/>
              <w:bottom w:val="single" w:sz="8" w:space="0" w:color="auto"/>
              <w:right w:val="single" w:sz="8" w:space="0" w:color="auto"/>
            </w:tcBorders>
            <w:shd w:val="clear" w:color="auto" w:fill="auto"/>
            <w:vAlign w:val="center"/>
          </w:tcPr>
          <w:p w14:paraId="1C52932A"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r w:rsidR="000155BC" w:rsidRPr="00B61FF1" w14:paraId="62971657" w14:textId="77777777" w:rsidTr="00BF6D6B">
        <w:trPr>
          <w:cantSplit/>
          <w:trHeight w:val="1515"/>
        </w:trPr>
        <w:tc>
          <w:tcPr>
            <w:tcW w:w="2445" w:type="dxa"/>
            <w:tcBorders>
              <w:top w:val="single" w:sz="8" w:space="0" w:color="auto"/>
              <w:left w:val="single" w:sz="8" w:space="0" w:color="auto"/>
              <w:bottom w:val="single" w:sz="8" w:space="0" w:color="auto"/>
              <w:right w:val="single" w:sz="8" w:space="0" w:color="auto"/>
            </w:tcBorders>
            <w:shd w:val="clear" w:color="auto" w:fill="auto"/>
            <w:vAlign w:val="center"/>
          </w:tcPr>
          <w:p w14:paraId="255BB53C"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Nonferrous Forging</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4A4489BA"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332112</w:t>
            </w:r>
          </w:p>
        </w:tc>
        <w:tc>
          <w:tcPr>
            <w:tcW w:w="2420" w:type="dxa"/>
            <w:tcBorders>
              <w:top w:val="single" w:sz="8" w:space="0" w:color="auto"/>
              <w:left w:val="nil"/>
              <w:bottom w:val="single" w:sz="8" w:space="0" w:color="auto"/>
              <w:right w:val="single" w:sz="8" w:space="0" w:color="auto"/>
            </w:tcBorders>
            <w:shd w:val="clear" w:color="auto" w:fill="auto"/>
            <w:vAlign w:val="center"/>
          </w:tcPr>
          <w:p w14:paraId="4264709F"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1960" w:type="dxa"/>
            <w:tcBorders>
              <w:top w:val="single" w:sz="8" w:space="0" w:color="auto"/>
              <w:left w:val="nil"/>
              <w:bottom w:val="single" w:sz="8" w:space="0" w:color="auto"/>
              <w:right w:val="single" w:sz="8" w:space="0" w:color="auto"/>
            </w:tcBorders>
            <w:shd w:val="clear" w:color="auto" w:fill="auto"/>
            <w:noWrap/>
            <w:vAlign w:val="center"/>
          </w:tcPr>
          <w:p w14:paraId="22416B9D"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c>
          <w:tcPr>
            <w:tcW w:w="2100" w:type="dxa"/>
            <w:tcBorders>
              <w:top w:val="single" w:sz="8" w:space="0" w:color="auto"/>
              <w:left w:val="nil"/>
              <w:bottom w:val="single" w:sz="8" w:space="0" w:color="auto"/>
              <w:right w:val="single" w:sz="8" w:space="0" w:color="auto"/>
            </w:tcBorders>
            <w:shd w:val="clear" w:color="auto" w:fill="auto"/>
            <w:vAlign w:val="center"/>
          </w:tcPr>
          <w:p w14:paraId="42CA366F" w14:textId="77777777" w:rsidR="000155BC" w:rsidRPr="00B61FF1" w:rsidRDefault="000155BC" w:rsidP="00322802">
            <w:pPr>
              <w:autoSpaceDE/>
              <w:autoSpaceDN/>
              <w:adjustRightInd/>
              <w:jc w:val="center"/>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TBD</w:t>
            </w:r>
          </w:p>
        </w:tc>
      </w:tr>
    </w:tbl>
    <w:p w14:paraId="6C9397E8" w14:textId="77777777" w:rsidR="000155BC" w:rsidRPr="00B61FF1" w:rsidRDefault="000155BC">
      <w:pPr>
        <w:autoSpaceDE/>
        <w:autoSpaceDN/>
        <w:adjustRightInd/>
        <w:rPr>
          <w:rFonts w:ascii="Arial" w:hAnsi="Arial" w:cs="Arial"/>
          <w:sz w:val="24"/>
          <w:szCs w:val="24"/>
        </w:rPr>
      </w:pPr>
    </w:p>
    <w:p w14:paraId="71259A95" w14:textId="4AA82823" w:rsidR="0074480C" w:rsidRPr="00B61FF1" w:rsidRDefault="000155BC" w:rsidP="004E3B67">
      <w:pPr>
        <w:spacing w:line="360" w:lineRule="auto"/>
        <w:rPr>
          <w:rFonts w:ascii="Arial" w:hAnsi="Arial" w:cs="Arial"/>
          <w:sz w:val="24"/>
          <w:szCs w:val="24"/>
        </w:rPr>
      </w:pPr>
      <w:r w:rsidRPr="00B61FF1">
        <w:rPr>
          <w:rFonts w:ascii="Arial" w:hAnsi="Arial" w:cs="Arial"/>
          <w:sz w:val="24"/>
          <w:szCs w:val="24"/>
        </w:rPr>
        <w:br w:type="page"/>
      </w:r>
    </w:p>
    <w:tbl>
      <w:tblPr>
        <w:tblW w:w="10005" w:type="dxa"/>
        <w:tblLook w:val="04A0" w:firstRow="1" w:lastRow="0" w:firstColumn="1" w:lastColumn="0" w:noHBand="0" w:noVBand="1"/>
      </w:tblPr>
      <w:tblGrid>
        <w:gridCol w:w="2438"/>
        <w:gridCol w:w="1017"/>
        <w:gridCol w:w="2444"/>
        <w:gridCol w:w="1960"/>
        <w:gridCol w:w="2146"/>
      </w:tblGrid>
      <w:tr w:rsidR="0074480C" w:rsidRPr="00B61FF1" w14:paraId="7D9C4166" w14:textId="77777777" w:rsidTr="00BF6D6B">
        <w:trPr>
          <w:trHeight w:val="645"/>
        </w:trPr>
        <w:tc>
          <w:tcPr>
            <w:tcW w:w="243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77FEE8B" w14:textId="77777777" w:rsidR="0074480C" w:rsidRPr="00B61FF1" w:rsidRDefault="0074480C" w:rsidP="0074480C">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lastRenderedPageBreak/>
              <w:t>NAICS Sector Definition</w:t>
            </w:r>
          </w:p>
        </w:tc>
        <w:tc>
          <w:tcPr>
            <w:tcW w:w="1017" w:type="dxa"/>
            <w:tcBorders>
              <w:top w:val="single" w:sz="8" w:space="0" w:color="auto"/>
              <w:left w:val="nil"/>
              <w:bottom w:val="single" w:sz="8" w:space="0" w:color="auto"/>
              <w:right w:val="single" w:sz="8" w:space="0" w:color="auto"/>
            </w:tcBorders>
            <w:shd w:val="clear" w:color="000000" w:fill="BFBFBF"/>
            <w:vAlign w:val="center"/>
            <w:hideMark/>
          </w:tcPr>
          <w:p w14:paraId="61EF1FC3" w14:textId="77777777" w:rsidR="0074480C" w:rsidRPr="00B61FF1" w:rsidRDefault="0074480C" w:rsidP="0074480C">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NAICS code</w:t>
            </w:r>
          </w:p>
        </w:tc>
        <w:tc>
          <w:tcPr>
            <w:tcW w:w="2444" w:type="dxa"/>
            <w:tcBorders>
              <w:top w:val="single" w:sz="8" w:space="0" w:color="auto"/>
              <w:left w:val="nil"/>
              <w:bottom w:val="single" w:sz="8" w:space="0" w:color="auto"/>
              <w:right w:val="single" w:sz="8" w:space="0" w:color="auto"/>
            </w:tcBorders>
            <w:shd w:val="clear" w:color="000000" w:fill="BFBFBF"/>
            <w:vAlign w:val="center"/>
            <w:hideMark/>
          </w:tcPr>
          <w:p w14:paraId="2DA270CE" w14:textId="77777777" w:rsidR="0074480C" w:rsidRPr="00B61FF1" w:rsidRDefault="0074480C" w:rsidP="0074480C">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Activity (a)</w:t>
            </w:r>
          </w:p>
        </w:tc>
        <w:tc>
          <w:tcPr>
            <w:tcW w:w="1960" w:type="dxa"/>
            <w:tcBorders>
              <w:top w:val="single" w:sz="8" w:space="0" w:color="auto"/>
              <w:left w:val="nil"/>
              <w:bottom w:val="single" w:sz="8" w:space="0" w:color="auto"/>
              <w:right w:val="single" w:sz="8" w:space="0" w:color="auto"/>
            </w:tcBorders>
            <w:shd w:val="clear" w:color="000000" w:fill="BFBFBF"/>
            <w:vAlign w:val="center"/>
            <w:hideMark/>
          </w:tcPr>
          <w:p w14:paraId="4BCE5711" w14:textId="77777777" w:rsidR="0074480C" w:rsidRPr="00B61FF1" w:rsidRDefault="0074480C" w:rsidP="0074480C">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(B</w:t>
            </w:r>
            <w:r w:rsidRPr="00B61FF1">
              <w:rPr>
                <w:rFonts w:ascii="Arial" w:eastAsia="Times New Roman" w:hAnsi="Arial" w:cs="Arial"/>
                <w:b/>
                <w:bCs/>
                <w:color w:val="000000"/>
                <w:sz w:val="24"/>
                <w:szCs w:val="24"/>
                <w:vertAlign w:val="subscript"/>
              </w:rPr>
              <w:t>a</w:t>
            </w:r>
            <w:r w:rsidRPr="00B61FF1">
              <w:rPr>
                <w:rFonts w:ascii="Arial" w:eastAsia="Times New Roman" w:hAnsi="Arial" w:cs="Arial"/>
                <w:b/>
                <w:bCs/>
                <w:color w:val="000000"/>
                <w:sz w:val="24"/>
                <w:szCs w:val="24"/>
              </w:rPr>
              <w:t>)</w:t>
            </w:r>
          </w:p>
        </w:tc>
        <w:tc>
          <w:tcPr>
            <w:tcW w:w="2146" w:type="dxa"/>
            <w:tcBorders>
              <w:top w:val="single" w:sz="8" w:space="0" w:color="auto"/>
              <w:left w:val="nil"/>
              <w:bottom w:val="single" w:sz="8" w:space="0" w:color="auto"/>
              <w:right w:val="single" w:sz="8" w:space="0" w:color="auto"/>
            </w:tcBorders>
            <w:shd w:val="clear" w:color="000000" w:fill="BFBFBF"/>
            <w:vAlign w:val="center"/>
            <w:hideMark/>
          </w:tcPr>
          <w:p w14:paraId="45EF04E9" w14:textId="77777777" w:rsidR="0074480C" w:rsidRPr="00B61FF1" w:rsidRDefault="0074480C" w:rsidP="0074480C">
            <w:pPr>
              <w:autoSpaceDE/>
              <w:autoSpaceDN/>
              <w:adjustRightInd/>
              <w:jc w:val="center"/>
              <w:rPr>
                <w:rFonts w:ascii="Arial" w:eastAsia="Times New Roman" w:hAnsi="Arial" w:cs="Arial"/>
                <w:b/>
                <w:bCs/>
                <w:color w:val="000000"/>
                <w:sz w:val="24"/>
                <w:szCs w:val="24"/>
              </w:rPr>
            </w:pPr>
            <w:r w:rsidRPr="00B61FF1">
              <w:rPr>
                <w:rFonts w:ascii="Arial" w:eastAsia="Times New Roman" w:hAnsi="Arial" w:cs="Arial"/>
                <w:b/>
                <w:bCs/>
                <w:color w:val="000000"/>
                <w:sz w:val="24"/>
                <w:szCs w:val="24"/>
              </w:rPr>
              <w:t>Benchmark Units</w:t>
            </w:r>
          </w:p>
        </w:tc>
      </w:tr>
      <w:tr w:rsidR="0074480C" w:rsidRPr="00B61FF1" w14:paraId="46F7C662" w14:textId="77777777" w:rsidTr="00BF6D6B">
        <w:trPr>
          <w:trHeight w:val="915"/>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85CF54" w14:textId="1DEE7DA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Rolled Steel Shape Manufacturing</w:t>
            </w:r>
            <w:r w:rsidR="000155BC" w:rsidRPr="00B61FF1">
              <w:rPr>
                <w:rStyle w:val="FootnoteReference"/>
                <w:rFonts w:ascii="Arial" w:eastAsia="Times New Roman" w:hAnsi="Arial" w:cs="Arial"/>
                <w:color w:val="000000"/>
                <w:sz w:val="24"/>
                <w:szCs w:val="24"/>
                <w:u w:val="single"/>
              </w:rPr>
              <w:footnoteReference w:id="3"/>
            </w:r>
          </w:p>
        </w:tc>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6FAB4D"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331221</w:t>
            </w:r>
          </w:p>
        </w:tc>
        <w:tc>
          <w:tcPr>
            <w:tcW w:w="2444" w:type="dxa"/>
            <w:tcBorders>
              <w:top w:val="nil"/>
              <w:left w:val="nil"/>
              <w:bottom w:val="single" w:sz="8" w:space="0" w:color="auto"/>
              <w:right w:val="single" w:sz="8" w:space="0" w:color="auto"/>
            </w:tcBorders>
            <w:shd w:val="clear" w:color="auto" w:fill="auto"/>
            <w:vAlign w:val="center"/>
            <w:hideMark/>
          </w:tcPr>
          <w:p w14:paraId="3D0B5E19"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Hot Rolled Steel Sheet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7825B69A"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0.0843</w:t>
            </w:r>
          </w:p>
        </w:tc>
        <w:tc>
          <w:tcPr>
            <w:tcW w:w="2146" w:type="dxa"/>
            <w:tcBorders>
              <w:top w:val="nil"/>
              <w:left w:val="nil"/>
              <w:bottom w:val="single" w:sz="8" w:space="0" w:color="auto"/>
              <w:right w:val="single" w:sz="8" w:space="0" w:color="auto"/>
            </w:tcBorders>
            <w:shd w:val="clear" w:color="auto" w:fill="auto"/>
            <w:vAlign w:val="center"/>
            <w:hideMark/>
          </w:tcPr>
          <w:p w14:paraId="59DB23C3"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hot rolled steel</w:t>
            </w:r>
          </w:p>
        </w:tc>
      </w:tr>
      <w:tr w:rsidR="0074480C" w:rsidRPr="00B61FF1" w14:paraId="35B81398" w14:textId="77777777" w:rsidTr="00BF6D6B">
        <w:trPr>
          <w:trHeight w:val="915"/>
        </w:trPr>
        <w:tc>
          <w:tcPr>
            <w:tcW w:w="2438" w:type="dxa"/>
            <w:vMerge/>
            <w:tcBorders>
              <w:top w:val="nil"/>
              <w:left w:val="single" w:sz="8" w:space="0" w:color="auto"/>
              <w:bottom w:val="single" w:sz="8" w:space="0" w:color="000000"/>
              <w:right w:val="single" w:sz="8" w:space="0" w:color="auto"/>
            </w:tcBorders>
            <w:vAlign w:val="center"/>
            <w:hideMark/>
          </w:tcPr>
          <w:p w14:paraId="2A826F93"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1017" w:type="dxa"/>
            <w:vMerge/>
            <w:tcBorders>
              <w:top w:val="nil"/>
              <w:left w:val="single" w:sz="8" w:space="0" w:color="auto"/>
              <w:bottom w:val="single" w:sz="8" w:space="0" w:color="000000"/>
              <w:right w:val="single" w:sz="8" w:space="0" w:color="auto"/>
            </w:tcBorders>
            <w:vAlign w:val="center"/>
            <w:hideMark/>
          </w:tcPr>
          <w:p w14:paraId="68FF294D"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2444" w:type="dxa"/>
            <w:tcBorders>
              <w:top w:val="nil"/>
              <w:left w:val="nil"/>
              <w:bottom w:val="single" w:sz="8" w:space="0" w:color="auto"/>
              <w:right w:val="single" w:sz="8" w:space="0" w:color="auto"/>
            </w:tcBorders>
            <w:shd w:val="clear" w:color="auto" w:fill="auto"/>
            <w:vAlign w:val="center"/>
            <w:hideMark/>
          </w:tcPr>
          <w:p w14:paraId="1FE05314"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Picked Steel Sheet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7BDFF383"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0.0126</w:t>
            </w:r>
          </w:p>
        </w:tc>
        <w:tc>
          <w:tcPr>
            <w:tcW w:w="2146" w:type="dxa"/>
            <w:tcBorders>
              <w:top w:val="nil"/>
              <w:left w:val="nil"/>
              <w:bottom w:val="single" w:sz="8" w:space="0" w:color="auto"/>
              <w:right w:val="single" w:sz="8" w:space="0" w:color="auto"/>
            </w:tcBorders>
            <w:shd w:val="clear" w:color="auto" w:fill="auto"/>
            <w:vAlign w:val="center"/>
            <w:hideMark/>
          </w:tcPr>
          <w:p w14:paraId="598DF335"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pickled steel</w:t>
            </w:r>
          </w:p>
        </w:tc>
      </w:tr>
      <w:tr w:rsidR="0074480C" w:rsidRPr="00B61FF1" w14:paraId="0F2CE9A5" w14:textId="77777777" w:rsidTr="00BF6D6B">
        <w:trPr>
          <w:trHeight w:val="1215"/>
        </w:trPr>
        <w:tc>
          <w:tcPr>
            <w:tcW w:w="2438" w:type="dxa"/>
            <w:vMerge/>
            <w:tcBorders>
              <w:top w:val="nil"/>
              <w:left w:val="single" w:sz="8" w:space="0" w:color="auto"/>
              <w:bottom w:val="single" w:sz="8" w:space="0" w:color="000000"/>
              <w:right w:val="single" w:sz="8" w:space="0" w:color="auto"/>
            </w:tcBorders>
            <w:vAlign w:val="center"/>
            <w:hideMark/>
          </w:tcPr>
          <w:p w14:paraId="71D471CD"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1017" w:type="dxa"/>
            <w:vMerge/>
            <w:tcBorders>
              <w:top w:val="nil"/>
              <w:left w:val="single" w:sz="8" w:space="0" w:color="auto"/>
              <w:bottom w:val="single" w:sz="8" w:space="0" w:color="000000"/>
              <w:right w:val="single" w:sz="8" w:space="0" w:color="auto"/>
            </w:tcBorders>
            <w:vAlign w:val="center"/>
            <w:hideMark/>
          </w:tcPr>
          <w:p w14:paraId="7E1EBF87"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2444" w:type="dxa"/>
            <w:tcBorders>
              <w:top w:val="nil"/>
              <w:left w:val="nil"/>
              <w:bottom w:val="single" w:sz="8" w:space="0" w:color="auto"/>
              <w:right w:val="single" w:sz="8" w:space="0" w:color="auto"/>
            </w:tcBorders>
            <w:shd w:val="clear" w:color="auto" w:fill="auto"/>
            <w:vAlign w:val="center"/>
            <w:hideMark/>
          </w:tcPr>
          <w:p w14:paraId="7CA69A32"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Cold Rolled and Annealed Steel Sheet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1E766F9F"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0.0313</w:t>
            </w:r>
          </w:p>
        </w:tc>
        <w:tc>
          <w:tcPr>
            <w:tcW w:w="2146" w:type="dxa"/>
            <w:tcBorders>
              <w:top w:val="nil"/>
              <w:left w:val="nil"/>
              <w:bottom w:val="single" w:sz="8" w:space="0" w:color="auto"/>
              <w:right w:val="single" w:sz="8" w:space="0" w:color="auto"/>
            </w:tcBorders>
            <w:shd w:val="clear" w:color="auto" w:fill="auto"/>
            <w:vAlign w:val="center"/>
            <w:hideMark/>
          </w:tcPr>
          <w:p w14:paraId="40A4D930"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cold rolled and annealed steel</w:t>
            </w:r>
          </w:p>
        </w:tc>
      </w:tr>
      <w:tr w:rsidR="0074480C" w:rsidRPr="00B61FF1" w14:paraId="3DBCBC40" w14:textId="77777777" w:rsidTr="00BF6D6B">
        <w:trPr>
          <w:trHeight w:val="915"/>
        </w:trPr>
        <w:tc>
          <w:tcPr>
            <w:tcW w:w="2438" w:type="dxa"/>
            <w:vMerge/>
            <w:tcBorders>
              <w:top w:val="nil"/>
              <w:left w:val="single" w:sz="8" w:space="0" w:color="auto"/>
              <w:bottom w:val="single" w:sz="8" w:space="0" w:color="000000"/>
              <w:right w:val="single" w:sz="8" w:space="0" w:color="auto"/>
            </w:tcBorders>
            <w:vAlign w:val="center"/>
            <w:hideMark/>
          </w:tcPr>
          <w:p w14:paraId="490C254D"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1017" w:type="dxa"/>
            <w:vMerge/>
            <w:tcBorders>
              <w:top w:val="nil"/>
              <w:left w:val="single" w:sz="8" w:space="0" w:color="auto"/>
              <w:bottom w:val="single" w:sz="8" w:space="0" w:color="000000"/>
              <w:right w:val="single" w:sz="8" w:space="0" w:color="auto"/>
            </w:tcBorders>
            <w:vAlign w:val="center"/>
            <w:hideMark/>
          </w:tcPr>
          <w:p w14:paraId="71FFC3F3"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2444" w:type="dxa"/>
            <w:tcBorders>
              <w:top w:val="nil"/>
              <w:left w:val="nil"/>
              <w:bottom w:val="single" w:sz="8" w:space="0" w:color="auto"/>
              <w:right w:val="single" w:sz="8" w:space="0" w:color="auto"/>
            </w:tcBorders>
            <w:shd w:val="clear" w:color="auto" w:fill="auto"/>
            <w:vAlign w:val="center"/>
            <w:hideMark/>
          </w:tcPr>
          <w:p w14:paraId="7C0D3E54"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Galvanized Steel Sheet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231D22DD"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0.0504</w:t>
            </w:r>
          </w:p>
        </w:tc>
        <w:tc>
          <w:tcPr>
            <w:tcW w:w="2146" w:type="dxa"/>
            <w:tcBorders>
              <w:top w:val="nil"/>
              <w:left w:val="nil"/>
              <w:bottom w:val="single" w:sz="8" w:space="0" w:color="auto"/>
              <w:right w:val="single" w:sz="8" w:space="0" w:color="auto"/>
            </w:tcBorders>
            <w:shd w:val="clear" w:color="auto" w:fill="auto"/>
            <w:vAlign w:val="center"/>
            <w:hideMark/>
          </w:tcPr>
          <w:p w14:paraId="2FCF45FD"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galvanized steel</w:t>
            </w:r>
          </w:p>
        </w:tc>
      </w:tr>
      <w:tr w:rsidR="0074480C" w:rsidRPr="00B61FF1" w14:paraId="705E5C7D" w14:textId="77777777" w:rsidTr="00BF6D6B">
        <w:trPr>
          <w:trHeight w:val="915"/>
        </w:trPr>
        <w:tc>
          <w:tcPr>
            <w:tcW w:w="2438" w:type="dxa"/>
            <w:vMerge/>
            <w:tcBorders>
              <w:top w:val="nil"/>
              <w:left w:val="single" w:sz="8" w:space="0" w:color="auto"/>
              <w:bottom w:val="single" w:sz="8" w:space="0" w:color="000000"/>
              <w:right w:val="single" w:sz="8" w:space="0" w:color="auto"/>
            </w:tcBorders>
            <w:vAlign w:val="center"/>
            <w:hideMark/>
          </w:tcPr>
          <w:p w14:paraId="0C8EA5B7"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1017" w:type="dxa"/>
            <w:vMerge/>
            <w:tcBorders>
              <w:top w:val="nil"/>
              <w:left w:val="single" w:sz="8" w:space="0" w:color="auto"/>
              <w:bottom w:val="single" w:sz="8" w:space="0" w:color="000000"/>
              <w:right w:val="single" w:sz="8" w:space="0" w:color="auto"/>
            </w:tcBorders>
            <w:vAlign w:val="center"/>
            <w:hideMark/>
          </w:tcPr>
          <w:p w14:paraId="57781560" w14:textId="77777777" w:rsidR="0074480C" w:rsidRPr="00B61FF1" w:rsidRDefault="0074480C" w:rsidP="0074480C">
            <w:pPr>
              <w:autoSpaceDE/>
              <w:autoSpaceDN/>
              <w:adjustRightInd/>
              <w:rPr>
                <w:rFonts w:ascii="Arial" w:eastAsia="Times New Roman" w:hAnsi="Arial" w:cs="Arial"/>
                <w:color w:val="000000"/>
                <w:sz w:val="24"/>
                <w:szCs w:val="24"/>
              </w:rPr>
            </w:pPr>
          </w:p>
        </w:tc>
        <w:tc>
          <w:tcPr>
            <w:tcW w:w="2444" w:type="dxa"/>
            <w:tcBorders>
              <w:top w:val="nil"/>
              <w:left w:val="nil"/>
              <w:bottom w:val="single" w:sz="8" w:space="0" w:color="auto"/>
              <w:right w:val="single" w:sz="8" w:space="0" w:color="auto"/>
            </w:tcBorders>
            <w:shd w:val="clear" w:color="auto" w:fill="auto"/>
            <w:vAlign w:val="center"/>
            <w:hideMark/>
          </w:tcPr>
          <w:p w14:paraId="34D8F10C"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Tin Steel Plate Production</w:t>
            </w:r>
          </w:p>
        </w:tc>
        <w:tc>
          <w:tcPr>
            <w:tcW w:w="1960" w:type="dxa"/>
            <w:tcBorders>
              <w:top w:val="nil"/>
              <w:left w:val="nil"/>
              <w:bottom w:val="single" w:sz="8" w:space="0" w:color="auto"/>
              <w:right w:val="single" w:sz="8" w:space="0" w:color="auto"/>
            </w:tcBorders>
            <w:shd w:val="clear" w:color="auto" w:fill="auto"/>
            <w:noWrap/>
            <w:vAlign w:val="center"/>
            <w:hideMark/>
          </w:tcPr>
          <w:p w14:paraId="01A425CA" w14:textId="77777777" w:rsidR="0074480C" w:rsidRPr="00B61FF1" w:rsidRDefault="006D1CCD" w:rsidP="007C3A47">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0.0610</w:t>
            </w:r>
          </w:p>
        </w:tc>
        <w:tc>
          <w:tcPr>
            <w:tcW w:w="2146" w:type="dxa"/>
            <w:tcBorders>
              <w:top w:val="nil"/>
              <w:left w:val="nil"/>
              <w:bottom w:val="single" w:sz="8" w:space="0" w:color="auto"/>
              <w:right w:val="single" w:sz="8" w:space="0" w:color="auto"/>
            </w:tcBorders>
            <w:shd w:val="clear" w:color="auto" w:fill="auto"/>
            <w:vAlign w:val="center"/>
            <w:hideMark/>
          </w:tcPr>
          <w:p w14:paraId="114A745A"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Short ton of tin plate</w:t>
            </w:r>
          </w:p>
        </w:tc>
      </w:tr>
      <w:tr w:rsidR="0074480C" w:rsidRPr="00B61FF1" w14:paraId="68D70314" w14:textId="77777777" w:rsidTr="00BF6D6B">
        <w:trPr>
          <w:trHeight w:val="1515"/>
        </w:trPr>
        <w:tc>
          <w:tcPr>
            <w:tcW w:w="2438" w:type="dxa"/>
            <w:tcBorders>
              <w:top w:val="nil"/>
              <w:left w:val="single" w:sz="8" w:space="0" w:color="auto"/>
              <w:bottom w:val="single" w:sz="8" w:space="0" w:color="auto"/>
              <w:right w:val="single" w:sz="8" w:space="0" w:color="auto"/>
            </w:tcBorders>
            <w:shd w:val="clear" w:color="auto" w:fill="auto"/>
            <w:vAlign w:val="center"/>
            <w:hideMark/>
          </w:tcPr>
          <w:p w14:paraId="6F0F0ACD"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Turbine and Turbine Generator Set Units Manufacturing</w:t>
            </w:r>
          </w:p>
        </w:tc>
        <w:tc>
          <w:tcPr>
            <w:tcW w:w="1017" w:type="dxa"/>
            <w:tcBorders>
              <w:top w:val="nil"/>
              <w:left w:val="nil"/>
              <w:bottom w:val="single" w:sz="8" w:space="0" w:color="auto"/>
              <w:right w:val="single" w:sz="8" w:space="0" w:color="auto"/>
            </w:tcBorders>
            <w:shd w:val="clear" w:color="auto" w:fill="auto"/>
            <w:noWrap/>
            <w:vAlign w:val="center"/>
            <w:hideMark/>
          </w:tcPr>
          <w:p w14:paraId="2F1E458C"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333611</w:t>
            </w:r>
          </w:p>
        </w:tc>
        <w:tc>
          <w:tcPr>
            <w:tcW w:w="2444" w:type="dxa"/>
            <w:tcBorders>
              <w:top w:val="nil"/>
              <w:left w:val="nil"/>
              <w:bottom w:val="single" w:sz="8" w:space="0" w:color="auto"/>
              <w:right w:val="single" w:sz="8" w:space="0" w:color="auto"/>
            </w:tcBorders>
            <w:shd w:val="clear" w:color="auto" w:fill="auto"/>
            <w:vAlign w:val="center"/>
            <w:hideMark/>
          </w:tcPr>
          <w:p w14:paraId="375ED511"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Testing of Turbines and Turbine Generator Sets</w:t>
            </w:r>
          </w:p>
        </w:tc>
        <w:tc>
          <w:tcPr>
            <w:tcW w:w="1960" w:type="dxa"/>
            <w:tcBorders>
              <w:top w:val="nil"/>
              <w:left w:val="nil"/>
              <w:bottom w:val="single" w:sz="8" w:space="0" w:color="auto"/>
              <w:right w:val="single" w:sz="8" w:space="0" w:color="auto"/>
            </w:tcBorders>
            <w:shd w:val="clear" w:color="auto" w:fill="auto"/>
            <w:noWrap/>
            <w:vAlign w:val="center"/>
            <w:hideMark/>
          </w:tcPr>
          <w:p w14:paraId="4C20B269"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0.00782</w:t>
            </w:r>
          </w:p>
        </w:tc>
        <w:tc>
          <w:tcPr>
            <w:tcW w:w="2146" w:type="dxa"/>
            <w:tcBorders>
              <w:top w:val="nil"/>
              <w:left w:val="nil"/>
              <w:bottom w:val="single" w:sz="8" w:space="0" w:color="auto"/>
              <w:right w:val="single" w:sz="8" w:space="0" w:color="auto"/>
            </w:tcBorders>
            <w:shd w:val="clear" w:color="auto" w:fill="auto"/>
            <w:vAlign w:val="center"/>
            <w:hideMark/>
          </w:tcPr>
          <w:p w14:paraId="1D6939B1" w14:textId="77777777" w:rsidR="0074480C" w:rsidRPr="00B61FF1" w:rsidRDefault="0074480C" w:rsidP="0074480C">
            <w:pPr>
              <w:autoSpaceDE/>
              <w:autoSpaceDN/>
              <w:adjustRightInd/>
              <w:jc w:val="center"/>
              <w:rPr>
                <w:rFonts w:ascii="Arial" w:eastAsia="Times New Roman" w:hAnsi="Arial" w:cs="Arial"/>
                <w:color w:val="000000"/>
                <w:sz w:val="24"/>
                <w:szCs w:val="24"/>
              </w:rPr>
            </w:pPr>
            <w:r w:rsidRPr="00B61FF1">
              <w:rPr>
                <w:rFonts w:ascii="Arial" w:eastAsia="Times New Roman" w:hAnsi="Arial" w:cs="Arial"/>
                <w:color w:val="000000"/>
                <w:sz w:val="24"/>
                <w:szCs w:val="24"/>
              </w:rPr>
              <w:t>Allowances / Horsepower tested</w:t>
            </w:r>
          </w:p>
        </w:tc>
      </w:tr>
    </w:tbl>
    <w:p w14:paraId="1B9E16EC" w14:textId="77777777" w:rsidR="0074480C" w:rsidRPr="00B61FF1" w:rsidRDefault="0074480C" w:rsidP="004E3B67">
      <w:pPr>
        <w:spacing w:line="360" w:lineRule="auto"/>
        <w:rPr>
          <w:rFonts w:ascii="Arial" w:hAnsi="Arial" w:cs="Arial"/>
          <w:sz w:val="24"/>
          <w:szCs w:val="24"/>
        </w:rPr>
      </w:pPr>
    </w:p>
    <w:p w14:paraId="1AE20A7E" w14:textId="77777777" w:rsidR="002C4AB4" w:rsidRPr="00B61FF1" w:rsidRDefault="002C4AB4" w:rsidP="004E3B67">
      <w:pPr>
        <w:spacing w:line="360" w:lineRule="auto"/>
        <w:rPr>
          <w:rFonts w:ascii="Arial" w:hAnsi="Arial" w:cs="Arial"/>
          <w:sz w:val="24"/>
          <w:szCs w:val="24"/>
        </w:rPr>
      </w:pPr>
    </w:p>
    <w:p w14:paraId="6CB9446F" w14:textId="77777777" w:rsidR="00FE6B15" w:rsidRPr="00B61FF1" w:rsidRDefault="00C5649C" w:rsidP="00C5649C">
      <w:pPr>
        <w:autoSpaceDE/>
        <w:autoSpaceDN/>
        <w:adjustRightInd/>
        <w:spacing w:line="360" w:lineRule="auto"/>
        <w:ind w:left="720" w:hanging="720"/>
        <w:rPr>
          <w:rFonts w:ascii="Arial" w:hAnsi="Arial" w:cs="Arial"/>
          <w:sz w:val="24"/>
          <w:szCs w:val="24"/>
        </w:rPr>
      </w:pPr>
      <w:bookmarkStart w:id="309" w:name="_Toc265240669"/>
      <w:bookmarkStart w:id="310" w:name="_Toc267031804"/>
      <w:r w:rsidRPr="00B61FF1">
        <w:rPr>
          <w:rFonts w:ascii="Arial" w:hAnsi="Arial" w:cs="Arial"/>
          <w:sz w:val="24"/>
          <w:szCs w:val="24"/>
        </w:rPr>
        <w:t>(c)</w:t>
      </w:r>
      <w:r w:rsidRPr="00B61FF1">
        <w:rPr>
          <w:rFonts w:ascii="Arial" w:hAnsi="Arial" w:cs="Arial"/>
          <w:sz w:val="24"/>
          <w:szCs w:val="24"/>
        </w:rPr>
        <w:tab/>
      </w:r>
      <w:r w:rsidR="00391EFC" w:rsidRPr="00B61FF1">
        <w:rPr>
          <w:rFonts w:ascii="Arial" w:hAnsi="Arial" w:cs="Arial"/>
          <w:sz w:val="24"/>
          <w:szCs w:val="24"/>
        </w:rPr>
        <w:t>Energy-</w:t>
      </w:r>
      <w:r w:rsidR="00FE6B15" w:rsidRPr="00B61FF1">
        <w:rPr>
          <w:rFonts w:ascii="Arial" w:hAnsi="Arial" w:cs="Arial"/>
          <w:sz w:val="24"/>
          <w:szCs w:val="24"/>
        </w:rPr>
        <w:t xml:space="preserve">Based Allocation Calculation Methodology.  The Executive Officer shall calculate the amount of California GHG Allowances directly allocated under the </w:t>
      </w:r>
      <w:r w:rsidR="00391EFC" w:rsidRPr="00B61FF1">
        <w:rPr>
          <w:rFonts w:ascii="Arial" w:hAnsi="Arial" w:cs="Arial"/>
          <w:sz w:val="24"/>
          <w:szCs w:val="24"/>
        </w:rPr>
        <w:t>energy-</w:t>
      </w:r>
      <w:r w:rsidR="00FE6B15" w:rsidRPr="00B61FF1">
        <w:rPr>
          <w:rFonts w:ascii="Arial" w:hAnsi="Arial" w:cs="Arial"/>
          <w:sz w:val="24"/>
          <w:szCs w:val="24"/>
        </w:rPr>
        <w:t>based methodology annually using the following formula:</w:t>
      </w:r>
    </w:p>
    <w:p w14:paraId="1A834D2A" w14:textId="77777777" w:rsidR="00FE6B15" w:rsidRPr="00B61FF1" w:rsidRDefault="00FE6B15" w:rsidP="00380981">
      <w:pPr>
        <w:autoSpaceDE/>
        <w:autoSpaceDN/>
        <w:adjustRightInd/>
        <w:spacing w:line="360" w:lineRule="auto"/>
        <w:ind w:left="-360"/>
        <w:jc w:val="center"/>
        <w:rPr>
          <w:rFonts w:ascii="Arial" w:hAnsi="Arial" w:cs="Arial"/>
          <w:position w:val="-14"/>
          <w:sz w:val="24"/>
          <w:szCs w:val="24"/>
        </w:rPr>
      </w:pPr>
    </w:p>
    <w:p w14:paraId="3A33FB08" w14:textId="77777777" w:rsidR="00FC0927" w:rsidRPr="00B61FF1" w:rsidRDefault="00661852" w:rsidP="00FC0927">
      <w:pPr>
        <w:autoSpaceDE/>
        <w:autoSpaceDN/>
        <w:adjustRightInd/>
        <w:spacing w:line="360" w:lineRule="auto"/>
        <w:ind w:left="-36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t</m:t>
              </m:r>
            </m:sub>
          </m:sSub>
          <m:r>
            <w:rPr>
              <w:rFonts w:ascii="Cambria Math" w:hAnsi="Cambria Math" w:cs="Arial"/>
              <w:sz w:val="24"/>
              <w:szCs w:val="24"/>
            </w:rPr>
            <m:t>=</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Consumed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Steam</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C</m:t>
                  </m:r>
                  <m:r>
                    <w:rPr>
                      <w:rFonts w:ascii="Cambria Math" w:hAnsi="Cambria Math" w:cs="Arial"/>
                      <w:sz w:val="24"/>
                      <w:szCs w:val="24"/>
                    </w:rPr>
                    <m:t>onsumed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Fuel</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Sold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Electricity</m:t>
                  </m:r>
                </m:sub>
              </m:sSub>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trike/>
                  <w:sz w:val="24"/>
                  <w:szCs w:val="24"/>
                </w:rPr>
                <m:t>a,</m:t>
              </m:r>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trike/>
                  <w:sz w:val="24"/>
                  <w:szCs w:val="24"/>
                </w:rPr>
                <m:t>a,</m:t>
              </m:r>
              <m:r>
                <w:rPr>
                  <w:rFonts w:ascii="Cambria Math" w:hAnsi="Cambria Math" w:cs="Arial"/>
                  <w:sz w:val="24"/>
                  <w:szCs w:val="24"/>
                </w:rPr>
                <m:t>t</m:t>
              </m:r>
            </m:sub>
          </m:sSub>
        </m:oMath>
      </m:oMathPara>
    </w:p>
    <w:p w14:paraId="77323346" w14:textId="77777777" w:rsidR="00FE6B15" w:rsidRPr="00B61FF1" w:rsidRDefault="00FE6B15" w:rsidP="00380981">
      <w:pPr>
        <w:autoSpaceDE/>
        <w:autoSpaceDN/>
        <w:adjustRightInd/>
        <w:spacing w:line="360" w:lineRule="auto"/>
        <w:ind w:left="-360"/>
        <w:jc w:val="center"/>
        <w:rPr>
          <w:rFonts w:ascii="Arial" w:hAnsi="Arial" w:cs="Arial"/>
          <w:sz w:val="24"/>
          <w:szCs w:val="24"/>
        </w:rPr>
      </w:pPr>
    </w:p>
    <w:p w14:paraId="5BE60EAC" w14:textId="77777777" w:rsidR="00FE6B15" w:rsidRPr="00B61FF1" w:rsidRDefault="00FE6B15" w:rsidP="00BD1FA4">
      <w:pPr>
        <w:autoSpaceDE/>
        <w:autoSpaceDN/>
        <w:adjustRightInd/>
        <w:rPr>
          <w:rFonts w:ascii="Arial" w:hAnsi="Arial" w:cs="Arial"/>
          <w:sz w:val="24"/>
          <w:szCs w:val="24"/>
        </w:rPr>
      </w:pPr>
      <w:r w:rsidRPr="00B61FF1">
        <w:rPr>
          <w:rFonts w:ascii="Arial" w:hAnsi="Arial" w:cs="Arial"/>
          <w:sz w:val="24"/>
          <w:szCs w:val="24"/>
        </w:rPr>
        <w:t>Where:</w:t>
      </w:r>
    </w:p>
    <w:p w14:paraId="23CDBB45" w14:textId="77777777" w:rsidR="00FE6B15" w:rsidRPr="00B61FF1" w:rsidRDefault="00FE6B15" w:rsidP="004E3B67">
      <w:pPr>
        <w:spacing w:line="360" w:lineRule="auto"/>
        <w:ind w:left="720"/>
        <w:rPr>
          <w:rFonts w:ascii="Arial" w:hAnsi="Arial" w:cs="Arial"/>
          <w:sz w:val="24"/>
          <w:szCs w:val="24"/>
        </w:rPr>
      </w:pPr>
      <w:r w:rsidRPr="00B61FF1">
        <w:rPr>
          <w:rFonts w:ascii="Arial" w:hAnsi="Arial" w:cs="Arial"/>
          <w:sz w:val="24"/>
          <w:szCs w:val="24"/>
        </w:rPr>
        <w:lastRenderedPageBreak/>
        <w:t>“A</w:t>
      </w:r>
      <w:r w:rsidRPr="00B61FF1">
        <w:rPr>
          <w:rFonts w:ascii="Arial" w:hAnsi="Arial" w:cs="Arial"/>
          <w:sz w:val="24"/>
          <w:szCs w:val="24"/>
          <w:vertAlign w:val="subscript"/>
        </w:rPr>
        <w:t>t</w:t>
      </w:r>
      <w:r w:rsidRPr="00B61FF1">
        <w:rPr>
          <w:rFonts w:ascii="Arial" w:hAnsi="Arial" w:cs="Arial"/>
          <w:sz w:val="24"/>
          <w:szCs w:val="24"/>
        </w:rPr>
        <w:t>” is the amount of California GHG allowances directly allocated to the operator of an industrial facility with a</w:t>
      </w:r>
      <w:r w:rsidR="00FC0927" w:rsidRPr="00B61FF1">
        <w:rPr>
          <w:rFonts w:ascii="Arial" w:hAnsi="Arial" w:cs="Arial"/>
          <w:sz w:val="24"/>
          <w:szCs w:val="24"/>
        </w:rPr>
        <w:t>n</w:t>
      </w:r>
      <w:r w:rsidRPr="00B61FF1">
        <w:rPr>
          <w:rFonts w:ascii="Arial" w:hAnsi="Arial" w:cs="Arial"/>
          <w:sz w:val="24"/>
          <w:szCs w:val="24"/>
        </w:rPr>
        <w:t xml:space="preserve"> energy-based allocation from budget year “t”; </w:t>
      </w:r>
    </w:p>
    <w:p w14:paraId="2696174A" w14:textId="77777777" w:rsidR="00FE6B15" w:rsidRPr="00B61FF1" w:rsidRDefault="00FE6B15" w:rsidP="004E3B67">
      <w:pPr>
        <w:spacing w:line="360" w:lineRule="auto"/>
        <w:ind w:left="720"/>
        <w:rPr>
          <w:rFonts w:ascii="Arial" w:hAnsi="Arial" w:cs="Arial"/>
          <w:sz w:val="24"/>
          <w:szCs w:val="24"/>
        </w:rPr>
      </w:pPr>
    </w:p>
    <w:p w14:paraId="670847D3" w14:textId="77777777" w:rsidR="00FE6B15" w:rsidRPr="00B61FF1" w:rsidRDefault="00FE6B15" w:rsidP="004E3B67">
      <w:pPr>
        <w:spacing w:line="360" w:lineRule="auto"/>
        <w:ind w:firstLine="720"/>
        <w:rPr>
          <w:rFonts w:ascii="Arial" w:hAnsi="Arial" w:cs="Arial"/>
          <w:sz w:val="24"/>
          <w:szCs w:val="24"/>
        </w:rPr>
      </w:pPr>
      <w:r w:rsidRPr="00B61FF1">
        <w:rPr>
          <w:rFonts w:ascii="Arial" w:hAnsi="Arial" w:cs="Arial"/>
          <w:sz w:val="24"/>
          <w:szCs w:val="24"/>
        </w:rPr>
        <w:t xml:space="preserve">“t” is the budget year from which the direct allocation occurs; </w:t>
      </w:r>
    </w:p>
    <w:p w14:paraId="43B8509B" w14:textId="77777777" w:rsidR="00FE6B15" w:rsidRPr="00B61FF1" w:rsidRDefault="00FE6B15" w:rsidP="004E3B67">
      <w:pPr>
        <w:spacing w:line="360" w:lineRule="auto"/>
        <w:ind w:left="720"/>
        <w:rPr>
          <w:rFonts w:ascii="Arial" w:hAnsi="Arial" w:cs="Arial"/>
          <w:sz w:val="24"/>
          <w:szCs w:val="24"/>
        </w:rPr>
      </w:pPr>
    </w:p>
    <w:p w14:paraId="10F913D1" w14:textId="77777777" w:rsidR="000240E5" w:rsidRPr="00B61FF1" w:rsidRDefault="000240E5" w:rsidP="000240E5">
      <w:pPr>
        <w:spacing w:line="360" w:lineRule="auto"/>
        <w:ind w:left="720"/>
        <w:rPr>
          <w:rFonts w:ascii="Arial" w:hAnsi="Arial" w:cs="Arial"/>
          <w:sz w:val="24"/>
          <w:szCs w:val="24"/>
        </w:rPr>
      </w:pPr>
      <w:r w:rsidRPr="00B61FF1">
        <w:rPr>
          <w:rFonts w:ascii="Arial" w:hAnsi="Arial" w:cs="Arial"/>
          <w:sz w:val="24"/>
          <w:szCs w:val="24"/>
        </w:rPr>
        <w:t>“S</w:t>
      </w:r>
      <w:r w:rsidRPr="00B61FF1">
        <w:rPr>
          <w:rFonts w:ascii="Arial" w:hAnsi="Arial" w:cs="Arial"/>
          <w:sz w:val="24"/>
          <w:szCs w:val="24"/>
          <w:vertAlign w:val="subscript"/>
        </w:rPr>
        <w:t>Consumed</w:t>
      </w:r>
      <w:r w:rsidRPr="00B61FF1">
        <w:rPr>
          <w:rFonts w:ascii="Arial" w:hAnsi="Arial" w:cs="Arial"/>
          <w:sz w:val="24"/>
          <w:szCs w:val="24"/>
        </w:rPr>
        <w:t>”</w:t>
      </w:r>
      <w:r w:rsidRPr="00B61FF1">
        <w:rPr>
          <w:rFonts w:ascii="Arial" w:hAnsi="Arial" w:cs="Arial"/>
          <w:sz w:val="24"/>
          <w:szCs w:val="24"/>
          <w:vertAlign w:val="subscript"/>
        </w:rPr>
        <w:t xml:space="preserve"> </w:t>
      </w:r>
      <w:r w:rsidRPr="00B61FF1">
        <w:rPr>
          <w:rFonts w:ascii="Arial" w:hAnsi="Arial" w:cs="Arial"/>
          <w:sz w:val="24"/>
          <w:szCs w:val="24"/>
        </w:rPr>
        <w:t xml:space="preserve">is the historical baseline annual arithmetic mean amount of steam consumed, measured in MMBtu, at the industrial facility for any industrial process, including heating or cooling applications.  This value shall exclude any steam used to produce electricity.  This value shall exclude steam produced from an onsite </w:t>
      </w:r>
      <w:r w:rsidR="00CB205B" w:rsidRPr="00B61FF1">
        <w:rPr>
          <w:rFonts w:ascii="Arial" w:hAnsi="Arial" w:cs="Arial"/>
          <w:sz w:val="24"/>
          <w:szCs w:val="24"/>
        </w:rPr>
        <w:t>cogeneration unit</w:t>
      </w:r>
      <w:r w:rsidR="0068028F" w:rsidRPr="00B61FF1">
        <w:rPr>
          <w:rFonts w:ascii="Arial" w:hAnsi="Arial" w:cs="Arial"/>
          <w:sz w:val="24"/>
          <w:szCs w:val="24"/>
        </w:rPr>
        <w:t>;</w:t>
      </w:r>
    </w:p>
    <w:p w14:paraId="3E79F3AC" w14:textId="77777777" w:rsidR="00FC0927" w:rsidRPr="00B61FF1" w:rsidRDefault="00FC0927" w:rsidP="00FC0927">
      <w:pPr>
        <w:spacing w:line="360" w:lineRule="auto"/>
        <w:ind w:left="720"/>
        <w:rPr>
          <w:rFonts w:ascii="Arial" w:hAnsi="Arial" w:cs="Arial"/>
          <w:sz w:val="24"/>
          <w:szCs w:val="24"/>
        </w:rPr>
      </w:pPr>
    </w:p>
    <w:p w14:paraId="6785D08B" w14:textId="77777777" w:rsidR="00FC0927" w:rsidRPr="00B61FF1" w:rsidRDefault="00FC0927" w:rsidP="00FC0927">
      <w:pPr>
        <w:spacing w:line="360" w:lineRule="auto"/>
        <w:ind w:left="709"/>
        <w:rPr>
          <w:rFonts w:ascii="Arial" w:hAnsi="Arial" w:cs="Arial"/>
          <w:b/>
          <w:sz w:val="24"/>
          <w:szCs w:val="24"/>
        </w:rPr>
      </w:pPr>
      <w:r w:rsidRPr="00B61FF1">
        <w:rPr>
          <w:rFonts w:ascii="Arial" w:hAnsi="Arial" w:cs="Arial"/>
          <w:sz w:val="24"/>
          <w:szCs w:val="24"/>
        </w:rPr>
        <w:t>“B</w:t>
      </w:r>
      <w:r w:rsidRPr="00B61FF1">
        <w:rPr>
          <w:rFonts w:ascii="Arial" w:hAnsi="Arial" w:cs="Arial"/>
          <w:sz w:val="24"/>
          <w:szCs w:val="24"/>
          <w:vertAlign w:val="subscript"/>
        </w:rPr>
        <w:t>Steam</w:t>
      </w:r>
      <w:r w:rsidRPr="00B61FF1">
        <w:rPr>
          <w:rFonts w:ascii="Arial" w:hAnsi="Arial" w:cs="Arial"/>
          <w:sz w:val="24"/>
          <w:szCs w:val="24"/>
        </w:rPr>
        <w:t xml:space="preserve">” is the emissions efficiency benchmark per unit of steam, 0.06244 California GHG Allowances/MMBtu Steam; </w:t>
      </w:r>
    </w:p>
    <w:p w14:paraId="139E5424" w14:textId="77777777" w:rsidR="00FC0927" w:rsidRPr="00B61FF1" w:rsidRDefault="00FC0927" w:rsidP="00C4386A">
      <w:pPr>
        <w:spacing w:line="360" w:lineRule="auto"/>
        <w:ind w:left="720"/>
        <w:rPr>
          <w:rFonts w:ascii="Arial" w:hAnsi="Arial" w:cs="Arial"/>
          <w:sz w:val="24"/>
          <w:szCs w:val="24"/>
        </w:rPr>
      </w:pPr>
    </w:p>
    <w:p w14:paraId="3C0EB548" w14:textId="77777777" w:rsidR="00FC0927" w:rsidRPr="00B61FF1" w:rsidRDefault="00FC0927" w:rsidP="00FC0927">
      <w:pPr>
        <w:spacing w:line="360" w:lineRule="auto"/>
        <w:ind w:left="709"/>
        <w:rPr>
          <w:rFonts w:ascii="Arial" w:hAnsi="Arial" w:cs="Arial"/>
          <w:sz w:val="24"/>
          <w:szCs w:val="24"/>
        </w:rPr>
      </w:pPr>
      <w:r w:rsidRPr="00B61FF1">
        <w:rPr>
          <w:rFonts w:ascii="Arial" w:hAnsi="Arial" w:cs="Arial"/>
          <w:sz w:val="24"/>
          <w:szCs w:val="24"/>
        </w:rPr>
        <w:t>“F</w:t>
      </w:r>
      <w:r w:rsidRPr="00B61FF1">
        <w:rPr>
          <w:rFonts w:ascii="Arial" w:hAnsi="Arial" w:cs="Arial"/>
          <w:sz w:val="24"/>
          <w:szCs w:val="24"/>
          <w:vertAlign w:val="subscript"/>
        </w:rPr>
        <w:t>Consumed</w:t>
      </w:r>
      <w:r w:rsidRPr="00B61FF1">
        <w:rPr>
          <w:rFonts w:ascii="Arial" w:hAnsi="Arial" w:cs="Arial"/>
          <w:sz w:val="24"/>
          <w:szCs w:val="24"/>
        </w:rPr>
        <w:t>” is the historical baseline a</w:t>
      </w:r>
      <w:r w:rsidR="00CB205B" w:rsidRPr="00B61FF1">
        <w:rPr>
          <w:rFonts w:ascii="Arial" w:hAnsi="Arial" w:cs="Arial"/>
          <w:sz w:val="24"/>
          <w:szCs w:val="24"/>
        </w:rPr>
        <w:t>nnual arithmetic mean amount of</w:t>
      </w:r>
      <w:r w:rsidRPr="00B61FF1">
        <w:rPr>
          <w:rFonts w:ascii="Arial" w:hAnsi="Arial" w:cs="Arial"/>
          <w:sz w:val="24"/>
          <w:szCs w:val="24"/>
        </w:rPr>
        <w:t xml:space="preserve"> energy produced due to fuel combustion at a given facility, measured in MMBtus.  The Executive Officer shall calculate this value based on measured higher heating values or the default higher heating value of the</w:t>
      </w:r>
      <w:r w:rsidR="00171EBD" w:rsidRPr="00B61FF1">
        <w:rPr>
          <w:rFonts w:ascii="Arial" w:hAnsi="Arial" w:cs="Arial"/>
          <w:sz w:val="24"/>
          <w:szCs w:val="24"/>
        </w:rPr>
        <w:t xml:space="preserve"> applicable</w:t>
      </w:r>
      <w:r w:rsidRPr="00B61FF1">
        <w:rPr>
          <w:rFonts w:ascii="Arial" w:hAnsi="Arial" w:cs="Arial"/>
          <w:sz w:val="24"/>
          <w:szCs w:val="24"/>
        </w:rPr>
        <w:t xml:space="preserve"> fuel in Table C–1 of subpart C, title 40, Code of Federal Regulations, Part 98.  This value shall include any energy from fuel combusted in an </w:t>
      </w:r>
      <w:r w:rsidR="000240E5" w:rsidRPr="00B61FF1">
        <w:rPr>
          <w:rFonts w:ascii="Arial" w:hAnsi="Arial" w:cs="Arial"/>
          <w:sz w:val="24"/>
          <w:szCs w:val="24"/>
        </w:rPr>
        <w:t xml:space="preserve">onsite </w:t>
      </w:r>
      <w:r w:rsidRPr="00B61FF1">
        <w:rPr>
          <w:rFonts w:ascii="Arial" w:hAnsi="Arial" w:cs="Arial"/>
          <w:sz w:val="24"/>
          <w:szCs w:val="24"/>
        </w:rPr>
        <w:t>electricity generation or cogeneration unit.  This value shall exclude energy to generate the steam accounted for in the “S</w:t>
      </w:r>
      <w:r w:rsidRPr="00B61FF1">
        <w:rPr>
          <w:rFonts w:ascii="Arial" w:hAnsi="Arial" w:cs="Arial"/>
          <w:sz w:val="24"/>
          <w:szCs w:val="24"/>
          <w:vertAlign w:val="subscript"/>
        </w:rPr>
        <w:t>Consumed</w:t>
      </w:r>
      <w:r w:rsidRPr="00B61FF1">
        <w:rPr>
          <w:rFonts w:ascii="Arial" w:hAnsi="Arial" w:cs="Arial"/>
          <w:sz w:val="24"/>
          <w:szCs w:val="24"/>
        </w:rPr>
        <w:t>” term;</w:t>
      </w:r>
    </w:p>
    <w:p w14:paraId="1B4D5A95" w14:textId="77777777" w:rsidR="00FE6B15" w:rsidRPr="00B61FF1" w:rsidRDefault="00FE6B15" w:rsidP="004E3B67">
      <w:pPr>
        <w:spacing w:line="360" w:lineRule="auto"/>
        <w:ind w:left="709"/>
        <w:rPr>
          <w:rFonts w:ascii="Arial" w:hAnsi="Arial" w:cs="Arial"/>
          <w:sz w:val="24"/>
          <w:szCs w:val="24"/>
        </w:rPr>
      </w:pPr>
    </w:p>
    <w:p w14:paraId="0198CE4A" w14:textId="77777777" w:rsidR="00FE6B15" w:rsidRPr="00B61FF1" w:rsidRDefault="00FE6B15" w:rsidP="004E3B67">
      <w:pPr>
        <w:spacing w:line="360" w:lineRule="auto"/>
        <w:ind w:left="709"/>
        <w:rPr>
          <w:rFonts w:ascii="Arial" w:hAnsi="Arial" w:cs="Arial"/>
          <w:sz w:val="24"/>
          <w:szCs w:val="24"/>
        </w:rPr>
      </w:pPr>
      <w:r w:rsidRPr="00B61FF1">
        <w:rPr>
          <w:rFonts w:ascii="Arial" w:hAnsi="Arial" w:cs="Arial"/>
          <w:sz w:val="24"/>
          <w:szCs w:val="24"/>
        </w:rPr>
        <w:t>“B</w:t>
      </w:r>
      <w:r w:rsidRPr="00B61FF1">
        <w:rPr>
          <w:rFonts w:ascii="Arial" w:hAnsi="Arial" w:cs="Arial"/>
          <w:sz w:val="24"/>
          <w:szCs w:val="24"/>
          <w:vertAlign w:val="subscript"/>
        </w:rPr>
        <w:t>Fuel</w:t>
      </w:r>
      <w:r w:rsidRPr="00B61FF1">
        <w:rPr>
          <w:rFonts w:ascii="Arial" w:hAnsi="Arial" w:cs="Arial"/>
          <w:sz w:val="24"/>
          <w:szCs w:val="24"/>
        </w:rPr>
        <w:t>” is the emissions efficiency benchmark per unit of energy from fuel combustion, 0.05307 California GHG Allowances/MMBtu</w:t>
      </w:r>
      <w:r w:rsidRPr="00B61FF1">
        <w:rPr>
          <w:rFonts w:ascii="Arial" w:hAnsi="Arial" w:cs="Arial"/>
          <w:b/>
          <w:sz w:val="24"/>
          <w:szCs w:val="24"/>
        </w:rPr>
        <w:t xml:space="preserve">;  </w:t>
      </w:r>
    </w:p>
    <w:p w14:paraId="5E2E9D49" w14:textId="77777777" w:rsidR="00FE6B15" w:rsidRPr="00B61FF1" w:rsidRDefault="00FE6B15" w:rsidP="004E3B67">
      <w:pPr>
        <w:spacing w:line="360" w:lineRule="auto"/>
        <w:ind w:left="709"/>
        <w:rPr>
          <w:rFonts w:ascii="Arial" w:hAnsi="Arial" w:cs="Arial"/>
          <w:sz w:val="24"/>
          <w:szCs w:val="24"/>
        </w:rPr>
      </w:pPr>
    </w:p>
    <w:p w14:paraId="3D54E066" w14:textId="77777777" w:rsidR="00FE6B15" w:rsidRPr="00B61FF1" w:rsidRDefault="00FE6B15" w:rsidP="00C4386A">
      <w:pPr>
        <w:spacing w:line="360" w:lineRule="auto"/>
        <w:ind w:left="709"/>
        <w:rPr>
          <w:rFonts w:ascii="Arial" w:hAnsi="Arial" w:cs="Arial"/>
          <w:sz w:val="24"/>
          <w:szCs w:val="24"/>
        </w:rPr>
      </w:pPr>
      <w:r w:rsidRPr="00B61FF1">
        <w:rPr>
          <w:rFonts w:ascii="Arial" w:hAnsi="Arial" w:cs="Arial"/>
          <w:sz w:val="24"/>
          <w:szCs w:val="24"/>
        </w:rPr>
        <w:t>“e</w:t>
      </w:r>
      <w:r w:rsidRPr="00B61FF1">
        <w:rPr>
          <w:rFonts w:ascii="Arial" w:hAnsi="Arial" w:cs="Arial"/>
          <w:sz w:val="24"/>
          <w:szCs w:val="24"/>
          <w:vertAlign w:val="subscript"/>
        </w:rPr>
        <w:t>Sold</w:t>
      </w:r>
      <w:r w:rsidRPr="00B61FF1">
        <w:rPr>
          <w:rFonts w:ascii="Arial" w:hAnsi="Arial" w:cs="Arial"/>
          <w:sz w:val="24"/>
          <w:szCs w:val="24"/>
        </w:rPr>
        <w:t xml:space="preserve">” is the historical baseline annual arithmetic mean amount of electricity sold or provided </w:t>
      </w:r>
      <w:r w:rsidR="00A731B2" w:rsidRPr="00B61FF1">
        <w:rPr>
          <w:rFonts w:ascii="Arial" w:hAnsi="Arial" w:cs="Arial"/>
          <w:sz w:val="24"/>
          <w:szCs w:val="24"/>
        </w:rPr>
        <w:t xml:space="preserve">for </w:t>
      </w:r>
      <w:r w:rsidRPr="00B61FF1">
        <w:rPr>
          <w:rFonts w:ascii="Arial" w:hAnsi="Arial" w:cs="Arial"/>
          <w:sz w:val="24"/>
          <w:szCs w:val="24"/>
        </w:rPr>
        <w:t>off-site use, measured in MWhs;</w:t>
      </w:r>
    </w:p>
    <w:p w14:paraId="7C31770D" w14:textId="77777777" w:rsidR="00FE6B15" w:rsidRPr="00B61FF1" w:rsidRDefault="00FE6B15" w:rsidP="00C4386A">
      <w:pPr>
        <w:spacing w:line="360" w:lineRule="auto"/>
        <w:ind w:left="709"/>
        <w:rPr>
          <w:rFonts w:ascii="Arial" w:hAnsi="Arial" w:cs="Arial"/>
          <w:sz w:val="24"/>
          <w:szCs w:val="24"/>
        </w:rPr>
      </w:pPr>
    </w:p>
    <w:p w14:paraId="10B1314D" w14:textId="77777777" w:rsidR="00FC0927" w:rsidRPr="00B61FF1" w:rsidRDefault="00FC0927" w:rsidP="00FC0927">
      <w:pPr>
        <w:spacing w:line="360" w:lineRule="auto"/>
        <w:ind w:left="709"/>
        <w:rPr>
          <w:rFonts w:ascii="Arial" w:hAnsi="Arial" w:cs="Arial"/>
          <w:sz w:val="24"/>
          <w:szCs w:val="24"/>
        </w:rPr>
      </w:pPr>
      <w:r w:rsidRPr="00B61FF1">
        <w:rPr>
          <w:rFonts w:ascii="Arial" w:hAnsi="Arial" w:cs="Arial"/>
          <w:sz w:val="24"/>
          <w:szCs w:val="24"/>
        </w:rPr>
        <w:lastRenderedPageBreak/>
        <w:t>“B</w:t>
      </w:r>
      <w:r w:rsidRPr="00B61FF1">
        <w:rPr>
          <w:rFonts w:ascii="Arial" w:hAnsi="Arial" w:cs="Arial"/>
          <w:sz w:val="24"/>
          <w:szCs w:val="24"/>
          <w:vertAlign w:val="subscript"/>
        </w:rPr>
        <w:t>Electricity</w:t>
      </w:r>
      <w:r w:rsidRPr="00B61FF1">
        <w:rPr>
          <w:rFonts w:ascii="Arial" w:hAnsi="Arial" w:cs="Arial"/>
          <w:sz w:val="24"/>
          <w:szCs w:val="24"/>
        </w:rPr>
        <w:t>” is the emissions efficiency benchmark per unit of electricity sold or provided to off-site end users, 0.431 California GHG Allowances/MWh;</w:t>
      </w:r>
    </w:p>
    <w:p w14:paraId="78BD08F2" w14:textId="77777777" w:rsidR="00FE6B15" w:rsidRPr="00B61FF1" w:rsidRDefault="00FE6B15" w:rsidP="004E3B67">
      <w:pPr>
        <w:spacing w:line="360" w:lineRule="auto"/>
        <w:ind w:left="709"/>
        <w:rPr>
          <w:rFonts w:ascii="Arial" w:hAnsi="Arial" w:cs="Arial"/>
          <w:sz w:val="24"/>
          <w:szCs w:val="24"/>
        </w:rPr>
      </w:pPr>
    </w:p>
    <w:p w14:paraId="070D320A" w14:textId="752FBECE" w:rsidR="00FE6B15" w:rsidRPr="00B61FF1" w:rsidRDefault="00E977D8" w:rsidP="004E3B67">
      <w:pPr>
        <w:spacing w:line="360" w:lineRule="auto"/>
        <w:ind w:left="709"/>
        <w:rPr>
          <w:rFonts w:ascii="Arial" w:hAnsi="Arial" w:cs="Arial"/>
          <w:sz w:val="24"/>
          <w:szCs w:val="24"/>
        </w:rPr>
      </w:pPr>
      <w:r w:rsidRPr="00B61FF1">
        <w:rPr>
          <w:rFonts w:ascii="Arial" w:hAnsi="Arial" w:cs="Arial"/>
          <w:sz w:val="24"/>
          <w:szCs w:val="24"/>
        </w:rPr>
        <w:t>“AF</w:t>
      </w:r>
      <w:r w:rsidRPr="00B61FF1">
        <w:rPr>
          <w:rFonts w:ascii="Arial" w:hAnsi="Arial" w:cs="Arial"/>
          <w:strike/>
          <w:sz w:val="24"/>
          <w:szCs w:val="24"/>
          <w:vertAlign w:val="subscript"/>
        </w:rPr>
        <w:t>a,</w:t>
      </w:r>
      <w:r w:rsidRPr="00B61FF1">
        <w:rPr>
          <w:rFonts w:ascii="Arial" w:hAnsi="Arial" w:cs="Arial"/>
          <w:sz w:val="24"/>
          <w:szCs w:val="24"/>
          <w:vertAlign w:val="subscript"/>
        </w:rPr>
        <w:t xml:space="preserve"> t</w:t>
      </w:r>
      <w:r w:rsidRPr="00B61FF1">
        <w:rPr>
          <w:rFonts w:ascii="Arial" w:hAnsi="Arial" w:cs="Arial"/>
          <w:sz w:val="24"/>
          <w:szCs w:val="24"/>
        </w:rPr>
        <w:t>”</w:t>
      </w:r>
      <w:r w:rsidRPr="00B61FF1">
        <w:rPr>
          <w:rFonts w:ascii="Arial" w:hAnsi="Arial" w:cs="Arial"/>
          <w:sz w:val="24"/>
          <w:szCs w:val="24"/>
          <w:vertAlign w:val="subscript"/>
        </w:rPr>
        <w:t xml:space="preserve">  </w:t>
      </w:r>
      <w:r w:rsidRPr="00B61FF1">
        <w:rPr>
          <w:rFonts w:ascii="Arial" w:hAnsi="Arial" w:cs="Arial"/>
          <w:sz w:val="24"/>
          <w:szCs w:val="24"/>
        </w:rPr>
        <w:t>is the assistance factor for budget year “t” assigned to</w:t>
      </w:r>
      <w:r w:rsidRPr="00B61FF1">
        <w:rPr>
          <w:rFonts w:ascii="Arial" w:hAnsi="Arial" w:cs="Arial"/>
          <w:sz w:val="24"/>
          <w:szCs w:val="24"/>
          <w:u w:val="single"/>
        </w:rPr>
        <w:t xml:space="preserve"> the facility</w:t>
      </w:r>
      <w:r w:rsidRPr="00B61FF1">
        <w:rPr>
          <w:rFonts w:ascii="Arial" w:hAnsi="Arial" w:cs="Arial"/>
          <w:sz w:val="24"/>
          <w:szCs w:val="24"/>
        </w:rPr>
        <w:t xml:space="preserve"> </w:t>
      </w:r>
      <w:r w:rsidRPr="00B61FF1">
        <w:rPr>
          <w:rFonts w:ascii="Arial" w:hAnsi="Arial" w:cs="Arial"/>
          <w:strike/>
          <w:sz w:val="24"/>
          <w:szCs w:val="24"/>
        </w:rPr>
        <w:t xml:space="preserve">each </w:t>
      </w:r>
      <w:r w:rsidRPr="00B61FF1">
        <w:rPr>
          <w:rFonts w:ascii="Arial" w:hAnsi="Arial" w:cs="Arial"/>
          <w:sz w:val="24"/>
          <w:szCs w:val="24"/>
        </w:rPr>
        <w:t>activity</w:t>
      </w:r>
      <w:r w:rsidRPr="00B61FF1">
        <w:rPr>
          <w:rFonts w:ascii="Arial" w:hAnsi="Arial" w:cs="Arial"/>
          <w:strike/>
          <w:sz w:val="24"/>
          <w:szCs w:val="24"/>
        </w:rPr>
        <w:t xml:space="preserve"> “a”</w:t>
      </w:r>
      <w:r w:rsidRPr="00B61FF1">
        <w:rPr>
          <w:rFonts w:ascii="Arial" w:hAnsi="Arial" w:cs="Arial"/>
          <w:sz w:val="24"/>
          <w:szCs w:val="24"/>
        </w:rPr>
        <w:t xml:space="preserve"> as specified in Table 8-1; and</w:t>
      </w:r>
      <w:r w:rsidR="00FE6B15" w:rsidRPr="00B61FF1">
        <w:rPr>
          <w:rFonts w:ascii="Arial" w:hAnsi="Arial" w:cs="Arial"/>
          <w:sz w:val="24"/>
          <w:szCs w:val="24"/>
        </w:rPr>
        <w:t xml:space="preserve"> </w:t>
      </w:r>
    </w:p>
    <w:p w14:paraId="20456281" w14:textId="77777777" w:rsidR="00FE6B15" w:rsidRPr="00B61FF1" w:rsidRDefault="00FE6B15" w:rsidP="004E3B67">
      <w:pPr>
        <w:spacing w:line="360" w:lineRule="auto"/>
        <w:ind w:left="709"/>
        <w:rPr>
          <w:rFonts w:ascii="Arial" w:hAnsi="Arial" w:cs="Arial"/>
          <w:sz w:val="24"/>
          <w:szCs w:val="24"/>
        </w:rPr>
      </w:pPr>
    </w:p>
    <w:p w14:paraId="2665D1EC" w14:textId="77777777" w:rsidR="00E977D8" w:rsidRPr="00B61FF1" w:rsidRDefault="00E977D8" w:rsidP="00E977D8">
      <w:pPr>
        <w:spacing w:line="360" w:lineRule="auto"/>
        <w:ind w:left="709"/>
        <w:rPr>
          <w:rFonts w:ascii="Arial" w:hAnsi="Arial" w:cs="Arial"/>
          <w:sz w:val="24"/>
          <w:szCs w:val="24"/>
        </w:rPr>
      </w:pPr>
      <w:r w:rsidRPr="00B61FF1">
        <w:rPr>
          <w:rFonts w:ascii="Arial" w:hAnsi="Arial" w:cs="Arial"/>
          <w:sz w:val="24"/>
          <w:szCs w:val="24"/>
        </w:rPr>
        <w:t>“c</w:t>
      </w:r>
      <w:r w:rsidRPr="00B61FF1">
        <w:rPr>
          <w:rFonts w:ascii="Arial" w:hAnsi="Arial" w:cs="Arial"/>
          <w:sz w:val="24"/>
          <w:szCs w:val="24"/>
          <w:vertAlign w:val="subscript"/>
        </w:rPr>
        <w:t xml:space="preserve"> </w:t>
      </w:r>
      <w:r w:rsidRPr="00B61FF1">
        <w:rPr>
          <w:rFonts w:ascii="Arial" w:hAnsi="Arial" w:cs="Arial"/>
          <w:sz w:val="24"/>
          <w:szCs w:val="24"/>
          <w:u w:val="single"/>
          <w:vertAlign w:val="subscript"/>
        </w:rPr>
        <w:t>a,</w:t>
      </w:r>
      <w:r w:rsidRPr="00B61FF1">
        <w:rPr>
          <w:rFonts w:ascii="Arial" w:hAnsi="Arial" w:cs="Arial"/>
          <w:sz w:val="24"/>
          <w:szCs w:val="24"/>
          <w:vertAlign w:val="subscript"/>
        </w:rPr>
        <w:t>t</w:t>
      </w:r>
      <w:r w:rsidRPr="00B61FF1">
        <w:rPr>
          <w:rFonts w:ascii="Arial" w:hAnsi="Arial" w:cs="Arial"/>
          <w:sz w:val="24"/>
          <w:szCs w:val="24"/>
        </w:rPr>
        <w:t>”</w:t>
      </w:r>
      <w:r w:rsidRPr="00B61FF1">
        <w:rPr>
          <w:rFonts w:ascii="Arial" w:hAnsi="Arial" w:cs="Arial"/>
          <w:sz w:val="24"/>
          <w:szCs w:val="24"/>
          <w:vertAlign w:val="subscript"/>
        </w:rPr>
        <w:t xml:space="preserve"> </w:t>
      </w:r>
      <w:r w:rsidRPr="00B61FF1">
        <w:rPr>
          <w:rFonts w:ascii="Arial" w:hAnsi="Arial" w:cs="Arial"/>
          <w:sz w:val="24"/>
          <w:szCs w:val="24"/>
        </w:rPr>
        <w:t xml:space="preserve"> is the adjustment factor for budget year “t” assigned to</w:t>
      </w:r>
      <w:r w:rsidRPr="00B61FF1">
        <w:rPr>
          <w:rFonts w:ascii="Arial" w:hAnsi="Arial" w:cs="Arial"/>
          <w:sz w:val="24"/>
          <w:szCs w:val="24"/>
          <w:u w:val="single"/>
        </w:rPr>
        <w:t xml:space="preserve"> the facility</w:t>
      </w:r>
      <w:r w:rsidRPr="00B61FF1">
        <w:rPr>
          <w:rFonts w:ascii="Arial" w:hAnsi="Arial" w:cs="Arial"/>
          <w:sz w:val="24"/>
          <w:szCs w:val="24"/>
        </w:rPr>
        <w:t xml:space="preserve"> </w:t>
      </w:r>
      <w:r w:rsidRPr="00B61FF1">
        <w:rPr>
          <w:rFonts w:ascii="Arial" w:hAnsi="Arial" w:cs="Arial"/>
          <w:strike/>
          <w:sz w:val="24"/>
          <w:szCs w:val="24"/>
        </w:rPr>
        <w:t>each</w:t>
      </w:r>
      <w:r w:rsidRPr="00B61FF1">
        <w:rPr>
          <w:rFonts w:ascii="Arial" w:hAnsi="Arial" w:cs="Arial"/>
          <w:sz w:val="24"/>
          <w:szCs w:val="24"/>
        </w:rPr>
        <w:t xml:space="preserve"> activity </w:t>
      </w:r>
      <w:r w:rsidRPr="00B61FF1">
        <w:rPr>
          <w:rFonts w:ascii="Arial" w:hAnsi="Arial" w:cs="Arial"/>
          <w:strike/>
          <w:sz w:val="24"/>
          <w:szCs w:val="24"/>
        </w:rPr>
        <w:t>“a”</w:t>
      </w:r>
      <w:r w:rsidRPr="00B61FF1">
        <w:rPr>
          <w:rFonts w:ascii="Arial" w:hAnsi="Arial" w:cs="Arial"/>
          <w:sz w:val="24"/>
          <w:szCs w:val="24"/>
        </w:rPr>
        <w:t xml:space="preserve"> to account for cap decline as specified in Table 9-2.</w:t>
      </w:r>
    </w:p>
    <w:p w14:paraId="69BA1BFC" w14:textId="77777777" w:rsidR="00FC0927" w:rsidRPr="00B61FF1" w:rsidRDefault="00FC0927" w:rsidP="00FC0927">
      <w:pPr>
        <w:spacing w:line="360" w:lineRule="auto"/>
        <w:ind w:left="709"/>
        <w:rPr>
          <w:rFonts w:ascii="Arial" w:hAnsi="Arial" w:cs="Arial"/>
          <w:sz w:val="24"/>
          <w:szCs w:val="24"/>
        </w:rPr>
      </w:pPr>
    </w:p>
    <w:p w14:paraId="23D07BC0" w14:textId="77777777" w:rsidR="00FC0927" w:rsidRPr="00B61FF1" w:rsidRDefault="00C5649C" w:rsidP="00C5649C">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C0927" w:rsidRPr="00B61FF1">
        <w:rPr>
          <w:rFonts w:ascii="Arial" w:hAnsi="Arial" w:cs="Arial"/>
          <w:sz w:val="24"/>
          <w:szCs w:val="24"/>
        </w:rPr>
        <w:t xml:space="preserve">Data Sources.  </w:t>
      </w:r>
    </w:p>
    <w:p w14:paraId="10282921" w14:textId="77777777" w:rsidR="00FC0927" w:rsidRPr="00B61FF1" w:rsidRDefault="00C5649C" w:rsidP="00C5649C">
      <w:pPr>
        <w:autoSpaceDE/>
        <w:autoSpaceDN/>
        <w:adjustRightInd/>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C0927" w:rsidRPr="00B61FF1">
        <w:rPr>
          <w:rFonts w:ascii="Arial" w:hAnsi="Arial" w:cs="Arial"/>
          <w:sz w:val="24"/>
          <w:szCs w:val="24"/>
        </w:rPr>
        <w:t xml:space="preserve">In determining the appropriate baseline values, the Executive Officer may employ all available data reported to ARB under </w:t>
      </w:r>
      <w:r w:rsidR="00FC0927" w:rsidRPr="00B61FF1">
        <w:rPr>
          <w:rFonts w:ascii="Arial" w:hAnsi="Arial" w:cs="Arial"/>
          <w:strike/>
          <w:sz w:val="24"/>
          <w:szCs w:val="24"/>
        </w:rPr>
        <w:t xml:space="preserve"> </w:t>
      </w:r>
      <w:r w:rsidR="00FC0927" w:rsidRPr="00B61FF1">
        <w:rPr>
          <w:rFonts w:ascii="Arial" w:hAnsi="Arial" w:cs="Arial"/>
          <w:sz w:val="24"/>
          <w:szCs w:val="24"/>
        </w:rPr>
        <w:t>MRR for data years 2008-2010</w:t>
      </w:r>
      <w:r w:rsidR="00717BB5" w:rsidRPr="00B61FF1">
        <w:rPr>
          <w:rFonts w:ascii="Arial" w:hAnsi="Arial" w:cs="Arial"/>
          <w:sz w:val="24"/>
          <w:szCs w:val="24"/>
        </w:rPr>
        <w:t xml:space="preserve">.  </w:t>
      </w:r>
      <w:r w:rsidR="00FC0927" w:rsidRPr="00B61FF1">
        <w:rPr>
          <w:rFonts w:ascii="Arial" w:hAnsi="Arial" w:cs="Arial"/>
          <w:sz w:val="24"/>
          <w:szCs w:val="24"/>
        </w:rPr>
        <w:t>If necessary, the Executive Officer will solicit additional data to establish a representative baseline allocation.</w:t>
      </w:r>
    </w:p>
    <w:p w14:paraId="6FBE8930" w14:textId="77777777" w:rsidR="00FC0927" w:rsidRPr="00B61FF1" w:rsidRDefault="00C5649C" w:rsidP="00C5649C">
      <w:pPr>
        <w:autoSpaceDE/>
        <w:autoSpaceDN/>
        <w:adjustRightInd/>
        <w:spacing w:line="360" w:lineRule="auto"/>
        <w:ind w:left="1800" w:hanging="720"/>
        <w:rPr>
          <w:rFonts w:ascii="Arial" w:hAnsi="Arial" w:cs="Arial"/>
          <w:sz w:val="24"/>
          <w:szCs w:val="24"/>
        </w:rPr>
      </w:pPr>
      <w:r w:rsidRPr="00B61FF1">
        <w:rPr>
          <w:rFonts w:ascii="Arial" w:hAnsi="Arial" w:cs="Arial"/>
          <w:sz w:val="24"/>
          <w:szCs w:val="24"/>
        </w:rPr>
        <w:t>(</w:t>
      </w:r>
      <w:r w:rsidR="00391EFC"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FC0927" w:rsidRPr="00B61FF1">
        <w:rPr>
          <w:rFonts w:ascii="Arial" w:hAnsi="Arial" w:cs="Arial"/>
          <w:sz w:val="24"/>
          <w:szCs w:val="24"/>
        </w:rPr>
        <w:t xml:space="preserve">Recognition of </w:t>
      </w:r>
      <w:r w:rsidR="00756EB0" w:rsidRPr="00B61FF1">
        <w:rPr>
          <w:rFonts w:ascii="Arial" w:hAnsi="Arial" w:cs="Arial"/>
          <w:sz w:val="24"/>
          <w:szCs w:val="24"/>
        </w:rPr>
        <w:t>California Climate Action Registry</w:t>
      </w:r>
      <w:r w:rsidR="00FC0927" w:rsidRPr="00B61FF1">
        <w:rPr>
          <w:rFonts w:ascii="Arial" w:hAnsi="Arial" w:cs="Arial"/>
          <w:sz w:val="24"/>
          <w:szCs w:val="24"/>
        </w:rPr>
        <w:t xml:space="preserve"> membership.  If a facility reported </w:t>
      </w:r>
      <w:r w:rsidR="00F832CF" w:rsidRPr="00B61FF1">
        <w:rPr>
          <w:rFonts w:ascii="Arial" w:hAnsi="Arial" w:cs="Arial"/>
          <w:sz w:val="24"/>
          <w:szCs w:val="24"/>
        </w:rPr>
        <w:t xml:space="preserve">facility level, </w:t>
      </w:r>
      <w:r w:rsidR="00FC0927" w:rsidRPr="00B61FF1">
        <w:rPr>
          <w:rFonts w:ascii="Arial" w:hAnsi="Arial" w:cs="Arial"/>
          <w:sz w:val="24"/>
          <w:szCs w:val="24"/>
        </w:rPr>
        <w:t>third-party verified</w:t>
      </w:r>
      <w:r w:rsidR="009B6F4B" w:rsidRPr="00B61FF1">
        <w:rPr>
          <w:rFonts w:ascii="Arial" w:hAnsi="Arial" w:cs="Arial"/>
          <w:sz w:val="24"/>
          <w:szCs w:val="24"/>
        </w:rPr>
        <w:t>,</w:t>
      </w:r>
      <w:r w:rsidR="00FC0927" w:rsidRPr="00B61FF1">
        <w:rPr>
          <w:rFonts w:ascii="Arial" w:hAnsi="Arial" w:cs="Arial"/>
          <w:sz w:val="24"/>
          <w:szCs w:val="24"/>
        </w:rPr>
        <w:t xml:space="preserve"> greenhouse gas </w:t>
      </w:r>
      <w:r w:rsidR="00F832CF" w:rsidRPr="00B61FF1">
        <w:rPr>
          <w:rFonts w:ascii="Arial" w:hAnsi="Arial" w:cs="Arial"/>
          <w:sz w:val="24"/>
          <w:szCs w:val="24"/>
        </w:rPr>
        <w:t xml:space="preserve">emissions </w:t>
      </w:r>
      <w:r w:rsidR="00FC0927" w:rsidRPr="00B61FF1">
        <w:rPr>
          <w:rFonts w:ascii="Arial" w:hAnsi="Arial" w:cs="Arial"/>
          <w:sz w:val="24"/>
          <w:szCs w:val="24"/>
        </w:rPr>
        <w:t>data to the California Climate Action Registry for data years 2000-2007</w:t>
      </w:r>
      <w:r w:rsidR="00BC4815" w:rsidRPr="00B61FF1">
        <w:rPr>
          <w:rFonts w:ascii="Arial" w:hAnsi="Arial" w:cs="Arial"/>
          <w:sz w:val="24"/>
          <w:szCs w:val="24"/>
        </w:rPr>
        <w:t>,</w:t>
      </w:r>
      <w:r w:rsidR="00FC0927" w:rsidRPr="00B61FF1">
        <w:rPr>
          <w:rFonts w:ascii="Arial" w:hAnsi="Arial" w:cs="Arial"/>
          <w:sz w:val="24"/>
          <w:szCs w:val="24"/>
        </w:rPr>
        <w:t xml:space="preserve"> the Executive Officer may consider these years in determining the representative annual baseline value.  If necessary the Executive Officer will solicit additional data for these data years.</w:t>
      </w:r>
    </w:p>
    <w:p w14:paraId="7BA1EB19" w14:textId="77777777" w:rsidR="00E150CF" w:rsidRPr="00B61FF1" w:rsidRDefault="00C5649C" w:rsidP="00C5649C">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0240E5" w:rsidRPr="00B61FF1">
        <w:rPr>
          <w:rFonts w:ascii="Arial" w:hAnsi="Arial" w:cs="Arial"/>
          <w:sz w:val="24"/>
          <w:szCs w:val="24"/>
        </w:rPr>
        <w:t>Maximum Free Allocation.  The Executive Officer shall ensure that the annual amount of California GHG Allowances directly allocated under the energy-based methodology to a covered entity for operations at a facility shall not exceed 110% of the maximum annual level of greenhouse gas emissions, adjusted for steam purchases and sales and electricity sales, emitted during the historical data years used in establishing the baseline allocation for the facility in question.</w:t>
      </w:r>
    </w:p>
    <w:p w14:paraId="0DC5173F" w14:textId="0792E397" w:rsidR="00FE6B15" w:rsidRPr="00B61FF1" w:rsidRDefault="00C5649C" w:rsidP="00C5649C">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E977D8" w:rsidRPr="00B61FF1">
        <w:rPr>
          <w:rFonts w:ascii="Arial" w:hAnsi="Arial" w:cs="Arial"/>
          <w:sz w:val="24"/>
          <w:szCs w:val="24"/>
        </w:rPr>
        <w:t xml:space="preserve">New Entrants.  </w:t>
      </w:r>
      <w:r w:rsidR="00E977D8" w:rsidRPr="00B61FF1">
        <w:rPr>
          <w:rFonts w:ascii="Arial" w:hAnsi="Arial" w:cs="Arial"/>
          <w:sz w:val="24"/>
          <w:szCs w:val="24"/>
          <w:u w:val="single"/>
        </w:rPr>
        <w:t>For c</w:t>
      </w:r>
      <w:r w:rsidR="00E977D8" w:rsidRPr="00B61FF1">
        <w:rPr>
          <w:rFonts w:ascii="Arial" w:hAnsi="Arial" w:cs="Arial"/>
          <w:strike/>
          <w:sz w:val="24"/>
          <w:szCs w:val="24"/>
        </w:rPr>
        <w:t>C</w:t>
      </w:r>
      <w:r w:rsidR="00E977D8" w:rsidRPr="00B61FF1">
        <w:rPr>
          <w:rFonts w:ascii="Arial" w:hAnsi="Arial" w:cs="Arial"/>
          <w:sz w:val="24"/>
          <w:szCs w:val="24"/>
        </w:rPr>
        <w:t xml:space="preserve">overed </w:t>
      </w:r>
      <w:r w:rsidR="00E977D8" w:rsidRPr="00B61FF1">
        <w:rPr>
          <w:rFonts w:ascii="Arial" w:hAnsi="Arial" w:cs="Arial"/>
          <w:strike/>
          <w:sz w:val="24"/>
          <w:szCs w:val="24"/>
        </w:rPr>
        <w:t>entities of</w:t>
      </w:r>
      <w:r w:rsidR="00E977D8" w:rsidRPr="00B61FF1">
        <w:rPr>
          <w:rFonts w:ascii="Arial" w:hAnsi="Arial" w:cs="Arial"/>
          <w:sz w:val="24"/>
          <w:szCs w:val="24"/>
        </w:rPr>
        <w:t xml:space="preserve"> facilities that were not </w:t>
      </w:r>
      <w:r w:rsidR="00E977D8" w:rsidRPr="00B61FF1">
        <w:rPr>
          <w:rFonts w:ascii="Arial" w:hAnsi="Arial" w:cs="Arial"/>
          <w:strike/>
          <w:sz w:val="24"/>
          <w:szCs w:val="24"/>
        </w:rPr>
        <w:t>in operation</w:t>
      </w:r>
      <w:r w:rsidR="00E977D8" w:rsidRPr="00B61FF1">
        <w:rPr>
          <w:rFonts w:ascii="Arial" w:hAnsi="Arial" w:cs="Arial"/>
          <w:sz w:val="24"/>
          <w:szCs w:val="24"/>
        </w:rPr>
        <w:t xml:space="preserve"> </w:t>
      </w:r>
      <w:r w:rsidR="00E977D8" w:rsidRPr="00B61FF1">
        <w:rPr>
          <w:rFonts w:ascii="Arial" w:hAnsi="Arial" w:cs="Arial"/>
          <w:sz w:val="24"/>
          <w:szCs w:val="24"/>
          <w:u w:val="single"/>
        </w:rPr>
        <w:t>covered under the California Cap-and-Trade Program</w:t>
      </w:r>
      <w:r w:rsidR="00E977D8" w:rsidRPr="00B61FF1">
        <w:rPr>
          <w:rFonts w:ascii="Arial" w:hAnsi="Arial" w:cs="Arial"/>
          <w:sz w:val="24"/>
          <w:szCs w:val="24"/>
        </w:rPr>
        <w:t xml:space="preserve"> prior </w:t>
      </w:r>
      <w:r w:rsidR="00E977D8" w:rsidRPr="00B61FF1">
        <w:rPr>
          <w:rFonts w:ascii="Arial" w:hAnsi="Arial" w:cs="Arial"/>
          <w:sz w:val="24"/>
          <w:szCs w:val="24"/>
        </w:rPr>
        <w:lastRenderedPageBreak/>
        <w:t xml:space="preserve">to </w:t>
      </w:r>
      <w:r w:rsidR="00E977D8" w:rsidRPr="00B61FF1">
        <w:rPr>
          <w:rFonts w:ascii="Arial" w:hAnsi="Arial" w:cs="Arial"/>
          <w:strike/>
          <w:sz w:val="24"/>
          <w:szCs w:val="24"/>
        </w:rPr>
        <w:t>2011</w:t>
      </w:r>
      <w:r w:rsidR="00E977D8" w:rsidRPr="00B61FF1">
        <w:rPr>
          <w:rFonts w:ascii="Arial" w:hAnsi="Arial" w:cs="Arial"/>
          <w:sz w:val="24"/>
          <w:szCs w:val="24"/>
        </w:rPr>
        <w:t xml:space="preserve"> </w:t>
      </w:r>
      <w:r w:rsidR="00E977D8" w:rsidRPr="00B61FF1">
        <w:rPr>
          <w:rFonts w:ascii="Arial" w:hAnsi="Arial" w:cs="Arial"/>
          <w:sz w:val="24"/>
          <w:szCs w:val="24"/>
          <w:u w:val="single"/>
        </w:rPr>
        <w:t>2012</w:t>
      </w:r>
      <w:r w:rsidR="00E977D8" w:rsidRPr="00B61FF1">
        <w:rPr>
          <w:rFonts w:ascii="Arial" w:hAnsi="Arial" w:cs="Arial"/>
          <w:sz w:val="24"/>
          <w:szCs w:val="24"/>
        </w:rPr>
        <w:t xml:space="preserve"> and are eligible for free allocation under the energy-based methodology</w:t>
      </w:r>
      <w:r w:rsidR="00E977D8" w:rsidRPr="00B61FF1">
        <w:rPr>
          <w:rFonts w:ascii="Arial" w:hAnsi="Arial" w:cs="Arial"/>
          <w:sz w:val="24"/>
          <w:szCs w:val="24"/>
          <w:u w:val="single"/>
        </w:rPr>
        <w:t>, allowances</w:t>
      </w:r>
      <w:r w:rsidR="00E977D8" w:rsidRPr="00B61FF1">
        <w:rPr>
          <w:rFonts w:ascii="Arial" w:hAnsi="Arial" w:cs="Arial"/>
          <w:sz w:val="24"/>
          <w:szCs w:val="24"/>
        </w:rPr>
        <w:t xml:space="preserve"> shall be </w:t>
      </w:r>
      <w:r w:rsidR="00E977D8" w:rsidRPr="00B61FF1">
        <w:rPr>
          <w:rFonts w:ascii="Arial" w:hAnsi="Arial" w:cs="Arial"/>
          <w:strike/>
          <w:sz w:val="24"/>
          <w:szCs w:val="24"/>
        </w:rPr>
        <w:t>assessed a baseline annual allocation based on expected activity levels as</w:t>
      </w:r>
      <w:r w:rsidR="00E977D8" w:rsidRPr="00B61FF1">
        <w:rPr>
          <w:rFonts w:ascii="Arial" w:hAnsi="Arial" w:cs="Arial"/>
          <w:sz w:val="24"/>
          <w:szCs w:val="24"/>
        </w:rPr>
        <w:t xml:space="preserve"> determined by the Executive Officer</w:t>
      </w:r>
      <w:r w:rsidR="00E977D8" w:rsidRPr="00B61FF1">
        <w:rPr>
          <w:rFonts w:ascii="Arial" w:hAnsi="Arial" w:cs="Arial"/>
          <w:sz w:val="24"/>
          <w:szCs w:val="24"/>
          <w:u w:val="single"/>
        </w:rPr>
        <w:t xml:space="preserve"> using the following methodology</w:t>
      </w:r>
      <w:r w:rsidR="00E977D8" w:rsidRPr="00B61FF1">
        <w:rPr>
          <w:rFonts w:ascii="Arial" w:hAnsi="Arial" w:cs="Arial"/>
          <w:sz w:val="24"/>
          <w:szCs w:val="24"/>
        </w:rPr>
        <w:t>.</w:t>
      </w:r>
    </w:p>
    <w:p w14:paraId="29AF78A1"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Opt-In Covered Entities without Historical Baseline Emissions Data. For opt-in covered entities of facilities that have no historical emissions data reported to ARB under MRR, the Executive Officer shall calculate the amount of California GHG Allowances directly allocated under the energy-based methodology annually using the following formula:   </w:t>
      </w:r>
    </w:p>
    <w:p w14:paraId="4BB371F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3E27AA0F" w14:textId="77777777" w:rsidR="00B449FE" w:rsidRPr="00B61FF1" w:rsidRDefault="00661852" w:rsidP="00B449FE">
      <w:pPr>
        <w:autoSpaceDE/>
        <w:autoSpaceDN/>
        <w:adjustRightInd/>
        <w:spacing w:line="360" w:lineRule="auto"/>
        <w:ind w:left="810" w:hanging="720"/>
        <w:rPr>
          <w:rFonts w:ascii="Arial" w:hAnsi="Arial" w:cs="Arial"/>
          <w:sz w:val="24"/>
          <w:szCs w:val="24"/>
          <w:u w:val="single"/>
        </w:rPr>
      </w:pPr>
      <m:oMathPara>
        <m:oMath>
          <m:sSub>
            <m:sSubPr>
              <m:ctrlPr>
                <w:rPr>
                  <w:rFonts w:ascii="Cambria Math" w:hAnsi="Cambria Math" w:cs="Arial"/>
                  <w:i/>
                  <w:sz w:val="24"/>
                  <w:szCs w:val="24"/>
                  <w:u w:val="single"/>
                </w:rPr>
              </m:ctrlPr>
            </m:sSubPr>
            <m:e>
              <m:r>
                <w:rPr>
                  <w:rFonts w:ascii="Cambria Math" w:hAnsi="Cambria Math" w:cs="Arial"/>
                  <w:sz w:val="24"/>
                  <w:szCs w:val="24"/>
                  <w:u w:val="single"/>
                </w:rPr>
                <m:t>A</m:t>
              </m:r>
            </m:e>
            <m:sub>
              <m:r>
                <w:rPr>
                  <w:rFonts w:ascii="Cambria Math" w:hAnsi="Cambria Math" w:cs="Arial"/>
                  <w:sz w:val="24"/>
                  <w:szCs w:val="24"/>
                  <w:u w:val="single"/>
                </w:rPr>
                <m:t>t</m:t>
              </m:r>
            </m:sub>
          </m:sSub>
          <m:r>
            <w:rPr>
              <w:rFonts w:ascii="Cambria Math" w:hAnsi="Cambria Math" w:cs="Arial"/>
              <w:sz w:val="24"/>
              <w:szCs w:val="24"/>
              <w:u w:val="single"/>
            </w:rPr>
            <m:t>=</m:t>
          </m:r>
          <m:d>
            <m:dPr>
              <m:ctrlPr>
                <w:rPr>
                  <w:rFonts w:ascii="Cambria Math" w:hAnsi="Cambria Math" w:cs="Arial"/>
                  <w:i/>
                  <w:sz w:val="24"/>
                  <w:szCs w:val="24"/>
                  <w:u w:val="single"/>
                </w:rPr>
              </m:ctrlPr>
            </m:dPr>
            <m:e>
              <m:sSub>
                <m:sSubPr>
                  <m:ctrlPr>
                    <w:rPr>
                      <w:rFonts w:ascii="Cambria Math" w:hAnsi="Cambria Math" w:cs="Arial"/>
                      <w:i/>
                      <w:sz w:val="24"/>
                      <w:szCs w:val="24"/>
                      <w:u w:val="single"/>
                    </w:rPr>
                  </m:ctrlPr>
                </m:sSubPr>
                <m:e>
                  <m:r>
                    <w:rPr>
                      <w:rFonts w:ascii="Cambria Math" w:hAnsi="Cambria Math" w:cs="Arial"/>
                      <w:sz w:val="24"/>
                      <w:szCs w:val="24"/>
                      <w:u w:val="single"/>
                    </w:rPr>
                    <m:t>F</m:t>
                  </m:r>
                </m:e>
                <m:sub>
                  <m:r>
                    <w:rPr>
                      <w:rFonts w:ascii="Cambria Math" w:hAnsi="Cambria Math" w:cs="Arial"/>
                      <w:sz w:val="24"/>
                      <w:szCs w:val="24"/>
                      <w:u w:val="single"/>
                    </w:rPr>
                    <m:t>Consumed,est</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m:t>
                  </m:r>
                </m:e>
                <m:sub>
                  <m:r>
                    <w:rPr>
                      <w:rFonts w:ascii="Cambria Math" w:hAnsi="Cambria Math" w:cs="Arial"/>
                      <w:sz w:val="24"/>
                      <w:szCs w:val="24"/>
                      <w:u w:val="single"/>
                    </w:rPr>
                    <m:t>Fuel</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e</m:t>
                  </m:r>
                </m:e>
                <m:sub>
                  <m:r>
                    <w:rPr>
                      <w:rFonts w:ascii="Cambria Math" w:hAnsi="Cambria Math" w:cs="Arial"/>
                      <w:sz w:val="24"/>
                      <w:szCs w:val="24"/>
                      <w:u w:val="single"/>
                    </w:rPr>
                    <m:t>sold,est</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m:t>
                  </m:r>
                </m:e>
                <m:sub>
                  <m:r>
                    <w:rPr>
                      <w:rFonts w:ascii="Cambria Math" w:hAnsi="Cambria Math" w:cs="Arial"/>
                      <w:sz w:val="24"/>
                      <w:szCs w:val="24"/>
                      <w:u w:val="single"/>
                    </w:rPr>
                    <m:t>Elect</m:t>
                  </m:r>
                </m:sub>
              </m:sSub>
            </m:e>
          </m:d>
          <m:sSub>
            <m:sSubPr>
              <m:ctrlPr>
                <w:rPr>
                  <w:rFonts w:ascii="Cambria Math" w:eastAsia="Calibri" w:hAnsi="Cambria Math" w:cs="Arial"/>
                  <w:i/>
                  <w:sz w:val="24"/>
                  <w:szCs w:val="24"/>
                </w:rPr>
              </m:ctrlPr>
            </m:sSubPr>
            <m:e>
              <m:r>
                <w:rPr>
                  <w:rFonts w:ascii="Cambria Math" w:eastAsia="Calibri" w:hAnsi="Cambria Math" w:cs="Arial"/>
                  <w:sz w:val="24"/>
                  <w:szCs w:val="24"/>
                </w:rPr>
                <m:t>*AF</m:t>
              </m:r>
            </m:e>
            <m:sub>
              <m:r>
                <w:rPr>
                  <w:rFonts w:ascii="Cambria Math" w:eastAsia="Calibri" w:hAnsi="Cambria Math" w:cs="Arial"/>
                  <w:sz w:val="24"/>
                  <w:szCs w:val="24"/>
                </w:rPr>
                <m:t>t-2</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c</m:t>
              </m:r>
            </m:e>
            <m:sub>
              <m:r>
                <w:rPr>
                  <w:rFonts w:ascii="Cambria Math" w:eastAsia="Calibri" w:hAnsi="Cambria Math" w:cs="Arial"/>
                  <w:sz w:val="24"/>
                  <w:szCs w:val="24"/>
                </w:rPr>
                <m:t>t-2</m:t>
              </m:r>
            </m:sub>
          </m:sSub>
          <m:r>
            <w:rPr>
              <w:rFonts w:ascii="Cambria Math" w:hAnsi="Cambria Math" w:cs="Arial"/>
              <w:sz w:val="24"/>
              <w:szCs w:val="24"/>
              <w:u w:val="single"/>
            </w:rPr>
            <m:t xml:space="preserve"> </m:t>
          </m:r>
        </m:oMath>
      </m:oMathPara>
    </w:p>
    <w:p w14:paraId="12B3C410"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15755FA6" w14:textId="1792670C"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Where:</w:t>
      </w:r>
    </w:p>
    <w:p w14:paraId="324B8DF9"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52E321DE"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“A</w:t>
      </w:r>
      <w:r w:rsidRPr="00B61FF1">
        <w:rPr>
          <w:rFonts w:ascii="Arial" w:hAnsi="Arial" w:cs="Arial"/>
          <w:sz w:val="24"/>
          <w:szCs w:val="24"/>
          <w:u w:val="single"/>
          <w:vertAlign w:val="subscript"/>
        </w:rPr>
        <w:t>t</w:t>
      </w:r>
      <w:r w:rsidRPr="00B61FF1">
        <w:rPr>
          <w:rFonts w:ascii="Arial" w:hAnsi="Arial" w:cs="Arial"/>
          <w:sz w:val="24"/>
          <w:szCs w:val="24"/>
          <w:u w:val="single"/>
        </w:rPr>
        <w:t xml:space="preserve">” is the amount of California GHG Allowances directly allocated to the operator of an industrial facility with an energy-based allocation from budget year “t”; </w:t>
      </w:r>
    </w:p>
    <w:p w14:paraId="6E97352F"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39E04FB9"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 xml:space="preserve">“t” is the budget year from which the direct allocation occurs; </w:t>
      </w:r>
    </w:p>
    <w:p w14:paraId="6D5F4B97" w14:textId="77777777" w:rsidR="00B449FE" w:rsidRPr="00B61FF1" w:rsidRDefault="00B449FE" w:rsidP="00B449FE">
      <w:pPr>
        <w:autoSpaceDE/>
        <w:autoSpaceDN/>
        <w:adjustRightInd/>
        <w:spacing w:line="360" w:lineRule="auto"/>
        <w:rPr>
          <w:rFonts w:ascii="Arial" w:hAnsi="Arial" w:cs="Arial"/>
          <w:sz w:val="24"/>
          <w:szCs w:val="24"/>
          <w:u w:val="single"/>
        </w:rPr>
      </w:pPr>
    </w:p>
    <w:p w14:paraId="7BE3C27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“F</w:t>
      </w:r>
      <w:r w:rsidRPr="00B61FF1">
        <w:rPr>
          <w:rFonts w:ascii="Arial" w:hAnsi="Arial" w:cs="Arial"/>
          <w:sz w:val="24"/>
          <w:szCs w:val="24"/>
          <w:u w:val="single"/>
          <w:vertAlign w:val="subscript"/>
        </w:rPr>
        <w:t>Consumed,est</w:t>
      </w:r>
      <w:r w:rsidRPr="00B61FF1">
        <w:rPr>
          <w:rFonts w:ascii="Arial" w:hAnsi="Arial" w:cs="Arial"/>
          <w:sz w:val="24"/>
          <w:szCs w:val="24"/>
          <w:u w:val="single"/>
        </w:rPr>
        <w:t>” is the estimated amount of energy produced due to fuel combustion at a given facility, measured in MMBtu.  This value shall exclude fuel used to produce steam that is provided or sold offsite.  The Executive Officer shall calculate this value based on measured higher heating values or the default higher heating value of the applicable fuel in Table C–1 of subpart C, title 40, Code of Federal Regulations, Part 98.  The Executive Officer shall calculate this value utilizing any available data on the design of the facility and equipment;</w:t>
      </w:r>
    </w:p>
    <w:p w14:paraId="6BA8043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7B628EA"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lastRenderedPageBreak/>
        <w:tab/>
      </w:r>
      <w:r w:rsidRPr="00B61FF1">
        <w:rPr>
          <w:rFonts w:ascii="Arial" w:hAnsi="Arial" w:cs="Arial"/>
          <w:sz w:val="24"/>
          <w:szCs w:val="24"/>
          <w:u w:val="single"/>
        </w:rPr>
        <w:t>“B</w:t>
      </w:r>
      <w:r w:rsidRPr="00B61FF1">
        <w:rPr>
          <w:rFonts w:ascii="Arial" w:hAnsi="Arial" w:cs="Arial"/>
          <w:sz w:val="24"/>
          <w:szCs w:val="24"/>
          <w:u w:val="single"/>
          <w:vertAlign w:val="subscript"/>
        </w:rPr>
        <w:t>Fuel</w:t>
      </w:r>
      <w:r w:rsidRPr="00B61FF1">
        <w:rPr>
          <w:rFonts w:ascii="Arial" w:hAnsi="Arial" w:cs="Arial"/>
          <w:sz w:val="24"/>
          <w:szCs w:val="24"/>
          <w:u w:val="single"/>
        </w:rPr>
        <w:t xml:space="preserve">” is the emissions efficiency benchmark per unit of energy from fuel combustion, 0.05307 California GHG Allowances/MMBtu;  </w:t>
      </w:r>
    </w:p>
    <w:p w14:paraId="124C73C0"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1A013EF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“e</w:t>
      </w:r>
      <w:r w:rsidRPr="00B61FF1">
        <w:rPr>
          <w:rFonts w:ascii="Arial" w:hAnsi="Arial" w:cs="Arial"/>
          <w:sz w:val="24"/>
          <w:szCs w:val="24"/>
          <w:u w:val="single"/>
          <w:vertAlign w:val="subscript"/>
        </w:rPr>
        <w:t>Sold,est</w:t>
      </w:r>
      <w:r w:rsidRPr="00B61FF1">
        <w:rPr>
          <w:rFonts w:ascii="Arial" w:hAnsi="Arial" w:cs="Arial"/>
          <w:sz w:val="24"/>
          <w:szCs w:val="24"/>
          <w:u w:val="single"/>
        </w:rPr>
        <w:t>” is the estimated amount of electricity sold or provided for off-site use, measured in MWh. The Executive Officer shall calculate this value utilizing any available data on the design of the facility and equipment;</w:t>
      </w:r>
    </w:p>
    <w:p w14:paraId="3CD8E4F1"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67D3C44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“B</w:t>
      </w:r>
      <w:r w:rsidRPr="00B61FF1">
        <w:rPr>
          <w:rFonts w:ascii="Arial" w:hAnsi="Arial" w:cs="Arial"/>
          <w:sz w:val="24"/>
          <w:szCs w:val="24"/>
          <w:u w:val="single"/>
          <w:vertAlign w:val="subscript"/>
        </w:rPr>
        <w:t>Electricity</w:t>
      </w:r>
      <w:r w:rsidRPr="00B61FF1">
        <w:rPr>
          <w:rFonts w:ascii="Arial" w:hAnsi="Arial" w:cs="Arial"/>
          <w:sz w:val="24"/>
          <w:szCs w:val="24"/>
          <w:u w:val="single"/>
        </w:rPr>
        <w:t>” is the emissions efficiency benchmark per unit of electricity sold or provided to off-site end users, 0.431 California GHG Allowances/MWh;</w:t>
      </w:r>
    </w:p>
    <w:p w14:paraId="421D7949"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7FC2C6C6"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“AF</w:t>
      </w:r>
      <w:r w:rsidRPr="00B61FF1">
        <w:rPr>
          <w:rFonts w:ascii="Arial" w:hAnsi="Arial" w:cs="Arial"/>
          <w:sz w:val="24"/>
          <w:szCs w:val="24"/>
          <w:u w:val="single"/>
          <w:vertAlign w:val="subscript"/>
        </w:rPr>
        <w:t xml:space="preserve"> t</w:t>
      </w:r>
      <w:r w:rsidRPr="00B61FF1">
        <w:rPr>
          <w:rFonts w:ascii="Arial" w:hAnsi="Arial" w:cs="Arial"/>
          <w:sz w:val="24"/>
          <w:szCs w:val="24"/>
          <w:u w:val="single"/>
        </w:rPr>
        <w:t xml:space="preserve">”  is the assistance factor for budget year “t” assigned to the facility activity as specified in Table 8-1; and  </w:t>
      </w:r>
    </w:p>
    <w:p w14:paraId="6E50914A"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3E2AB5C"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“c</w:t>
      </w:r>
      <w:r w:rsidRPr="00B61FF1">
        <w:rPr>
          <w:rFonts w:ascii="Arial" w:hAnsi="Arial" w:cs="Arial"/>
          <w:sz w:val="24"/>
          <w:szCs w:val="24"/>
          <w:u w:val="single"/>
          <w:vertAlign w:val="subscript"/>
        </w:rPr>
        <w:t>t</w:t>
      </w:r>
      <w:r w:rsidRPr="00B61FF1">
        <w:rPr>
          <w:rFonts w:ascii="Arial" w:hAnsi="Arial" w:cs="Arial"/>
          <w:sz w:val="24"/>
          <w:szCs w:val="24"/>
          <w:u w:val="single"/>
        </w:rPr>
        <w:t>”  is the adjustment factor for budget year “t” assigned to the facility activity to account for cap decline as specified in Table 9-2.</w:t>
      </w:r>
    </w:p>
    <w:p w14:paraId="49D4BC6B"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14D201A" w14:textId="77777777" w:rsidR="00B449FE" w:rsidRPr="00B61FF1" w:rsidRDefault="00B449FE" w:rsidP="00B449FE">
      <w:pPr>
        <w:tabs>
          <w:tab w:val="left" w:pos="-1710"/>
        </w:tabs>
        <w:autoSpaceDE/>
        <w:autoSpaceDN/>
        <w:adjustRightInd/>
        <w:spacing w:after="200"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Entities with Transitional Emissions Data. For covered entities or opt-in covered entities that are classified as transitional in the stability formula in 95891(c)(3)(D), the Executive Officer shall calculate the amount of California GHG Allowances directly allocated under the energy-based methodology annually using the following formula:</w:t>
      </w:r>
    </w:p>
    <w:p w14:paraId="06D54703" w14:textId="77777777" w:rsidR="00B449FE" w:rsidRPr="00B61FF1" w:rsidRDefault="00B449FE" w:rsidP="00B449FE">
      <w:pPr>
        <w:tabs>
          <w:tab w:val="left" w:pos="-1710"/>
        </w:tabs>
        <w:autoSpaceDE/>
        <w:autoSpaceDN/>
        <w:adjustRightInd/>
        <w:spacing w:after="200" w:line="360" w:lineRule="auto"/>
        <w:ind w:left="1800" w:hanging="720"/>
        <w:rPr>
          <w:rFonts w:ascii="Arial" w:hAnsi="Arial" w:cs="Arial"/>
          <w:sz w:val="24"/>
          <w:szCs w:val="24"/>
          <w:u w:val="single"/>
        </w:rPr>
      </w:pPr>
    </w:p>
    <w:p w14:paraId="3F11EF18" w14:textId="77777777" w:rsidR="00B449FE" w:rsidRPr="00B61FF1" w:rsidRDefault="00661852" w:rsidP="00B449FE">
      <w:pPr>
        <w:autoSpaceDE/>
        <w:autoSpaceDN/>
        <w:adjustRightInd/>
        <w:spacing w:line="360" w:lineRule="auto"/>
        <w:ind w:left="-360"/>
        <w:rPr>
          <w:rFonts w:ascii="Arial" w:hAnsi="Arial" w:cs="Arial"/>
          <w:sz w:val="24"/>
          <w:szCs w:val="24"/>
          <w:u w:val="single"/>
        </w:rPr>
      </w:pPr>
      <m:oMathPara>
        <m:oMathParaPr>
          <m:jc m:val="center"/>
        </m:oMathParaPr>
        <m:oMath>
          <m:sSub>
            <m:sSubPr>
              <m:ctrlPr>
                <w:rPr>
                  <w:rFonts w:ascii="Cambria Math" w:hAnsi="Cambria Math" w:cs="Arial"/>
                  <w:i/>
                  <w:sz w:val="24"/>
                  <w:szCs w:val="24"/>
                  <w:u w:val="single"/>
                </w:rPr>
              </m:ctrlPr>
            </m:sSubPr>
            <m:e>
              <m:r>
                <w:rPr>
                  <w:rFonts w:ascii="Cambria Math" w:hAnsi="Cambria Math" w:cs="Arial"/>
                  <w:sz w:val="24"/>
                  <w:szCs w:val="24"/>
                  <w:u w:val="single"/>
                </w:rPr>
                <m:t>A</m:t>
              </m:r>
            </m:e>
            <m:sub>
              <m:r>
                <w:rPr>
                  <w:rFonts w:ascii="Cambria Math" w:hAnsi="Cambria Math" w:cs="Arial"/>
                  <w:sz w:val="24"/>
                  <w:szCs w:val="24"/>
                  <w:u w:val="single"/>
                </w:rPr>
                <m:t>t</m:t>
              </m:r>
            </m:sub>
          </m:sSub>
          <m:r>
            <w:rPr>
              <w:rFonts w:ascii="Cambria Math" w:hAnsi="Cambria Math" w:cs="Arial"/>
              <w:sz w:val="24"/>
              <w:szCs w:val="24"/>
              <w:u w:val="single"/>
            </w:rPr>
            <m:t>=</m:t>
          </m:r>
          <m:d>
            <m:dPr>
              <m:ctrlPr>
                <w:rPr>
                  <w:rFonts w:ascii="Cambria Math" w:eastAsia="Calibri" w:hAnsi="Cambria Math"/>
                  <w:i/>
                  <w:sz w:val="24"/>
                  <w:szCs w:val="22"/>
                </w:rPr>
              </m:ctrlPr>
            </m:d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r>
                <w:rPr>
                  <w:rFonts w:ascii="Cambria Math" w:hAnsi="Cambria Math" w:cs="Arial"/>
                  <w:sz w:val="24"/>
                  <w:szCs w:val="24"/>
                </w:rPr>
                <m:t>*0.05307</m:t>
              </m:r>
              <m:r>
                <w:rPr>
                  <w:rFonts w:ascii="Cambria Math" w:eastAsia="Calibri" w:hAnsi="Cambria Math"/>
                  <w:sz w:val="24"/>
                  <w:szCs w:val="22"/>
                </w:rPr>
                <m:t>+</m:t>
              </m:r>
              <m:d>
                <m:dPr>
                  <m:ctrlPr>
                    <w:rPr>
                      <w:rFonts w:ascii="Cambria Math" w:eastAsia="Calibri" w:hAnsi="Cambria Math"/>
                      <w:i/>
                      <w:sz w:val="24"/>
                      <w:szCs w:val="22"/>
                    </w:rPr>
                  </m:ctrlPr>
                </m:dPr>
                <m:e>
                  <m:sSub>
                    <m:sSubPr>
                      <m:ctrlPr>
                        <w:rPr>
                          <w:rFonts w:ascii="Cambria Math" w:eastAsia="Calibri" w:hAnsi="Cambria Math"/>
                          <w:i/>
                          <w:sz w:val="24"/>
                          <w:szCs w:val="22"/>
                        </w:rPr>
                      </m:ctrlPr>
                    </m:sSubPr>
                    <m:e>
                      <m:r>
                        <w:rPr>
                          <w:rFonts w:ascii="Cambria Math" w:eastAsia="Calibri" w:hAnsi="Cambria Math"/>
                          <w:sz w:val="24"/>
                          <w:szCs w:val="22"/>
                        </w:rPr>
                        <m:t>S</m:t>
                      </m:r>
                    </m:e>
                    <m:sub>
                      <m:r>
                        <w:rPr>
                          <w:rFonts w:ascii="Cambria Math" w:eastAsia="Calibri" w:hAnsi="Cambria Math"/>
                          <w:sz w:val="24"/>
                          <w:szCs w:val="22"/>
                        </w:rPr>
                        <m:t>Purchased,t</m:t>
                      </m:r>
                    </m:sub>
                  </m:sSub>
                  <m:r>
                    <w:rPr>
                      <w:rFonts w:ascii="Cambria Math" w:eastAsia="Calibri" w:hAnsi="Cambria Math"/>
                      <w:sz w:val="24"/>
                      <w:szCs w:val="22"/>
                    </w:rPr>
                    <m:t>-</m:t>
                  </m:r>
                  <m:sSub>
                    <m:sSubPr>
                      <m:ctrlPr>
                        <w:rPr>
                          <w:rFonts w:ascii="Cambria Math" w:eastAsia="Calibri" w:hAnsi="Cambria Math"/>
                          <w:i/>
                          <w:sz w:val="24"/>
                          <w:szCs w:val="22"/>
                        </w:rPr>
                      </m:ctrlPr>
                    </m:sSubPr>
                    <m:e>
                      <m:r>
                        <w:rPr>
                          <w:rFonts w:ascii="Cambria Math" w:eastAsia="Calibri" w:hAnsi="Cambria Math"/>
                          <w:sz w:val="24"/>
                          <w:szCs w:val="22"/>
                        </w:rPr>
                        <m:t>S</m:t>
                      </m:r>
                    </m:e>
                    <m:sub>
                      <m:r>
                        <w:rPr>
                          <w:rFonts w:ascii="Cambria Math" w:eastAsia="Calibri" w:hAnsi="Cambria Math"/>
                          <w:sz w:val="24"/>
                          <w:szCs w:val="22"/>
                        </w:rPr>
                        <m:t>Sold,t</m:t>
                      </m:r>
                    </m:sub>
                  </m:sSub>
                </m:e>
              </m:d>
              <m:r>
                <w:rPr>
                  <w:rFonts w:ascii="Cambria Math" w:eastAsia="Calibri" w:hAnsi="Cambria Math"/>
                  <w:sz w:val="24"/>
                  <w:szCs w:val="22"/>
                </w:rPr>
                <m:t>*0.06244-</m:t>
              </m:r>
              <m:sSub>
                <m:sSubPr>
                  <m:ctrlPr>
                    <w:rPr>
                      <w:rFonts w:ascii="Cambria Math" w:eastAsia="Calibri" w:hAnsi="Cambria Math"/>
                      <w:i/>
                      <w:sz w:val="24"/>
                      <w:szCs w:val="22"/>
                    </w:rPr>
                  </m:ctrlPr>
                </m:sSubPr>
                <m:e>
                  <m:r>
                    <w:rPr>
                      <w:rFonts w:ascii="Cambria Math" w:eastAsia="Calibri" w:hAnsi="Cambria Math"/>
                      <w:sz w:val="24"/>
                      <w:szCs w:val="22"/>
                    </w:rPr>
                    <m:t>e</m:t>
                  </m:r>
                </m:e>
                <m:sub>
                  <m:r>
                    <w:rPr>
                      <w:rFonts w:ascii="Cambria Math" w:eastAsia="Calibri" w:hAnsi="Cambria Math"/>
                      <w:sz w:val="24"/>
                      <w:szCs w:val="22"/>
                    </w:rPr>
                    <m:t>sold,t</m:t>
                  </m:r>
                </m:sub>
              </m:sSub>
              <m:r>
                <w:rPr>
                  <w:rFonts w:ascii="Cambria Math" w:eastAsia="Calibri" w:hAnsi="Cambria Math"/>
                  <w:sz w:val="24"/>
                  <w:szCs w:val="22"/>
                </w:rPr>
                <m:t>*0.431</m:t>
              </m:r>
            </m:e>
          </m:d>
          <m:r>
            <w:rPr>
              <w:rFonts w:ascii="Cambria Math" w:eastAsia="Calibri" w:hAnsi="Cambria Math"/>
              <w:sz w:val="24"/>
              <w:szCs w:val="22"/>
            </w:rPr>
            <m:t>*A</m:t>
          </m:r>
          <m:sSub>
            <m:sSubPr>
              <m:ctrlPr>
                <w:rPr>
                  <w:rFonts w:ascii="Cambria Math" w:eastAsia="Calibri" w:hAnsi="Cambria Math"/>
                  <w:i/>
                  <w:sz w:val="24"/>
                  <w:szCs w:val="22"/>
                </w:rPr>
              </m:ctrlPr>
            </m:sSubPr>
            <m:e>
              <m:r>
                <w:rPr>
                  <w:rFonts w:ascii="Cambria Math" w:eastAsia="Calibri" w:hAnsi="Cambria Math"/>
                  <w:sz w:val="24"/>
                  <w:szCs w:val="22"/>
                </w:rPr>
                <m:t>F</m:t>
              </m:r>
            </m:e>
            <m:sub>
              <m:r>
                <w:rPr>
                  <w:rFonts w:ascii="Cambria Math" w:eastAsia="Calibri" w:hAnsi="Cambria Math"/>
                  <w:sz w:val="24"/>
                  <w:szCs w:val="22"/>
                </w:rPr>
                <m:t>t</m:t>
              </m:r>
            </m:sub>
          </m:sSub>
          <m:r>
            <w:rPr>
              <w:rFonts w:ascii="Cambria Math" w:eastAsia="Calibri" w:hAnsi="Cambria Math"/>
              <w:sz w:val="24"/>
              <w:szCs w:val="22"/>
            </w:rPr>
            <m:t>*</m:t>
          </m:r>
          <m:sSub>
            <m:sSubPr>
              <m:ctrlPr>
                <w:rPr>
                  <w:rFonts w:ascii="Cambria Math" w:eastAsia="Calibri" w:hAnsi="Cambria Math"/>
                  <w:i/>
                  <w:sz w:val="24"/>
                  <w:szCs w:val="22"/>
                </w:rPr>
              </m:ctrlPr>
            </m:sSubPr>
            <m:e>
              <m:r>
                <w:rPr>
                  <w:rFonts w:ascii="Cambria Math" w:eastAsia="Calibri" w:hAnsi="Cambria Math"/>
                  <w:sz w:val="24"/>
                  <w:szCs w:val="22"/>
                </w:rPr>
                <m:t>c</m:t>
              </m:r>
            </m:e>
            <m:sub>
              <m:r>
                <w:rPr>
                  <w:rFonts w:ascii="Cambria Math" w:eastAsia="Calibri" w:hAnsi="Cambria Math"/>
                  <w:sz w:val="24"/>
                  <w:szCs w:val="22"/>
                </w:rPr>
                <m:t>t</m:t>
              </m:r>
            </m:sub>
          </m:sSub>
          <m:r>
            <w:rPr>
              <w:rFonts w:ascii="Cambria Math" w:eastAsia="Times New Roman" w:hAnsi="Cambria Math"/>
              <w:sz w:val="24"/>
              <w:szCs w:val="22"/>
            </w:rPr>
            <m:t>+</m:t>
          </m:r>
          <m:r>
            <w:rPr>
              <w:rFonts w:ascii="Cambria Math" w:eastAsia="Calibri" w:hAnsi="Cambria Math"/>
              <w:sz w:val="24"/>
              <w:szCs w:val="22"/>
            </w:rPr>
            <m:t>TrueUp</m:t>
          </m:r>
          <m:r>
            <w:rPr>
              <w:rFonts w:ascii="Cambria Math" w:hAnsi="Cambria Math" w:cs="Arial"/>
              <w:sz w:val="24"/>
              <w:szCs w:val="24"/>
              <w:u w:val="single"/>
            </w:rPr>
            <m:t xml:space="preserve"> </m:t>
          </m:r>
        </m:oMath>
      </m:oMathPara>
    </w:p>
    <w:p w14:paraId="2E0E491E"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7517DA83" w14:textId="6687E5D0"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lastRenderedPageBreak/>
        <w:tab/>
      </w:r>
      <w:r w:rsidRPr="00B61FF1">
        <w:rPr>
          <w:rFonts w:ascii="Arial" w:hAnsi="Arial" w:cs="Arial"/>
          <w:sz w:val="24"/>
          <w:szCs w:val="24"/>
          <w:u w:val="single"/>
        </w:rPr>
        <w:t>Where:</w:t>
      </w:r>
    </w:p>
    <w:p w14:paraId="06884E1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F26D2E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“A</w:t>
      </w:r>
      <w:r w:rsidRPr="00B61FF1">
        <w:rPr>
          <w:rFonts w:ascii="Arial" w:hAnsi="Arial" w:cs="Arial"/>
          <w:sz w:val="24"/>
          <w:szCs w:val="24"/>
          <w:u w:val="single"/>
          <w:vertAlign w:val="subscript"/>
        </w:rPr>
        <w:t>t</w:t>
      </w:r>
      <w:r w:rsidRPr="00B61FF1">
        <w:rPr>
          <w:rFonts w:ascii="Arial" w:hAnsi="Arial" w:cs="Arial"/>
          <w:sz w:val="24"/>
          <w:szCs w:val="24"/>
          <w:u w:val="single"/>
        </w:rPr>
        <w:t xml:space="preserve">” is the amount of California GHG Allowances directly allocated to the operator of an industrial facility with an energy-based allocation from budget year “t”; </w:t>
      </w:r>
    </w:p>
    <w:p w14:paraId="7F75660B"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55D89F71"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 xml:space="preserve">“t” is the budget year from which the direct allocation occurs; </w:t>
      </w:r>
    </w:p>
    <w:p w14:paraId="72699E0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58E01C3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“F</w:t>
      </w:r>
      <w:r w:rsidRPr="00B61FF1">
        <w:rPr>
          <w:rFonts w:ascii="Arial" w:hAnsi="Arial" w:cs="Arial"/>
          <w:sz w:val="24"/>
          <w:szCs w:val="24"/>
          <w:u w:val="single"/>
          <w:vertAlign w:val="subscript"/>
        </w:rPr>
        <w:t>t</w:t>
      </w:r>
      <w:r w:rsidRPr="00B61FF1">
        <w:rPr>
          <w:rFonts w:ascii="Arial" w:hAnsi="Arial" w:cs="Arial"/>
          <w:sz w:val="24"/>
          <w:szCs w:val="24"/>
          <w:u w:val="single"/>
        </w:rPr>
        <w:t>” is the annual amount of energy produced due to fuel combustion at a given facility, measured in MMBtus.  The Executive Officer shall calculate this value based on measured higher heating values or the default higher heating value of the applicable fuel in Table C–1 of subpart C, title 40, Code of Federal Regulations, Part 98.  This value shall include any energy from fuel combusted in an onsite electricity generation or cogeneration unit;</w:t>
      </w:r>
    </w:p>
    <w:p w14:paraId="28A6D06F"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296E820"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hAnsi="Arial" w:cs="Arial"/>
          <w:sz w:val="24"/>
          <w:szCs w:val="24"/>
        </w:rPr>
        <w:tab/>
      </w:r>
      <w:r w:rsidRPr="00B61FF1">
        <w:rPr>
          <w:rFonts w:ascii="Arial" w:eastAsia="Calibri" w:hAnsi="Arial" w:cs="Arial"/>
          <w:sz w:val="24"/>
          <w:szCs w:val="24"/>
          <w:u w:val="single"/>
        </w:rPr>
        <w:t>“S</w:t>
      </w:r>
      <w:r w:rsidRPr="00B61FF1">
        <w:rPr>
          <w:rFonts w:ascii="Arial" w:eastAsia="Calibri" w:hAnsi="Arial" w:cs="Arial"/>
          <w:sz w:val="24"/>
          <w:szCs w:val="24"/>
          <w:u w:val="single"/>
          <w:vertAlign w:val="subscript"/>
        </w:rPr>
        <w:t>Purchased,t</w:t>
      </w:r>
      <w:r w:rsidRPr="00B61FF1">
        <w:rPr>
          <w:rFonts w:ascii="Arial" w:eastAsia="Calibri" w:hAnsi="Arial" w:cs="Arial"/>
          <w:sz w:val="24"/>
          <w:szCs w:val="24"/>
          <w:u w:val="single"/>
        </w:rPr>
        <w:t xml:space="preserve">” is the annual amount of steam purchased for year “t” by the facility in MMBtu </w:t>
      </w:r>
      <w:r w:rsidRPr="00B61FF1">
        <w:rPr>
          <w:rFonts w:ascii="Arial" w:hAnsi="Arial" w:cs="Arial"/>
          <w:sz w:val="24"/>
          <w:szCs w:val="24"/>
          <w:u w:val="single"/>
        </w:rPr>
        <w:t>as reported to ARB under  MRR</w:t>
      </w:r>
      <w:r w:rsidRPr="00B61FF1">
        <w:rPr>
          <w:rFonts w:ascii="Arial" w:eastAsia="Calibri" w:hAnsi="Arial" w:cs="Arial"/>
          <w:sz w:val="24"/>
          <w:szCs w:val="24"/>
          <w:u w:val="single"/>
        </w:rPr>
        <w:t>;</w:t>
      </w:r>
    </w:p>
    <w:p w14:paraId="1253D723" w14:textId="77777777" w:rsidR="00B449FE" w:rsidRPr="00B61FF1" w:rsidRDefault="00B449FE" w:rsidP="00B449FE">
      <w:pPr>
        <w:autoSpaceDE/>
        <w:autoSpaceDN/>
        <w:adjustRightInd/>
        <w:spacing w:line="360" w:lineRule="auto"/>
        <w:ind w:left="1080"/>
        <w:rPr>
          <w:rFonts w:ascii="Arial" w:eastAsia="Calibri" w:hAnsi="Arial" w:cs="Arial"/>
          <w:sz w:val="24"/>
          <w:szCs w:val="24"/>
        </w:rPr>
      </w:pPr>
    </w:p>
    <w:p w14:paraId="35712671"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rPr>
        <w:tab/>
      </w:r>
      <w:r w:rsidRPr="00B61FF1">
        <w:rPr>
          <w:rFonts w:ascii="Arial" w:eastAsia="Calibri" w:hAnsi="Arial" w:cs="Arial"/>
          <w:sz w:val="24"/>
          <w:szCs w:val="24"/>
          <w:u w:val="single"/>
        </w:rPr>
        <w:t>“S</w:t>
      </w:r>
      <w:r w:rsidRPr="00B61FF1">
        <w:rPr>
          <w:rFonts w:ascii="Arial" w:eastAsia="Calibri" w:hAnsi="Arial" w:cs="Arial"/>
          <w:sz w:val="24"/>
          <w:szCs w:val="24"/>
          <w:u w:val="single"/>
          <w:vertAlign w:val="subscript"/>
        </w:rPr>
        <w:t>Sold,t</w:t>
      </w:r>
      <w:r w:rsidRPr="00B61FF1">
        <w:rPr>
          <w:rFonts w:ascii="Arial" w:eastAsia="Calibri" w:hAnsi="Arial" w:cs="Arial"/>
          <w:sz w:val="24"/>
          <w:szCs w:val="24"/>
          <w:u w:val="single"/>
        </w:rPr>
        <w:t xml:space="preserve">” is the annual amount of steam provided or sold for year “t” from the facility in MMBtu </w:t>
      </w:r>
      <w:r w:rsidRPr="00B61FF1">
        <w:rPr>
          <w:rFonts w:ascii="Arial" w:hAnsi="Arial" w:cs="Arial"/>
          <w:sz w:val="24"/>
          <w:szCs w:val="24"/>
          <w:u w:val="single"/>
        </w:rPr>
        <w:t>as reported to ARB under  MRR</w:t>
      </w:r>
      <w:r w:rsidRPr="00B61FF1">
        <w:rPr>
          <w:rFonts w:ascii="Arial" w:eastAsia="Calibri" w:hAnsi="Arial" w:cs="Arial"/>
          <w:sz w:val="24"/>
          <w:szCs w:val="24"/>
          <w:u w:val="single"/>
        </w:rPr>
        <w:t>;</w:t>
      </w:r>
    </w:p>
    <w:p w14:paraId="50DC96E4" w14:textId="77777777" w:rsidR="00B449FE" w:rsidRPr="00B61FF1" w:rsidRDefault="00B449FE" w:rsidP="00B449FE">
      <w:pPr>
        <w:autoSpaceDE/>
        <w:autoSpaceDN/>
        <w:adjustRightInd/>
        <w:spacing w:line="360" w:lineRule="auto"/>
        <w:ind w:left="1080"/>
        <w:rPr>
          <w:rFonts w:ascii="Arial" w:eastAsia="Calibri" w:hAnsi="Arial" w:cs="Arial"/>
          <w:sz w:val="24"/>
          <w:szCs w:val="24"/>
        </w:rPr>
      </w:pPr>
    </w:p>
    <w:p w14:paraId="39957A80"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rPr>
        <w:tab/>
      </w:r>
      <w:r w:rsidRPr="00B61FF1">
        <w:rPr>
          <w:rFonts w:ascii="Arial" w:eastAsia="Calibri" w:hAnsi="Arial" w:cs="Arial"/>
          <w:sz w:val="24"/>
          <w:szCs w:val="24"/>
          <w:u w:val="single"/>
        </w:rPr>
        <w:t>“e</w:t>
      </w:r>
      <w:r w:rsidRPr="00B61FF1">
        <w:rPr>
          <w:rFonts w:ascii="Arial" w:eastAsia="Calibri" w:hAnsi="Arial" w:cs="Arial"/>
          <w:sz w:val="24"/>
          <w:szCs w:val="24"/>
          <w:u w:val="single"/>
          <w:vertAlign w:val="subscript"/>
        </w:rPr>
        <w:t>Sold,t</w:t>
      </w:r>
      <w:r w:rsidRPr="00B61FF1">
        <w:rPr>
          <w:rFonts w:ascii="Arial" w:eastAsia="Calibri" w:hAnsi="Arial" w:cs="Arial"/>
          <w:sz w:val="24"/>
          <w:szCs w:val="24"/>
          <w:u w:val="single"/>
        </w:rPr>
        <w:t xml:space="preserve">” is the annual amount of electricity sold for year “t” from the facility in MWh </w:t>
      </w:r>
      <w:r w:rsidRPr="00B61FF1">
        <w:rPr>
          <w:rFonts w:ascii="Arial" w:hAnsi="Arial" w:cs="Arial"/>
          <w:sz w:val="24"/>
          <w:szCs w:val="24"/>
          <w:u w:val="single"/>
        </w:rPr>
        <w:t>as reported to ARB under  MRR</w:t>
      </w:r>
      <w:r w:rsidRPr="00B61FF1">
        <w:rPr>
          <w:rFonts w:ascii="Arial" w:eastAsia="Calibri" w:hAnsi="Arial" w:cs="Arial"/>
          <w:sz w:val="24"/>
          <w:szCs w:val="24"/>
          <w:u w:val="single"/>
        </w:rPr>
        <w:t xml:space="preserve">;  </w:t>
      </w:r>
    </w:p>
    <w:p w14:paraId="368959E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4E4A4E0D"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 xml:space="preserve"> “AF</w:t>
      </w:r>
      <w:r w:rsidRPr="00B61FF1">
        <w:rPr>
          <w:rFonts w:ascii="Arial" w:hAnsi="Arial" w:cs="Arial"/>
          <w:sz w:val="24"/>
          <w:szCs w:val="24"/>
          <w:u w:val="single"/>
          <w:vertAlign w:val="subscript"/>
        </w:rPr>
        <w:t xml:space="preserve"> t</w:t>
      </w:r>
      <w:r w:rsidRPr="00B61FF1">
        <w:rPr>
          <w:rFonts w:ascii="Arial" w:hAnsi="Arial" w:cs="Arial"/>
          <w:sz w:val="24"/>
          <w:szCs w:val="24"/>
          <w:u w:val="single"/>
        </w:rPr>
        <w:t xml:space="preserve">”  is the assistance factor for budget year “t” assigned to the facility activity as specified in Table 8-1;  </w:t>
      </w:r>
    </w:p>
    <w:p w14:paraId="13A13AD7"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B5B1616"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lastRenderedPageBreak/>
        <w:tab/>
      </w:r>
      <w:r w:rsidRPr="00B61FF1">
        <w:rPr>
          <w:rFonts w:ascii="Arial" w:hAnsi="Arial" w:cs="Arial"/>
          <w:sz w:val="24"/>
          <w:szCs w:val="24"/>
          <w:u w:val="single"/>
        </w:rPr>
        <w:t>“c</w:t>
      </w:r>
      <w:r w:rsidRPr="00B61FF1">
        <w:rPr>
          <w:rFonts w:ascii="Arial" w:hAnsi="Arial" w:cs="Arial"/>
          <w:sz w:val="24"/>
          <w:szCs w:val="24"/>
          <w:u w:val="single"/>
          <w:vertAlign w:val="subscript"/>
        </w:rPr>
        <w:t>t</w:t>
      </w:r>
      <w:r w:rsidRPr="00B61FF1">
        <w:rPr>
          <w:rFonts w:ascii="Arial" w:hAnsi="Arial" w:cs="Arial"/>
          <w:sz w:val="24"/>
          <w:szCs w:val="24"/>
          <w:u w:val="single"/>
        </w:rPr>
        <w:t>”  is the adjustment factor for budget year “t” assigned to the facility activity to account for cap decline as specified in Table 9-2; and</w:t>
      </w:r>
    </w:p>
    <w:p w14:paraId="606B0482"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25BE124" w14:textId="79B2AED1" w:rsidR="00130E24"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 xml:space="preserve">“trueup” is the amount of true-up allowances allocated to account for changes in production or allocation not properly accounted for in prior allocations. This value of allowances for budget year “t” shall be allowed to be used for budget year “t-2” pursuant to section </w:t>
      </w:r>
      <w:r w:rsidR="00130E24" w:rsidRPr="00B61FF1">
        <w:rPr>
          <w:rFonts w:ascii="Arial" w:hAnsi="Arial" w:cs="Arial"/>
          <w:sz w:val="24"/>
          <w:szCs w:val="24"/>
          <w:u w:val="single"/>
        </w:rPr>
        <w:t>95856(h)(1)(C) and 95856(h)(2)(C)</w:t>
      </w:r>
      <w:r w:rsidRPr="00B61FF1">
        <w:rPr>
          <w:rFonts w:ascii="Arial" w:hAnsi="Arial" w:cs="Arial"/>
          <w:sz w:val="24"/>
          <w:szCs w:val="24"/>
          <w:u w:val="single"/>
        </w:rPr>
        <w:t>.  This value is calculated using the following formula:</w:t>
      </w:r>
    </w:p>
    <w:p w14:paraId="795A09D0"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E376202" w14:textId="77777777" w:rsidR="00B449FE" w:rsidRPr="00B61FF1" w:rsidRDefault="00B449FE" w:rsidP="00B449FE">
      <w:pPr>
        <w:autoSpaceDE/>
        <w:autoSpaceDN/>
        <w:adjustRightInd/>
        <w:spacing w:line="360" w:lineRule="auto"/>
        <w:ind w:left="1800" w:hanging="720"/>
        <w:rPr>
          <w:rFonts w:ascii="Arial" w:hAnsi="Arial" w:cs="Arial"/>
          <w:sz w:val="24"/>
          <w:szCs w:val="22"/>
        </w:rPr>
      </w:pPr>
      <m:oMathPara>
        <m:oMath>
          <m:r>
            <w:rPr>
              <w:rFonts w:ascii="Cambria Math" w:hAnsi="Cambria Math" w:cs="Arial"/>
              <w:sz w:val="24"/>
              <w:szCs w:val="24"/>
              <w:u w:val="single"/>
            </w:rPr>
            <m:t xml:space="preserve">TrueUp= </m:t>
          </m:r>
          <m:sSub>
            <m:sSubPr>
              <m:ctrlPr>
                <w:rPr>
                  <w:rFonts w:ascii="Cambria Math" w:eastAsia="Calibri" w:hAnsi="Cambria Math"/>
                  <w:i/>
                  <w:sz w:val="24"/>
                  <w:szCs w:val="22"/>
                </w:rPr>
              </m:ctrlPr>
            </m:sSubPr>
            <m:e>
              <m:r>
                <w:rPr>
                  <w:rFonts w:ascii="Cambria Math" w:eastAsia="Calibri" w:hAnsi="Cambria Math"/>
                  <w:sz w:val="24"/>
                  <w:szCs w:val="22"/>
                </w:rPr>
                <m:t>(B</m:t>
              </m:r>
              <m:sSub>
                <m:sSubPr>
                  <m:ctrlPr>
                    <w:rPr>
                      <w:rFonts w:ascii="Cambria Math" w:eastAsia="Calibri" w:hAnsi="Cambria Math"/>
                      <w:i/>
                      <w:sz w:val="24"/>
                      <w:szCs w:val="22"/>
                    </w:rPr>
                  </m:ctrlPr>
                </m:sSubPr>
                <m:e>
                  <m:r>
                    <w:rPr>
                      <w:rFonts w:ascii="Cambria Math" w:eastAsia="Calibri" w:hAnsi="Cambria Math"/>
                      <w:sz w:val="24"/>
                      <w:szCs w:val="22"/>
                    </w:rPr>
                    <m:t>E</m:t>
                  </m:r>
                </m:e>
                <m:sub>
                  <m:r>
                    <w:rPr>
                      <w:rFonts w:ascii="Cambria Math" w:eastAsia="Calibri" w:hAnsi="Cambria Math"/>
                      <w:sz w:val="24"/>
                      <w:szCs w:val="22"/>
                    </w:rPr>
                    <m:t>t-2</m:t>
                  </m:r>
                </m:sub>
              </m:sSub>
              <m:r>
                <w:rPr>
                  <w:rFonts w:ascii="Cambria Math" w:eastAsia="Calibri" w:hAnsi="Cambria Math"/>
                  <w:sz w:val="24"/>
                  <w:szCs w:val="22"/>
                </w:rPr>
                <m:t>*A</m:t>
              </m:r>
              <m:sSub>
                <m:sSubPr>
                  <m:ctrlPr>
                    <w:rPr>
                      <w:rFonts w:ascii="Cambria Math" w:eastAsia="Calibri" w:hAnsi="Cambria Math"/>
                      <w:i/>
                      <w:sz w:val="24"/>
                      <w:szCs w:val="22"/>
                    </w:rPr>
                  </m:ctrlPr>
                </m:sSubPr>
                <m:e>
                  <m:r>
                    <w:rPr>
                      <w:rFonts w:ascii="Cambria Math" w:eastAsia="Calibri" w:hAnsi="Cambria Math"/>
                      <w:sz w:val="24"/>
                      <w:szCs w:val="22"/>
                    </w:rPr>
                    <m:t>F</m:t>
                  </m:r>
                </m:e>
                <m:sub>
                  <m:r>
                    <w:rPr>
                      <w:rFonts w:ascii="Cambria Math" w:eastAsia="Calibri" w:hAnsi="Cambria Math"/>
                      <w:sz w:val="24"/>
                      <w:szCs w:val="22"/>
                    </w:rPr>
                    <m:t>t-2</m:t>
                  </m:r>
                </m:sub>
              </m:sSub>
              <m:r>
                <w:rPr>
                  <w:rFonts w:ascii="Cambria Math" w:eastAsia="Calibri" w:hAnsi="Cambria Math"/>
                  <w:sz w:val="24"/>
                  <w:szCs w:val="22"/>
                </w:rPr>
                <m:t>*</m:t>
              </m:r>
              <m:sSub>
                <m:sSubPr>
                  <m:ctrlPr>
                    <w:rPr>
                      <w:rFonts w:ascii="Cambria Math" w:eastAsia="Calibri" w:hAnsi="Cambria Math"/>
                      <w:i/>
                      <w:sz w:val="24"/>
                      <w:szCs w:val="22"/>
                    </w:rPr>
                  </m:ctrlPr>
                </m:sSubPr>
                <m:e>
                  <m:r>
                    <w:rPr>
                      <w:rFonts w:ascii="Cambria Math" w:eastAsia="Calibri" w:hAnsi="Cambria Math"/>
                      <w:sz w:val="24"/>
                      <w:szCs w:val="22"/>
                    </w:rPr>
                    <m:t>c</m:t>
                  </m:r>
                </m:e>
                <m:sub>
                  <m:r>
                    <w:rPr>
                      <w:rFonts w:ascii="Cambria Math" w:eastAsia="Calibri" w:hAnsi="Cambria Math"/>
                      <w:sz w:val="24"/>
                      <w:szCs w:val="22"/>
                    </w:rPr>
                    <m:t>t-2</m:t>
                  </m:r>
                </m:sub>
              </m:sSub>
              <m:r>
                <w:rPr>
                  <w:rFonts w:ascii="Cambria Math" w:eastAsia="Calibri" w:hAnsi="Cambria Math"/>
                  <w:sz w:val="24"/>
                  <w:szCs w:val="22"/>
                </w:rPr>
                <m:t>-A</m:t>
              </m:r>
            </m:e>
            <m:sub>
              <m:r>
                <w:rPr>
                  <w:rFonts w:ascii="Cambria Math" w:eastAsia="Calibri" w:hAnsi="Cambria Math"/>
                  <w:sz w:val="24"/>
                  <w:szCs w:val="22"/>
                </w:rPr>
                <m:t>t-2</m:t>
              </m:r>
            </m:sub>
          </m:sSub>
          <m:r>
            <w:rPr>
              <w:rFonts w:ascii="Cambria Math" w:eastAsia="Calibri" w:hAnsi="Cambria Math"/>
              <w:sz w:val="24"/>
              <w:szCs w:val="22"/>
            </w:rPr>
            <m:t>)</m:t>
          </m:r>
        </m:oMath>
      </m:oMathPara>
    </w:p>
    <w:p w14:paraId="7DB79A59"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7A94E4F" w14:textId="36283639" w:rsidR="00B449FE" w:rsidRPr="00B61FF1" w:rsidRDefault="00B449FE" w:rsidP="00B449FE">
      <w:pPr>
        <w:tabs>
          <w:tab w:val="left" w:pos="-1710"/>
        </w:tabs>
        <w:autoSpaceDE/>
        <w:autoSpaceDN/>
        <w:adjustRightInd/>
        <w:spacing w:after="200" w:line="360" w:lineRule="auto"/>
        <w:ind w:left="1800" w:hanging="720"/>
        <w:rPr>
          <w:rFonts w:ascii="Arial" w:hAnsi="Arial" w:cs="Arial"/>
          <w:bCs/>
          <w:iCs/>
          <w:sz w:val="24"/>
          <w:szCs w:val="24"/>
        </w:rPr>
      </w:pPr>
      <w:r w:rsidRPr="00B61FF1">
        <w:rPr>
          <w:rFonts w:ascii="Arial" w:hAnsi="Arial" w:cs="Arial"/>
          <w:bCs/>
          <w:iCs/>
          <w:sz w:val="24"/>
          <w:szCs w:val="24"/>
        </w:rPr>
        <w:tab/>
        <w:t>Where:</w:t>
      </w:r>
    </w:p>
    <w:p w14:paraId="052DD77D"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“A</w:t>
      </w:r>
      <w:r w:rsidRPr="00B61FF1">
        <w:rPr>
          <w:rFonts w:ascii="Arial" w:hAnsi="Arial" w:cs="Arial"/>
          <w:sz w:val="24"/>
          <w:szCs w:val="24"/>
          <w:u w:val="single"/>
          <w:vertAlign w:val="subscript"/>
        </w:rPr>
        <w:t>t-2</w:t>
      </w:r>
      <w:r w:rsidRPr="00B61FF1">
        <w:rPr>
          <w:rFonts w:ascii="Arial" w:hAnsi="Arial" w:cs="Arial"/>
          <w:sz w:val="24"/>
          <w:szCs w:val="24"/>
          <w:u w:val="single"/>
        </w:rPr>
        <w:t xml:space="preserve">” is the amount of California GHG Allowances directly allocated to the operator of an industrial facility with an energy-based allocation from budget year “t-2”; </w:t>
      </w:r>
    </w:p>
    <w:p w14:paraId="4AB07F0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7005CDE3"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t>
      </w:r>
      <w:r w:rsidRPr="00B61FF1">
        <w:rPr>
          <w:rFonts w:ascii="Arial" w:eastAsia="Calibri" w:hAnsi="Arial" w:cs="Arial"/>
          <w:sz w:val="24"/>
          <w:szCs w:val="24"/>
          <w:u w:val="single"/>
        </w:rPr>
        <w:t>t-2” is the year two years prior to year “t”</w:t>
      </w:r>
      <w:r w:rsidRPr="00B61FF1">
        <w:rPr>
          <w:rFonts w:ascii="Arial" w:hAnsi="Arial" w:cs="Arial"/>
          <w:sz w:val="24"/>
          <w:szCs w:val="24"/>
          <w:u w:val="single"/>
        </w:rPr>
        <w:t xml:space="preserve">; </w:t>
      </w:r>
    </w:p>
    <w:p w14:paraId="29B86CF6"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338D7A2"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“AF</w:t>
      </w:r>
      <w:r w:rsidRPr="00B61FF1">
        <w:rPr>
          <w:rFonts w:ascii="Arial" w:hAnsi="Arial" w:cs="Arial"/>
          <w:sz w:val="24"/>
          <w:szCs w:val="24"/>
          <w:u w:val="single"/>
          <w:vertAlign w:val="subscript"/>
        </w:rPr>
        <w:t>t-2</w:t>
      </w:r>
      <w:r w:rsidRPr="00B61FF1">
        <w:rPr>
          <w:rFonts w:ascii="Arial" w:hAnsi="Arial" w:cs="Arial"/>
          <w:sz w:val="24"/>
          <w:szCs w:val="24"/>
          <w:u w:val="single"/>
        </w:rPr>
        <w:t xml:space="preserve">”  is the assistance factor for budget year “t-2” assigned to the facility activity as specified in Table 8-1; </w:t>
      </w:r>
    </w:p>
    <w:p w14:paraId="56B5398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16C6ABA"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“c</w:t>
      </w:r>
      <w:r w:rsidRPr="00B61FF1">
        <w:rPr>
          <w:rFonts w:ascii="Arial" w:hAnsi="Arial" w:cs="Arial"/>
          <w:sz w:val="24"/>
          <w:szCs w:val="24"/>
          <w:u w:val="single"/>
          <w:vertAlign w:val="subscript"/>
        </w:rPr>
        <w:t>t-2</w:t>
      </w:r>
      <w:r w:rsidRPr="00B61FF1">
        <w:rPr>
          <w:rFonts w:ascii="Arial" w:hAnsi="Arial" w:cs="Arial"/>
          <w:sz w:val="24"/>
          <w:szCs w:val="24"/>
          <w:u w:val="single"/>
        </w:rPr>
        <w:t>”  is the adjustment factor for budget year “t-2” assigned to the facility activity to account for cap decline as specified in Table 9-2;</w:t>
      </w:r>
    </w:p>
    <w:p w14:paraId="37471905" w14:textId="77777777" w:rsidR="00B449FE" w:rsidRPr="00B61FF1" w:rsidRDefault="00B449FE" w:rsidP="00B449FE">
      <w:pPr>
        <w:tabs>
          <w:tab w:val="left" w:pos="-1710"/>
        </w:tabs>
        <w:autoSpaceDE/>
        <w:autoSpaceDN/>
        <w:adjustRightInd/>
        <w:spacing w:after="200" w:line="360" w:lineRule="auto"/>
        <w:ind w:left="1800" w:hanging="720"/>
        <w:rPr>
          <w:rFonts w:ascii="Arial" w:hAnsi="Arial" w:cs="Arial"/>
          <w:bCs/>
          <w:iCs/>
          <w:sz w:val="24"/>
          <w:szCs w:val="24"/>
        </w:rPr>
      </w:pPr>
    </w:p>
    <w:p w14:paraId="3D97982E"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“BE</w:t>
      </w:r>
      <w:r w:rsidRPr="00B61FF1">
        <w:rPr>
          <w:rFonts w:ascii="Arial" w:hAnsi="Arial" w:cs="Arial"/>
          <w:sz w:val="24"/>
          <w:szCs w:val="24"/>
          <w:u w:val="single"/>
          <w:vertAlign w:val="subscript"/>
        </w:rPr>
        <w:t>t-2</w:t>
      </w:r>
      <w:r w:rsidRPr="00B61FF1">
        <w:rPr>
          <w:rFonts w:ascii="Arial" w:hAnsi="Arial" w:cs="Arial"/>
          <w:sz w:val="24"/>
          <w:szCs w:val="24"/>
          <w:u w:val="single"/>
        </w:rPr>
        <w:t>” is the baseline annual greenhouse gas emissions for year “t-2” adjusted for steam purchases and sales and electricity sales using the following equation:</w:t>
      </w:r>
    </w:p>
    <w:p w14:paraId="7BB5E6F6"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C6A6BCC" w14:textId="0331DD18" w:rsidR="00B449FE" w:rsidRPr="00B61FF1" w:rsidRDefault="00B449FE" w:rsidP="00B449FE">
      <w:pPr>
        <w:autoSpaceDE/>
        <w:autoSpaceDN/>
        <w:adjustRightInd/>
        <w:spacing w:line="360" w:lineRule="auto"/>
        <w:rPr>
          <w:rFonts w:ascii="Arial" w:hAnsi="Arial" w:cs="Arial"/>
          <w:sz w:val="24"/>
          <w:szCs w:val="24"/>
          <w:u w:val="single"/>
        </w:rPr>
      </w:pPr>
      <m:oMathPara>
        <m:oMathParaPr>
          <m:jc m:val="center"/>
        </m:oMathParaPr>
        <m:oMath>
          <m:r>
            <w:rPr>
              <w:rFonts w:ascii="Cambria Math" w:eastAsia="Times New Roman" w:hAnsi="Cambria Math"/>
              <w:sz w:val="24"/>
              <w:szCs w:val="22"/>
              <w:u w:val="single"/>
            </w:rPr>
            <m:t>B</m:t>
          </m:r>
          <m:sSub>
            <m:sSubPr>
              <m:ctrlPr>
                <w:rPr>
                  <w:rFonts w:ascii="Cambria Math" w:eastAsia="Times New Roman" w:hAnsi="Cambria Math"/>
                  <w:i/>
                  <w:sz w:val="24"/>
                  <w:szCs w:val="22"/>
                  <w:u w:val="single"/>
                </w:rPr>
              </m:ctrlPr>
            </m:sSubPr>
            <m:e>
              <m:r>
                <w:rPr>
                  <w:rFonts w:ascii="Cambria Math" w:eastAsia="Times New Roman" w:hAnsi="Cambria Math"/>
                  <w:sz w:val="24"/>
                  <w:szCs w:val="22"/>
                  <w:u w:val="single"/>
                </w:rPr>
                <m:t>E</m:t>
              </m:r>
            </m:e>
            <m:sub>
              <m:r>
                <w:rPr>
                  <w:rFonts w:ascii="Cambria Math" w:eastAsia="Times New Roman" w:hAnsi="Cambria Math"/>
                  <w:sz w:val="24"/>
                  <w:szCs w:val="22"/>
                  <w:u w:val="single"/>
                </w:rPr>
                <m:t>t-2</m:t>
              </m:r>
            </m:sub>
          </m:sSub>
          <m:r>
            <w:rPr>
              <w:rFonts w:ascii="Cambria Math" w:eastAsia="Times New Roman" w:hAnsi="Cambria Math"/>
              <w:sz w:val="24"/>
              <w:szCs w:val="22"/>
              <w:u w:val="single"/>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t-2</m:t>
              </m:r>
            </m:sub>
          </m:sSub>
          <m:r>
            <w:rPr>
              <w:rFonts w:ascii="Cambria Math" w:hAnsi="Cambria Math" w:cs="Arial"/>
              <w:sz w:val="24"/>
              <w:szCs w:val="24"/>
            </w:rPr>
            <m:t>*0.05307</m:t>
          </m:r>
          <m:r>
            <w:rPr>
              <w:rFonts w:ascii="Cambria Math" w:eastAsia="Calibri" w:hAnsi="Cambria Math"/>
              <w:sz w:val="24"/>
              <w:szCs w:val="22"/>
              <w:u w:val="single"/>
            </w:rPr>
            <m:t>+</m:t>
          </m:r>
          <m:d>
            <m:dPr>
              <m:ctrlPr>
                <w:rPr>
                  <w:rFonts w:ascii="Cambria Math" w:eastAsia="Calibri" w:hAnsi="Cambria Math"/>
                  <w:i/>
                  <w:sz w:val="24"/>
                  <w:szCs w:val="22"/>
                  <w:u w:val="single"/>
                </w:rPr>
              </m:ctrlPr>
            </m:dPr>
            <m:e>
              <m:sSub>
                <m:sSubPr>
                  <m:ctrlPr>
                    <w:rPr>
                      <w:rFonts w:ascii="Cambria Math" w:eastAsia="Calibri" w:hAnsi="Cambria Math"/>
                      <w:i/>
                      <w:sz w:val="24"/>
                      <w:szCs w:val="22"/>
                      <w:u w:val="single"/>
                    </w:rPr>
                  </m:ctrlPr>
                </m:sSubPr>
                <m:e>
                  <m:r>
                    <w:rPr>
                      <w:rFonts w:ascii="Cambria Math" w:eastAsia="Calibri" w:hAnsi="Cambria Math"/>
                      <w:sz w:val="24"/>
                      <w:szCs w:val="22"/>
                      <w:u w:val="single"/>
                    </w:rPr>
                    <m:t>S</m:t>
                  </m:r>
                </m:e>
                <m:sub>
                  <m:r>
                    <w:rPr>
                      <w:rFonts w:ascii="Cambria Math" w:eastAsia="Calibri" w:hAnsi="Cambria Math"/>
                      <w:sz w:val="24"/>
                      <w:szCs w:val="22"/>
                      <w:u w:val="single"/>
                    </w:rPr>
                    <m:t>Purchased,t-2</m:t>
                  </m:r>
                </m:sub>
              </m:sSub>
              <m:r>
                <w:rPr>
                  <w:rFonts w:ascii="Cambria Math" w:eastAsia="Calibri" w:hAnsi="Cambria Math"/>
                  <w:sz w:val="24"/>
                  <w:szCs w:val="22"/>
                  <w:u w:val="single"/>
                </w:rPr>
                <m:t>-</m:t>
              </m:r>
              <m:sSub>
                <m:sSubPr>
                  <m:ctrlPr>
                    <w:rPr>
                      <w:rFonts w:ascii="Cambria Math" w:eastAsia="Calibri" w:hAnsi="Cambria Math"/>
                      <w:i/>
                      <w:sz w:val="24"/>
                      <w:szCs w:val="22"/>
                      <w:u w:val="single"/>
                    </w:rPr>
                  </m:ctrlPr>
                </m:sSubPr>
                <m:e>
                  <m:r>
                    <w:rPr>
                      <w:rFonts w:ascii="Cambria Math" w:eastAsia="Calibri" w:hAnsi="Cambria Math"/>
                      <w:sz w:val="24"/>
                      <w:szCs w:val="22"/>
                      <w:u w:val="single"/>
                    </w:rPr>
                    <m:t>S</m:t>
                  </m:r>
                </m:e>
                <m:sub>
                  <m:r>
                    <w:rPr>
                      <w:rFonts w:ascii="Cambria Math" w:eastAsia="Calibri" w:hAnsi="Cambria Math"/>
                      <w:sz w:val="24"/>
                      <w:szCs w:val="22"/>
                      <w:u w:val="single"/>
                    </w:rPr>
                    <m:t>Sold,t-2</m:t>
                  </m:r>
                </m:sub>
              </m:sSub>
            </m:e>
          </m:d>
          <m:r>
            <w:rPr>
              <w:rFonts w:ascii="Cambria Math" w:eastAsia="Calibri" w:hAnsi="Cambria Math"/>
              <w:sz w:val="24"/>
              <w:szCs w:val="22"/>
              <w:u w:val="single"/>
            </w:rPr>
            <m:t>*0.06244-</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sold,t-2</m:t>
              </m:r>
            </m:sub>
          </m:sSub>
          <m:r>
            <w:rPr>
              <w:rFonts w:ascii="Cambria Math" w:eastAsia="Calibri" w:hAnsi="Cambria Math"/>
              <w:sz w:val="24"/>
              <w:szCs w:val="22"/>
              <w:u w:val="single"/>
            </w:rPr>
            <m:t>*0.431</m:t>
          </m:r>
        </m:oMath>
      </m:oMathPara>
    </w:p>
    <w:p w14:paraId="69B63152"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D8F0A2F" w14:textId="3FB50432"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Where:</w:t>
      </w:r>
    </w:p>
    <w:p w14:paraId="1E6EC3B0"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4386560F" w14:textId="5DE1DB38"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“F</w:t>
      </w:r>
      <w:r w:rsidRPr="00B61FF1">
        <w:rPr>
          <w:rFonts w:ascii="Arial" w:hAnsi="Arial" w:cs="Arial"/>
          <w:sz w:val="24"/>
          <w:szCs w:val="24"/>
          <w:u w:val="single"/>
          <w:vertAlign w:val="subscript"/>
        </w:rPr>
        <w:t>t</w:t>
      </w:r>
      <w:r w:rsidRPr="00B61FF1">
        <w:rPr>
          <w:rFonts w:ascii="Arial" w:hAnsi="Arial" w:cs="Arial"/>
          <w:sz w:val="24"/>
          <w:szCs w:val="24"/>
          <w:u w:val="single"/>
        </w:rPr>
        <w:t>” is the annual amount of energy produced due to fuel combustion at a given facility, measured in MMBtus.  The Executive Officer shall calculate this value based on measured higher heating values or the default higher heating value of the applicable fuel in Table C–1 of subpart C, title 40, Code of Federal Regulations, Part 98.  This value shall include any energy from fuel combusted in an onsite electricity generation or cogeneration unit;</w:t>
      </w:r>
    </w:p>
    <w:p w14:paraId="13A06501"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B4F8BE4"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 xml:space="preserve"> </w:t>
      </w:r>
      <w:r w:rsidRPr="00B61FF1">
        <w:rPr>
          <w:rFonts w:ascii="Arial" w:eastAsia="Calibri" w:hAnsi="Arial" w:cs="Arial"/>
          <w:sz w:val="24"/>
          <w:szCs w:val="24"/>
          <w:u w:val="single"/>
        </w:rPr>
        <w:t>“S</w:t>
      </w:r>
      <w:r w:rsidRPr="00B61FF1">
        <w:rPr>
          <w:rFonts w:ascii="Arial" w:eastAsia="Calibri" w:hAnsi="Arial" w:cs="Arial"/>
          <w:sz w:val="24"/>
          <w:szCs w:val="24"/>
          <w:u w:val="single"/>
          <w:vertAlign w:val="subscript"/>
        </w:rPr>
        <w:t>Purchased,t-2</w:t>
      </w:r>
      <w:r w:rsidRPr="00B61FF1">
        <w:rPr>
          <w:rFonts w:ascii="Arial" w:eastAsia="Calibri" w:hAnsi="Arial" w:cs="Arial"/>
          <w:sz w:val="24"/>
          <w:szCs w:val="24"/>
          <w:u w:val="single"/>
        </w:rPr>
        <w:t>” is the annual amount of steam purchased for year “t-2” by the facility in MMBtu;</w:t>
      </w:r>
    </w:p>
    <w:p w14:paraId="05B669F8" w14:textId="77777777" w:rsidR="00B449FE" w:rsidRPr="00B61FF1" w:rsidRDefault="00B449FE" w:rsidP="00B449FE">
      <w:pPr>
        <w:autoSpaceDE/>
        <w:autoSpaceDN/>
        <w:adjustRightInd/>
        <w:spacing w:line="360" w:lineRule="auto"/>
        <w:ind w:left="1080"/>
        <w:rPr>
          <w:rFonts w:ascii="Arial" w:eastAsia="Calibri" w:hAnsi="Arial" w:cs="Arial"/>
          <w:sz w:val="24"/>
          <w:szCs w:val="24"/>
        </w:rPr>
      </w:pPr>
    </w:p>
    <w:p w14:paraId="420C1527"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rPr>
        <w:tab/>
      </w:r>
      <w:r w:rsidRPr="00B61FF1">
        <w:rPr>
          <w:rFonts w:ascii="Arial" w:eastAsia="Calibri" w:hAnsi="Arial" w:cs="Arial"/>
          <w:sz w:val="24"/>
          <w:szCs w:val="24"/>
          <w:u w:val="single"/>
        </w:rPr>
        <w:t>“S</w:t>
      </w:r>
      <w:r w:rsidRPr="00B61FF1">
        <w:rPr>
          <w:rFonts w:ascii="Arial" w:eastAsia="Calibri" w:hAnsi="Arial" w:cs="Arial"/>
          <w:sz w:val="24"/>
          <w:szCs w:val="24"/>
          <w:u w:val="single"/>
          <w:vertAlign w:val="subscript"/>
        </w:rPr>
        <w:t>Sold,t-2</w:t>
      </w:r>
      <w:r w:rsidRPr="00B61FF1">
        <w:rPr>
          <w:rFonts w:ascii="Arial" w:eastAsia="Calibri" w:hAnsi="Arial" w:cs="Arial"/>
          <w:sz w:val="24"/>
          <w:szCs w:val="24"/>
          <w:u w:val="single"/>
        </w:rPr>
        <w:t>” is the annual amount of steam sold for year “t-2” from the facility in MMBtu; and</w:t>
      </w:r>
    </w:p>
    <w:p w14:paraId="64944CA3" w14:textId="77777777" w:rsidR="00B449FE" w:rsidRPr="00B61FF1" w:rsidRDefault="00B449FE" w:rsidP="00B449FE">
      <w:pPr>
        <w:autoSpaceDE/>
        <w:autoSpaceDN/>
        <w:adjustRightInd/>
        <w:spacing w:line="360" w:lineRule="auto"/>
        <w:ind w:left="1080"/>
        <w:rPr>
          <w:rFonts w:ascii="Arial" w:eastAsia="Calibri" w:hAnsi="Arial" w:cs="Arial"/>
          <w:sz w:val="24"/>
          <w:szCs w:val="24"/>
        </w:rPr>
      </w:pPr>
    </w:p>
    <w:p w14:paraId="284CF065"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rPr>
        <w:tab/>
      </w:r>
      <w:r w:rsidRPr="00B61FF1">
        <w:rPr>
          <w:rFonts w:ascii="Arial" w:eastAsia="Calibri" w:hAnsi="Arial" w:cs="Arial"/>
          <w:sz w:val="24"/>
          <w:szCs w:val="24"/>
          <w:u w:val="single"/>
        </w:rPr>
        <w:t>“e</w:t>
      </w:r>
      <w:r w:rsidRPr="00B61FF1">
        <w:rPr>
          <w:rFonts w:ascii="Arial" w:eastAsia="Calibri" w:hAnsi="Arial" w:cs="Arial"/>
          <w:sz w:val="24"/>
          <w:szCs w:val="24"/>
          <w:u w:val="single"/>
          <w:vertAlign w:val="subscript"/>
        </w:rPr>
        <w:t>Sold,t-2</w:t>
      </w:r>
      <w:r w:rsidRPr="00B61FF1">
        <w:rPr>
          <w:rFonts w:ascii="Arial" w:eastAsia="Calibri" w:hAnsi="Arial" w:cs="Arial"/>
          <w:sz w:val="24"/>
          <w:szCs w:val="24"/>
          <w:u w:val="single"/>
        </w:rPr>
        <w:t xml:space="preserve">” is the annual amount of electricity sold for year “t-2” from the facility in MWh.  </w:t>
      </w:r>
    </w:p>
    <w:p w14:paraId="2AAF0ABD"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p>
    <w:p w14:paraId="183BC968" w14:textId="77777777" w:rsidR="00B449FE" w:rsidRPr="00B61FF1" w:rsidRDefault="00B449FE" w:rsidP="00B449FE">
      <w:pPr>
        <w:tabs>
          <w:tab w:val="left" w:pos="-1710"/>
        </w:tabs>
        <w:autoSpaceDE/>
        <w:autoSpaceDN/>
        <w:adjustRightInd/>
        <w:spacing w:after="200"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Entities with Stable Emissions Data. For covered entities or opt-in covered entities classified as stable in the stability formula in 95891(c)(3)(D), the Executive Officer shall calculate the amount of California GHG Allowances directly allocated under the energy-based methodology annually using the methodology in 95891(c). The allocation for all subsequent years shall be determined using this methodology.</w:t>
      </w:r>
    </w:p>
    <w:p w14:paraId="48AA5EF7" w14:textId="77777777" w:rsidR="00B449FE" w:rsidRPr="00B61FF1" w:rsidRDefault="00B449FE" w:rsidP="00B449FE">
      <w:pPr>
        <w:tabs>
          <w:tab w:val="left" w:pos="-1710"/>
        </w:tabs>
        <w:autoSpaceDE/>
        <w:autoSpaceDN/>
        <w:adjustRightInd/>
        <w:spacing w:after="200" w:line="360" w:lineRule="auto"/>
        <w:ind w:left="2520" w:hanging="720"/>
        <w:rPr>
          <w:rFonts w:ascii="Arial" w:hAnsi="Arial" w:cs="Arial"/>
          <w:sz w:val="24"/>
          <w:szCs w:val="24"/>
          <w:u w:val="single"/>
        </w:rPr>
      </w:pPr>
      <w:r w:rsidRPr="00B61FF1">
        <w:rPr>
          <w:rFonts w:ascii="Arial" w:hAnsi="Arial" w:cs="Arial"/>
          <w:sz w:val="24"/>
          <w:szCs w:val="24"/>
          <w:u w:val="single"/>
        </w:rPr>
        <w:lastRenderedPageBreak/>
        <w:t>(1)</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Data Years. The data years used in determining the appropriate baseline values shall match “t-2”, “t-3”, and “t-4” used in the stability formula when the emissions were first classified stable. The Executive Officer may employ all available data reported to ARB under MRR.  If necessary, the Executive Officer will solicit additional data to establish a representative baseline allocation.</w:t>
      </w:r>
    </w:p>
    <w:p w14:paraId="4B0A0ECF"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Stability Formula for New Entrants. The following formula classifies the allocation methodology for budget year “t”:</w:t>
      </w:r>
    </w:p>
    <w:p w14:paraId="5BE6F650"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4684301B" w14:textId="77777777" w:rsidR="00B449FE" w:rsidRPr="00B61FF1" w:rsidRDefault="00B449FE" w:rsidP="00B449FE">
      <w:pPr>
        <w:autoSpaceDE/>
        <w:autoSpaceDN/>
        <w:adjustRightInd/>
        <w:spacing w:line="360" w:lineRule="auto"/>
        <w:ind w:left="1800" w:hanging="720"/>
        <w:rPr>
          <w:rFonts w:ascii="Arial" w:hAnsi="Arial" w:cs="Arial"/>
          <w:sz w:val="24"/>
          <w:szCs w:val="22"/>
          <w:u w:val="single"/>
        </w:rPr>
      </w:pPr>
      <m:oMathPara>
        <m:oMath>
          <m:r>
            <w:rPr>
              <w:rFonts w:ascii="Cambria Math" w:eastAsia="Times New Roman" w:hAnsi="Cambria Math"/>
              <w:sz w:val="24"/>
              <w:szCs w:val="22"/>
              <w:u w:val="single"/>
            </w:rPr>
            <m:t>0.10≥</m:t>
          </m:r>
          <m:f>
            <m:fPr>
              <m:ctrlPr>
                <w:rPr>
                  <w:rFonts w:ascii="Cambria Math" w:eastAsia="Calibri" w:hAnsi="Cambria Math"/>
                  <w:i/>
                  <w:sz w:val="24"/>
                  <w:szCs w:val="22"/>
                  <w:u w:val="single"/>
                </w:rPr>
              </m:ctrlPr>
            </m:fPr>
            <m:num>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t-2</m:t>
                  </m:r>
                </m:sub>
              </m:sSub>
              <m:r>
                <w:rPr>
                  <w:rFonts w:ascii="Cambria Math" w:eastAsia="Calibri" w:hAnsi="Cambria Math"/>
                  <w:sz w:val="24"/>
                  <w:szCs w:val="22"/>
                  <w:u w:val="single"/>
                </w:rPr>
                <m:t>-</m:t>
              </m:r>
              <m:f>
                <m:fPr>
                  <m:ctrlPr>
                    <w:rPr>
                      <w:rFonts w:ascii="Cambria Math" w:eastAsia="Calibri" w:hAnsi="Cambria Math"/>
                      <w:i/>
                      <w:sz w:val="24"/>
                      <w:szCs w:val="22"/>
                      <w:u w:val="single"/>
                    </w:rPr>
                  </m:ctrlPr>
                </m:fPr>
                <m:num>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t-4</m:t>
                      </m:r>
                    </m:sub>
                  </m:sSub>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t-3</m:t>
                      </m:r>
                    </m:sub>
                  </m:sSub>
                  <m:ctrlPr>
                    <w:rPr>
                      <w:rFonts w:ascii="Cambria Math" w:eastAsia="Times New Roman" w:hAnsi="Cambria Math"/>
                      <w:i/>
                      <w:sz w:val="24"/>
                      <w:szCs w:val="22"/>
                      <w:u w:val="single"/>
                    </w:rPr>
                  </m:ctrlPr>
                </m:num>
                <m:den>
                  <m:r>
                    <w:rPr>
                      <w:rFonts w:ascii="Cambria Math" w:eastAsia="Calibri" w:hAnsi="Cambria Math"/>
                      <w:sz w:val="24"/>
                      <w:szCs w:val="22"/>
                      <w:u w:val="single"/>
                    </w:rPr>
                    <m:t>2</m:t>
                  </m:r>
                </m:den>
              </m:f>
            </m:num>
            <m:den>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t-2</m:t>
                  </m:r>
                </m:sub>
              </m:sSub>
            </m:den>
          </m:f>
          <m:r>
            <w:rPr>
              <w:rFonts w:ascii="Cambria Math" w:eastAsia="Times New Roman" w:hAnsi="Cambria Math"/>
              <w:sz w:val="24"/>
              <w:szCs w:val="22"/>
              <w:u w:val="single"/>
            </w:rPr>
            <m:t xml:space="preserve">  </m:t>
          </m:r>
          <m:r>
            <m:rPr>
              <m:nor/>
            </m:rPr>
            <w:rPr>
              <w:rFonts w:ascii="Cambria Math" w:eastAsia="Times New Roman" w:hAnsi="Cambria Math"/>
              <w:sz w:val="24"/>
              <w:szCs w:val="22"/>
              <w:u w:val="single"/>
            </w:rPr>
            <m:t>(Stable)</m:t>
          </m:r>
        </m:oMath>
      </m:oMathPara>
    </w:p>
    <w:p w14:paraId="58365BDE"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386F283E" w14:textId="77777777" w:rsidR="00B449FE" w:rsidRPr="00B61FF1" w:rsidRDefault="00B449FE" w:rsidP="00B449FE">
      <w:pPr>
        <w:tabs>
          <w:tab w:val="left" w:pos="-1710"/>
        </w:tabs>
        <w:autoSpaceDE/>
        <w:autoSpaceDN/>
        <w:adjustRightInd/>
        <w:spacing w:after="200" w:line="360" w:lineRule="auto"/>
        <w:ind w:left="1800" w:hanging="720"/>
        <w:jc w:val="center"/>
        <w:rPr>
          <w:rFonts w:ascii="Arial" w:hAnsi="Arial" w:cs="Arial"/>
          <w:b/>
          <w:bCs/>
          <w:iCs/>
          <w:sz w:val="24"/>
          <w:szCs w:val="24"/>
        </w:rPr>
      </w:pPr>
      <m:oMathPara>
        <m:oMath>
          <m:r>
            <w:rPr>
              <w:rFonts w:ascii="Cambria Math" w:eastAsia="Times New Roman" w:hAnsi="Cambria Math"/>
              <w:sz w:val="24"/>
              <w:szCs w:val="22"/>
              <w:u w:val="single"/>
            </w:rPr>
            <m:t>0.10&lt;</m:t>
          </m:r>
          <m:f>
            <m:fPr>
              <m:ctrlPr>
                <w:rPr>
                  <w:rFonts w:ascii="Cambria Math" w:eastAsia="Calibri" w:hAnsi="Cambria Math"/>
                  <w:i/>
                  <w:sz w:val="24"/>
                  <w:szCs w:val="22"/>
                  <w:u w:val="single"/>
                </w:rPr>
              </m:ctrlPr>
            </m:fPr>
            <m:num>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t-2</m:t>
                  </m:r>
                </m:sub>
              </m:sSub>
              <m:r>
                <w:rPr>
                  <w:rFonts w:ascii="Cambria Math" w:eastAsia="Calibri" w:hAnsi="Cambria Math"/>
                  <w:sz w:val="24"/>
                  <w:szCs w:val="22"/>
                  <w:u w:val="single"/>
                </w:rPr>
                <m:t>-</m:t>
              </m:r>
              <m:f>
                <m:fPr>
                  <m:ctrlPr>
                    <w:rPr>
                      <w:rFonts w:ascii="Cambria Math" w:eastAsia="Calibri" w:hAnsi="Cambria Math"/>
                      <w:i/>
                      <w:sz w:val="24"/>
                      <w:szCs w:val="22"/>
                      <w:u w:val="single"/>
                    </w:rPr>
                  </m:ctrlPr>
                </m:fPr>
                <m:num>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t-4</m:t>
                      </m:r>
                    </m:sub>
                  </m:sSub>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t-3</m:t>
                      </m:r>
                    </m:sub>
                  </m:sSub>
                  <m:ctrlPr>
                    <w:rPr>
                      <w:rFonts w:ascii="Cambria Math" w:eastAsia="Times New Roman" w:hAnsi="Cambria Math"/>
                      <w:i/>
                      <w:sz w:val="24"/>
                      <w:szCs w:val="22"/>
                      <w:u w:val="single"/>
                    </w:rPr>
                  </m:ctrlPr>
                </m:num>
                <m:den>
                  <m:r>
                    <w:rPr>
                      <w:rFonts w:ascii="Cambria Math" w:eastAsia="Calibri" w:hAnsi="Cambria Math"/>
                      <w:sz w:val="24"/>
                      <w:szCs w:val="22"/>
                      <w:u w:val="single"/>
                    </w:rPr>
                    <m:t>2</m:t>
                  </m:r>
                </m:den>
              </m:f>
            </m:num>
            <m:den>
              <m:r>
                <w:rPr>
                  <w:rFonts w:ascii="Cambria Math" w:eastAsia="Calibri" w:hAnsi="Cambria Math"/>
                  <w:sz w:val="24"/>
                  <w:szCs w:val="22"/>
                  <w:u w:val="single"/>
                </w:rPr>
                <m:t>B</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t-2</m:t>
                  </m:r>
                </m:sub>
              </m:sSub>
            </m:den>
          </m:f>
          <m:r>
            <w:rPr>
              <w:rFonts w:ascii="Cambria Math" w:eastAsia="Times New Roman" w:hAnsi="Cambria Math"/>
              <w:sz w:val="24"/>
              <w:szCs w:val="22"/>
              <w:u w:val="single"/>
            </w:rPr>
            <m:t xml:space="preserve">  </m:t>
          </m:r>
          <m:r>
            <m:rPr>
              <m:nor/>
            </m:rPr>
            <w:rPr>
              <w:rFonts w:ascii="Cambria Math" w:eastAsia="Times New Roman" w:hAnsi="Cambria Math"/>
              <w:sz w:val="24"/>
              <w:szCs w:val="22"/>
              <w:u w:val="single"/>
            </w:rPr>
            <m:t>(Transitional)</m:t>
          </m:r>
        </m:oMath>
      </m:oMathPara>
    </w:p>
    <w:p w14:paraId="1B67AF23" w14:textId="77777777" w:rsidR="00B449FE" w:rsidRPr="00B61FF1" w:rsidRDefault="00B449FE" w:rsidP="00B449FE">
      <w:pPr>
        <w:tabs>
          <w:tab w:val="left" w:pos="-1710"/>
        </w:tabs>
        <w:autoSpaceDE/>
        <w:autoSpaceDN/>
        <w:adjustRightInd/>
        <w:spacing w:after="200" w:line="360" w:lineRule="auto"/>
        <w:ind w:left="1800" w:hanging="720"/>
        <w:rPr>
          <w:rFonts w:ascii="Arial" w:hAnsi="Arial" w:cs="Arial"/>
          <w:bCs/>
          <w:iCs/>
          <w:sz w:val="24"/>
          <w:szCs w:val="24"/>
        </w:rPr>
      </w:pPr>
      <w:r w:rsidRPr="00B61FF1">
        <w:rPr>
          <w:rFonts w:ascii="Arial" w:hAnsi="Arial" w:cs="Arial"/>
          <w:bCs/>
          <w:iCs/>
          <w:sz w:val="24"/>
          <w:szCs w:val="24"/>
        </w:rPr>
        <w:t>Where:</w:t>
      </w:r>
    </w:p>
    <w:p w14:paraId="73B698AB"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 xml:space="preserve">“t” is the budget year from which the direct allocation occurs; </w:t>
      </w:r>
    </w:p>
    <w:p w14:paraId="3F0BD8D9"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448AD8EB"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t>
      </w:r>
      <w:r w:rsidRPr="00B61FF1">
        <w:rPr>
          <w:rFonts w:ascii="Arial" w:eastAsia="Calibri" w:hAnsi="Arial" w:cs="Arial"/>
          <w:sz w:val="24"/>
          <w:szCs w:val="24"/>
          <w:u w:val="single"/>
        </w:rPr>
        <w:t>t-2” is the year two years prior to year “t”</w:t>
      </w:r>
      <w:r w:rsidRPr="00B61FF1">
        <w:rPr>
          <w:rFonts w:ascii="Arial" w:hAnsi="Arial" w:cs="Arial"/>
          <w:sz w:val="24"/>
          <w:szCs w:val="24"/>
          <w:u w:val="single"/>
        </w:rPr>
        <w:t xml:space="preserve">; </w:t>
      </w:r>
    </w:p>
    <w:p w14:paraId="1DB09247"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19E87EA5"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t>
      </w:r>
      <w:r w:rsidRPr="00B61FF1">
        <w:rPr>
          <w:rFonts w:ascii="Arial" w:eastAsia="Calibri" w:hAnsi="Arial" w:cs="Arial"/>
          <w:sz w:val="24"/>
          <w:szCs w:val="24"/>
          <w:u w:val="single"/>
        </w:rPr>
        <w:t>t-3” is the year three years prior to year “t”</w:t>
      </w:r>
      <w:r w:rsidRPr="00B61FF1">
        <w:rPr>
          <w:rFonts w:ascii="Arial" w:hAnsi="Arial" w:cs="Arial"/>
          <w:sz w:val="24"/>
          <w:szCs w:val="24"/>
          <w:u w:val="single"/>
        </w:rPr>
        <w:t xml:space="preserve">; </w:t>
      </w:r>
    </w:p>
    <w:p w14:paraId="074F330C"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04660232"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t>
      </w:r>
      <w:r w:rsidRPr="00B61FF1">
        <w:rPr>
          <w:rFonts w:ascii="Arial" w:eastAsia="Calibri" w:hAnsi="Arial" w:cs="Arial"/>
          <w:sz w:val="24"/>
          <w:szCs w:val="24"/>
          <w:u w:val="single"/>
        </w:rPr>
        <w:t>t-4” is the year four years prior to year “t”</w:t>
      </w:r>
      <w:r w:rsidRPr="00B61FF1">
        <w:rPr>
          <w:rFonts w:ascii="Arial" w:hAnsi="Arial" w:cs="Arial"/>
          <w:sz w:val="24"/>
          <w:szCs w:val="24"/>
          <w:u w:val="single"/>
        </w:rPr>
        <w:t>; and</w:t>
      </w:r>
    </w:p>
    <w:p w14:paraId="586ED96E"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F9843AD"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“BE</w:t>
      </w:r>
      <w:r w:rsidRPr="00B61FF1">
        <w:rPr>
          <w:rFonts w:ascii="Arial" w:hAnsi="Arial" w:cs="Arial"/>
          <w:sz w:val="24"/>
          <w:szCs w:val="24"/>
          <w:u w:val="single"/>
          <w:vertAlign w:val="subscript"/>
        </w:rPr>
        <w:t>t</w:t>
      </w:r>
      <w:r w:rsidRPr="00B61FF1">
        <w:rPr>
          <w:rFonts w:ascii="Arial" w:hAnsi="Arial" w:cs="Arial"/>
          <w:sz w:val="24"/>
          <w:szCs w:val="24"/>
          <w:u w:val="single"/>
        </w:rPr>
        <w:t>” is the baseline annual greenhouse gas emissions for year “t” adjusted for steam purchases and sales and electricity sales using the following equation:</w:t>
      </w:r>
    </w:p>
    <w:p w14:paraId="7F69213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7F2BD487" w14:textId="53AD6E8B" w:rsidR="00B449FE" w:rsidRPr="00B61FF1" w:rsidRDefault="00B449FE" w:rsidP="00B449FE">
      <w:pPr>
        <w:autoSpaceDE/>
        <w:autoSpaceDN/>
        <w:adjustRightInd/>
        <w:spacing w:line="360" w:lineRule="auto"/>
        <w:ind w:left="720" w:hanging="720"/>
        <w:rPr>
          <w:rFonts w:ascii="Arial" w:hAnsi="Arial" w:cs="Arial"/>
          <w:sz w:val="24"/>
          <w:szCs w:val="24"/>
          <w:u w:val="single"/>
        </w:rPr>
      </w:pPr>
      <m:oMathPara>
        <m:oMathParaPr>
          <m:jc m:val="center"/>
        </m:oMathParaPr>
        <m:oMath>
          <m:r>
            <w:rPr>
              <w:rFonts w:ascii="Cambria Math" w:eastAsia="Times New Roman" w:hAnsi="Cambria Math"/>
              <w:sz w:val="24"/>
              <w:szCs w:val="22"/>
              <w:u w:val="single"/>
            </w:rPr>
            <m:t>B</m:t>
          </m:r>
          <m:sSub>
            <m:sSubPr>
              <m:ctrlPr>
                <w:rPr>
                  <w:rFonts w:ascii="Cambria Math" w:eastAsia="Times New Roman" w:hAnsi="Cambria Math"/>
                  <w:i/>
                  <w:sz w:val="24"/>
                  <w:szCs w:val="22"/>
                  <w:u w:val="single"/>
                </w:rPr>
              </m:ctrlPr>
            </m:sSubPr>
            <m:e>
              <m:r>
                <w:rPr>
                  <w:rFonts w:ascii="Cambria Math" w:eastAsia="Times New Roman" w:hAnsi="Cambria Math"/>
                  <w:sz w:val="24"/>
                  <w:szCs w:val="22"/>
                  <w:u w:val="single"/>
                </w:rPr>
                <m:t>E</m:t>
              </m:r>
            </m:e>
            <m:sub>
              <m:r>
                <w:rPr>
                  <w:rFonts w:ascii="Cambria Math" w:eastAsia="Times New Roman" w:hAnsi="Cambria Math"/>
                  <w:sz w:val="24"/>
                  <w:szCs w:val="22"/>
                  <w:u w:val="single"/>
                </w:rPr>
                <m:t>t</m:t>
              </m:r>
            </m:sub>
          </m:sSub>
          <m:r>
            <w:rPr>
              <w:rFonts w:ascii="Cambria Math" w:eastAsia="Times New Roman" w:hAnsi="Cambria Math"/>
              <w:sz w:val="24"/>
              <w:szCs w:val="22"/>
              <w:u w:val="single"/>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r>
            <w:rPr>
              <w:rFonts w:ascii="Cambria Math" w:hAnsi="Cambria Math" w:cs="Arial"/>
              <w:sz w:val="24"/>
              <w:szCs w:val="24"/>
            </w:rPr>
            <m:t>*0.05307</m:t>
          </m:r>
          <m:r>
            <w:rPr>
              <w:rFonts w:ascii="Cambria Math" w:eastAsia="Calibri" w:hAnsi="Cambria Math"/>
              <w:sz w:val="24"/>
              <w:szCs w:val="22"/>
              <w:u w:val="single"/>
            </w:rPr>
            <m:t>+</m:t>
          </m:r>
          <m:d>
            <m:dPr>
              <m:ctrlPr>
                <w:rPr>
                  <w:rFonts w:ascii="Cambria Math" w:eastAsia="Calibri" w:hAnsi="Cambria Math"/>
                  <w:i/>
                  <w:sz w:val="24"/>
                  <w:szCs w:val="22"/>
                  <w:u w:val="single"/>
                </w:rPr>
              </m:ctrlPr>
            </m:dPr>
            <m:e>
              <m:sSub>
                <m:sSubPr>
                  <m:ctrlPr>
                    <w:rPr>
                      <w:rFonts w:ascii="Cambria Math" w:eastAsia="Calibri" w:hAnsi="Cambria Math"/>
                      <w:i/>
                      <w:sz w:val="24"/>
                      <w:szCs w:val="22"/>
                      <w:u w:val="single"/>
                    </w:rPr>
                  </m:ctrlPr>
                </m:sSubPr>
                <m:e>
                  <m:r>
                    <w:rPr>
                      <w:rFonts w:ascii="Cambria Math" w:eastAsia="Calibri" w:hAnsi="Cambria Math"/>
                      <w:sz w:val="24"/>
                      <w:szCs w:val="22"/>
                      <w:u w:val="single"/>
                    </w:rPr>
                    <m:t>S</m:t>
                  </m:r>
                </m:e>
                <m:sub>
                  <m:r>
                    <w:rPr>
                      <w:rFonts w:ascii="Cambria Math" w:eastAsia="Calibri" w:hAnsi="Cambria Math"/>
                      <w:sz w:val="24"/>
                      <w:szCs w:val="22"/>
                      <w:u w:val="single"/>
                    </w:rPr>
                    <m:t>Purchased,t</m:t>
                  </m:r>
                </m:sub>
              </m:sSub>
              <m:r>
                <w:rPr>
                  <w:rFonts w:ascii="Cambria Math" w:eastAsia="Calibri" w:hAnsi="Cambria Math"/>
                  <w:sz w:val="24"/>
                  <w:szCs w:val="22"/>
                  <w:u w:val="single"/>
                </w:rPr>
                <m:t>-</m:t>
              </m:r>
              <m:sSub>
                <m:sSubPr>
                  <m:ctrlPr>
                    <w:rPr>
                      <w:rFonts w:ascii="Cambria Math" w:eastAsia="Calibri" w:hAnsi="Cambria Math"/>
                      <w:i/>
                      <w:sz w:val="24"/>
                      <w:szCs w:val="22"/>
                      <w:u w:val="single"/>
                    </w:rPr>
                  </m:ctrlPr>
                </m:sSubPr>
                <m:e>
                  <m:r>
                    <w:rPr>
                      <w:rFonts w:ascii="Cambria Math" w:eastAsia="Calibri" w:hAnsi="Cambria Math"/>
                      <w:sz w:val="24"/>
                      <w:szCs w:val="22"/>
                      <w:u w:val="single"/>
                    </w:rPr>
                    <m:t>S</m:t>
                  </m:r>
                </m:e>
                <m:sub>
                  <m:r>
                    <w:rPr>
                      <w:rFonts w:ascii="Cambria Math" w:eastAsia="Calibri" w:hAnsi="Cambria Math"/>
                      <w:sz w:val="24"/>
                      <w:szCs w:val="22"/>
                      <w:u w:val="single"/>
                    </w:rPr>
                    <m:t>Sold,t</m:t>
                  </m:r>
                </m:sub>
              </m:sSub>
            </m:e>
          </m:d>
          <m:r>
            <w:rPr>
              <w:rFonts w:ascii="Cambria Math" w:eastAsia="Calibri" w:hAnsi="Cambria Math"/>
              <w:sz w:val="24"/>
              <w:szCs w:val="22"/>
              <w:u w:val="single"/>
            </w:rPr>
            <m:t>*0.06244-</m:t>
          </m:r>
          <m:sSub>
            <m:sSubPr>
              <m:ctrlPr>
                <w:rPr>
                  <w:rFonts w:ascii="Cambria Math" w:eastAsia="Calibri" w:hAnsi="Cambria Math"/>
                  <w:i/>
                  <w:sz w:val="24"/>
                  <w:szCs w:val="22"/>
                  <w:u w:val="single"/>
                </w:rPr>
              </m:ctrlPr>
            </m:sSubPr>
            <m:e>
              <m:r>
                <w:rPr>
                  <w:rFonts w:ascii="Cambria Math" w:eastAsia="Calibri" w:hAnsi="Cambria Math"/>
                  <w:sz w:val="24"/>
                  <w:szCs w:val="22"/>
                  <w:u w:val="single"/>
                </w:rPr>
                <m:t>e</m:t>
              </m:r>
            </m:e>
            <m:sub>
              <m:r>
                <w:rPr>
                  <w:rFonts w:ascii="Cambria Math" w:eastAsia="Calibri" w:hAnsi="Cambria Math"/>
                  <w:sz w:val="24"/>
                  <w:szCs w:val="22"/>
                  <w:u w:val="single"/>
                </w:rPr>
                <m:t>sold,t</m:t>
              </m:r>
            </m:sub>
          </m:sSub>
          <m:r>
            <w:rPr>
              <w:rFonts w:ascii="Cambria Math" w:eastAsia="Calibri" w:hAnsi="Cambria Math"/>
              <w:sz w:val="24"/>
              <w:szCs w:val="22"/>
              <w:u w:val="single"/>
            </w:rPr>
            <m:t>*0.431</m:t>
          </m:r>
        </m:oMath>
      </m:oMathPara>
    </w:p>
    <w:p w14:paraId="4F853CFF"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4581E983" w14:textId="089B7271"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Where:</w:t>
      </w:r>
    </w:p>
    <w:p w14:paraId="65FBD15B"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23E82F7E" w14:textId="7AECB57F" w:rsidR="00B449FE" w:rsidRPr="00B61FF1" w:rsidRDefault="00B449FE" w:rsidP="00B449FE">
      <w:pPr>
        <w:autoSpaceDE/>
        <w:autoSpaceDN/>
        <w:adjustRightInd/>
        <w:spacing w:line="360" w:lineRule="auto"/>
        <w:ind w:left="180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“F</w:t>
      </w:r>
      <w:r w:rsidRPr="00B61FF1">
        <w:rPr>
          <w:rFonts w:ascii="Arial" w:hAnsi="Arial" w:cs="Arial"/>
          <w:sz w:val="24"/>
          <w:szCs w:val="24"/>
          <w:u w:val="single"/>
          <w:vertAlign w:val="subscript"/>
        </w:rPr>
        <w:t>t</w:t>
      </w:r>
      <w:r w:rsidRPr="00B61FF1">
        <w:rPr>
          <w:rFonts w:ascii="Arial" w:hAnsi="Arial" w:cs="Arial"/>
          <w:sz w:val="24"/>
          <w:szCs w:val="24"/>
          <w:u w:val="single"/>
        </w:rPr>
        <w:t>” is the annual amount of energy produced due to fuel combustion at a given facility, measured in MMBtus.  The Executive Officer shall calculate this value based on measured higher heating values or the default higher heating value of the applicable fuel in Table C–1 of subpart C, title 40, Code of Federal Regulations, Part 98.  This value shall include any energy from fuel combusted in an onsite electricity generation or cogeneration unit;</w:t>
      </w:r>
    </w:p>
    <w:p w14:paraId="1D72B3A4" w14:textId="77777777" w:rsidR="00B449FE" w:rsidRPr="00B61FF1" w:rsidRDefault="00B449FE" w:rsidP="00B449FE">
      <w:pPr>
        <w:autoSpaceDE/>
        <w:autoSpaceDN/>
        <w:adjustRightInd/>
        <w:spacing w:line="360" w:lineRule="auto"/>
        <w:ind w:left="1800" w:hanging="720"/>
        <w:rPr>
          <w:rFonts w:ascii="Arial" w:hAnsi="Arial" w:cs="Arial"/>
          <w:sz w:val="24"/>
          <w:szCs w:val="24"/>
          <w:u w:val="single"/>
        </w:rPr>
      </w:pPr>
    </w:p>
    <w:p w14:paraId="54625D43"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hAnsi="Arial" w:cs="Arial"/>
          <w:sz w:val="24"/>
          <w:szCs w:val="24"/>
        </w:rPr>
        <w:tab/>
      </w:r>
      <w:r w:rsidRPr="00B61FF1">
        <w:rPr>
          <w:rFonts w:ascii="Arial" w:eastAsia="Calibri" w:hAnsi="Arial" w:cs="Arial"/>
          <w:sz w:val="24"/>
          <w:szCs w:val="24"/>
          <w:u w:val="single"/>
        </w:rPr>
        <w:t>“S</w:t>
      </w:r>
      <w:r w:rsidRPr="00B61FF1">
        <w:rPr>
          <w:rFonts w:ascii="Arial" w:eastAsia="Calibri" w:hAnsi="Arial" w:cs="Arial"/>
          <w:sz w:val="24"/>
          <w:szCs w:val="24"/>
          <w:u w:val="single"/>
          <w:vertAlign w:val="subscript"/>
        </w:rPr>
        <w:t>Purchased,t</w:t>
      </w:r>
      <w:r w:rsidRPr="00B61FF1">
        <w:rPr>
          <w:rFonts w:ascii="Arial" w:eastAsia="Calibri" w:hAnsi="Arial" w:cs="Arial"/>
          <w:sz w:val="24"/>
          <w:szCs w:val="24"/>
          <w:u w:val="single"/>
        </w:rPr>
        <w:t>” is the annual amount of steam purchased for year “t” by the facility in MMBtu;</w:t>
      </w:r>
    </w:p>
    <w:p w14:paraId="5CA0C681" w14:textId="77777777" w:rsidR="00B449FE" w:rsidRPr="00B61FF1" w:rsidRDefault="00B449FE" w:rsidP="00B449FE">
      <w:pPr>
        <w:autoSpaceDE/>
        <w:autoSpaceDN/>
        <w:adjustRightInd/>
        <w:spacing w:line="360" w:lineRule="auto"/>
        <w:ind w:left="1080"/>
        <w:rPr>
          <w:rFonts w:ascii="Arial" w:eastAsia="Calibri" w:hAnsi="Arial" w:cs="Arial"/>
          <w:sz w:val="24"/>
          <w:szCs w:val="24"/>
        </w:rPr>
      </w:pPr>
    </w:p>
    <w:p w14:paraId="1EEC23AC" w14:textId="77777777" w:rsidR="00B449FE" w:rsidRPr="00B61FF1" w:rsidRDefault="00B449FE" w:rsidP="00B449FE">
      <w:pPr>
        <w:autoSpaceDE/>
        <w:autoSpaceDN/>
        <w:adjustRightInd/>
        <w:spacing w:line="360" w:lineRule="auto"/>
        <w:ind w:left="1800" w:hanging="720"/>
        <w:rPr>
          <w:rFonts w:ascii="Arial" w:eastAsia="Calibri" w:hAnsi="Arial" w:cs="Arial"/>
          <w:sz w:val="24"/>
          <w:szCs w:val="24"/>
          <w:u w:val="single"/>
        </w:rPr>
      </w:pPr>
      <w:r w:rsidRPr="00B61FF1">
        <w:rPr>
          <w:rFonts w:ascii="Arial" w:eastAsia="Calibri" w:hAnsi="Arial" w:cs="Arial"/>
          <w:sz w:val="24"/>
          <w:szCs w:val="24"/>
        </w:rPr>
        <w:tab/>
      </w:r>
      <w:r w:rsidRPr="00B61FF1">
        <w:rPr>
          <w:rFonts w:ascii="Arial" w:eastAsia="Calibri" w:hAnsi="Arial" w:cs="Arial"/>
          <w:sz w:val="24"/>
          <w:szCs w:val="24"/>
          <w:u w:val="single"/>
        </w:rPr>
        <w:t>“S</w:t>
      </w:r>
      <w:r w:rsidRPr="00B61FF1">
        <w:rPr>
          <w:rFonts w:ascii="Arial" w:eastAsia="Calibri" w:hAnsi="Arial" w:cs="Arial"/>
          <w:sz w:val="24"/>
          <w:szCs w:val="24"/>
          <w:u w:val="single"/>
          <w:vertAlign w:val="subscript"/>
        </w:rPr>
        <w:t>Sold,t</w:t>
      </w:r>
      <w:r w:rsidRPr="00B61FF1">
        <w:rPr>
          <w:rFonts w:ascii="Arial" w:eastAsia="Calibri" w:hAnsi="Arial" w:cs="Arial"/>
          <w:sz w:val="24"/>
          <w:szCs w:val="24"/>
          <w:u w:val="single"/>
        </w:rPr>
        <w:t>” is the annual amount of steam sold for year “t” from the facility in MMBtu; and</w:t>
      </w:r>
    </w:p>
    <w:p w14:paraId="64214B09" w14:textId="77777777" w:rsidR="00B449FE" w:rsidRPr="00B61FF1" w:rsidRDefault="00B449FE" w:rsidP="00B449FE">
      <w:pPr>
        <w:autoSpaceDE/>
        <w:autoSpaceDN/>
        <w:adjustRightInd/>
        <w:spacing w:line="360" w:lineRule="auto"/>
        <w:ind w:left="1080"/>
        <w:rPr>
          <w:rFonts w:ascii="Arial" w:eastAsia="Calibri" w:hAnsi="Arial" w:cs="Arial"/>
          <w:sz w:val="24"/>
          <w:szCs w:val="24"/>
        </w:rPr>
      </w:pPr>
    </w:p>
    <w:p w14:paraId="6EA9F1E1" w14:textId="6C487208" w:rsidR="00B449FE" w:rsidRPr="00B61FF1" w:rsidRDefault="00B449FE" w:rsidP="00B449FE">
      <w:pPr>
        <w:autoSpaceDE/>
        <w:autoSpaceDN/>
        <w:adjustRightInd/>
        <w:spacing w:line="360" w:lineRule="auto"/>
        <w:ind w:left="1080" w:hanging="720"/>
        <w:rPr>
          <w:rFonts w:ascii="Arial" w:hAnsi="Arial" w:cs="Arial"/>
          <w:sz w:val="24"/>
          <w:szCs w:val="24"/>
        </w:rPr>
      </w:pPr>
      <w:r w:rsidRPr="00B61FF1">
        <w:rPr>
          <w:rFonts w:ascii="Arial" w:eastAsia="Calibri" w:hAnsi="Arial" w:cs="Arial"/>
          <w:sz w:val="24"/>
          <w:szCs w:val="24"/>
        </w:rPr>
        <w:tab/>
      </w:r>
      <w:r w:rsidRPr="00B61FF1">
        <w:rPr>
          <w:rFonts w:ascii="Arial" w:eastAsia="Calibri" w:hAnsi="Arial" w:cs="Arial"/>
          <w:sz w:val="24"/>
          <w:szCs w:val="24"/>
          <w:u w:val="single"/>
        </w:rPr>
        <w:t>“e</w:t>
      </w:r>
      <w:r w:rsidRPr="00B61FF1">
        <w:rPr>
          <w:rFonts w:ascii="Arial" w:eastAsia="Calibri" w:hAnsi="Arial" w:cs="Arial"/>
          <w:sz w:val="24"/>
          <w:szCs w:val="24"/>
          <w:u w:val="single"/>
          <w:vertAlign w:val="subscript"/>
        </w:rPr>
        <w:t>Sold,t</w:t>
      </w:r>
      <w:r w:rsidRPr="00B61FF1">
        <w:rPr>
          <w:rFonts w:ascii="Arial" w:eastAsia="Calibri" w:hAnsi="Arial" w:cs="Arial"/>
          <w:sz w:val="24"/>
          <w:szCs w:val="24"/>
          <w:u w:val="single"/>
        </w:rPr>
        <w:t>” is the annual amount of electricity sold for year “t” from the facility in MWh.</w:t>
      </w:r>
    </w:p>
    <w:p w14:paraId="5D19746C" w14:textId="77777777" w:rsidR="00FE6B15" w:rsidRPr="00B61FF1" w:rsidRDefault="00C5649C" w:rsidP="00C5649C">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FE6B15" w:rsidRPr="00B61FF1">
        <w:rPr>
          <w:rFonts w:ascii="Arial" w:hAnsi="Arial" w:cs="Arial"/>
          <w:sz w:val="24"/>
          <w:szCs w:val="24"/>
        </w:rPr>
        <w:t xml:space="preserve">Facility Closures.  Covered entities that are no longer subject to the </w:t>
      </w:r>
      <w:r w:rsidR="00B15764" w:rsidRPr="00B61FF1">
        <w:rPr>
          <w:rFonts w:ascii="Arial" w:hAnsi="Arial" w:cs="Arial"/>
          <w:sz w:val="24"/>
          <w:szCs w:val="24"/>
        </w:rPr>
        <w:t>Cap-and-Trade P</w:t>
      </w:r>
      <w:r w:rsidR="00FE6B15" w:rsidRPr="00B61FF1">
        <w:rPr>
          <w:rFonts w:ascii="Arial" w:hAnsi="Arial" w:cs="Arial"/>
          <w:sz w:val="24"/>
          <w:szCs w:val="24"/>
        </w:rPr>
        <w:t xml:space="preserve">rogram due to reduced emissions or facility closure as determined </w:t>
      </w:r>
      <w:r w:rsidR="00391EFC" w:rsidRPr="00B61FF1">
        <w:rPr>
          <w:rFonts w:ascii="Arial" w:hAnsi="Arial" w:cs="Arial"/>
          <w:sz w:val="24"/>
          <w:szCs w:val="24"/>
        </w:rPr>
        <w:t xml:space="preserve">pursuant </w:t>
      </w:r>
      <w:r w:rsidR="00FE6B15" w:rsidRPr="00B61FF1">
        <w:rPr>
          <w:rFonts w:ascii="Arial" w:hAnsi="Arial" w:cs="Arial"/>
          <w:sz w:val="24"/>
          <w:szCs w:val="24"/>
        </w:rPr>
        <w:t>to section 95812(</w:t>
      </w:r>
      <w:r w:rsidR="00391EFC" w:rsidRPr="00B61FF1">
        <w:rPr>
          <w:rFonts w:ascii="Arial" w:hAnsi="Arial" w:cs="Arial"/>
          <w:sz w:val="24"/>
          <w:szCs w:val="24"/>
        </w:rPr>
        <w:t>e</w:t>
      </w:r>
      <w:r w:rsidR="00FE6B15" w:rsidRPr="00B61FF1">
        <w:rPr>
          <w:rFonts w:ascii="Arial" w:hAnsi="Arial" w:cs="Arial"/>
          <w:sz w:val="24"/>
          <w:szCs w:val="24"/>
        </w:rPr>
        <w:t xml:space="preserve">) shall no longer be eligible to receive allowances.  </w:t>
      </w:r>
    </w:p>
    <w:p w14:paraId="34943757" w14:textId="77777777" w:rsidR="000240E5" w:rsidRPr="00B61FF1" w:rsidRDefault="000240E5" w:rsidP="000240E5">
      <w:pPr>
        <w:autoSpaceDE/>
        <w:autoSpaceDN/>
        <w:adjustRightInd/>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First Compliance Period Refining Sector Allocation Calculation Methodology.  For the budget years 2013-2014</w:t>
      </w:r>
      <w:r w:rsidR="00326248" w:rsidRPr="00B61FF1">
        <w:rPr>
          <w:rFonts w:ascii="Arial" w:hAnsi="Arial" w:cs="Arial"/>
          <w:sz w:val="24"/>
          <w:szCs w:val="24"/>
        </w:rPr>
        <w:t>,</w:t>
      </w:r>
      <w:r w:rsidRPr="00B61FF1">
        <w:rPr>
          <w:rFonts w:ascii="Arial" w:hAnsi="Arial" w:cs="Arial"/>
          <w:sz w:val="24"/>
          <w:szCs w:val="24"/>
        </w:rPr>
        <w:t xml:space="preserve"> the Executive Officer shall calculat</w:t>
      </w:r>
      <w:r w:rsidR="00326248" w:rsidRPr="00B61FF1">
        <w:rPr>
          <w:rFonts w:ascii="Arial" w:hAnsi="Arial" w:cs="Arial"/>
          <w:sz w:val="24"/>
          <w:szCs w:val="24"/>
        </w:rPr>
        <w:t>e the amount of California GHG a</w:t>
      </w:r>
      <w:r w:rsidRPr="00B61FF1">
        <w:rPr>
          <w:rFonts w:ascii="Arial" w:hAnsi="Arial" w:cs="Arial"/>
          <w:sz w:val="24"/>
          <w:szCs w:val="24"/>
        </w:rPr>
        <w:t>llowances allocated to an individual petroleum refinery annually using the following methodology.</w:t>
      </w:r>
    </w:p>
    <w:p w14:paraId="351BD1DC" w14:textId="2F7BDE18" w:rsidR="000240E5" w:rsidRPr="00B61FF1" w:rsidRDefault="000240E5" w:rsidP="000240E5">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Facilities without an EII value.  For refineries that did not participate in the 2008 Solomon Energy Review, or that do not have a representative </w:t>
      </w:r>
      <w:r w:rsidRPr="00B61FF1">
        <w:rPr>
          <w:rFonts w:ascii="Arial" w:hAnsi="Arial" w:cs="Arial"/>
          <w:sz w:val="24"/>
          <w:szCs w:val="24"/>
        </w:rPr>
        <w:lastRenderedPageBreak/>
        <w:t xml:space="preserve">EII value as determined by the Executive Officer, allowances will be allocated using the following </w:t>
      </w:r>
      <w:r w:rsidR="00322802" w:rsidRPr="00B61FF1">
        <w:rPr>
          <w:rFonts w:ascii="Arial" w:hAnsi="Arial" w:cs="Arial"/>
          <w:strike/>
          <w:sz w:val="24"/>
          <w:szCs w:val="24"/>
        </w:rPr>
        <w:t>equation</w:t>
      </w:r>
      <w:r w:rsidR="00322802" w:rsidRPr="00B61FF1">
        <w:rPr>
          <w:rFonts w:ascii="Arial" w:hAnsi="Arial" w:cs="Arial"/>
          <w:sz w:val="24"/>
          <w:szCs w:val="24"/>
        </w:rPr>
        <w:t xml:space="preserve"> </w:t>
      </w:r>
      <w:r w:rsidR="00322802" w:rsidRPr="00B61FF1">
        <w:rPr>
          <w:rFonts w:ascii="Arial" w:hAnsi="Arial" w:cs="Arial"/>
          <w:sz w:val="24"/>
          <w:szCs w:val="24"/>
          <w:u w:val="single"/>
        </w:rPr>
        <w:t>approach</w:t>
      </w:r>
      <w:r w:rsidR="00322802" w:rsidRPr="00B61FF1">
        <w:rPr>
          <w:rFonts w:ascii="Arial" w:hAnsi="Arial" w:cs="Arial"/>
          <w:sz w:val="24"/>
          <w:szCs w:val="24"/>
        </w:rPr>
        <w:t>:</w:t>
      </w:r>
    </w:p>
    <w:p w14:paraId="074EA2D1" w14:textId="18C0975F" w:rsidR="000240E5" w:rsidRPr="00B61FF1" w:rsidRDefault="00322802" w:rsidP="00322802">
      <w:pPr>
        <w:autoSpaceDE/>
        <w:autoSpaceDN/>
        <w:adjustRightInd/>
        <w:spacing w:line="360" w:lineRule="auto"/>
        <w:ind w:left="1710" w:hanging="63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Initial allocations for 2013 and 2014 vintage allowances will be allocated using the following equations: </w:t>
      </w:r>
    </w:p>
    <w:p w14:paraId="3E041C9B" w14:textId="77777777" w:rsidR="00322802" w:rsidRPr="00B61FF1" w:rsidRDefault="00322802" w:rsidP="00322802">
      <w:pPr>
        <w:autoSpaceDE/>
        <w:autoSpaceDN/>
        <w:adjustRightInd/>
        <w:spacing w:line="360" w:lineRule="auto"/>
        <w:ind w:left="1710" w:hanging="630"/>
        <w:rPr>
          <w:rFonts w:ascii="Arial" w:hAnsi="Arial" w:cs="Arial"/>
          <w:sz w:val="24"/>
          <w:szCs w:val="24"/>
          <w:u w:val="single"/>
        </w:rPr>
      </w:pPr>
    </w:p>
    <w:p w14:paraId="6EC8E0BF" w14:textId="77777777" w:rsidR="000240E5" w:rsidRPr="00B61FF1" w:rsidRDefault="000240E5" w:rsidP="000240E5">
      <w:pPr>
        <w:autoSpaceDE/>
        <w:autoSpaceDN/>
        <w:adjustRightInd/>
        <w:spacing w:line="360" w:lineRule="auto"/>
        <w:ind w:left="1080" w:hanging="720"/>
        <w:jc w:val="center"/>
        <w:rPr>
          <w:rFonts w:ascii="Arial" w:hAnsi="Arial" w:cs="Arial"/>
          <w:sz w:val="24"/>
          <w:szCs w:val="24"/>
        </w:rPr>
      </w:pPr>
      <w:r w:rsidRPr="00B61FF1">
        <w:rPr>
          <w:rFonts w:ascii="Arial" w:hAnsi="Arial" w:cs="Arial"/>
          <w:sz w:val="24"/>
          <w:szCs w:val="24"/>
        </w:rPr>
        <w:t xml:space="preserve">If: </w:t>
      </w:r>
      <m:oMath>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X, 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 xml:space="preserve">c </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X</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 xml:space="preserve">c </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oMath>
      <w:r w:rsidRPr="00B61FF1">
        <w:rPr>
          <w:rFonts w:ascii="Arial" w:hAnsi="Arial" w:cs="Arial"/>
          <w:sz w:val="24"/>
          <w:szCs w:val="24"/>
        </w:rPr>
        <w:t xml:space="preserve"> </w:t>
      </w:r>
    </w:p>
    <w:p w14:paraId="2B6301C3" w14:textId="77777777" w:rsidR="000240E5" w:rsidRPr="00B61FF1" w:rsidRDefault="000240E5" w:rsidP="000240E5">
      <w:pPr>
        <w:autoSpaceDE/>
        <w:autoSpaceDN/>
        <w:adjustRightInd/>
        <w:spacing w:line="360" w:lineRule="auto"/>
        <w:ind w:left="1080" w:hanging="720"/>
        <w:jc w:val="center"/>
        <w:rPr>
          <w:rFonts w:ascii="Arial" w:hAnsi="Arial" w:cs="Arial"/>
          <w:sz w:val="24"/>
          <w:szCs w:val="24"/>
        </w:rPr>
      </w:pPr>
      <w:r w:rsidRPr="00B61FF1">
        <w:rPr>
          <w:rFonts w:ascii="Arial" w:hAnsi="Arial" w:cs="Arial"/>
          <w:sz w:val="24"/>
          <w:szCs w:val="24"/>
        </w:rPr>
        <w:t xml:space="preserve">Then: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X,t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X, 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 xml:space="preserve">c </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oMath>
    </w:p>
    <w:p w14:paraId="104771C8" w14:textId="77777777" w:rsidR="000240E5" w:rsidRPr="00B61FF1" w:rsidRDefault="000240E5" w:rsidP="000240E5">
      <w:pPr>
        <w:autoSpaceDE/>
        <w:autoSpaceDN/>
        <w:adjustRightInd/>
        <w:spacing w:line="360" w:lineRule="auto"/>
        <w:ind w:left="1080" w:hanging="720"/>
        <w:jc w:val="center"/>
        <w:rPr>
          <w:rFonts w:ascii="Arial" w:hAnsi="Arial" w:cs="Arial"/>
          <w:sz w:val="24"/>
          <w:szCs w:val="24"/>
        </w:rPr>
      </w:pPr>
    </w:p>
    <w:p w14:paraId="1FE4B444" w14:textId="77777777" w:rsidR="000240E5" w:rsidRPr="00B61FF1" w:rsidRDefault="000240E5" w:rsidP="000240E5">
      <w:pPr>
        <w:autoSpaceDE/>
        <w:autoSpaceDN/>
        <w:adjustRightInd/>
        <w:spacing w:line="360" w:lineRule="auto"/>
        <w:ind w:left="1080" w:hanging="720"/>
        <w:jc w:val="center"/>
        <w:rPr>
          <w:rFonts w:ascii="Arial" w:hAnsi="Arial" w:cs="Arial"/>
          <w:sz w:val="24"/>
          <w:szCs w:val="24"/>
        </w:rPr>
      </w:pPr>
      <w:r w:rsidRPr="00B61FF1">
        <w:rPr>
          <w:rFonts w:ascii="Arial" w:hAnsi="Arial" w:cs="Arial"/>
          <w:sz w:val="24"/>
          <w:szCs w:val="24"/>
        </w:rPr>
        <w:t xml:space="preserve">If: </w:t>
      </w:r>
      <m:oMath>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X, 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 xml:space="preserve">c </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r>
          <w:rPr>
            <w:rFonts w:ascii="Cambria Math" w:hAnsi="Cambria Math" w:cs="Arial"/>
            <w:sz w:val="24"/>
            <w:szCs w:val="24"/>
          </w:rPr>
          <m:t>&gt;</m:t>
        </m:r>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X</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 xml:space="preserve">c </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oMath>
      <w:r w:rsidRPr="00B61FF1">
        <w:rPr>
          <w:rFonts w:ascii="Arial" w:hAnsi="Arial" w:cs="Arial"/>
          <w:sz w:val="24"/>
          <w:szCs w:val="24"/>
        </w:rPr>
        <w:t xml:space="preserve"> </w:t>
      </w:r>
    </w:p>
    <w:p w14:paraId="23E4476E" w14:textId="77777777" w:rsidR="000240E5" w:rsidRPr="00B61FF1" w:rsidRDefault="000240E5" w:rsidP="000240E5">
      <w:pPr>
        <w:autoSpaceDE/>
        <w:autoSpaceDN/>
        <w:adjustRightInd/>
        <w:spacing w:line="360" w:lineRule="auto"/>
        <w:ind w:left="1080" w:hanging="720"/>
        <w:jc w:val="center"/>
        <w:rPr>
          <w:rFonts w:ascii="Arial" w:hAnsi="Arial" w:cs="Arial"/>
          <w:sz w:val="24"/>
          <w:szCs w:val="24"/>
          <w:vertAlign w:val="subscript"/>
        </w:rPr>
      </w:pPr>
      <w:r w:rsidRPr="00B61FF1">
        <w:rPr>
          <w:rFonts w:ascii="Arial" w:hAnsi="Arial" w:cs="Arial"/>
          <w:sz w:val="24"/>
          <w:szCs w:val="24"/>
        </w:rPr>
        <w:t xml:space="preserve">Then: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X,t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X</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 xml:space="preserve">c </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AF</m:t>
            </m:r>
          </m:e>
          <m:sub>
            <m:r>
              <w:rPr>
                <w:rFonts w:ascii="Cambria Math" w:hAnsi="Cambria Math" w:cs="Arial"/>
                <w:sz w:val="24"/>
                <w:szCs w:val="24"/>
              </w:rPr>
              <m:t>R,t</m:t>
            </m:r>
          </m:sub>
        </m:sSub>
      </m:oMath>
    </w:p>
    <w:p w14:paraId="07951FAE" w14:textId="77777777" w:rsidR="000240E5" w:rsidRPr="00B61FF1" w:rsidRDefault="000240E5" w:rsidP="00794B7E">
      <w:pPr>
        <w:autoSpaceDE/>
        <w:autoSpaceDN/>
        <w:adjustRightInd/>
        <w:spacing w:line="360" w:lineRule="auto"/>
        <w:ind w:left="1710" w:hanging="450"/>
        <w:rPr>
          <w:rFonts w:ascii="Arial" w:hAnsi="Arial" w:cs="Arial"/>
          <w:sz w:val="24"/>
          <w:szCs w:val="24"/>
        </w:rPr>
      </w:pPr>
      <w:r w:rsidRPr="00B61FF1">
        <w:rPr>
          <w:rFonts w:ascii="Arial" w:hAnsi="Arial" w:cs="Arial"/>
          <w:sz w:val="24"/>
          <w:szCs w:val="24"/>
        </w:rPr>
        <w:t xml:space="preserve">Where: </w:t>
      </w:r>
    </w:p>
    <w:p w14:paraId="7EED0C15"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“A</w:t>
      </w:r>
      <w:r w:rsidRPr="00B61FF1">
        <w:rPr>
          <w:rFonts w:ascii="Arial" w:hAnsi="Arial" w:cs="Arial"/>
          <w:sz w:val="24"/>
          <w:szCs w:val="24"/>
          <w:vertAlign w:val="subscript"/>
        </w:rPr>
        <w:t>X,t</w:t>
      </w:r>
      <w:r w:rsidRPr="00B61FF1">
        <w:rPr>
          <w:rFonts w:ascii="Arial" w:hAnsi="Arial" w:cs="Arial"/>
          <w:sz w:val="24"/>
          <w:szCs w:val="24"/>
        </w:rPr>
        <w:t>” is the allocation to refinery “X” without an EII value for year “t”;</w:t>
      </w:r>
    </w:p>
    <w:p w14:paraId="66F57278" w14:textId="77777777" w:rsidR="000240E5" w:rsidRPr="00B61FF1" w:rsidRDefault="000240E5" w:rsidP="00794B7E">
      <w:pPr>
        <w:spacing w:line="360" w:lineRule="auto"/>
        <w:ind w:left="1710"/>
        <w:rPr>
          <w:rFonts w:ascii="Arial" w:hAnsi="Arial" w:cs="Arial"/>
          <w:sz w:val="24"/>
          <w:szCs w:val="24"/>
        </w:rPr>
      </w:pPr>
    </w:p>
    <w:p w14:paraId="713554B6" w14:textId="77777777" w:rsidR="000240E5" w:rsidRPr="00B61FF1" w:rsidRDefault="000240E5" w:rsidP="00794B7E">
      <w:pPr>
        <w:spacing w:line="360" w:lineRule="auto"/>
        <w:ind w:left="1710"/>
        <w:rPr>
          <w:rFonts w:ascii="Arial" w:hAnsi="Arial" w:cs="Arial"/>
          <w:sz w:val="24"/>
          <w:szCs w:val="24"/>
        </w:rPr>
      </w:pPr>
      <w:r w:rsidRPr="00B61FF1">
        <w:rPr>
          <w:rFonts w:ascii="Arial" w:hAnsi="Arial" w:cs="Arial"/>
          <w:sz w:val="24"/>
          <w:szCs w:val="24"/>
        </w:rPr>
        <w:t>“O</w:t>
      </w:r>
      <w:r w:rsidRPr="00B61FF1">
        <w:rPr>
          <w:rFonts w:ascii="Arial" w:hAnsi="Arial" w:cs="Arial"/>
          <w:sz w:val="24"/>
          <w:szCs w:val="24"/>
          <w:vertAlign w:val="subscript"/>
        </w:rPr>
        <w:t>X</w:t>
      </w:r>
      <w:r w:rsidRPr="00B61FF1">
        <w:rPr>
          <w:rFonts w:ascii="Arial" w:hAnsi="Arial" w:cs="Arial"/>
          <w:sz w:val="24"/>
          <w:szCs w:val="24"/>
        </w:rPr>
        <w:t>,</w:t>
      </w:r>
      <w:r w:rsidRPr="00B61FF1">
        <w:rPr>
          <w:rFonts w:ascii="Arial" w:hAnsi="Arial" w:cs="Arial"/>
          <w:sz w:val="24"/>
          <w:szCs w:val="24"/>
          <w:vertAlign w:val="subscript"/>
        </w:rPr>
        <w:t>t-2</w:t>
      </w:r>
      <w:r w:rsidRPr="00B61FF1">
        <w:rPr>
          <w:rFonts w:ascii="Arial" w:hAnsi="Arial" w:cs="Arial"/>
          <w:sz w:val="24"/>
          <w:szCs w:val="24"/>
        </w:rPr>
        <w:t>” is the output of primary refinery products, in barrels, from refinery “X” in year “t-2”;</w:t>
      </w:r>
    </w:p>
    <w:p w14:paraId="25FFB245" w14:textId="77777777" w:rsidR="000240E5" w:rsidRPr="00B61FF1" w:rsidRDefault="000240E5" w:rsidP="00794B7E">
      <w:pPr>
        <w:spacing w:line="360" w:lineRule="auto"/>
        <w:ind w:left="1710"/>
        <w:rPr>
          <w:rFonts w:ascii="Arial" w:hAnsi="Arial" w:cs="Arial"/>
          <w:sz w:val="24"/>
          <w:szCs w:val="24"/>
        </w:rPr>
      </w:pPr>
    </w:p>
    <w:p w14:paraId="5D66C71F" w14:textId="77777777" w:rsidR="000240E5" w:rsidRPr="00B61FF1" w:rsidRDefault="000240E5" w:rsidP="00794B7E">
      <w:pPr>
        <w:spacing w:line="360" w:lineRule="auto"/>
        <w:ind w:left="1710"/>
        <w:rPr>
          <w:rFonts w:ascii="Arial" w:hAnsi="Arial" w:cs="Arial"/>
          <w:sz w:val="24"/>
          <w:szCs w:val="24"/>
        </w:rPr>
      </w:pPr>
      <w:r w:rsidRPr="00B61FF1">
        <w:rPr>
          <w:rFonts w:ascii="Arial" w:hAnsi="Arial" w:cs="Arial"/>
          <w:sz w:val="24"/>
          <w:szCs w:val="24"/>
        </w:rPr>
        <w:t>“B</w:t>
      </w:r>
      <w:r w:rsidRPr="00B61FF1">
        <w:rPr>
          <w:rFonts w:ascii="Arial" w:hAnsi="Arial" w:cs="Arial"/>
          <w:sz w:val="24"/>
          <w:szCs w:val="24"/>
          <w:vertAlign w:val="subscript"/>
        </w:rPr>
        <w:t>R</w:t>
      </w:r>
      <w:r w:rsidRPr="00B61FF1">
        <w:rPr>
          <w:rFonts w:ascii="Arial" w:hAnsi="Arial" w:cs="Arial"/>
          <w:sz w:val="24"/>
          <w:szCs w:val="24"/>
        </w:rPr>
        <w:t>” is the benchmark for primary products produced by the refining sector, equal to 0.0462 metric tons of allowances per barrel of primary product;</w:t>
      </w:r>
    </w:p>
    <w:p w14:paraId="4AF1EA18" w14:textId="77777777" w:rsidR="000240E5" w:rsidRPr="00B61FF1" w:rsidRDefault="000240E5" w:rsidP="00794B7E">
      <w:pPr>
        <w:spacing w:line="360" w:lineRule="auto"/>
        <w:ind w:left="1710"/>
        <w:rPr>
          <w:rFonts w:ascii="Arial" w:hAnsi="Arial" w:cs="Arial"/>
          <w:sz w:val="24"/>
          <w:szCs w:val="24"/>
        </w:rPr>
      </w:pPr>
    </w:p>
    <w:p w14:paraId="3DAE81E5" w14:textId="77777777" w:rsidR="000240E5" w:rsidRPr="00B61FF1" w:rsidRDefault="000240E5" w:rsidP="00794B7E">
      <w:pPr>
        <w:spacing w:line="360" w:lineRule="auto"/>
        <w:ind w:left="1710"/>
        <w:rPr>
          <w:rFonts w:ascii="Arial" w:hAnsi="Arial" w:cs="Arial"/>
          <w:sz w:val="24"/>
          <w:szCs w:val="24"/>
        </w:rPr>
      </w:pPr>
      <w:r w:rsidRPr="00B61FF1">
        <w:rPr>
          <w:rFonts w:ascii="Arial" w:hAnsi="Arial" w:cs="Arial"/>
          <w:sz w:val="24"/>
          <w:szCs w:val="24"/>
        </w:rPr>
        <w:t>“AF</w:t>
      </w:r>
      <w:r w:rsidRPr="00B61FF1">
        <w:rPr>
          <w:rFonts w:ascii="Arial" w:hAnsi="Arial" w:cs="Arial"/>
          <w:sz w:val="24"/>
          <w:szCs w:val="24"/>
          <w:vertAlign w:val="subscript"/>
        </w:rPr>
        <w:t>R, t</w:t>
      </w:r>
      <w:r w:rsidRPr="00B61FF1">
        <w:rPr>
          <w:rFonts w:ascii="Arial" w:hAnsi="Arial" w:cs="Arial"/>
          <w:sz w:val="24"/>
          <w:szCs w:val="24"/>
        </w:rPr>
        <w:t xml:space="preserve">” </w:t>
      </w:r>
      <w:r w:rsidRPr="00B61FF1">
        <w:rPr>
          <w:rFonts w:ascii="Arial" w:hAnsi="Arial" w:cs="Arial"/>
          <w:sz w:val="24"/>
          <w:szCs w:val="24"/>
          <w:vertAlign w:val="subscript"/>
        </w:rPr>
        <w:t xml:space="preserve"> </w:t>
      </w:r>
      <w:r w:rsidRPr="00B61FF1">
        <w:rPr>
          <w:rFonts w:ascii="Arial" w:hAnsi="Arial" w:cs="Arial"/>
          <w:sz w:val="24"/>
          <w:szCs w:val="24"/>
        </w:rPr>
        <w:t>is the assistance factor for budget year “t” assigned to petroleum refining as specified in Table 8-1; and</w:t>
      </w:r>
    </w:p>
    <w:p w14:paraId="6ABA0C99" w14:textId="77777777" w:rsidR="000240E5" w:rsidRPr="00B61FF1" w:rsidRDefault="000240E5" w:rsidP="00794B7E">
      <w:pPr>
        <w:spacing w:line="360" w:lineRule="auto"/>
        <w:ind w:left="1710"/>
        <w:rPr>
          <w:rFonts w:ascii="Arial" w:hAnsi="Arial" w:cs="Arial"/>
          <w:sz w:val="24"/>
          <w:szCs w:val="24"/>
        </w:rPr>
      </w:pPr>
    </w:p>
    <w:p w14:paraId="7E8244B0" w14:textId="77777777" w:rsidR="000240E5" w:rsidRPr="00B61FF1" w:rsidRDefault="000240E5" w:rsidP="00794B7E">
      <w:pPr>
        <w:spacing w:line="360" w:lineRule="auto"/>
        <w:ind w:left="1710"/>
        <w:rPr>
          <w:rFonts w:ascii="Arial" w:hAnsi="Arial" w:cs="Arial"/>
          <w:sz w:val="24"/>
          <w:szCs w:val="24"/>
        </w:rPr>
      </w:pPr>
      <w:r w:rsidRPr="00B61FF1">
        <w:rPr>
          <w:rFonts w:ascii="Arial" w:hAnsi="Arial" w:cs="Arial"/>
          <w:sz w:val="24"/>
          <w:szCs w:val="24"/>
        </w:rPr>
        <w:t>“c</w:t>
      </w:r>
      <w:r w:rsidRPr="00B61FF1">
        <w:rPr>
          <w:rFonts w:ascii="Arial" w:hAnsi="Arial" w:cs="Arial"/>
          <w:sz w:val="24"/>
          <w:szCs w:val="24"/>
          <w:vertAlign w:val="subscript"/>
        </w:rPr>
        <w:t>t</w:t>
      </w:r>
      <w:r w:rsidRPr="00B61FF1">
        <w:rPr>
          <w:rFonts w:ascii="Arial" w:hAnsi="Arial" w:cs="Arial"/>
          <w:sz w:val="24"/>
          <w:szCs w:val="24"/>
        </w:rPr>
        <w:t>” is the adjustment factor for budget year “t” assigned to petroleum refining to account for cap decline as specified in Table 9-2.</w:t>
      </w:r>
    </w:p>
    <w:p w14:paraId="6691FE7C" w14:textId="77777777" w:rsidR="000240E5" w:rsidRPr="00B61FF1" w:rsidRDefault="000240E5" w:rsidP="00794B7E">
      <w:pPr>
        <w:autoSpaceDE/>
        <w:autoSpaceDN/>
        <w:adjustRightInd/>
        <w:spacing w:line="360" w:lineRule="auto"/>
        <w:ind w:left="1710"/>
        <w:rPr>
          <w:rFonts w:ascii="Arial" w:hAnsi="Arial" w:cs="Arial"/>
          <w:sz w:val="24"/>
          <w:szCs w:val="24"/>
        </w:rPr>
      </w:pPr>
    </w:p>
    <w:p w14:paraId="09DCC047"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“BE</w:t>
      </w:r>
      <w:r w:rsidRPr="00B61FF1">
        <w:rPr>
          <w:rFonts w:ascii="Arial" w:hAnsi="Arial" w:cs="Arial"/>
          <w:sz w:val="24"/>
          <w:szCs w:val="24"/>
          <w:vertAlign w:val="subscript"/>
        </w:rPr>
        <w:t>X</w:t>
      </w:r>
      <w:r w:rsidRPr="00B61FF1">
        <w:rPr>
          <w:rFonts w:ascii="Arial" w:hAnsi="Arial" w:cs="Arial"/>
          <w:sz w:val="24"/>
          <w:szCs w:val="24"/>
        </w:rPr>
        <w:t>” is the baseline average annual greenhouse gas emissions for refinery “X” adjusted for steam purchases and sales and electricity sales using the following equation:</w:t>
      </w:r>
    </w:p>
    <w:p w14:paraId="74C9267A"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lastRenderedPageBreak/>
        <w:t xml:space="preserve"> </w:t>
      </w:r>
      <w:r w:rsidRPr="00B61FF1">
        <w:rPr>
          <w:rFonts w:ascii="Cambria Math" w:hAnsi="Cambria Math" w:cs="Arial"/>
          <w:sz w:val="24"/>
          <w:szCs w:val="24"/>
        </w:rPr>
        <w:br/>
      </w:r>
      <m:oMathPara>
        <m:oMath>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X</m:t>
              </m:r>
            </m:sub>
          </m:sSub>
          <m:r>
            <w:rPr>
              <w:rFonts w:ascii="Cambria Math" w:hAnsi="Cambria Math" w:cs="Arial"/>
              <w:sz w:val="24"/>
              <w:szCs w:val="24"/>
            </w:rPr>
            <m:t>=GHG+(</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Purchased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Sold</m:t>
              </m:r>
            </m:sub>
          </m:sSub>
          <m:r>
            <w:rPr>
              <w:rFonts w:ascii="Cambria Math" w:hAnsi="Cambria Math" w:cs="Arial"/>
              <w:sz w:val="24"/>
              <w:szCs w:val="24"/>
            </w:rPr>
            <m:t>)*0.06244-</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Sold</m:t>
              </m:r>
            </m:sub>
          </m:sSub>
          <m:r>
            <w:rPr>
              <w:rFonts w:ascii="Cambria Math" w:hAnsi="Cambria Math" w:cs="Arial"/>
              <w:sz w:val="24"/>
              <w:szCs w:val="24"/>
            </w:rPr>
            <m:t>*0.431</m:t>
          </m:r>
        </m:oMath>
      </m:oMathPara>
    </w:p>
    <w:p w14:paraId="63D6097C" w14:textId="77777777" w:rsidR="000240E5" w:rsidRPr="00B61FF1" w:rsidRDefault="000240E5" w:rsidP="00794B7E">
      <w:pPr>
        <w:autoSpaceDE/>
        <w:autoSpaceDN/>
        <w:adjustRightInd/>
        <w:spacing w:line="360" w:lineRule="auto"/>
        <w:ind w:left="1710"/>
        <w:rPr>
          <w:rFonts w:ascii="Arial" w:hAnsi="Arial" w:cs="Arial"/>
          <w:sz w:val="24"/>
          <w:szCs w:val="24"/>
        </w:rPr>
      </w:pPr>
    </w:p>
    <w:p w14:paraId="2536BAEE"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“GHG” is the annual arithmetic mean amount of greenhouse gas emissions from the refinery;</w:t>
      </w:r>
    </w:p>
    <w:p w14:paraId="3FAE10FB" w14:textId="77777777" w:rsidR="000240E5" w:rsidRPr="00B61FF1" w:rsidRDefault="000240E5" w:rsidP="00794B7E">
      <w:pPr>
        <w:autoSpaceDE/>
        <w:autoSpaceDN/>
        <w:adjustRightInd/>
        <w:spacing w:line="360" w:lineRule="auto"/>
        <w:ind w:left="1710"/>
        <w:rPr>
          <w:rFonts w:ascii="Arial" w:hAnsi="Arial" w:cs="Arial"/>
          <w:sz w:val="24"/>
          <w:szCs w:val="24"/>
        </w:rPr>
      </w:pPr>
    </w:p>
    <w:p w14:paraId="13CE42D4"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“S</w:t>
      </w:r>
      <w:r w:rsidRPr="00B61FF1">
        <w:rPr>
          <w:rFonts w:ascii="Arial" w:hAnsi="Arial" w:cs="Arial"/>
          <w:sz w:val="24"/>
          <w:szCs w:val="24"/>
          <w:vertAlign w:val="subscript"/>
        </w:rPr>
        <w:t>Purchased</w:t>
      </w:r>
      <w:r w:rsidRPr="00B61FF1">
        <w:rPr>
          <w:rFonts w:ascii="Arial" w:hAnsi="Arial" w:cs="Arial"/>
          <w:sz w:val="24"/>
          <w:szCs w:val="24"/>
        </w:rPr>
        <w:t>” is the annual arithmetic mean amount of steam purchased by the refinery in MMBtu;</w:t>
      </w:r>
    </w:p>
    <w:p w14:paraId="6AE68A17" w14:textId="77777777" w:rsidR="000240E5" w:rsidRPr="00B61FF1" w:rsidRDefault="000240E5" w:rsidP="00794B7E">
      <w:pPr>
        <w:autoSpaceDE/>
        <w:autoSpaceDN/>
        <w:adjustRightInd/>
        <w:spacing w:line="360" w:lineRule="auto"/>
        <w:ind w:left="1710"/>
        <w:rPr>
          <w:rFonts w:ascii="Arial" w:hAnsi="Arial" w:cs="Arial"/>
          <w:sz w:val="24"/>
          <w:szCs w:val="24"/>
        </w:rPr>
      </w:pPr>
    </w:p>
    <w:p w14:paraId="294C94B6"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“S</w:t>
      </w:r>
      <w:r w:rsidRPr="00B61FF1">
        <w:rPr>
          <w:rFonts w:ascii="Arial" w:hAnsi="Arial" w:cs="Arial"/>
          <w:sz w:val="24"/>
          <w:szCs w:val="24"/>
          <w:vertAlign w:val="subscript"/>
        </w:rPr>
        <w:t>Sold</w:t>
      </w:r>
      <w:r w:rsidRPr="00B61FF1">
        <w:rPr>
          <w:rFonts w:ascii="Arial" w:hAnsi="Arial" w:cs="Arial"/>
          <w:sz w:val="24"/>
          <w:szCs w:val="24"/>
        </w:rPr>
        <w:t>” is the annual arithmetic mean amount of steam sold from the refinery in MMBtu;</w:t>
      </w:r>
    </w:p>
    <w:p w14:paraId="79F1C36F" w14:textId="77777777" w:rsidR="000240E5" w:rsidRPr="00B61FF1" w:rsidRDefault="000240E5" w:rsidP="00794B7E">
      <w:pPr>
        <w:autoSpaceDE/>
        <w:autoSpaceDN/>
        <w:adjustRightInd/>
        <w:spacing w:line="360" w:lineRule="auto"/>
        <w:ind w:left="1710"/>
        <w:rPr>
          <w:rFonts w:ascii="Arial" w:hAnsi="Arial" w:cs="Arial"/>
          <w:sz w:val="24"/>
          <w:szCs w:val="24"/>
        </w:rPr>
      </w:pPr>
    </w:p>
    <w:p w14:paraId="4AE377CE"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“e</w:t>
      </w:r>
      <w:r w:rsidRPr="00B61FF1">
        <w:rPr>
          <w:rFonts w:ascii="Arial" w:hAnsi="Arial" w:cs="Arial"/>
          <w:sz w:val="24"/>
          <w:szCs w:val="24"/>
          <w:vertAlign w:val="subscript"/>
        </w:rPr>
        <w:t>Sold</w:t>
      </w:r>
      <w:r w:rsidRPr="00B61FF1">
        <w:rPr>
          <w:rFonts w:ascii="Arial" w:hAnsi="Arial" w:cs="Arial"/>
          <w:sz w:val="24"/>
          <w:szCs w:val="24"/>
        </w:rPr>
        <w:t xml:space="preserve">” is the annual arithmetic mean amount of electricity sold from the refinery in MWh;  </w:t>
      </w:r>
    </w:p>
    <w:p w14:paraId="1377E4B1" w14:textId="77777777" w:rsidR="000240E5" w:rsidRPr="00B61FF1" w:rsidRDefault="000240E5" w:rsidP="00794B7E">
      <w:pPr>
        <w:autoSpaceDE/>
        <w:autoSpaceDN/>
        <w:adjustRightInd/>
        <w:spacing w:line="360" w:lineRule="auto"/>
        <w:ind w:left="1710"/>
        <w:rPr>
          <w:rFonts w:ascii="Arial" w:hAnsi="Arial" w:cs="Arial"/>
          <w:sz w:val="24"/>
          <w:szCs w:val="24"/>
        </w:rPr>
      </w:pPr>
    </w:p>
    <w:p w14:paraId="798D1F62" w14:textId="77777777" w:rsidR="000240E5" w:rsidRPr="00B61FF1" w:rsidRDefault="000240E5" w:rsidP="00794B7E">
      <w:pPr>
        <w:autoSpaceDE/>
        <w:autoSpaceDN/>
        <w:adjustRightInd/>
        <w:spacing w:line="360" w:lineRule="auto"/>
        <w:ind w:left="1710"/>
        <w:rPr>
          <w:rFonts w:ascii="Arial" w:hAnsi="Arial" w:cs="Arial"/>
          <w:sz w:val="24"/>
          <w:szCs w:val="24"/>
        </w:rPr>
      </w:pPr>
      <w:r w:rsidRPr="00B61FF1">
        <w:rPr>
          <w:rFonts w:ascii="Arial" w:hAnsi="Arial" w:cs="Arial"/>
          <w:sz w:val="24"/>
          <w:szCs w:val="24"/>
        </w:rPr>
        <w:t>To calculate these values</w:t>
      </w:r>
      <w:r w:rsidR="00326248" w:rsidRPr="00B61FF1">
        <w:rPr>
          <w:rFonts w:ascii="Arial" w:hAnsi="Arial" w:cs="Arial"/>
          <w:sz w:val="24"/>
          <w:szCs w:val="24"/>
        </w:rPr>
        <w:t>,</w:t>
      </w:r>
      <w:r w:rsidRPr="00B61FF1">
        <w:rPr>
          <w:rFonts w:ascii="Arial" w:hAnsi="Arial" w:cs="Arial"/>
          <w:sz w:val="24"/>
          <w:szCs w:val="24"/>
        </w:rPr>
        <w:t xml:space="preserve"> the Executive Officer may employ data reported to ARB for data years 2008-2010.  If</w:t>
      </w:r>
      <w:r w:rsidR="004F6AB0" w:rsidRPr="00B61FF1">
        <w:rPr>
          <w:rFonts w:ascii="Arial" w:hAnsi="Arial" w:cs="Arial"/>
          <w:sz w:val="24"/>
          <w:szCs w:val="24"/>
        </w:rPr>
        <w:t xml:space="preserve"> the facility reported facility-</w:t>
      </w:r>
      <w:r w:rsidRPr="00B61FF1">
        <w:rPr>
          <w:rFonts w:ascii="Arial" w:hAnsi="Arial" w:cs="Arial"/>
          <w:sz w:val="24"/>
          <w:szCs w:val="24"/>
        </w:rPr>
        <w:t>level, third-party verified, greenhouse gas emissions data to the California Climate Action Registry for data years 2006-2007</w:t>
      </w:r>
      <w:r w:rsidR="00326248" w:rsidRPr="00B61FF1">
        <w:rPr>
          <w:rFonts w:ascii="Arial" w:hAnsi="Arial" w:cs="Arial"/>
          <w:sz w:val="24"/>
          <w:szCs w:val="24"/>
        </w:rPr>
        <w:t>,</w:t>
      </w:r>
      <w:r w:rsidRPr="00B61FF1">
        <w:rPr>
          <w:rFonts w:ascii="Arial" w:hAnsi="Arial" w:cs="Arial"/>
          <w:sz w:val="24"/>
          <w:szCs w:val="24"/>
        </w:rPr>
        <w:t xml:space="preserve"> the Executive Officer may consider these years in determining representative baseline values.  If necessary, the Executive Officer will solicit data to establish a representative baseline.  </w:t>
      </w:r>
    </w:p>
    <w:p w14:paraId="34E2E901" w14:textId="77777777" w:rsidR="00322802" w:rsidRPr="00B61FF1" w:rsidRDefault="00322802" w:rsidP="000240E5">
      <w:pPr>
        <w:autoSpaceDE/>
        <w:autoSpaceDN/>
        <w:adjustRightInd/>
        <w:spacing w:line="360" w:lineRule="auto"/>
        <w:ind w:left="1080"/>
        <w:rPr>
          <w:rFonts w:ascii="Arial" w:hAnsi="Arial" w:cs="Arial"/>
          <w:sz w:val="24"/>
          <w:szCs w:val="24"/>
        </w:rPr>
      </w:pPr>
    </w:p>
    <w:p w14:paraId="50764276" w14:textId="1D06C9DF" w:rsidR="00FF22B9" w:rsidRPr="00B61FF1" w:rsidRDefault="00322802" w:rsidP="00322802">
      <w:pPr>
        <w:autoSpaceDE/>
        <w:autoSpaceDN/>
        <w:adjustRightInd/>
        <w:spacing w:line="360" w:lineRule="auto"/>
        <w:ind w:left="1710" w:hanging="63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007A1749" w:rsidRPr="00B61FF1">
        <w:rPr>
          <w:rFonts w:ascii="Arial" w:hAnsi="Arial" w:cs="Arial"/>
          <w:sz w:val="24"/>
          <w:szCs w:val="24"/>
          <w:u w:val="single"/>
        </w:rPr>
        <w:t>True</w:t>
      </w:r>
      <w:r w:rsidRPr="00B61FF1">
        <w:rPr>
          <w:rFonts w:ascii="Arial" w:hAnsi="Arial" w:cs="Arial"/>
          <w:sz w:val="24"/>
          <w:szCs w:val="24"/>
          <w:u w:val="single"/>
        </w:rPr>
        <w:t xml:space="preserve">up.  </w:t>
      </w:r>
      <w:r w:rsidR="00FF22B9" w:rsidRPr="00B61FF1">
        <w:rPr>
          <w:rFonts w:ascii="Arial" w:hAnsi="Arial" w:cs="Arial"/>
          <w:sz w:val="24"/>
          <w:szCs w:val="24"/>
          <w:u w:val="single"/>
        </w:rPr>
        <w:t>In 2015 and 2016, allowance values as calculated in for petroleum refineries Section 95891(b) will be adjusted to account for actual 2013 and 2014 product output. The following equations wil</w:t>
      </w:r>
      <w:r w:rsidR="007A1749" w:rsidRPr="00B61FF1">
        <w:rPr>
          <w:rFonts w:ascii="Arial" w:hAnsi="Arial" w:cs="Arial"/>
          <w:sz w:val="24"/>
          <w:szCs w:val="24"/>
          <w:u w:val="single"/>
        </w:rPr>
        <w:t>l be used to calculate the true</w:t>
      </w:r>
      <w:r w:rsidR="00A96BFF" w:rsidRPr="00B61FF1">
        <w:rPr>
          <w:rFonts w:ascii="Arial" w:hAnsi="Arial" w:cs="Arial"/>
          <w:sz w:val="24"/>
          <w:szCs w:val="24"/>
          <w:u w:val="single"/>
        </w:rPr>
        <w:t>up</w:t>
      </w:r>
      <w:r w:rsidR="00FF22B9" w:rsidRPr="00B61FF1">
        <w:rPr>
          <w:rFonts w:ascii="Arial" w:hAnsi="Arial" w:cs="Arial"/>
          <w:sz w:val="24"/>
          <w:szCs w:val="24"/>
          <w:u w:val="single"/>
        </w:rPr>
        <w:t xml:space="preserve"> using actual output: </w:t>
      </w:r>
    </w:p>
    <w:p w14:paraId="32B6E217" w14:textId="77777777" w:rsidR="00322802" w:rsidRPr="00B61FF1" w:rsidRDefault="00322802" w:rsidP="00322802">
      <w:pPr>
        <w:pStyle w:val="ListParagraph"/>
        <w:autoSpaceDE/>
        <w:autoSpaceDN/>
        <w:adjustRightInd/>
        <w:spacing w:line="360" w:lineRule="auto"/>
        <w:ind w:left="1080"/>
        <w:rPr>
          <w:rFonts w:ascii="Arial" w:hAnsi="Arial" w:cs="Arial"/>
          <w:sz w:val="24"/>
          <w:szCs w:val="24"/>
          <w:u w:val="single"/>
        </w:rPr>
      </w:pPr>
    </w:p>
    <w:p w14:paraId="2D0C5304" w14:textId="17F60988"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r w:rsidRPr="00B61FF1">
        <w:rPr>
          <w:rFonts w:ascii="Arial" w:hAnsi="Arial" w:cs="Arial"/>
          <w:sz w:val="24"/>
          <w:szCs w:val="24"/>
          <w:u w:val="single"/>
        </w:rPr>
        <w:tab/>
      </w:r>
      <w:r w:rsidRPr="00B61FF1">
        <w:rPr>
          <w:rFonts w:ascii="Arial" w:hAnsi="Arial" w:cs="Arial"/>
          <w:sz w:val="24"/>
          <w:szCs w:val="24"/>
          <w:u w:val="single"/>
        </w:rPr>
        <w:tab/>
        <w:t>If:</w:t>
      </w:r>
      <w:r w:rsidRPr="00B61FF1">
        <w:rPr>
          <w:rFonts w:ascii="Arial" w:hAnsi="Arial" w:cs="Arial"/>
          <w:sz w:val="24"/>
          <w:szCs w:val="24"/>
          <w:u w:val="single"/>
        </w:rPr>
        <w:tab/>
      </w:r>
      <m:oMath>
        <m:sSub>
          <m:sSubPr>
            <m:ctrlPr>
              <w:rPr>
                <w:rFonts w:ascii="Cambria Math" w:hAnsi="Cambria Math" w:cs="Arial"/>
                <w:i/>
                <w:sz w:val="24"/>
                <w:szCs w:val="24"/>
                <w:u w:val="single"/>
              </w:rPr>
            </m:ctrlPr>
          </m:sSubPr>
          <m:e>
            <m:r>
              <w:rPr>
                <w:rFonts w:ascii="Cambria Math" w:hAnsi="Cambria Math" w:cs="Arial"/>
                <w:sz w:val="24"/>
                <w:szCs w:val="24"/>
                <w:u w:val="single"/>
              </w:rPr>
              <m:t>O</m:t>
            </m:r>
          </m:e>
          <m:sub>
            <m:r>
              <w:rPr>
                <w:rFonts w:ascii="Cambria Math" w:hAnsi="Cambria Math" w:cs="Arial"/>
                <w:sz w:val="24"/>
                <w:szCs w:val="24"/>
                <w:u w:val="single"/>
              </w:rPr>
              <m:t>X, 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m:t>
            </m:r>
          </m:e>
          <m:sub>
            <m:r>
              <w:rPr>
                <w:rFonts w:ascii="Cambria Math" w:hAnsi="Cambria Math" w:cs="Arial"/>
                <w:sz w:val="24"/>
                <w:szCs w:val="24"/>
                <w:u w:val="single"/>
              </w:rPr>
              <m:t>R</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 xml:space="preserve">c </m:t>
            </m:r>
          </m:e>
          <m:sub>
            <m:r>
              <w:rPr>
                <w:rFonts w:ascii="Cambria Math" w:hAnsi="Cambria Math" w:cs="Arial"/>
                <w:sz w:val="24"/>
                <w:szCs w:val="24"/>
                <w:u w:val="single"/>
              </w:rPr>
              <m:t>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AF</m:t>
            </m:r>
          </m:e>
          <m:sub>
            <m:r>
              <w:rPr>
                <w:rFonts w:ascii="Cambria Math" w:hAnsi="Cambria Math" w:cs="Arial"/>
                <w:sz w:val="24"/>
                <w:szCs w:val="24"/>
                <w:u w:val="single"/>
              </w:rPr>
              <m:t>R,t-2</m:t>
            </m:r>
          </m:sub>
        </m:sSub>
      </m:oMath>
    </w:p>
    <w:p w14:paraId="4CD97EF1" w14:textId="04D3E978" w:rsidR="00322802" w:rsidRPr="00B61FF1" w:rsidRDefault="00322802" w:rsidP="00322802">
      <w:pPr>
        <w:autoSpaceDE/>
        <w:autoSpaceDN/>
        <w:adjustRightInd/>
        <w:spacing w:line="360" w:lineRule="auto"/>
        <w:ind w:left="1710"/>
        <w:rPr>
          <w:rFonts w:ascii="Arial" w:hAnsi="Arial" w:cs="Arial"/>
          <w:sz w:val="24"/>
          <w:szCs w:val="24"/>
          <w:u w:val="single"/>
        </w:rPr>
      </w:pPr>
      <m:oMathPara>
        <m:oMath>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BE</m:t>
              </m:r>
            </m:e>
            <m:sub>
              <m:r>
                <w:rPr>
                  <w:rFonts w:ascii="Cambria Math" w:hAnsi="Cambria Math" w:cs="Arial"/>
                  <w:sz w:val="24"/>
                  <w:szCs w:val="24"/>
                  <w:u w:val="single"/>
                </w:rPr>
                <m:t>X</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 xml:space="preserve">c </m:t>
              </m:r>
            </m:e>
            <m:sub>
              <m:r>
                <w:rPr>
                  <w:rFonts w:ascii="Cambria Math" w:hAnsi="Cambria Math" w:cs="Arial"/>
                  <w:sz w:val="24"/>
                  <w:szCs w:val="24"/>
                  <w:u w:val="single"/>
                </w:rPr>
                <m:t>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AF</m:t>
              </m:r>
            </m:e>
            <m:sub>
              <m:r>
                <w:rPr>
                  <w:rFonts w:ascii="Cambria Math" w:hAnsi="Cambria Math" w:cs="Arial"/>
                  <w:sz w:val="24"/>
                  <w:szCs w:val="24"/>
                  <w:u w:val="single"/>
                </w:rPr>
                <m:t>R,t-2</m:t>
              </m:r>
            </m:sub>
          </m:sSub>
        </m:oMath>
      </m:oMathPara>
    </w:p>
    <w:p w14:paraId="4EE7D01F" w14:textId="77777777"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p>
    <w:p w14:paraId="2E2816AB" w14:textId="37FCB72A"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r w:rsidRPr="00B61FF1">
        <w:rPr>
          <w:rFonts w:ascii="Arial" w:hAnsi="Arial" w:cs="Arial"/>
          <w:sz w:val="24"/>
          <w:szCs w:val="24"/>
          <w:u w:val="single"/>
        </w:rPr>
        <w:t xml:space="preserve">Then:  </w:t>
      </w:r>
      <m:oMath>
        <m:sSub>
          <m:sSubPr>
            <m:ctrlPr>
              <w:rPr>
                <w:rFonts w:ascii="Cambria Math" w:hAnsi="Cambria Math" w:cs="Arial"/>
                <w:i/>
                <w:sz w:val="24"/>
                <w:szCs w:val="24"/>
                <w:u w:val="single"/>
              </w:rPr>
            </m:ctrlPr>
          </m:sSubPr>
          <m:e>
            <m:r>
              <w:rPr>
                <w:rFonts w:ascii="Cambria Math" w:hAnsi="Cambria Math" w:cs="Arial"/>
                <w:sz w:val="24"/>
                <w:szCs w:val="24"/>
                <w:u w:val="single"/>
              </w:rPr>
              <m:t>TrueUp</m:t>
            </m:r>
          </m:e>
          <m:sub>
            <m:r>
              <w:rPr>
                <w:rFonts w:ascii="Cambria Math" w:hAnsi="Cambria Math" w:cs="Arial"/>
                <w:sz w:val="24"/>
                <w:szCs w:val="24"/>
                <w:u w:val="single"/>
              </w:rPr>
              <m:t xml:space="preserve">X,t </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(O</m:t>
            </m:r>
          </m:e>
          <m:sub>
            <m:r>
              <w:rPr>
                <w:rFonts w:ascii="Cambria Math" w:hAnsi="Cambria Math" w:cs="Arial"/>
                <w:sz w:val="24"/>
                <w:szCs w:val="24"/>
                <w:u w:val="single"/>
              </w:rPr>
              <m:t>X, 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m:t>
            </m:r>
          </m:e>
          <m:sub>
            <m:r>
              <w:rPr>
                <w:rFonts w:ascii="Cambria Math" w:hAnsi="Cambria Math" w:cs="Arial"/>
                <w:sz w:val="24"/>
                <w:szCs w:val="24"/>
                <w:u w:val="single"/>
              </w:rPr>
              <m:t>R</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 xml:space="preserve">c </m:t>
            </m:r>
          </m:e>
          <m:sub>
            <m:r>
              <w:rPr>
                <w:rFonts w:ascii="Cambria Math" w:hAnsi="Cambria Math" w:cs="Arial"/>
                <w:sz w:val="24"/>
                <w:szCs w:val="24"/>
                <w:u w:val="single"/>
              </w:rPr>
              <m:t>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AF</m:t>
            </m:r>
          </m:e>
          <m:sub>
            <m:r>
              <w:rPr>
                <w:rFonts w:ascii="Cambria Math" w:hAnsi="Cambria Math" w:cs="Arial"/>
                <w:sz w:val="24"/>
                <w:szCs w:val="24"/>
                <w:u w:val="single"/>
              </w:rPr>
              <m:t xml:space="preserve">R,t-2 </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m:t>
            </m:r>
          </m:e>
          <m:sub>
            <m:r>
              <w:rPr>
                <w:rFonts w:ascii="Cambria Math" w:hAnsi="Cambria Math" w:cs="Arial"/>
                <w:sz w:val="24"/>
                <w:szCs w:val="24"/>
                <w:u w:val="single"/>
              </w:rPr>
              <m:t>X, t-2</m:t>
            </m:r>
          </m:sub>
        </m:sSub>
        <m:r>
          <w:rPr>
            <w:rFonts w:ascii="Cambria Math" w:hAnsi="Cambria Math" w:cs="Arial"/>
            <w:sz w:val="24"/>
            <w:szCs w:val="24"/>
            <w:u w:val="single"/>
          </w:rPr>
          <m:t xml:space="preserve"> </m:t>
        </m:r>
      </m:oMath>
    </w:p>
    <w:p w14:paraId="52FA7D0E" w14:textId="77777777" w:rsidR="00322802" w:rsidRPr="00B61FF1" w:rsidRDefault="00322802" w:rsidP="00322802">
      <w:pPr>
        <w:autoSpaceDE/>
        <w:autoSpaceDN/>
        <w:adjustRightInd/>
        <w:spacing w:line="360" w:lineRule="auto"/>
        <w:ind w:left="1710"/>
        <w:rPr>
          <w:rFonts w:ascii="Arial" w:hAnsi="Arial" w:cs="Arial"/>
          <w:sz w:val="24"/>
          <w:szCs w:val="24"/>
          <w:u w:val="single"/>
        </w:rPr>
      </w:pPr>
    </w:p>
    <w:p w14:paraId="52331CBB" w14:textId="77777777" w:rsidR="00130E24" w:rsidRPr="00B61FF1" w:rsidRDefault="00322802" w:rsidP="00322802">
      <w:pPr>
        <w:pStyle w:val="ListParagraph"/>
        <w:autoSpaceDE/>
        <w:autoSpaceDN/>
        <w:adjustRightInd/>
        <w:spacing w:line="360" w:lineRule="auto"/>
        <w:ind w:left="1710"/>
        <w:rPr>
          <w:rFonts w:ascii="Arial" w:hAnsi="Arial" w:cs="Arial"/>
          <w:sz w:val="24"/>
          <w:szCs w:val="24"/>
          <w:u w:val="single"/>
        </w:rPr>
      </w:pPr>
      <w:r w:rsidRPr="00B61FF1">
        <w:rPr>
          <w:rFonts w:ascii="Arial" w:hAnsi="Arial" w:cs="Arial"/>
          <w:sz w:val="24"/>
          <w:szCs w:val="24"/>
          <w:u w:val="single"/>
        </w:rPr>
        <w:t>Where</w:t>
      </w:r>
      <w:r w:rsidR="00130E24" w:rsidRPr="00B61FF1">
        <w:rPr>
          <w:rFonts w:ascii="Arial" w:hAnsi="Arial" w:cs="Arial"/>
          <w:sz w:val="24"/>
          <w:szCs w:val="24"/>
          <w:u w:val="single"/>
        </w:rPr>
        <w:t>:</w:t>
      </w:r>
      <w:r w:rsidRPr="00B61FF1">
        <w:rPr>
          <w:rFonts w:ascii="Arial" w:hAnsi="Arial" w:cs="Arial"/>
          <w:sz w:val="24"/>
          <w:szCs w:val="24"/>
          <w:u w:val="single"/>
        </w:rPr>
        <w:t xml:space="preserve"> </w:t>
      </w:r>
    </w:p>
    <w:p w14:paraId="3385E121" w14:textId="77777777" w:rsidR="00130E24" w:rsidRPr="00B61FF1" w:rsidRDefault="00130E24" w:rsidP="00322802">
      <w:pPr>
        <w:pStyle w:val="ListParagraph"/>
        <w:autoSpaceDE/>
        <w:autoSpaceDN/>
        <w:adjustRightInd/>
        <w:spacing w:line="360" w:lineRule="auto"/>
        <w:ind w:left="1710"/>
        <w:rPr>
          <w:rFonts w:ascii="Arial" w:hAnsi="Arial" w:cs="Arial"/>
          <w:sz w:val="24"/>
          <w:szCs w:val="24"/>
          <w:u w:val="single"/>
        </w:rPr>
      </w:pPr>
    </w:p>
    <w:p w14:paraId="3D8D2F5F" w14:textId="41D5F446" w:rsidR="00130E24" w:rsidRPr="00B61FF1" w:rsidRDefault="00130E24" w:rsidP="00322802">
      <w:pPr>
        <w:pStyle w:val="ListParagraph"/>
        <w:autoSpaceDE/>
        <w:autoSpaceDN/>
        <w:adjustRightInd/>
        <w:spacing w:line="360" w:lineRule="auto"/>
        <w:ind w:left="1710"/>
        <w:rPr>
          <w:rFonts w:ascii="Arial" w:hAnsi="Arial" w:cs="Arial"/>
          <w:sz w:val="24"/>
          <w:szCs w:val="24"/>
          <w:u w:val="single"/>
        </w:rPr>
      </w:pPr>
      <w:r w:rsidRPr="00B61FF1">
        <w:rPr>
          <w:rFonts w:ascii="Arial" w:hAnsi="Arial" w:cs="Arial"/>
          <w:sz w:val="24"/>
          <w:szCs w:val="24"/>
          <w:u w:val="single"/>
        </w:rPr>
        <w:t>“</w:t>
      </w:r>
      <w:r w:rsidR="00BC06E0" w:rsidRPr="00B61FF1">
        <w:rPr>
          <w:rFonts w:ascii="Arial" w:hAnsi="Arial" w:cs="Arial"/>
          <w:sz w:val="24"/>
          <w:szCs w:val="24"/>
          <w:u w:val="single"/>
        </w:rPr>
        <w:t>TrueUp</w:t>
      </w:r>
      <w:r w:rsidR="00BC06E0" w:rsidRPr="00B61FF1">
        <w:rPr>
          <w:rFonts w:ascii="Arial" w:hAnsi="Arial" w:cs="Arial"/>
          <w:sz w:val="24"/>
          <w:szCs w:val="24"/>
          <w:u w:val="single"/>
          <w:vertAlign w:val="subscript"/>
        </w:rPr>
        <w:t>X,t</w:t>
      </w:r>
      <w:r w:rsidRPr="00B61FF1">
        <w:rPr>
          <w:rFonts w:ascii="Arial" w:hAnsi="Arial" w:cs="Arial"/>
          <w:sz w:val="24"/>
          <w:szCs w:val="24"/>
          <w:u w:val="single"/>
        </w:rPr>
        <w:t>” is the amount true-up allowance</w:t>
      </w:r>
      <w:r w:rsidR="00BC06E0" w:rsidRPr="00B61FF1">
        <w:rPr>
          <w:rFonts w:ascii="Arial" w:hAnsi="Arial" w:cs="Arial"/>
          <w:sz w:val="24"/>
          <w:szCs w:val="24"/>
          <w:u w:val="single"/>
        </w:rPr>
        <w:t>s</w:t>
      </w:r>
      <w:r w:rsidRPr="00B61FF1">
        <w:rPr>
          <w:rFonts w:ascii="Arial" w:hAnsi="Arial" w:cs="Arial"/>
          <w:sz w:val="24"/>
          <w:szCs w:val="24"/>
          <w:u w:val="single"/>
        </w:rPr>
        <w:t xml:space="preserve"> allocated to account for changes in production or allocation not properly accounted for in prior allocations</w:t>
      </w:r>
      <w:r w:rsidR="00BC06E0" w:rsidRPr="00B61FF1">
        <w:rPr>
          <w:rFonts w:ascii="Arial" w:hAnsi="Arial" w:cs="Arial"/>
          <w:sz w:val="24"/>
          <w:szCs w:val="24"/>
          <w:u w:val="single"/>
        </w:rPr>
        <w:t xml:space="preserve"> for refinery “X”</w:t>
      </w:r>
      <w:r w:rsidRPr="00B61FF1">
        <w:rPr>
          <w:rFonts w:ascii="Arial" w:hAnsi="Arial" w:cs="Arial"/>
          <w:sz w:val="24"/>
          <w:szCs w:val="24"/>
          <w:u w:val="single"/>
        </w:rPr>
        <w:t xml:space="preserve">. This value of allowances for budget year “t” shall be allowed to be used for budget year “t-2” pursuant to 95856(h)(1)(C) and 95856(h)(2)(C).  </w:t>
      </w:r>
    </w:p>
    <w:p w14:paraId="004B7B97" w14:textId="349057CD"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p>
    <w:p w14:paraId="6AD11144" w14:textId="7A472783"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r w:rsidRPr="00B61FF1">
        <w:rPr>
          <w:rFonts w:ascii="Arial" w:hAnsi="Arial" w:cs="Arial"/>
          <w:sz w:val="24"/>
          <w:szCs w:val="24"/>
          <w:u w:val="single"/>
        </w:rPr>
        <w:t>If:</w:t>
      </w:r>
      <w:r w:rsidRPr="00B61FF1">
        <w:rPr>
          <w:rFonts w:ascii="Arial" w:hAnsi="Arial" w:cs="Arial"/>
          <w:sz w:val="24"/>
          <w:szCs w:val="24"/>
          <w:u w:val="single"/>
        </w:rPr>
        <w:tab/>
        <w:t xml:space="preserve"> </w:t>
      </w:r>
      <m:oMath>
        <m:sSub>
          <m:sSubPr>
            <m:ctrlPr>
              <w:rPr>
                <w:rFonts w:ascii="Cambria Math" w:hAnsi="Cambria Math" w:cs="Arial"/>
                <w:i/>
                <w:sz w:val="24"/>
                <w:szCs w:val="24"/>
                <w:u w:val="single"/>
              </w:rPr>
            </m:ctrlPr>
          </m:sSubPr>
          <m:e>
            <m:r>
              <w:rPr>
                <w:rFonts w:ascii="Cambria Math" w:hAnsi="Cambria Math" w:cs="Arial"/>
                <w:sz w:val="24"/>
                <w:szCs w:val="24"/>
                <w:u w:val="single"/>
              </w:rPr>
              <m:t>O</m:t>
            </m:r>
          </m:e>
          <m:sub>
            <m:r>
              <w:rPr>
                <w:rFonts w:ascii="Cambria Math" w:hAnsi="Cambria Math" w:cs="Arial"/>
                <w:sz w:val="24"/>
                <w:szCs w:val="24"/>
                <w:u w:val="single"/>
              </w:rPr>
              <m:t>X, 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m:t>
            </m:r>
          </m:e>
          <m:sub>
            <m:r>
              <w:rPr>
                <w:rFonts w:ascii="Cambria Math" w:hAnsi="Cambria Math" w:cs="Arial"/>
                <w:sz w:val="24"/>
                <w:szCs w:val="24"/>
                <w:u w:val="single"/>
              </w:rPr>
              <m:t>R</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 xml:space="preserve">c </m:t>
            </m:r>
          </m:e>
          <m:sub>
            <m:r>
              <w:rPr>
                <w:rFonts w:ascii="Cambria Math" w:hAnsi="Cambria Math" w:cs="Arial"/>
                <w:sz w:val="24"/>
                <w:szCs w:val="24"/>
                <w:u w:val="single"/>
              </w:rPr>
              <m:t>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AF</m:t>
            </m:r>
          </m:e>
          <m:sub>
            <m:r>
              <w:rPr>
                <w:rFonts w:ascii="Cambria Math" w:hAnsi="Cambria Math" w:cs="Arial"/>
                <w:sz w:val="24"/>
                <w:szCs w:val="24"/>
                <w:u w:val="single"/>
              </w:rPr>
              <m:t>R,t-2</m:t>
            </m:r>
          </m:sub>
        </m:sSub>
      </m:oMath>
      <w:r w:rsidRPr="00B61FF1">
        <w:rPr>
          <w:rFonts w:ascii="Arial" w:hAnsi="Arial" w:cs="Arial"/>
          <w:sz w:val="24"/>
          <w:szCs w:val="24"/>
          <w:u w:val="single"/>
        </w:rPr>
        <w:t xml:space="preserve"> </w:t>
      </w:r>
    </w:p>
    <w:p w14:paraId="71904D7F" w14:textId="13E23454" w:rsidR="00322802" w:rsidRPr="00B61FF1" w:rsidRDefault="00322802" w:rsidP="00322802">
      <w:pPr>
        <w:autoSpaceDE/>
        <w:autoSpaceDN/>
        <w:adjustRightInd/>
        <w:spacing w:line="360" w:lineRule="auto"/>
        <w:ind w:left="1710"/>
        <w:rPr>
          <w:rFonts w:ascii="Arial" w:hAnsi="Arial" w:cs="Arial"/>
          <w:sz w:val="24"/>
          <w:szCs w:val="24"/>
          <w:u w:val="single"/>
        </w:rPr>
      </w:pPr>
      <m:oMath>
        <m:r>
          <w:rPr>
            <w:rFonts w:ascii="Cambria Math" w:hAnsi="Cambria Math" w:cs="Arial"/>
            <w:sz w:val="24"/>
            <w:szCs w:val="24"/>
            <w:u w:val="single"/>
          </w:rPr>
          <m:t>&gt;</m:t>
        </m:r>
        <m:sSub>
          <m:sSubPr>
            <m:ctrlPr>
              <w:rPr>
                <w:rFonts w:ascii="Cambria Math" w:hAnsi="Cambria Math" w:cs="Arial"/>
                <w:i/>
                <w:sz w:val="24"/>
                <w:szCs w:val="24"/>
                <w:u w:val="single"/>
              </w:rPr>
            </m:ctrlPr>
          </m:sSubPr>
          <m:e>
            <m:r>
              <w:rPr>
                <w:rFonts w:ascii="Cambria Math" w:hAnsi="Cambria Math" w:cs="Arial"/>
                <w:sz w:val="24"/>
                <w:szCs w:val="24"/>
                <w:u w:val="single"/>
              </w:rPr>
              <m:t>BE</m:t>
            </m:r>
          </m:e>
          <m:sub>
            <m:r>
              <w:rPr>
                <w:rFonts w:ascii="Cambria Math" w:hAnsi="Cambria Math" w:cs="Arial"/>
                <w:sz w:val="24"/>
                <w:szCs w:val="24"/>
                <w:u w:val="single"/>
              </w:rPr>
              <m:t>X</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 xml:space="preserve">c </m:t>
            </m:r>
          </m:e>
          <m:sub>
            <m:r>
              <w:rPr>
                <w:rFonts w:ascii="Cambria Math" w:hAnsi="Cambria Math" w:cs="Arial"/>
                <w:sz w:val="24"/>
                <w:szCs w:val="24"/>
                <w:u w:val="single"/>
              </w:rPr>
              <m:t>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AF</m:t>
            </m:r>
          </m:e>
          <m:sub>
            <m:r>
              <w:rPr>
                <w:rFonts w:ascii="Cambria Math" w:hAnsi="Cambria Math" w:cs="Arial"/>
                <w:sz w:val="24"/>
                <w:szCs w:val="24"/>
                <w:u w:val="single"/>
              </w:rPr>
              <m:t>R,t-2</m:t>
            </m:r>
          </m:sub>
        </m:sSub>
      </m:oMath>
      <w:r w:rsidRPr="00B61FF1">
        <w:rPr>
          <w:rFonts w:ascii="Arial" w:hAnsi="Arial" w:cs="Arial"/>
          <w:sz w:val="24"/>
          <w:szCs w:val="24"/>
          <w:u w:val="single"/>
        </w:rPr>
        <w:t xml:space="preserve"> </w:t>
      </w:r>
    </w:p>
    <w:p w14:paraId="47F9E9A9" w14:textId="77777777"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p>
    <w:p w14:paraId="5985E138" w14:textId="647F7B76" w:rsidR="00322802" w:rsidRPr="00B61FF1" w:rsidRDefault="00322802" w:rsidP="00322802">
      <w:pPr>
        <w:pStyle w:val="ListParagraph"/>
        <w:autoSpaceDE/>
        <w:autoSpaceDN/>
        <w:adjustRightInd/>
        <w:spacing w:line="360" w:lineRule="auto"/>
        <w:ind w:left="1710"/>
        <w:rPr>
          <w:rFonts w:ascii="Arial" w:hAnsi="Arial" w:cs="Arial"/>
          <w:sz w:val="24"/>
          <w:szCs w:val="24"/>
          <w:u w:val="single"/>
        </w:rPr>
      </w:pPr>
      <w:r w:rsidRPr="00B61FF1">
        <w:rPr>
          <w:rFonts w:ascii="Arial" w:hAnsi="Arial" w:cs="Arial"/>
          <w:sz w:val="24"/>
          <w:szCs w:val="24"/>
          <w:u w:val="single"/>
        </w:rPr>
        <w:t>Then:</w:t>
      </w:r>
      <m:oMath>
        <m:r>
          <w:rPr>
            <w:rFonts w:ascii="Cambria Math" w:hAnsi="Cambria Math" w:cs="Arial"/>
            <w:sz w:val="24"/>
            <w:szCs w:val="24"/>
            <w:u w:val="single"/>
          </w:rPr>
          <m:t xml:space="preserve"> </m:t>
        </m:r>
        <m:sSub>
          <m:sSubPr>
            <m:ctrlPr>
              <w:rPr>
                <w:rFonts w:ascii="Cambria Math" w:hAnsi="Cambria Math" w:cs="Arial"/>
                <w:i/>
                <w:sz w:val="24"/>
                <w:szCs w:val="24"/>
                <w:u w:val="single"/>
              </w:rPr>
            </m:ctrlPr>
          </m:sSubPr>
          <m:e>
            <m:r>
              <w:rPr>
                <w:rFonts w:ascii="Cambria Math" w:hAnsi="Cambria Math" w:cs="Arial"/>
                <w:sz w:val="24"/>
                <w:szCs w:val="24"/>
                <w:u w:val="single"/>
              </w:rPr>
              <m:t>T</m:t>
            </m:r>
            <m:r>
              <w:rPr>
                <w:rFonts w:ascii="Cambria Math" w:hAnsi="Cambria Math" w:cs="Arial"/>
                <w:sz w:val="24"/>
                <w:szCs w:val="24"/>
                <w:u w:val="single"/>
              </w:rPr>
              <m:t>rueUp</m:t>
            </m:r>
          </m:e>
          <m:sub>
            <m:r>
              <w:rPr>
                <w:rFonts w:ascii="Cambria Math" w:hAnsi="Cambria Math" w:cs="Arial"/>
                <w:sz w:val="24"/>
                <w:szCs w:val="24"/>
                <w:u w:val="single"/>
              </w:rPr>
              <m:t xml:space="preserve">X,t </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BE</m:t>
            </m:r>
          </m:e>
          <m:sub>
            <m:r>
              <w:rPr>
                <w:rFonts w:ascii="Cambria Math" w:hAnsi="Cambria Math" w:cs="Arial"/>
                <w:sz w:val="24"/>
                <w:szCs w:val="24"/>
                <w:u w:val="single"/>
              </w:rPr>
              <m:t>X</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 xml:space="preserve">c </m:t>
            </m:r>
          </m:e>
          <m:sub>
            <m:r>
              <w:rPr>
                <w:rFonts w:ascii="Cambria Math" w:hAnsi="Cambria Math" w:cs="Arial"/>
                <w:sz w:val="24"/>
                <w:szCs w:val="24"/>
                <w:u w:val="single"/>
              </w:rPr>
              <m:t>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AF</m:t>
            </m:r>
          </m:e>
          <m:sub>
            <m:r>
              <w:rPr>
                <w:rFonts w:ascii="Cambria Math" w:hAnsi="Cambria Math" w:cs="Arial"/>
                <w:sz w:val="24"/>
                <w:szCs w:val="24"/>
                <w:u w:val="single"/>
              </w:rPr>
              <m:t>R,t-2</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m:t>
            </m:r>
          </m:e>
          <m:sub>
            <m:r>
              <w:rPr>
                <w:rFonts w:ascii="Cambria Math" w:hAnsi="Cambria Math" w:cs="Arial"/>
                <w:sz w:val="24"/>
                <w:szCs w:val="24"/>
                <w:u w:val="single"/>
              </w:rPr>
              <m:t>X, t-2</m:t>
            </m:r>
          </m:sub>
        </m:sSub>
        <m:r>
          <w:rPr>
            <w:rFonts w:ascii="Cambria Math" w:hAnsi="Cambria Math" w:cs="Arial"/>
            <w:sz w:val="24"/>
            <w:szCs w:val="24"/>
            <w:u w:val="single"/>
          </w:rPr>
          <m:t xml:space="preserve"> </m:t>
        </m:r>
      </m:oMath>
      <w:r w:rsidRPr="00B61FF1">
        <w:rPr>
          <w:rFonts w:ascii="Arial" w:hAnsi="Arial" w:cs="Arial"/>
          <w:sz w:val="24"/>
          <w:szCs w:val="24"/>
          <w:u w:val="single"/>
        </w:rPr>
        <w:t xml:space="preserve">  </w:t>
      </w:r>
    </w:p>
    <w:p w14:paraId="35F9DE93" w14:textId="77777777" w:rsidR="000240E5" w:rsidRPr="00B61FF1" w:rsidRDefault="000240E5" w:rsidP="000240E5">
      <w:pPr>
        <w:autoSpaceDE/>
        <w:autoSpaceDN/>
        <w:adjustRightInd/>
        <w:spacing w:line="360" w:lineRule="auto"/>
        <w:rPr>
          <w:rFonts w:ascii="Arial" w:hAnsi="Arial" w:cs="Arial"/>
          <w:sz w:val="24"/>
          <w:szCs w:val="24"/>
        </w:rPr>
      </w:pPr>
    </w:p>
    <w:p w14:paraId="4DDC7D80" w14:textId="32300934" w:rsidR="000240E5" w:rsidRPr="00B61FF1" w:rsidRDefault="000240E5" w:rsidP="000240E5">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Facilities with an EII value.  For refineries that participated in the 2008 Solomon Energy Review and have a representative EII value</w:t>
      </w:r>
      <w:r w:rsidR="00326248" w:rsidRPr="00B61FF1">
        <w:rPr>
          <w:rFonts w:ascii="Arial" w:hAnsi="Arial" w:cs="Arial"/>
          <w:sz w:val="24"/>
          <w:szCs w:val="24"/>
        </w:rPr>
        <w:t>,</w:t>
      </w:r>
      <w:r w:rsidRPr="00B61FF1">
        <w:rPr>
          <w:rFonts w:ascii="Arial" w:hAnsi="Arial" w:cs="Arial"/>
          <w:sz w:val="24"/>
          <w:szCs w:val="24"/>
        </w:rPr>
        <w:t xml:space="preserve"> allowances will be allocated using the following approach:</w:t>
      </w:r>
    </w:p>
    <w:p w14:paraId="1EC77803" w14:textId="77777777" w:rsidR="000240E5" w:rsidRPr="00B61FF1" w:rsidRDefault="000240E5" w:rsidP="000240E5">
      <w:pPr>
        <w:autoSpaceDE/>
        <w:autoSpaceDN/>
        <w:adjustRightInd/>
        <w:spacing w:line="360" w:lineRule="auto"/>
        <w:ind w:left="144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Initial Allocations.  2013 and 2014 vintage allowances will be allocated using the following equation:</w:t>
      </w:r>
    </w:p>
    <w:p w14:paraId="6553BCC4" w14:textId="77777777" w:rsidR="000240E5" w:rsidRPr="00B61FF1" w:rsidRDefault="000240E5" w:rsidP="000240E5">
      <w:pPr>
        <w:autoSpaceDE/>
        <w:autoSpaceDN/>
        <w:adjustRightInd/>
        <w:spacing w:line="360" w:lineRule="auto"/>
        <w:rPr>
          <w:rFonts w:ascii="Arial" w:hAnsi="Arial" w:cs="Arial"/>
          <w:sz w:val="24"/>
          <w:szCs w:val="24"/>
        </w:rPr>
      </w:pPr>
    </w:p>
    <w:p w14:paraId="587D9573" w14:textId="77777777" w:rsidR="000240E5" w:rsidRPr="00B61FF1" w:rsidRDefault="00661852" w:rsidP="000240E5">
      <w:pPr>
        <w:autoSpaceDE/>
        <w:autoSpaceDN/>
        <w:adjustRightInd/>
        <w:spacing w:line="360" w:lineRule="auto"/>
        <w:ind w:left="1080" w:hanging="72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Y,t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Y</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DF</m:t>
              </m:r>
            </m:e>
            <m:sub>
              <m:r>
                <w:rPr>
                  <w:rFonts w:ascii="Cambria Math" w:hAnsi="Cambria Math" w:cs="Arial"/>
                  <w:sz w:val="24"/>
                  <w:szCs w:val="24"/>
                </w:rPr>
                <m:t>Y,t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oMath>
      </m:oMathPara>
    </w:p>
    <w:p w14:paraId="64DB4C58" w14:textId="77777777" w:rsidR="000240E5" w:rsidRPr="00B61FF1" w:rsidRDefault="000240E5" w:rsidP="000240E5">
      <w:pPr>
        <w:autoSpaceDE/>
        <w:autoSpaceDN/>
        <w:adjustRightInd/>
        <w:spacing w:line="360" w:lineRule="auto"/>
        <w:ind w:left="1080" w:hanging="720"/>
        <w:rPr>
          <w:rFonts w:ascii="Arial" w:hAnsi="Arial" w:cs="Arial"/>
          <w:sz w:val="24"/>
          <w:szCs w:val="24"/>
        </w:rPr>
      </w:pPr>
    </w:p>
    <w:p w14:paraId="4C0CB791"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 xml:space="preserve">Where: </w:t>
      </w:r>
    </w:p>
    <w:p w14:paraId="4BAF43D0" w14:textId="77777777" w:rsidR="00D11BA8" w:rsidRPr="00B61FF1" w:rsidRDefault="00D11BA8" w:rsidP="00D11BA8">
      <w:pPr>
        <w:autoSpaceDE/>
        <w:autoSpaceDN/>
        <w:adjustRightInd/>
        <w:spacing w:line="360" w:lineRule="auto"/>
        <w:ind w:left="1440"/>
        <w:rPr>
          <w:rFonts w:ascii="Arial" w:hAnsi="Arial" w:cs="Arial"/>
          <w:sz w:val="24"/>
          <w:szCs w:val="24"/>
        </w:rPr>
      </w:pPr>
    </w:p>
    <w:p w14:paraId="1EEB0939"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“A</w:t>
      </w:r>
      <w:r w:rsidRPr="00B61FF1">
        <w:rPr>
          <w:rFonts w:ascii="Arial" w:hAnsi="Arial" w:cs="Arial"/>
          <w:sz w:val="24"/>
          <w:szCs w:val="24"/>
          <w:vertAlign w:val="subscript"/>
        </w:rPr>
        <w:t>Y,t</w:t>
      </w:r>
      <w:r w:rsidRPr="00B61FF1">
        <w:rPr>
          <w:rFonts w:ascii="Arial" w:hAnsi="Arial" w:cs="Arial"/>
          <w:sz w:val="24"/>
          <w:szCs w:val="24"/>
        </w:rPr>
        <w:t>” is the initial allocation to refinery “Y” that has an EII value for year “t”;</w:t>
      </w:r>
    </w:p>
    <w:p w14:paraId="39CD977D" w14:textId="77777777" w:rsidR="000240E5" w:rsidRPr="00B61FF1" w:rsidRDefault="000240E5" w:rsidP="00D11BA8">
      <w:pPr>
        <w:autoSpaceDE/>
        <w:autoSpaceDN/>
        <w:adjustRightInd/>
        <w:spacing w:line="360" w:lineRule="auto"/>
        <w:ind w:left="1440"/>
        <w:rPr>
          <w:rFonts w:ascii="Arial" w:hAnsi="Arial" w:cs="Arial"/>
          <w:sz w:val="24"/>
          <w:szCs w:val="24"/>
        </w:rPr>
      </w:pPr>
    </w:p>
    <w:p w14:paraId="1F3970B3"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lastRenderedPageBreak/>
        <w:t>“BE</w:t>
      </w:r>
      <w:r w:rsidRPr="00B61FF1">
        <w:rPr>
          <w:rFonts w:ascii="Arial" w:hAnsi="Arial" w:cs="Arial"/>
          <w:sz w:val="24"/>
          <w:szCs w:val="24"/>
          <w:vertAlign w:val="subscript"/>
        </w:rPr>
        <w:t>Y</w:t>
      </w:r>
      <w:r w:rsidRPr="00B61FF1">
        <w:rPr>
          <w:rFonts w:ascii="Arial" w:hAnsi="Arial" w:cs="Arial"/>
          <w:sz w:val="24"/>
          <w:szCs w:val="24"/>
        </w:rPr>
        <w:t>” is the baseline average annual greenhouse gas emissions for refinery “Y” adjusted for steam purchases and sales and electricity sales using the following equation:</w:t>
      </w:r>
    </w:p>
    <w:p w14:paraId="79A55825" w14:textId="77777777" w:rsidR="000240E5" w:rsidRPr="00B61FF1" w:rsidRDefault="00661852" w:rsidP="00D11BA8">
      <w:pPr>
        <w:autoSpaceDE/>
        <w:autoSpaceDN/>
        <w:adjustRightInd/>
        <w:spacing w:line="360" w:lineRule="auto"/>
        <w:ind w:left="144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Y</m:t>
              </m:r>
            </m:sub>
          </m:sSub>
          <m:r>
            <w:rPr>
              <w:rFonts w:ascii="Cambria Math" w:hAnsi="Cambria Math" w:cs="Arial"/>
              <w:sz w:val="24"/>
              <w:szCs w:val="24"/>
            </w:rPr>
            <m:t>=GHG+(</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Purchased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Sold</m:t>
              </m:r>
            </m:sub>
          </m:sSub>
          <m:r>
            <w:rPr>
              <w:rFonts w:ascii="Cambria Math" w:hAnsi="Cambria Math" w:cs="Arial"/>
              <w:sz w:val="24"/>
              <w:szCs w:val="24"/>
            </w:rPr>
            <m:t>)*0.06244-</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Sold</m:t>
              </m:r>
            </m:sub>
          </m:sSub>
          <m:r>
            <w:rPr>
              <w:rFonts w:ascii="Cambria Math" w:hAnsi="Cambria Math" w:cs="Arial"/>
              <w:sz w:val="24"/>
              <w:szCs w:val="24"/>
            </w:rPr>
            <m:t>*0.431</m:t>
          </m:r>
        </m:oMath>
      </m:oMathPara>
    </w:p>
    <w:p w14:paraId="57336A77" w14:textId="77777777" w:rsidR="000240E5" w:rsidRPr="00B61FF1" w:rsidRDefault="000240E5" w:rsidP="00D11BA8">
      <w:pPr>
        <w:autoSpaceDE/>
        <w:autoSpaceDN/>
        <w:adjustRightInd/>
        <w:spacing w:line="360" w:lineRule="auto"/>
        <w:ind w:left="1440"/>
        <w:rPr>
          <w:rFonts w:ascii="Arial" w:hAnsi="Arial" w:cs="Arial"/>
          <w:sz w:val="24"/>
          <w:szCs w:val="24"/>
        </w:rPr>
      </w:pPr>
    </w:p>
    <w:p w14:paraId="6A884E24" w14:textId="255B9391"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“GHG”</w:t>
      </w:r>
      <w:r w:rsidR="00CF17F8" w:rsidRPr="00B61FF1">
        <w:rPr>
          <w:rFonts w:ascii="Arial" w:hAnsi="Arial" w:cs="Arial"/>
          <w:sz w:val="24"/>
          <w:szCs w:val="24"/>
        </w:rPr>
        <w:t>, for the purposes of this calculation,</w:t>
      </w:r>
      <w:r w:rsidR="001F3A12" w:rsidRPr="00B61FF1">
        <w:rPr>
          <w:rFonts w:ascii="Arial" w:hAnsi="Arial" w:cs="Arial"/>
          <w:sz w:val="24"/>
          <w:szCs w:val="24"/>
        </w:rPr>
        <w:t xml:space="preserve"> </w:t>
      </w:r>
      <w:r w:rsidRPr="00B61FF1">
        <w:rPr>
          <w:rFonts w:ascii="Arial" w:hAnsi="Arial" w:cs="Arial"/>
          <w:sz w:val="24"/>
          <w:szCs w:val="24"/>
        </w:rPr>
        <w:t>is the annual arithmetic mean amount of greenhouse gas emissions from the refinery;</w:t>
      </w:r>
    </w:p>
    <w:p w14:paraId="0A2A9F09" w14:textId="77777777" w:rsidR="000240E5" w:rsidRPr="00B61FF1" w:rsidRDefault="000240E5" w:rsidP="00D11BA8">
      <w:pPr>
        <w:autoSpaceDE/>
        <w:autoSpaceDN/>
        <w:adjustRightInd/>
        <w:spacing w:line="360" w:lineRule="auto"/>
        <w:ind w:left="1440"/>
        <w:rPr>
          <w:rFonts w:ascii="Arial" w:hAnsi="Arial" w:cs="Arial"/>
          <w:sz w:val="24"/>
          <w:szCs w:val="24"/>
        </w:rPr>
      </w:pPr>
    </w:p>
    <w:p w14:paraId="2023DB96"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“S</w:t>
      </w:r>
      <w:r w:rsidRPr="00B61FF1">
        <w:rPr>
          <w:rFonts w:ascii="Arial" w:hAnsi="Arial" w:cs="Arial"/>
          <w:sz w:val="24"/>
          <w:szCs w:val="24"/>
          <w:vertAlign w:val="subscript"/>
        </w:rPr>
        <w:t>Purchased</w:t>
      </w:r>
      <w:r w:rsidRPr="00B61FF1">
        <w:rPr>
          <w:rFonts w:ascii="Arial" w:hAnsi="Arial" w:cs="Arial"/>
          <w:sz w:val="24"/>
          <w:szCs w:val="24"/>
        </w:rPr>
        <w:t>” is the annual arithmetic mean amount of steam purchased by the refinery in MMBtu;</w:t>
      </w:r>
    </w:p>
    <w:p w14:paraId="1AABCFA1" w14:textId="77777777" w:rsidR="000240E5" w:rsidRPr="00B61FF1" w:rsidRDefault="000240E5" w:rsidP="00D11BA8">
      <w:pPr>
        <w:autoSpaceDE/>
        <w:autoSpaceDN/>
        <w:adjustRightInd/>
        <w:spacing w:line="360" w:lineRule="auto"/>
        <w:ind w:left="1440"/>
        <w:rPr>
          <w:rFonts w:ascii="Arial" w:hAnsi="Arial" w:cs="Arial"/>
          <w:sz w:val="24"/>
          <w:szCs w:val="24"/>
        </w:rPr>
      </w:pPr>
    </w:p>
    <w:p w14:paraId="4C490790"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“S</w:t>
      </w:r>
      <w:r w:rsidRPr="00B61FF1">
        <w:rPr>
          <w:rFonts w:ascii="Arial" w:hAnsi="Arial" w:cs="Arial"/>
          <w:sz w:val="24"/>
          <w:szCs w:val="24"/>
          <w:vertAlign w:val="subscript"/>
        </w:rPr>
        <w:t>Sold</w:t>
      </w:r>
      <w:r w:rsidRPr="00B61FF1">
        <w:rPr>
          <w:rFonts w:ascii="Arial" w:hAnsi="Arial" w:cs="Arial"/>
          <w:sz w:val="24"/>
          <w:szCs w:val="24"/>
        </w:rPr>
        <w:t>” is the annual arithmetic mean amount of steam sold from the refinery in MMBtu;</w:t>
      </w:r>
    </w:p>
    <w:p w14:paraId="28B4025F" w14:textId="77777777" w:rsidR="000240E5" w:rsidRPr="00B61FF1" w:rsidRDefault="000240E5" w:rsidP="00D11BA8">
      <w:pPr>
        <w:autoSpaceDE/>
        <w:autoSpaceDN/>
        <w:adjustRightInd/>
        <w:spacing w:line="360" w:lineRule="auto"/>
        <w:ind w:left="1440"/>
        <w:rPr>
          <w:rFonts w:ascii="Arial" w:hAnsi="Arial" w:cs="Arial"/>
          <w:sz w:val="24"/>
          <w:szCs w:val="24"/>
        </w:rPr>
      </w:pPr>
    </w:p>
    <w:p w14:paraId="1CCBAEEF"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“e</w:t>
      </w:r>
      <w:r w:rsidRPr="00B61FF1">
        <w:rPr>
          <w:rFonts w:ascii="Arial" w:hAnsi="Arial" w:cs="Arial"/>
          <w:sz w:val="24"/>
          <w:szCs w:val="24"/>
          <w:vertAlign w:val="subscript"/>
        </w:rPr>
        <w:t>Sold</w:t>
      </w:r>
      <w:r w:rsidRPr="00B61FF1">
        <w:rPr>
          <w:rFonts w:ascii="Arial" w:hAnsi="Arial" w:cs="Arial"/>
          <w:sz w:val="24"/>
          <w:szCs w:val="24"/>
        </w:rPr>
        <w:t xml:space="preserve">” is the annual arithmetic mean amount of electricity sold from the refinery in MWh;  </w:t>
      </w:r>
    </w:p>
    <w:p w14:paraId="4D02D80C" w14:textId="77777777" w:rsidR="000240E5" w:rsidRPr="00B61FF1" w:rsidRDefault="000240E5" w:rsidP="00D11BA8">
      <w:pPr>
        <w:autoSpaceDE/>
        <w:autoSpaceDN/>
        <w:adjustRightInd/>
        <w:spacing w:line="360" w:lineRule="auto"/>
        <w:ind w:left="1440"/>
        <w:rPr>
          <w:rFonts w:ascii="Arial" w:hAnsi="Arial" w:cs="Arial"/>
          <w:sz w:val="24"/>
          <w:szCs w:val="24"/>
        </w:rPr>
      </w:pPr>
    </w:p>
    <w:p w14:paraId="01271A4E"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To calculate these values</w:t>
      </w:r>
      <w:r w:rsidR="00326248" w:rsidRPr="00B61FF1">
        <w:rPr>
          <w:rFonts w:ascii="Arial" w:hAnsi="Arial" w:cs="Arial"/>
          <w:sz w:val="24"/>
          <w:szCs w:val="24"/>
        </w:rPr>
        <w:t>,</w:t>
      </w:r>
      <w:r w:rsidRPr="00B61FF1">
        <w:rPr>
          <w:rFonts w:ascii="Arial" w:hAnsi="Arial" w:cs="Arial"/>
          <w:sz w:val="24"/>
          <w:szCs w:val="24"/>
        </w:rPr>
        <w:t xml:space="preserve"> the Executive Officer may employ data reported to ARB for data years 2008-2010.  If the facility reported facility level, third-party verified, greenhouse gas emissions data to the California Climate Action R</w:t>
      </w:r>
      <w:r w:rsidR="00326248" w:rsidRPr="00B61FF1">
        <w:rPr>
          <w:rFonts w:ascii="Arial" w:hAnsi="Arial" w:cs="Arial"/>
          <w:sz w:val="24"/>
          <w:szCs w:val="24"/>
        </w:rPr>
        <w:t>egistry for data years 2006-2007,</w:t>
      </w:r>
      <w:r w:rsidRPr="00B61FF1">
        <w:rPr>
          <w:rFonts w:ascii="Arial" w:hAnsi="Arial" w:cs="Arial"/>
          <w:sz w:val="24"/>
          <w:szCs w:val="24"/>
        </w:rPr>
        <w:t xml:space="preserve"> the Executive Officer may consider these years in determining representative baseline values.  If necessary, the Executive Officer will solicit data to establish a representative baseline allocation;  </w:t>
      </w:r>
    </w:p>
    <w:p w14:paraId="5428E2EC" w14:textId="77777777" w:rsidR="000240E5" w:rsidRPr="00B61FF1" w:rsidRDefault="000240E5" w:rsidP="00D11BA8">
      <w:pPr>
        <w:autoSpaceDE/>
        <w:autoSpaceDN/>
        <w:adjustRightInd/>
        <w:spacing w:line="360" w:lineRule="auto"/>
        <w:ind w:left="1440"/>
        <w:rPr>
          <w:rFonts w:ascii="Arial" w:hAnsi="Arial" w:cs="Arial"/>
          <w:sz w:val="24"/>
          <w:szCs w:val="24"/>
        </w:rPr>
      </w:pPr>
    </w:p>
    <w:p w14:paraId="3F96679B"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“DF</w:t>
      </w:r>
      <w:r w:rsidRPr="00B61FF1">
        <w:rPr>
          <w:rFonts w:ascii="Arial" w:hAnsi="Arial" w:cs="Arial"/>
          <w:sz w:val="24"/>
          <w:szCs w:val="24"/>
          <w:vertAlign w:val="subscript"/>
        </w:rPr>
        <w:t>Y,t</w:t>
      </w:r>
      <w:r w:rsidRPr="00B61FF1">
        <w:rPr>
          <w:rFonts w:ascii="Arial" w:hAnsi="Arial" w:cs="Arial"/>
          <w:sz w:val="24"/>
          <w:szCs w:val="24"/>
        </w:rPr>
        <w:t>” is a distribution factor calculated as:</w:t>
      </w:r>
    </w:p>
    <w:p w14:paraId="1DC9731B" w14:textId="77777777" w:rsidR="00D11BA8" w:rsidRPr="00B61FF1" w:rsidRDefault="00D11BA8" w:rsidP="00D11BA8">
      <w:pPr>
        <w:autoSpaceDE/>
        <w:autoSpaceDN/>
        <w:adjustRightInd/>
        <w:spacing w:line="360" w:lineRule="auto"/>
        <w:ind w:left="1440"/>
        <w:rPr>
          <w:rFonts w:ascii="Arial" w:hAnsi="Arial" w:cs="Arial"/>
          <w:sz w:val="24"/>
          <w:szCs w:val="24"/>
        </w:rPr>
      </w:pPr>
    </w:p>
    <w:p w14:paraId="08116B85" w14:textId="77777777" w:rsidR="000240E5" w:rsidRPr="00B61FF1" w:rsidRDefault="00661852" w:rsidP="00D11BA8">
      <w:pPr>
        <w:autoSpaceDE/>
        <w:autoSpaceDN/>
        <w:adjustRightInd/>
        <w:spacing w:line="360" w:lineRule="auto"/>
        <w:ind w:left="144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DF</m:t>
              </m:r>
            </m:e>
            <m:sub>
              <m:r>
                <w:rPr>
                  <w:rFonts w:ascii="Cambria Math" w:hAnsi="Cambria Math" w:cs="Arial"/>
                  <w:sz w:val="24"/>
                  <w:szCs w:val="24"/>
                </w:rPr>
                <m:t>Y,t</m:t>
              </m:r>
            </m:sub>
          </m:sSub>
          <m:r>
            <w:rPr>
              <w:rFonts w:ascii="Cambria Math" w:hAnsi="Cambria Math" w:cs="Arial"/>
              <w:sz w:val="24"/>
              <w:szCs w:val="24"/>
            </w:rPr>
            <m:t xml:space="preserve"> = ((Avg / </m:t>
          </m:r>
          <m:sSub>
            <m:sSubPr>
              <m:ctrlPr>
                <w:rPr>
                  <w:rFonts w:ascii="Cambria Math" w:hAnsi="Cambria Math" w:cs="Arial"/>
                  <w:i/>
                  <w:sz w:val="24"/>
                  <w:szCs w:val="24"/>
                </w:rPr>
              </m:ctrlPr>
            </m:sSubPr>
            <m:e>
              <m:r>
                <w:rPr>
                  <w:rFonts w:ascii="Cambria Math" w:hAnsi="Cambria Math" w:cs="Arial"/>
                  <w:sz w:val="24"/>
                  <w:szCs w:val="24"/>
                </w:rPr>
                <m:t>EII</m:t>
              </m:r>
            </m:e>
            <m:sub>
              <m:r>
                <w:rPr>
                  <w:rFonts w:ascii="Cambria Math" w:hAnsi="Cambria Math" w:cs="Arial"/>
                  <w:sz w:val="24"/>
                  <w:szCs w:val="24"/>
                </w:rPr>
                <m:t>Y</m:t>
              </m:r>
            </m:sub>
          </m:sSub>
          <m:r>
            <w:rPr>
              <w:rFonts w:ascii="Cambria Math" w:hAnsi="Cambria Math" w:cs="Arial"/>
              <w:sz w:val="24"/>
              <w:szCs w:val="24"/>
            </w:rPr>
            <m:t xml:space="preserve">) + </m:t>
          </m:r>
          <m:sSub>
            <m:sSubPr>
              <m:ctrlPr>
                <w:rPr>
                  <w:rFonts w:ascii="Cambria Math" w:hAnsi="Cambria Math" w:cs="Arial"/>
                  <w:i/>
                  <w:sz w:val="24"/>
                  <w:szCs w:val="24"/>
                </w:rPr>
              </m:ctrlPr>
            </m:sSubPr>
            <m:e>
              <m:r>
                <w:rPr>
                  <w:rFonts w:ascii="Cambria Math" w:hAnsi="Cambria Math" w:cs="Arial"/>
                  <w:sz w:val="24"/>
                  <w:szCs w:val="24"/>
                </w:rPr>
                <m:t>Adj</m:t>
              </m:r>
            </m:e>
            <m:sub>
              <m:r>
                <w:rPr>
                  <w:rFonts w:ascii="Cambria Math" w:hAnsi="Cambria Math" w:cs="Arial"/>
                  <w:sz w:val="24"/>
                  <w:szCs w:val="24"/>
                </w:rPr>
                <m:t>t</m:t>
              </m:r>
            </m:sub>
          </m:sSub>
          <m:r>
            <w:rPr>
              <w:rFonts w:ascii="Cambria Math" w:hAnsi="Cambria Math" w:cs="Arial"/>
              <w:sz w:val="24"/>
              <w:szCs w:val="24"/>
            </w:rPr>
            <m:t xml:space="preserve">) / (1 + </m:t>
          </m:r>
          <m:sSub>
            <m:sSubPr>
              <m:ctrlPr>
                <w:rPr>
                  <w:rFonts w:ascii="Cambria Math" w:hAnsi="Cambria Math" w:cs="Arial"/>
                  <w:i/>
                  <w:sz w:val="24"/>
                  <w:szCs w:val="24"/>
                </w:rPr>
              </m:ctrlPr>
            </m:sSubPr>
            <m:e>
              <m:r>
                <w:rPr>
                  <w:rFonts w:ascii="Cambria Math" w:hAnsi="Cambria Math" w:cs="Arial"/>
                  <w:sz w:val="24"/>
                  <w:szCs w:val="24"/>
                </w:rPr>
                <m:t>Adj</m:t>
              </m:r>
            </m:e>
            <m:sub>
              <m:r>
                <w:rPr>
                  <w:rFonts w:ascii="Cambria Math" w:hAnsi="Cambria Math" w:cs="Arial"/>
                  <w:sz w:val="24"/>
                  <w:szCs w:val="24"/>
                </w:rPr>
                <m:t>t</m:t>
              </m:r>
            </m:sub>
          </m:sSub>
          <m:r>
            <w:rPr>
              <w:rFonts w:ascii="Cambria Math" w:hAnsi="Cambria Math" w:cs="Arial"/>
              <w:sz w:val="24"/>
              <w:szCs w:val="24"/>
            </w:rPr>
            <m:t>)</m:t>
          </m:r>
        </m:oMath>
      </m:oMathPara>
    </w:p>
    <w:p w14:paraId="1F56885D" w14:textId="77777777" w:rsidR="000240E5" w:rsidRPr="00B61FF1" w:rsidRDefault="000240E5" w:rsidP="00D11BA8">
      <w:pPr>
        <w:autoSpaceDE/>
        <w:autoSpaceDN/>
        <w:adjustRightInd/>
        <w:spacing w:line="360" w:lineRule="auto"/>
        <w:ind w:left="1440"/>
        <w:rPr>
          <w:rFonts w:ascii="Arial" w:hAnsi="Arial" w:cs="Arial"/>
          <w:sz w:val="24"/>
          <w:szCs w:val="24"/>
        </w:rPr>
      </w:pPr>
    </w:p>
    <w:p w14:paraId="55BA105B"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"Avg” is the weighted average EII for all facilities with EII values calculated as:</w:t>
      </w:r>
    </w:p>
    <w:p w14:paraId="5E125237" w14:textId="77777777" w:rsidR="000240E5" w:rsidRPr="00B61FF1" w:rsidRDefault="000240E5" w:rsidP="00D11BA8">
      <w:pPr>
        <w:autoSpaceDE/>
        <w:autoSpaceDN/>
        <w:adjustRightInd/>
        <w:spacing w:line="360" w:lineRule="auto"/>
        <w:ind w:left="1440"/>
        <w:rPr>
          <w:rFonts w:ascii="Arial" w:hAnsi="Arial" w:cs="Arial"/>
          <w:sz w:val="24"/>
          <w:szCs w:val="24"/>
        </w:rPr>
      </w:pPr>
      <m:oMathPara>
        <m:oMath>
          <m:r>
            <w:rPr>
              <w:rFonts w:ascii="Cambria Math" w:hAnsi="Cambria Math" w:cs="Arial"/>
              <w:sz w:val="24"/>
              <w:szCs w:val="24"/>
            </w:rPr>
            <w:lastRenderedPageBreak/>
            <m:t>Avg =</m:t>
          </m:r>
          <m:f>
            <m:fPr>
              <m:ctrlPr>
                <w:rPr>
                  <w:rFonts w:ascii="Cambria Math" w:hAnsi="Cambria Math" w:cs="Arial"/>
                  <w:i/>
                  <w:sz w:val="24"/>
                  <w:szCs w:val="24"/>
                </w:rPr>
              </m:ctrlPr>
            </m:fPr>
            <m:num>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Y</m:t>
                      </m:r>
                    </m:sub>
                  </m:sSub>
                </m:e>
              </m:nary>
            </m:num>
            <m:den>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Y</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EII</m:t>
                      </m:r>
                    </m:e>
                    <m:sub>
                      <m:r>
                        <w:rPr>
                          <w:rFonts w:ascii="Cambria Math" w:hAnsi="Cambria Math" w:cs="Arial"/>
                          <w:sz w:val="24"/>
                          <w:szCs w:val="24"/>
                        </w:rPr>
                        <m:t>Y</m:t>
                      </m:r>
                    </m:sub>
                  </m:sSub>
                  <m:r>
                    <w:rPr>
                      <w:rFonts w:ascii="Cambria Math" w:hAnsi="Cambria Math" w:cs="Arial"/>
                      <w:sz w:val="24"/>
                      <w:szCs w:val="24"/>
                    </w:rPr>
                    <m:t>)</m:t>
                  </m:r>
                </m:e>
              </m:nary>
            </m:den>
          </m:f>
          <m:r>
            <w:rPr>
              <w:rFonts w:ascii="Cambria Math" w:hAnsi="Cambria Math" w:cs="Arial"/>
              <w:sz w:val="24"/>
              <w:szCs w:val="24"/>
            </w:rPr>
            <m:t xml:space="preserve"> </m:t>
          </m:r>
        </m:oMath>
      </m:oMathPara>
    </w:p>
    <w:p w14:paraId="7FE8FC0A" w14:textId="77777777" w:rsidR="000240E5" w:rsidRPr="00B61FF1" w:rsidRDefault="00825B81"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ab/>
      </w:r>
      <w:r w:rsidRPr="00B61FF1">
        <w:rPr>
          <w:rFonts w:ascii="Arial" w:hAnsi="Arial" w:cs="Arial"/>
          <w:sz w:val="24"/>
          <w:szCs w:val="24"/>
        </w:rPr>
        <w:tab/>
      </w:r>
      <w:r w:rsidRPr="00B61FF1">
        <w:rPr>
          <w:rFonts w:ascii="Arial" w:hAnsi="Arial" w:cs="Arial"/>
          <w:sz w:val="24"/>
          <w:szCs w:val="24"/>
        </w:rPr>
        <w:tab/>
      </w:r>
      <w:r w:rsidRPr="00B61FF1">
        <w:rPr>
          <w:rFonts w:ascii="Arial" w:hAnsi="Arial" w:cs="Arial"/>
          <w:sz w:val="24"/>
          <w:szCs w:val="24"/>
        </w:rPr>
        <w:tab/>
      </w:r>
      <w:r w:rsidRPr="00B61FF1">
        <w:rPr>
          <w:rFonts w:ascii="Arial" w:hAnsi="Arial" w:cs="Arial"/>
          <w:sz w:val="24"/>
          <w:szCs w:val="24"/>
        </w:rPr>
        <w:tab/>
      </w:r>
      <w:r w:rsidRPr="00B61FF1">
        <w:rPr>
          <w:rFonts w:ascii="Arial" w:hAnsi="Arial" w:cs="Arial"/>
          <w:sz w:val="24"/>
          <w:szCs w:val="24"/>
        </w:rPr>
        <w:tab/>
      </w:r>
      <w:r w:rsidRPr="00B61FF1">
        <w:rPr>
          <w:rFonts w:ascii="Arial" w:hAnsi="Arial" w:cs="Arial"/>
          <w:sz w:val="24"/>
          <w:szCs w:val="24"/>
        </w:rPr>
        <w:tab/>
      </w:r>
      <w:r w:rsidRPr="00B61FF1">
        <w:rPr>
          <w:rFonts w:ascii="Arial" w:hAnsi="Arial" w:cs="Arial"/>
          <w:sz w:val="24"/>
          <w:szCs w:val="24"/>
        </w:rPr>
        <w:tab/>
      </w:r>
    </w:p>
    <w:p w14:paraId="281A19B3"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“EII</w:t>
      </w:r>
      <w:r w:rsidRPr="00B61FF1">
        <w:rPr>
          <w:rFonts w:ascii="Arial" w:hAnsi="Arial" w:cs="Arial"/>
          <w:sz w:val="24"/>
          <w:szCs w:val="24"/>
          <w:vertAlign w:val="subscript"/>
        </w:rPr>
        <w:t>Y</w:t>
      </w:r>
      <w:r w:rsidRPr="00B61FF1">
        <w:rPr>
          <w:rFonts w:ascii="Arial" w:hAnsi="Arial" w:cs="Arial"/>
          <w:sz w:val="24"/>
          <w:szCs w:val="24"/>
        </w:rPr>
        <w:t>” is the Solomon Energy Intensity Index (EII) for facility Y for 2008, 2009 or 2010 as determined to be representative by the Executive Officer.  For the purposes of this calculation</w:t>
      </w:r>
      <w:r w:rsidR="00326248" w:rsidRPr="00B61FF1">
        <w:rPr>
          <w:rFonts w:ascii="Arial" w:hAnsi="Arial" w:cs="Arial"/>
          <w:sz w:val="24"/>
          <w:szCs w:val="24"/>
        </w:rPr>
        <w:t>,</w:t>
      </w:r>
      <w:r w:rsidRPr="00B61FF1">
        <w:rPr>
          <w:rFonts w:ascii="Arial" w:hAnsi="Arial" w:cs="Arial"/>
          <w:sz w:val="24"/>
          <w:szCs w:val="24"/>
        </w:rPr>
        <w:t xml:space="preserve"> EII values shall be rounded to one digit after the decimal;</w:t>
      </w:r>
    </w:p>
    <w:p w14:paraId="0C58AA7E"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 xml:space="preserve"> </w:t>
      </w:r>
    </w:p>
    <w:p w14:paraId="40915BAC"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"Adj" is an adjustment factor designed to provide the facility with the best EII the most allowances relative to its baseline level:</w:t>
      </w:r>
    </w:p>
    <w:p w14:paraId="23769C4B" w14:textId="77777777" w:rsidR="000240E5" w:rsidRPr="00B61FF1" w:rsidRDefault="00661852" w:rsidP="00D11BA8">
      <w:pPr>
        <w:autoSpaceDE/>
        <w:autoSpaceDN/>
        <w:adjustRightInd/>
        <w:spacing w:line="360" w:lineRule="auto"/>
        <w:ind w:left="144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Adj</m:t>
              </m:r>
            </m:e>
            <m:sub>
              <m:r>
                <w:rPr>
                  <w:rFonts w:ascii="Cambria Math" w:hAnsi="Cambria Math" w:cs="Arial"/>
                  <w:sz w:val="24"/>
                  <w:szCs w:val="24"/>
                </w:rPr>
                <m:t>t</m:t>
              </m:r>
            </m:sub>
          </m:sSub>
          <m:r>
            <w:rPr>
              <w:rFonts w:ascii="Cambria Math" w:hAnsi="Cambria Math" w:cs="Arial"/>
              <w:sz w:val="24"/>
              <w:szCs w:val="24"/>
            </w:rPr>
            <m:t xml:space="preserve"> = ((Avg/</m:t>
          </m:r>
          <m:sSub>
            <m:sSubPr>
              <m:ctrlPr>
                <w:rPr>
                  <w:rFonts w:ascii="Cambria Math" w:hAnsi="Cambria Math" w:cs="Arial"/>
                  <w:i/>
                  <w:sz w:val="24"/>
                  <w:szCs w:val="24"/>
                </w:rPr>
              </m:ctrlPr>
            </m:sSubPr>
            <m:e>
              <m:r>
                <w:rPr>
                  <w:rFonts w:ascii="Cambria Math" w:hAnsi="Cambria Math" w:cs="Arial"/>
                  <w:sz w:val="24"/>
                  <w:szCs w:val="24"/>
                </w:rPr>
                <m:t>EII</m:t>
              </m:r>
            </m:e>
            <m:sub>
              <m:r>
                <w:rPr>
                  <w:rFonts w:ascii="Cambria Math" w:hAnsi="Cambria Math" w:cs="Arial"/>
                  <w:sz w:val="24"/>
                  <w:szCs w:val="24"/>
                </w:rPr>
                <m:t>Best</m:t>
              </m:r>
            </m:sub>
          </m:sSub>
          <m:r>
            <w:rPr>
              <w:rFonts w:ascii="Cambria Math" w:hAnsi="Cambria Math" w:cs="Arial"/>
              <w:sz w:val="24"/>
              <w:szCs w:val="24"/>
            </w:rPr>
            <m:t xml:space="preserve">) * </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r>
            <w:rPr>
              <w:rFonts w:ascii="Cambria Math" w:hAnsi="Cambria Math" w:cs="Arial"/>
              <w:sz w:val="24"/>
              <w:szCs w:val="24"/>
            </w:rPr>
            <m:t xml:space="preserve"> - 1) / (1 - </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r>
            <w:rPr>
              <w:rFonts w:ascii="Cambria Math" w:hAnsi="Cambria Math" w:cs="Arial"/>
              <w:sz w:val="24"/>
              <w:szCs w:val="24"/>
            </w:rPr>
            <m:t>)</m:t>
          </m:r>
        </m:oMath>
      </m:oMathPara>
    </w:p>
    <w:p w14:paraId="1856B5AD" w14:textId="77777777" w:rsidR="000240E5" w:rsidRPr="00B61FF1" w:rsidRDefault="000240E5" w:rsidP="00D11BA8">
      <w:pPr>
        <w:autoSpaceDE/>
        <w:autoSpaceDN/>
        <w:adjustRightInd/>
        <w:spacing w:line="360" w:lineRule="auto"/>
        <w:ind w:left="1440"/>
        <w:rPr>
          <w:rFonts w:ascii="Arial" w:hAnsi="Arial" w:cs="Arial"/>
          <w:sz w:val="24"/>
          <w:szCs w:val="24"/>
        </w:rPr>
      </w:pPr>
    </w:p>
    <w:p w14:paraId="51846BD0"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“EII</w:t>
      </w:r>
      <w:r w:rsidRPr="00B61FF1">
        <w:rPr>
          <w:rFonts w:ascii="Arial" w:hAnsi="Arial" w:cs="Arial"/>
          <w:sz w:val="24"/>
          <w:szCs w:val="24"/>
          <w:vertAlign w:val="subscript"/>
        </w:rPr>
        <w:t>Best</w:t>
      </w:r>
      <w:r w:rsidRPr="00B61FF1">
        <w:rPr>
          <w:rFonts w:ascii="Arial" w:hAnsi="Arial" w:cs="Arial"/>
          <w:sz w:val="24"/>
          <w:szCs w:val="24"/>
        </w:rPr>
        <w:t>” is the EII of most efficient facility (lowest EII in sector);</w:t>
      </w:r>
      <w:r w:rsidRPr="00B61FF1">
        <w:rPr>
          <w:rFonts w:ascii="Arial" w:hAnsi="Arial" w:cs="Arial"/>
          <w:sz w:val="24"/>
          <w:szCs w:val="24"/>
        </w:rPr>
        <w:tab/>
      </w:r>
    </w:p>
    <w:p w14:paraId="6028ECB8" w14:textId="77777777" w:rsidR="000240E5" w:rsidRPr="00B61FF1" w:rsidRDefault="000240E5" w:rsidP="00D11BA8">
      <w:pPr>
        <w:autoSpaceDE/>
        <w:autoSpaceDN/>
        <w:adjustRightInd/>
        <w:spacing w:line="360" w:lineRule="auto"/>
        <w:ind w:left="1440"/>
        <w:rPr>
          <w:rFonts w:ascii="Arial" w:hAnsi="Arial" w:cs="Arial"/>
          <w:sz w:val="24"/>
          <w:szCs w:val="24"/>
        </w:rPr>
      </w:pPr>
    </w:p>
    <w:p w14:paraId="1D0E26BD" w14:textId="77777777" w:rsidR="000240E5" w:rsidRPr="00B61FF1" w:rsidRDefault="000240E5" w:rsidP="00D11BA8">
      <w:pPr>
        <w:autoSpaceDE/>
        <w:autoSpaceDN/>
        <w:adjustRightInd/>
        <w:spacing w:line="360" w:lineRule="auto"/>
        <w:ind w:left="1440"/>
        <w:rPr>
          <w:rFonts w:ascii="Arial" w:hAnsi="Arial" w:cs="Arial"/>
          <w:sz w:val="24"/>
          <w:szCs w:val="24"/>
        </w:rPr>
      </w:pPr>
      <w:r w:rsidRPr="00B61FF1">
        <w:rPr>
          <w:rFonts w:ascii="Arial" w:hAnsi="Arial" w:cs="Arial"/>
          <w:sz w:val="24"/>
          <w:szCs w:val="24"/>
        </w:rPr>
        <w:t>“F</w:t>
      </w:r>
      <w:r w:rsidRPr="00B61FF1">
        <w:rPr>
          <w:rFonts w:ascii="Arial" w:hAnsi="Arial" w:cs="Arial"/>
          <w:sz w:val="24"/>
          <w:szCs w:val="24"/>
          <w:vertAlign w:val="subscript"/>
        </w:rPr>
        <w:t>t</w:t>
      </w:r>
      <w:r w:rsidRPr="00B61FF1">
        <w:rPr>
          <w:rFonts w:ascii="Arial" w:hAnsi="Arial" w:cs="Arial"/>
          <w:sz w:val="24"/>
          <w:szCs w:val="24"/>
        </w:rPr>
        <w:t xml:space="preserve">” is a fraction calculated as:  </w:t>
      </w:r>
    </w:p>
    <w:p w14:paraId="2C65F01F" w14:textId="6F47D7D5" w:rsidR="0068028F" w:rsidRPr="00B61FF1" w:rsidRDefault="00661852" w:rsidP="00BE6305">
      <w:pPr>
        <w:autoSpaceDE/>
        <w:autoSpaceDN/>
        <w:adjustRightInd/>
        <w:spacing w:line="360" w:lineRule="auto"/>
        <w:ind w:left="144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SA</m:t>
                  </m:r>
                </m:e>
                <m:sub>
                  <m:r>
                    <w:rPr>
                      <w:rFonts w:ascii="Cambria Math" w:hAnsi="Cambria Math" w:cs="Arial"/>
                      <w:sz w:val="24"/>
                      <w:szCs w:val="24"/>
                    </w:rPr>
                    <m:t>t</m:t>
                  </m:r>
                </m:sub>
              </m:sSub>
              <m:r>
                <w:rPr>
                  <w:rFonts w:ascii="Cambria Math" w:hAnsi="Cambria Math" w:cs="Arial"/>
                  <w:sz w:val="24"/>
                  <w:szCs w:val="24"/>
                </w:rPr>
                <m:t>-</m:t>
              </m:r>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X,t</m:t>
                      </m:r>
                    </m:sub>
                  </m:sSub>
                </m:e>
              </m:nary>
            </m:num>
            <m:den>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r>
                        <w:rPr>
                          <w:rFonts w:ascii="Cambria Math" w:hAnsi="Cambria Math" w:cs="Arial"/>
                          <w:sz w:val="24"/>
                          <w:szCs w:val="24"/>
                        </w:rPr>
                        <m:t>BE</m:t>
                      </m:r>
                    </m:e>
                    <m:sub>
                      <m:r>
                        <w:rPr>
                          <w:rFonts w:ascii="Cambria Math" w:hAnsi="Cambria Math" w:cs="Arial"/>
                          <w:sz w:val="24"/>
                          <w:szCs w:val="24"/>
                        </w:rPr>
                        <m:t>Y</m:t>
                      </m:r>
                    </m:sub>
                  </m:sSub>
                </m:e>
              </m:nary>
            </m:den>
          </m:f>
        </m:oMath>
      </m:oMathPara>
    </w:p>
    <w:p w14:paraId="5DB999BF" w14:textId="77777777" w:rsidR="0068028F" w:rsidRPr="00B61FF1" w:rsidRDefault="0068028F" w:rsidP="00D11BA8">
      <w:pPr>
        <w:autoSpaceDE/>
        <w:autoSpaceDN/>
        <w:adjustRightInd/>
        <w:ind w:left="1440"/>
        <w:rPr>
          <w:rFonts w:ascii="Arial" w:hAnsi="Arial" w:cs="Arial"/>
          <w:sz w:val="24"/>
          <w:szCs w:val="24"/>
        </w:rPr>
      </w:pPr>
    </w:p>
    <w:p w14:paraId="31E582E4" w14:textId="7F57C763" w:rsidR="00A950AB" w:rsidRPr="00B61FF1" w:rsidRDefault="000240E5" w:rsidP="00B53227">
      <w:pPr>
        <w:autoSpaceDE/>
        <w:autoSpaceDN/>
        <w:adjustRightInd/>
        <w:spacing w:line="360" w:lineRule="auto"/>
        <w:ind w:left="1440"/>
        <w:rPr>
          <w:rFonts w:ascii="Arial" w:hAnsi="Arial" w:cs="Arial"/>
          <w:sz w:val="24"/>
          <w:szCs w:val="24"/>
        </w:rPr>
      </w:pPr>
      <w:r w:rsidRPr="00B61FF1">
        <w:rPr>
          <w:rFonts w:ascii="Arial" w:hAnsi="Arial" w:cs="Arial"/>
          <w:sz w:val="24"/>
          <w:szCs w:val="24"/>
        </w:rPr>
        <w:t>“SA</w:t>
      </w:r>
      <w:r w:rsidRPr="00B61FF1">
        <w:rPr>
          <w:rFonts w:ascii="Arial" w:hAnsi="Arial" w:cs="Arial"/>
          <w:sz w:val="24"/>
          <w:szCs w:val="24"/>
          <w:vertAlign w:val="subscript"/>
        </w:rPr>
        <w:t>t</w:t>
      </w:r>
      <w:r w:rsidRPr="00B61FF1">
        <w:rPr>
          <w:rFonts w:ascii="Arial" w:hAnsi="Arial" w:cs="Arial"/>
          <w:sz w:val="24"/>
          <w:szCs w:val="24"/>
        </w:rPr>
        <w:t>” is the allocation to refining sector for year “t” specified in section 95870(e)(2)(A);</w:t>
      </w:r>
    </w:p>
    <w:p w14:paraId="64E75772" w14:textId="77777777" w:rsidR="000240E5" w:rsidRPr="00B61FF1" w:rsidRDefault="000240E5" w:rsidP="000240E5">
      <w:pPr>
        <w:autoSpaceDE/>
        <w:autoSpaceDN/>
        <w:adjustRightInd/>
        <w:spacing w:line="360" w:lineRule="auto"/>
        <w:rPr>
          <w:rFonts w:ascii="Arial" w:hAnsi="Arial" w:cs="Arial"/>
          <w:sz w:val="24"/>
          <w:szCs w:val="24"/>
        </w:rPr>
      </w:pPr>
    </w:p>
    <w:p w14:paraId="1CB9AE2A" w14:textId="77777777" w:rsidR="00AF35E5" w:rsidRPr="00B61FF1" w:rsidRDefault="00AF35E5" w:rsidP="00AF35E5">
      <w:pPr>
        <w:autoSpaceDE/>
        <w:autoSpaceDN/>
        <w:adjustRightInd/>
        <w:spacing w:line="360" w:lineRule="auto"/>
        <w:ind w:left="1440" w:hanging="720"/>
        <w:rPr>
          <w:rFonts w:ascii="Arial" w:hAnsi="Arial" w:cs="Arial"/>
          <w:strike/>
          <w:sz w:val="24"/>
          <w:szCs w:val="24"/>
        </w:rPr>
      </w:pPr>
      <w:r w:rsidRPr="00B61FF1">
        <w:rPr>
          <w:rFonts w:ascii="Arial" w:hAnsi="Arial" w:cs="Arial"/>
          <w:strike/>
          <w:sz w:val="24"/>
          <w:szCs w:val="24"/>
        </w:rPr>
        <w:t>(B)</w:t>
      </w:r>
      <w:r w:rsidRPr="00B61FF1">
        <w:rPr>
          <w:rFonts w:ascii="Arial" w:hAnsi="Arial" w:cs="Arial"/>
          <w:strike/>
          <w:sz w:val="24"/>
          <w:szCs w:val="24"/>
        </w:rPr>
        <w:tab/>
        <w:t>True-up Debit.  If actual 2013 and 2014 emissions are less than the amount of allowances allocated, the entity will need to surrender additional allowances according to the following equation:</w:t>
      </w:r>
    </w:p>
    <w:p w14:paraId="1A5B382F" w14:textId="77777777" w:rsidR="00AF35E5" w:rsidRPr="00B61FF1" w:rsidRDefault="00AF35E5" w:rsidP="00AF35E5">
      <w:pPr>
        <w:autoSpaceDE/>
        <w:autoSpaceDN/>
        <w:adjustRightInd/>
        <w:spacing w:line="360" w:lineRule="auto"/>
        <w:ind w:left="1440" w:hanging="720"/>
        <w:jc w:val="center"/>
        <w:rPr>
          <w:rFonts w:ascii="Arial" w:hAnsi="Arial" w:cs="Arial"/>
          <w:strike/>
          <w:sz w:val="24"/>
          <w:szCs w:val="24"/>
        </w:rPr>
      </w:pPr>
      <w:r w:rsidRPr="00B61FF1">
        <w:rPr>
          <w:rFonts w:ascii="Arial" w:hAnsi="Arial" w:cs="Arial"/>
          <w:strike/>
          <w:sz w:val="24"/>
          <w:szCs w:val="24"/>
        </w:rPr>
        <w:t>If:</w:t>
      </w:r>
      <w:r w:rsidRPr="00B61FF1">
        <w:rPr>
          <w:rFonts w:ascii="Arial" w:hAnsi="Arial" w:cs="Arial"/>
          <w:strike/>
          <w:sz w:val="24"/>
          <w:szCs w:val="24"/>
        </w:rPr>
        <w:tab/>
        <w:t xml:space="preserve"> </w:t>
      </w:r>
      <m:oMath>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Y,2013</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Y,2014</m:t>
            </m:r>
          </m:sub>
        </m:sSub>
        <m:r>
          <w:rPr>
            <w:rFonts w:ascii="Cambria Math" w:hAnsi="Cambria Math" w:cs="Arial"/>
            <w:strike/>
            <w:sz w:val="24"/>
            <w:szCs w:val="24"/>
          </w:rPr>
          <m:t>)&lt; (</m:t>
        </m:r>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Y,2013</m:t>
            </m:r>
          </m:sub>
        </m:sSub>
        <m:r>
          <m:rPr>
            <m:sty m:val="p"/>
          </m:rPr>
          <w:rPr>
            <w:rFonts w:ascii="Cambria Math" w:hAnsi="Cambria Math" w:cs="Arial"/>
            <w:strike/>
            <w:sz w:val="24"/>
            <w:szCs w:val="24"/>
          </w:rPr>
          <m:t>+</m:t>
        </m:r>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Y,2014</m:t>
            </m:r>
          </m:sub>
        </m:sSub>
        <m:r>
          <m:rPr>
            <m:sty m:val="p"/>
          </m:rPr>
          <w:rPr>
            <w:rFonts w:ascii="Cambria Math" w:hAnsi="Cambria Math" w:cs="Arial"/>
            <w:strike/>
            <w:sz w:val="24"/>
            <w:szCs w:val="24"/>
          </w:rPr>
          <m:t>)</m:t>
        </m:r>
      </m:oMath>
    </w:p>
    <w:p w14:paraId="38871C05" w14:textId="77777777" w:rsidR="00AF35E5" w:rsidRPr="00B61FF1" w:rsidRDefault="00AF35E5" w:rsidP="00AF35E5">
      <w:pPr>
        <w:autoSpaceDE/>
        <w:autoSpaceDN/>
        <w:adjustRightInd/>
        <w:spacing w:line="360" w:lineRule="auto"/>
        <w:ind w:left="1440" w:hanging="720"/>
        <w:jc w:val="center"/>
        <w:rPr>
          <w:rFonts w:ascii="Arial" w:hAnsi="Arial" w:cs="Arial"/>
          <w:strike/>
          <w:sz w:val="24"/>
          <w:szCs w:val="24"/>
        </w:rPr>
      </w:pPr>
      <w:r w:rsidRPr="00B61FF1">
        <w:rPr>
          <w:rFonts w:ascii="Arial" w:hAnsi="Arial" w:cs="Arial"/>
          <w:strike/>
          <w:sz w:val="24"/>
          <w:szCs w:val="24"/>
        </w:rPr>
        <w:t>Then:</w:t>
      </w:r>
      <w:r w:rsidRPr="00B61FF1">
        <w:rPr>
          <w:rFonts w:ascii="Arial" w:hAnsi="Arial" w:cs="Arial"/>
          <w:strike/>
          <w:sz w:val="24"/>
          <w:szCs w:val="24"/>
        </w:rPr>
        <w:tab/>
        <w:t xml:space="preserve"> </w:t>
      </w:r>
      <m:oMath>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Y,Debit</m:t>
            </m:r>
          </m:sub>
        </m:sSub>
        <m:r>
          <w:rPr>
            <w:rFonts w:ascii="Cambria Math" w:hAnsi="Cambria Math" w:cs="Arial"/>
            <w:strike/>
            <w:sz w:val="24"/>
            <w:szCs w:val="24"/>
          </w:rPr>
          <m:t>=0.8*</m:t>
        </m:r>
        <m:d>
          <m:dPr>
            <m:begChr m:val="["/>
            <m:endChr m:val="]"/>
            <m:ctrlPr>
              <w:rPr>
                <w:rFonts w:ascii="Cambria Math" w:hAnsi="Cambria Math" w:cs="Arial"/>
                <w:i/>
                <w:strike/>
                <w:sz w:val="24"/>
                <w:szCs w:val="24"/>
              </w:rPr>
            </m:ctrlPr>
          </m:dPr>
          <m:e>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Y,2013</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Y,2014</m:t>
                </m:r>
              </m:sub>
            </m:sSub>
            <m:r>
              <w:rPr>
                <w:rFonts w:ascii="Cambria Math" w:hAnsi="Cambria Math" w:cs="Arial"/>
                <w:strike/>
                <w:sz w:val="24"/>
                <w:szCs w:val="24"/>
              </w:rPr>
              <m:t>)-(</m:t>
            </m:r>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Y,2013</m:t>
                </m:r>
              </m:sub>
            </m:sSub>
            <m:r>
              <m:rPr>
                <m:sty m:val="p"/>
              </m:rPr>
              <w:rPr>
                <w:rFonts w:ascii="Cambria Math" w:hAnsi="Cambria Math" w:cs="Arial"/>
                <w:strike/>
                <w:sz w:val="24"/>
                <w:szCs w:val="24"/>
              </w:rPr>
              <m:t>+</m:t>
            </m:r>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Y,2014</m:t>
                </m:r>
              </m:sub>
            </m:sSub>
            <m:r>
              <m:rPr>
                <m:sty m:val="p"/>
              </m:rPr>
              <w:rPr>
                <w:rFonts w:ascii="Cambria Math" w:hAnsi="Cambria Math" w:cs="Arial"/>
                <w:strike/>
                <w:sz w:val="24"/>
                <w:szCs w:val="24"/>
              </w:rPr>
              <m:t>)</m:t>
            </m:r>
          </m:e>
        </m:d>
      </m:oMath>
      <w:r w:rsidRPr="00B61FF1">
        <w:rPr>
          <w:rFonts w:ascii="Arial" w:hAnsi="Arial" w:cs="Arial"/>
          <w:strike/>
          <w:sz w:val="24"/>
          <w:szCs w:val="24"/>
        </w:rPr>
        <w:t xml:space="preserve"> </w:t>
      </w:r>
    </w:p>
    <w:p w14:paraId="3FF78680" w14:textId="77777777" w:rsidR="00AF35E5" w:rsidRPr="00B61FF1" w:rsidRDefault="00AF35E5" w:rsidP="00AF35E5">
      <w:pPr>
        <w:autoSpaceDE/>
        <w:autoSpaceDN/>
        <w:adjustRightInd/>
        <w:spacing w:line="360" w:lineRule="auto"/>
        <w:ind w:left="1440" w:hanging="720"/>
        <w:jc w:val="center"/>
        <w:rPr>
          <w:rFonts w:ascii="Arial" w:hAnsi="Arial" w:cs="Arial"/>
          <w:strike/>
          <w:sz w:val="24"/>
          <w:szCs w:val="24"/>
        </w:rPr>
      </w:pPr>
    </w:p>
    <w:p w14:paraId="324AC774" w14:textId="77777777" w:rsidR="00AF35E5" w:rsidRPr="00B61FF1" w:rsidRDefault="00AF35E5" w:rsidP="00AF35E5">
      <w:pPr>
        <w:autoSpaceDE/>
        <w:autoSpaceDN/>
        <w:adjustRightInd/>
        <w:spacing w:line="360" w:lineRule="auto"/>
        <w:ind w:left="1440"/>
        <w:rPr>
          <w:rFonts w:ascii="Arial" w:hAnsi="Arial" w:cs="Arial"/>
          <w:strike/>
          <w:sz w:val="24"/>
          <w:szCs w:val="24"/>
        </w:rPr>
      </w:pPr>
      <w:r w:rsidRPr="00B61FF1">
        <w:rPr>
          <w:rFonts w:ascii="Arial" w:hAnsi="Arial" w:cs="Arial"/>
          <w:strike/>
          <w:sz w:val="24"/>
          <w:szCs w:val="24"/>
        </w:rPr>
        <w:t>Where:</w:t>
      </w:r>
    </w:p>
    <w:p w14:paraId="15EFAC74" w14:textId="77777777" w:rsidR="00AF35E5" w:rsidRPr="00B61FF1" w:rsidRDefault="00AF35E5" w:rsidP="00AF35E5">
      <w:pPr>
        <w:autoSpaceDE/>
        <w:autoSpaceDN/>
        <w:adjustRightInd/>
        <w:spacing w:line="360" w:lineRule="auto"/>
        <w:ind w:left="1440"/>
        <w:rPr>
          <w:rFonts w:ascii="Arial" w:hAnsi="Arial" w:cs="Arial"/>
          <w:strike/>
          <w:sz w:val="24"/>
          <w:szCs w:val="24"/>
        </w:rPr>
      </w:pPr>
    </w:p>
    <w:p w14:paraId="79D28C99" w14:textId="77777777" w:rsidR="00AF35E5" w:rsidRPr="00B61FF1" w:rsidRDefault="00AF35E5" w:rsidP="00AF35E5">
      <w:pPr>
        <w:autoSpaceDE/>
        <w:autoSpaceDN/>
        <w:adjustRightInd/>
        <w:spacing w:line="360" w:lineRule="auto"/>
        <w:ind w:left="1440"/>
        <w:rPr>
          <w:rFonts w:ascii="Arial" w:hAnsi="Arial" w:cs="Arial"/>
          <w:strike/>
          <w:sz w:val="24"/>
          <w:szCs w:val="24"/>
        </w:rPr>
      </w:pPr>
      <w:r w:rsidRPr="00B61FF1">
        <w:rPr>
          <w:rFonts w:ascii="Arial" w:hAnsi="Arial" w:cs="Arial"/>
          <w:strike/>
          <w:sz w:val="24"/>
          <w:szCs w:val="24"/>
        </w:rPr>
        <w:t>“AE</w:t>
      </w:r>
      <w:r w:rsidRPr="00B61FF1">
        <w:rPr>
          <w:rFonts w:ascii="Arial" w:hAnsi="Arial" w:cs="Arial"/>
          <w:strike/>
          <w:sz w:val="24"/>
          <w:szCs w:val="24"/>
          <w:vertAlign w:val="subscript"/>
        </w:rPr>
        <w:t>Y,t</w:t>
      </w:r>
      <w:r w:rsidRPr="00B61FF1">
        <w:rPr>
          <w:rFonts w:ascii="Arial" w:hAnsi="Arial" w:cs="Arial"/>
          <w:strike/>
          <w:sz w:val="24"/>
          <w:szCs w:val="24"/>
        </w:rPr>
        <w:t xml:space="preserve">” = Actual GHG emissions from a facility in year “t” adjusted for heat sales and purchases and electricity purchases. </w:t>
      </w:r>
    </w:p>
    <w:p w14:paraId="1D68B329" w14:textId="77777777" w:rsidR="00AF35E5" w:rsidRPr="00B61FF1" w:rsidRDefault="00AF35E5" w:rsidP="00AF35E5">
      <w:pPr>
        <w:autoSpaceDE/>
        <w:autoSpaceDN/>
        <w:adjustRightInd/>
        <w:spacing w:line="360" w:lineRule="auto"/>
        <w:ind w:left="1440"/>
        <w:rPr>
          <w:rFonts w:ascii="Arial" w:hAnsi="Arial" w:cs="Arial"/>
          <w:strike/>
          <w:sz w:val="24"/>
          <w:szCs w:val="24"/>
        </w:rPr>
      </w:pPr>
    </w:p>
    <w:p w14:paraId="54ADDCD2" w14:textId="77777777" w:rsidR="00AF35E5" w:rsidRPr="00B61FF1" w:rsidRDefault="00AF35E5" w:rsidP="00AF35E5">
      <w:pPr>
        <w:autoSpaceDE/>
        <w:autoSpaceDN/>
        <w:adjustRightInd/>
        <w:spacing w:line="360" w:lineRule="auto"/>
        <w:ind w:left="1440"/>
        <w:rPr>
          <w:rFonts w:ascii="Arial" w:hAnsi="Arial" w:cs="Arial"/>
          <w:strike/>
          <w:sz w:val="24"/>
          <w:szCs w:val="24"/>
        </w:rPr>
      </w:pPr>
      <w:r w:rsidRPr="00B61FF1">
        <w:rPr>
          <w:rFonts w:ascii="Arial" w:hAnsi="Arial" w:cs="Arial"/>
          <w:strike/>
          <w:sz w:val="24"/>
          <w:szCs w:val="24"/>
        </w:rPr>
        <w:lastRenderedPageBreak/>
        <w:t>“A</w:t>
      </w:r>
      <w:r w:rsidRPr="00B61FF1">
        <w:rPr>
          <w:rFonts w:ascii="Arial" w:hAnsi="Arial" w:cs="Arial"/>
          <w:strike/>
          <w:sz w:val="24"/>
          <w:szCs w:val="24"/>
          <w:vertAlign w:val="subscript"/>
        </w:rPr>
        <w:t>Y,Debit</w:t>
      </w:r>
      <w:r w:rsidRPr="00B61FF1">
        <w:rPr>
          <w:rFonts w:ascii="Arial" w:hAnsi="Arial" w:cs="Arial"/>
          <w:strike/>
          <w:sz w:val="24"/>
          <w:szCs w:val="24"/>
        </w:rPr>
        <w:t xml:space="preserve">” = A debit (shown as a negative value in the equation above) to be surrendered in addition to the triennial compliance obligation for refinery “Y.” </w:t>
      </w:r>
    </w:p>
    <w:p w14:paraId="2CFD5595" w14:textId="77777777" w:rsidR="00AF35E5" w:rsidRPr="00B61FF1" w:rsidRDefault="00AF35E5" w:rsidP="00AF35E5">
      <w:pPr>
        <w:autoSpaceDE/>
        <w:autoSpaceDN/>
        <w:adjustRightInd/>
        <w:spacing w:line="360" w:lineRule="auto"/>
        <w:ind w:left="1440" w:hanging="720"/>
        <w:rPr>
          <w:rFonts w:ascii="Arial" w:hAnsi="Arial" w:cs="Arial"/>
          <w:sz w:val="24"/>
          <w:szCs w:val="24"/>
        </w:rPr>
      </w:pPr>
    </w:p>
    <w:p w14:paraId="0DC9012F" w14:textId="56522684" w:rsidR="00AF35E5" w:rsidRPr="00B61FF1" w:rsidRDefault="00AF35E5" w:rsidP="00AF35E5">
      <w:pPr>
        <w:autoSpaceDE/>
        <w:autoSpaceDN/>
        <w:adjustRightInd/>
        <w:spacing w:line="360" w:lineRule="auto"/>
        <w:ind w:left="1440" w:hanging="720"/>
        <w:rPr>
          <w:rFonts w:ascii="Arial" w:hAnsi="Arial" w:cs="Arial"/>
          <w:strike/>
          <w:sz w:val="24"/>
          <w:szCs w:val="24"/>
        </w:rPr>
      </w:pPr>
      <w:r w:rsidRPr="00B61FF1">
        <w:rPr>
          <w:rFonts w:ascii="Arial" w:hAnsi="Arial" w:cs="Arial"/>
          <w:sz w:val="24"/>
          <w:szCs w:val="24"/>
        </w:rPr>
        <w:t>(</w:t>
      </w:r>
      <w:r w:rsidRPr="00B61FF1">
        <w:rPr>
          <w:rFonts w:ascii="Arial" w:hAnsi="Arial" w:cs="Arial"/>
          <w:strike/>
          <w:sz w:val="24"/>
          <w:szCs w:val="24"/>
        </w:rPr>
        <w:t>C</w:t>
      </w:r>
      <w:r w:rsidRPr="00B61FF1">
        <w:rPr>
          <w:rFonts w:ascii="Arial" w:hAnsi="Arial" w:cs="Arial"/>
          <w:sz w:val="24"/>
          <w:szCs w:val="24"/>
          <w:u w:val="single"/>
        </w:rPr>
        <w:t>B</w:t>
      </w:r>
      <w:r w:rsidRPr="00B61FF1">
        <w:rPr>
          <w:rFonts w:ascii="Arial" w:hAnsi="Arial" w:cs="Arial"/>
          <w:sz w:val="24"/>
          <w:szCs w:val="24"/>
        </w:rPr>
        <w:t>)</w:t>
      </w:r>
      <w:r w:rsidRPr="00B61FF1">
        <w:rPr>
          <w:rFonts w:ascii="Arial" w:hAnsi="Arial" w:cs="Arial"/>
          <w:sz w:val="24"/>
          <w:szCs w:val="24"/>
        </w:rPr>
        <w:tab/>
        <w:t xml:space="preserve">True-up </w:t>
      </w:r>
      <w:r w:rsidRPr="00B61FF1">
        <w:rPr>
          <w:rFonts w:ascii="Arial" w:hAnsi="Arial" w:cs="Arial"/>
          <w:strike/>
          <w:sz w:val="24"/>
          <w:szCs w:val="24"/>
        </w:rPr>
        <w:t>Credit.  If actual 2013 and 2014 emissions are greater than the assumed baseline emissions, a true-up allocation will be conducted using 2015 vintage allowances and the following equation:</w:t>
      </w:r>
    </w:p>
    <w:p w14:paraId="733F298F" w14:textId="77777777" w:rsidR="00AF35E5" w:rsidRPr="00B61FF1" w:rsidRDefault="00AF35E5" w:rsidP="00AF35E5">
      <w:pPr>
        <w:autoSpaceDE/>
        <w:autoSpaceDN/>
        <w:adjustRightInd/>
        <w:spacing w:line="360" w:lineRule="auto"/>
        <w:ind w:left="1440" w:hanging="720"/>
        <w:jc w:val="center"/>
        <w:rPr>
          <w:rFonts w:ascii="Arial" w:hAnsi="Arial" w:cs="Arial"/>
          <w:strike/>
          <w:sz w:val="24"/>
          <w:szCs w:val="24"/>
        </w:rPr>
      </w:pPr>
      <w:r w:rsidRPr="00B61FF1">
        <w:rPr>
          <w:rFonts w:ascii="Arial" w:hAnsi="Arial" w:cs="Arial"/>
          <w:strike/>
          <w:sz w:val="24"/>
          <w:szCs w:val="24"/>
        </w:rPr>
        <w:t>If:</w:t>
      </w:r>
      <w:r w:rsidRPr="00B61FF1">
        <w:rPr>
          <w:rFonts w:ascii="Arial" w:hAnsi="Arial" w:cs="Arial"/>
          <w:strike/>
          <w:sz w:val="24"/>
          <w:szCs w:val="24"/>
        </w:rPr>
        <w:tab/>
        <w:t xml:space="preserve"> </w:t>
      </w:r>
      <m:oMath>
        <m:r>
          <w:rPr>
            <w:rFonts w:ascii="Cambria Math" w:hAnsi="Cambria Math" w:cs="Arial"/>
            <w:strike/>
            <w:sz w:val="24"/>
            <w:szCs w:val="24"/>
          </w:rPr>
          <m:t>(2*</m:t>
        </m:r>
        <m:sSub>
          <m:sSubPr>
            <m:ctrlPr>
              <w:rPr>
                <w:rFonts w:ascii="Cambria Math" w:hAnsi="Cambria Math" w:cs="Arial"/>
                <w:i/>
                <w:strike/>
                <w:sz w:val="24"/>
                <w:szCs w:val="24"/>
              </w:rPr>
            </m:ctrlPr>
          </m:sSubPr>
          <m:e>
            <m:r>
              <w:rPr>
                <w:rFonts w:ascii="Cambria Math" w:hAnsi="Cambria Math" w:cs="Arial"/>
                <w:strike/>
                <w:sz w:val="24"/>
                <w:szCs w:val="24"/>
              </w:rPr>
              <m:t>BE</m:t>
            </m:r>
          </m:e>
          <m:sub>
            <m:r>
              <w:rPr>
                <w:rFonts w:ascii="Cambria Math" w:hAnsi="Cambria Math" w:cs="Arial"/>
                <w:strike/>
                <w:sz w:val="24"/>
                <w:szCs w:val="24"/>
              </w:rPr>
              <m:t>Y</m:t>
            </m:r>
          </m:sub>
        </m:sSub>
        <m:r>
          <w:rPr>
            <w:rFonts w:ascii="Cambria Math" w:hAnsi="Cambria Math" w:cs="Arial"/>
            <w:strike/>
            <w:sz w:val="24"/>
            <w:szCs w:val="24"/>
          </w:rPr>
          <m:t xml:space="preserve">)&lt; </m:t>
        </m:r>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Y,2013</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Y,2014</m:t>
            </m:r>
          </m:sub>
        </m:sSub>
        <m:r>
          <w:rPr>
            <w:rFonts w:ascii="Cambria Math" w:hAnsi="Cambria Math" w:cs="Arial"/>
            <w:strike/>
            <w:sz w:val="24"/>
            <w:szCs w:val="24"/>
          </w:rPr>
          <m:t>)</m:t>
        </m:r>
      </m:oMath>
    </w:p>
    <w:p w14:paraId="592A49B6" w14:textId="77777777" w:rsidR="00AF35E5" w:rsidRPr="00B61FF1" w:rsidRDefault="00AF35E5" w:rsidP="00AF35E5">
      <w:pPr>
        <w:autoSpaceDE/>
        <w:autoSpaceDN/>
        <w:adjustRightInd/>
        <w:spacing w:line="360" w:lineRule="auto"/>
        <w:ind w:left="1440" w:hanging="720"/>
        <w:jc w:val="center"/>
        <w:rPr>
          <w:rFonts w:ascii="Arial" w:hAnsi="Arial" w:cs="Arial"/>
          <w:strike/>
          <w:sz w:val="24"/>
          <w:szCs w:val="24"/>
        </w:rPr>
      </w:pPr>
      <w:r w:rsidRPr="00B61FF1">
        <w:rPr>
          <w:rFonts w:ascii="Arial" w:hAnsi="Arial" w:cs="Arial"/>
          <w:strike/>
          <w:sz w:val="24"/>
          <w:szCs w:val="24"/>
        </w:rPr>
        <w:t xml:space="preserve">Then: </w:t>
      </w:r>
      <w:r w:rsidRPr="00B61FF1">
        <w:rPr>
          <w:rFonts w:ascii="Arial" w:hAnsi="Arial" w:cs="Arial"/>
          <w:strike/>
          <w:sz w:val="24"/>
          <w:szCs w:val="24"/>
        </w:rPr>
        <w:tab/>
      </w:r>
      <m:oMath>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Y,Credit</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Y,2013</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DF</m:t>
            </m:r>
          </m:e>
          <m:sub>
            <m:r>
              <w:rPr>
                <w:rFonts w:ascii="Cambria Math" w:hAnsi="Cambria Math" w:cs="Arial"/>
                <w:strike/>
                <w:sz w:val="24"/>
                <w:szCs w:val="24"/>
              </w:rPr>
              <m:t>Y,2013</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F</m:t>
            </m:r>
          </m:e>
          <m:sub>
            <m:r>
              <w:rPr>
                <w:rFonts w:ascii="Cambria Math" w:hAnsi="Cambria Math" w:cs="Arial"/>
                <w:strike/>
                <w:sz w:val="24"/>
                <w:szCs w:val="24"/>
              </w:rPr>
              <m:t>2013</m:t>
            </m:r>
          </m:sub>
        </m:sSub>
        <m:sSub>
          <m:sSubPr>
            <m:ctrlPr>
              <w:rPr>
                <w:rFonts w:ascii="Cambria Math" w:hAnsi="Cambria Math" w:cs="Arial"/>
                <w:i/>
                <w:strike/>
                <w:sz w:val="24"/>
                <w:szCs w:val="24"/>
              </w:rPr>
            </m:ctrlPr>
          </m:sSubPr>
          <m:e>
            <m:r>
              <w:rPr>
                <w:rFonts w:ascii="Cambria Math" w:hAnsi="Cambria Math" w:cs="Arial"/>
                <w:strike/>
                <w:sz w:val="24"/>
                <w:szCs w:val="24"/>
              </w:rPr>
              <m:t>*AF</m:t>
            </m:r>
          </m:e>
          <m:sub>
            <m:r>
              <w:rPr>
                <w:rFonts w:ascii="Cambria Math" w:hAnsi="Cambria Math" w:cs="Arial"/>
                <w:strike/>
                <w:sz w:val="24"/>
                <w:szCs w:val="24"/>
              </w:rPr>
              <m:t>2013</m:t>
            </m:r>
          </m:sub>
        </m:sSub>
        <m:r>
          <w:rPr>
            <w:rFonts w:ascii="Cambria Math" w:hAnsi="Cambria Math" w:cs="Arial"/>
            <w:strike/>
            <w:sz w:val="24"/>
            <w:szCs w:val="24"/>
          </w:rPr>
          <m:t xml:space="preserve"> +</m:t>
        </m:r>
        <m:sSub>
          <m:sSubPr>
            <m:ctrlPr>
              <w:rPr>
                <w:rFonts w:ascii="Cambria Math" w:hAnsi="Cambria Math" w:cs="Arial"/>
                <w:i/>
                <w:strike/>
                <w:sz w:val="24"/>
                <w:szCs w:val="24"/>
              </w:rPr>
            </m:ctrlPr>
          </m:sSubPr>
          <m:e>
            <m:r>
              <w:rPr>
                <w:rFonts w:ascii="Cambria Math" w:hAnsi="Cambria Math" w:cs="Arial"/>
                <w:strike/>
                <w:sz w:val="24"/>
                <w:szCs w:val="24"/>
              </w:rPr>
              <m:t>AE</m:t>
            </m:r>
          </m:e>
          <m:sub>
            <m:r>
              <w:rPr>
                <w:rFonts w:ascii="Cambria Math" w:hAnsi="Cambria Math" w:cs="Arial"/>
                <w:strike/>
                <w:sz w:val="24"/>
                <w:szCs w:val="24"/>
              </w:rPr>
              <m:t>Y,2014</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DF</m:t>
            </m:r>
          </m:e>
          <m:sub>
            <m:r>
              <w:rPr>
                <w:rFonts w:ascii="Cambria Math" w:hAnsi="Cambria Math" w:cs="Arial"/>
                <w:strike/>
                <w:sz w:val="24"/>
                <w:szCs w:val="24"/>
              </w:rPr>
              <m:t>Y,2014</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F</m:t>
            </m:r>
          </m:e>
          <m:sub>
            <m:r>
              <w:rPr>
                <w:rFonts w:ascii="Cambria Math" w:hAnsi="Cambria Math" w:cs="Arial"/>
                <w:strike/>
                <w:sz w:val="24"/>
                <w:szCs w:val="24"/>
              </w:rPr>
              <m:t>2014</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AF</m:t>
            </m:r>
          </m:e>
          <m:sub>
            <m:r>
              <w:rPr>
                <w:rFonts w:ascii="Cambria Math" w:hAnsi="Cambria Math" w:cs="Arial"/>
                <w:strike/>
                <w:sz w:val="24"/>
                <w:szCs w:val="24"/>
              </w:rPr>
              <m:t>2014</m:t>
            </m:r>
          </m:sub>
        </m:sSub>
        <m:r>
          <w:rPr>
            <w:rFonts w:ascii="Cambria Math" w:hAnsi="Cambria Math" w:cs="Arial"/>
            <w:strike/>
            <w:sz w:val="24"/>
            <w:szCs w:val="24"/>
          </w:rPr>
          <m:t xml:space="preserve"> )-(</m:t>
        </m:r>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Y,2013</m:t>
            </m:r>
          </m:sub>
        </m:sSub>
        <m:r>
          <m:rPr>
            <m:sty m:val="p"/>
          </m:rPr>
          <w:rPr>
            <w:rFonts w:ascii="Cambria Math" w:hAnsi="Cambria Math" w:cs="Arial"/>
            <w:strike/>
            <w:sz w:val="24"/>
            <w:szCs w:val="24"/>
          </w:rPr>
          <m:t>+</m:t>
        </m:r>
        <m:sSub>
          <m:sSubPr>
            <m:ctrlPr>
              <w:rPr>
                <w:rFonts w:ascii="Cambria Math" w:hAnsi="Cambria Math" w:cs="Arial"/>
                <w:strike/>
                <w:sz w:val="24"/>
                <w:szCs w:val="24"/>
              </w:rPr>
            </m:ctrlPr>
          </m:sSubPr>
          <m:e>
            <m:r>
              <m:rPr>
                <m:sty m:val="p"/>
              </m:rPr>
              <w:rPr>
                <w:rFonts w:ascii="Cambria Math" w:hAnsi="Cambria Math" w:cs="Arial"/>
                <w:strike/>
                <w:sz w:val="24"/>
                <w:szCs w:val="24"/>
              </w:rPr>
              <m:t>A</m:t>
            </m:r>
          </m:e>
          <m:sub>
            <m:r>
              <w:rPr>
                <w:rFonts w:ascii="Cambria Math" w:hAnsi="Cambria Math" w:cs="Arial"/>
                <w:strike/>
                <w:sz w:val="24"/>
                <w:szCs w:val="24"/>
              </w:rPr>
              <m:t>Y,2014</m:t>
            </m:r>
          </m:sub>
        </m:sSub>
        <m:r>
          <m:rPr>
            <m:sty m:val="p"/>
          </m:rPr>
          <w:rPr>
            <w:rFonts w:ascii="Cambria Math" w:hAnsi="Cambria Math" w:cs="Arial"/>
            <w:strike/>
            <w:sz w:val="24"/>
            <w:szCs w:val="24"/>
          </w:rPr>
          <m:t>)</m:t>
        </m:r>
      </m:oMath>
    </w:p>
    <w:p w14:paraId="152BC867" w14:textId="77777777" w:rsidR="00AF35E5" w:rsidRPr="00B61FF1" w:rsidRDefault="00AF35E5" w:rsidP="00AF35E5">
      <w:pPr>
        <w:autoSpaceDE/>
        <w:autoSpaceDN/>
        <w:adjustRightInd/>
        <w:spacing w:line="360" w:lineRule="auto"/>
        <w:ind w:left="1440"/>
        <w:rPr>
          <w:rFonts w:ascii="Arial" w:hAnsi="Arial" w:cs="Arial"/>
          <w:sz w:val="24"/>
          <w:szCs w:val="24"/>
          <w:u w:val="single"/>
        </w:rPr>
      </w:pPr>
      <w:r w:rsidRPr="00B61FF1">
        <w:rPr>
          <w:rFonts w:ascii="Arial" w:hAnsi="Arial" w:cs="Arial"/>
          <w:sz w:val="24"/>
          <w:szCs w:val="24"/>
          <w:u w:val="single"/>
        </w:rPr>
        <w:t>Allowance values for 2015 and 2016 as calculated for petroleum refineries in Section 95891(b) will be adjusted to account for actual 2013 and 2014 output and emissions.  The following equation will be used to calculate the TrueUp allowance value:</w:t>
      </w:r>
    </w:p>
    <w:p w14:paraId="4D5E6F23" w14:textId="77777777" w:rsidR="00AF35E5" w:rsidRPr="00B61FF1" w:rsidRDefault="00AF35E5" w:rsidP="00AF35E5">
      <w:pPr>
        <w:autoSpaceDE/>
        <w:autoSpaceDN/>
        <w:adjustRightInd/>
        <w:spacing w:line="360" w:lineRule="auto"/>
        <w:ind w:left="1440"/>
        <w:rPr>
          <w:rFonts w:ascii="Arial" w:hAnsi="Arial" w:cs="Arial"/>
          <w:sz w:val="24"/>
          <w:szCs w:val="24"/>
          <w:u w:val="single"/>
        </w:rPr>
      </w:pPr>
    </w:p>
    <w:p w14:paraId="6806BC23" w14:textId="77777777" w:rsidR="00AF35E5" w:rsidRPr="00B61FF1" w:rsidRDefault="00661852" w:rsidP="00AF35E5">
      <w:pPr>
        <w:autoSpaceDE/>
        <w:autoSpaceDN/>
        <w:adjustRightInd/>
        <w:spacing w:line="360" w:lineRule="auto"/>
        <w:ind w:left="1440" w:hanging="720"/>
        <w:jc w:val="center"/>
        <w:rPr>
          <w:rFonts w:ascii="Arial" w:hAnsi="Arial" w:cs="Arial"/>
          <w:sz w:val="24"/>
          <w:szCs w:val="24"/>
          <w:u w:val="single"/>
        </w:rPr>
      </w:pPr>
      <m:oMathPara>
        <m:oMath>
          <m:sSub>
            <m:sSubPr>
              <m:ctrlPr>
                <w:rPr>
                  <w:rFonts w:ascii="Cambria Math" w:hAnsi="Cambria Math" w:cs="Arial"/>
                  <w:sz w:val="24"/>
                  <w:szCs w:val="24"/>
                  <w:u w:val="single"/>
                </w:rPr>
              </m:ctrlPr>
            </m:sSubPr>
            <m:e>
              <m:r>
                <m:rPr>
                  <m:sty m:val="p"/>
                </m:rPr>
                <w:rPr>
                  <w:rFonts w:ascii="Cambria Math" w:hAnsi="Cambria Math" w:cs="Arial"/>
                  <w:sz w:val="24"/>
                  <w:szCs w:val="24"/>
                  <w:u w:val="single"/>
                </w:rPr>
                <m:t>TrueUp</m:t>
              </m:r>
            </m:e>
            <m:sub>
              <m:r>
                <w:rPr>
                  <w:rFonts w:ascii="Cambria Math" w:hAnsi="Cambria Math" w:cs="Arial"/>
                  <w:sz w:val="24"/>
                  <w:szCs w:val="24"/>
                  <w:u w:val="single"/>
                </w:rPr>
                <m:t xml:space="preserve">Y,t </m:t>
              </m:r>
            </m:sub>
          </m:sSub>
          <m:r>
            <w:rPr>
              <w:rFonts w:ascii="Cambria Math" w:hAnsi="Cambria Math" w:cs="Arial"/>
              <w:sz w:val="24"/>
              <w:szCs w:val="24"/>
              <w:u w:val="single"/>
            </w:rPr>
            <m:t>=</m:t>
          </m:r>
          <m:d>
            <m:dPr>
              <m:begChr m:val="["/>
              <m:endChr m:val="]"/>
              <m:ctrlPr>
                <w:rPr>
                  <w:rFonts w:ascii="Cambria Math" w:hAnsi="Cambria Math" w:cs="Arial"/>
                  <w:i/>
                  <w:sz w:val="24"/>
                  <w:szCs w:val="24"/>
                  <w:u w:val="single"/>
                </w:rPr>
              </m:ctrlPr>
            </m:dPr>
            <m:e>
              <m:sSub>
                <m:sSubPr>
                  <m:ctrlPr>
                    <w:rPr>
                      <w:rFonts w:ascii="Cambria Math" w:hAnsi="Cambria Math" w:cs="Arial"/>
                      <w:i/>
                      <w:sz w:val="24"/>
                      <w:szCs w:val="24"/>
                      <w:u w:val="single"/>
                    </w:rPr>
                  </m:ctrlPr>
                </m:sSubPr>
                <m:e>
                  <m:r>
                    <w:rPr>
                      <w:rFonts w:ascii="Cambria Math" w:hAnsi="Cambria Math" w:cs="Arial"/>
                      <w:sz w:val="24"/>
                      <w:szCs w:val="24"/>
                      <w:u w:val="single"/>
                    </w:rPr>
                    <m:t>(AE</m:t>
                  </m:r>
                </m:e>
                <m:sub>
                  <m:r>
                    <w:rPr>
                      <w:rFonts w:ascii="Cambria Math" w:hAnsi="Cambria Math" w:cs="Arial"/>
                      <w:sz w:val="24"/>
                      <w:szCs w:val="24"/>
                      <w:u w:val="single"/>
                    </w:rPr>
                    <m:t>Y,t</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DF'</m:t>
                  </m:r>
                </m:e>
                <m:sub>
                  <m:r>
                    <w:rPr>
                      <w:rFonts w:ascii="Cambria Math" w:hAnsi="Cambria Math" w:cs="Arial"/>
                      <w:sz w:val="24"/>
                      <w:szCs w:val="24"/>
                      <w:u w:val="single"/>
                    </w:rPr>
                    <m:t>Y,t</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F'</m:t>
                  </m:r>
                </m:e>
                <m:sub>
                  <m:r>
                    <w:rPr>
                      <w:rFonts w:ascii="Cambria Math" w:hAnsi="Cambria Math" w:cs="Arial"/>
                      <w:sz w:val="24"/>
                      <w:szCs w:val="24"/>
                      <w:u w:val="single"/>
                    </w:rPr>
                    <m:t>t</m:t>
                  </m:r>
                </m:sub>
              </m:sSub>
              <m:r>
                <w:rPr>
                  <w:rFonts w:ascii="Cambria Math" w:hAnsi="Cambria Math" w:cs="Arial"/>
                  <w:sz w:val="24"/>
                  <w:szCs w:val="24"/>
                  <w:u w:val="single"/>
                </w:rPr>
                <m:t>)-(</m:t>
              </m:r>
              <m:sSub>
                <m:sSubPr>
                  <m:ctrlPr>
                    <w:rPr>
                      <w:rFonts w:ascii="Cambria Math" w:hAnsi="Cambria Math" w:cs="Arial"/>
                      <w:sz w:val="24"/>
                      <w:szCs w:val="24"/>
                      <w:u w:val="single"/>
                    </w:rPr>
                  </m:ctrlPr>
                </m:sSubPr>
                <m:e>
                  <m:r>
                    <m:rPr>
                      <m:sty m:val="p"/>
                    </m:rPr>
                    <w:rPr>
                      <w:rFonts w:ascii="Cambria Math" w:hAnsi="Cambria Math" w:cs="Arial"/>
                      <w:sz w:val="24"/>
                      <w:szCs w:val="24"/>
                      <w:u w:val="single"/>
                    </w:rPr>
                    <m:t>A</m:t>
                  </m:r>
                </m:e>
                <m:sub>
                  <m:r>
                    <w:rPr>
                      <w:rFonts w:ascii="Cambria Math" w:hAnsi="Cambria Math" w:cs="Arial"/>
                      <w:sz w:val="24"/>
                      <w:szCs w:val="24"/>
                      <w:u w:val="single"/>
                    </w:rPr>
                    <m:t>Y,t</m:t>
                  </m:r>
                </m:sub>
              </m:sSub>
              <m:r>
                <m:rPr>
                  <m:sty m:val="p"/>
                </m:rPr>
                <w:rPr>
                  <w:rFonts w:ascii="Cambria Math" w:hAnsi="Cambria Math" w:cs="Arial"/>
                  <w:sz w:val="24"/>
                  <w:szCs w:val="24"/>
                  <w:u w:val="single"/>
                </w:rPr>
                <m:t>)</m:t>
              </m:r>
            </m:e>
          </m:d>
        </m:oMath>
      </m:oMathPara>
    </w:p>
    <w:p w14:paraId="3ADA694F" w14:textId="77777777" w:rsidR="00AF35E5" w:rsidRPr="00B61FF1" w:rsidRDefault="00AF35E5" w:rsidP="00AF35E5">
      <w:pPr>
        <w:autoSpaceDE/>
        <w:autoSpaceDN/>
        <w:adjustRightInd/>
        <w:spacing w:line="360" w:lineRule="auto"/>
        <w:ind w:left="1440"/>
        <w:rPr>
          <w:rFonts w:ascii="Arial" w:hAnsi="Arial" w:cs="Arial"/>
          <w:sz w:val="24"/>
          <w:szCs w:val="24"/>
          <w:u w:val="single"/>
        </w:rPr>
      </w:pPr>
    </w:p>
    <w:p w14:paraId="4E697D44" w14:textId="77777777" w:rsidR="00AF35E5" w:rsidRPr="00B61FF1" w:rsidRDefault="00AF35E5" w:rsidP="00AF35E5">
      <w:pPr>
        <w:autoSpaceDE/>
        <w:autoSpaceDN/>
        <w:adjustRightInd/>
        <w:spacing w:line="360" w:lineRule="auto"/>
        <w:ind w:left="1440" w:hanging="720"/>
        <w:rPr>
          <w:rFonts w:ascii="Arial" w:hAnsi="Arial" w:cs="Arial"/>
          <w:sz w:val="24"/>
          <w:szCs w:val="24"/>
        </w:rPr>
      </w:pPr>
    </w:p>
    <w:p w14:paraId="465AA136" w14:textId="77777777" w:rsidR="00AF35E5" w:rsidRPr="00B61FF1" w:rsidRDefault="00AF35E5" w:rsidP="00AF35E5">
      <w:pPr>
        <w:autoSpaceDE/>
        <w:autoSpaceDN/>
        <w:adjustRightInd/>
        <w:spacing w:line="360" w:lineRule="auto"/>
        <w:ind w:left="1440"/>
        <w:rPr>
          <w:rFonts w:ascii="Arial" w:hAnsi="Arial" w:cs="Arial"/>
          <w:sz w:val="24"/>
          <w:szCs w:val="24"/>
        </w:rPr>
      </w:pPr>
      <w:r w:rsidRPr="00B61FF1">
        <w:rPr>
          <w:rFonts w:ascii="Arial" w:hAnsi="Arial" w:cs="Arial"/>
          <w:sz w:val="24"/>
          <w:szCs w:val="24"/>
        </w:rPr>
        <w:t>Where:</w:t>
      </w:r>
    </w:p>
    <w:p w14:paraId="53D9323F" w14:textId="77777777" w:rsidR="00AF35E5" w:rsidRPr="00B61FF1" w:rsidRDefault="00AF35E5" w:rsidP="00AF35E5">
      <w:pPr>
        <w:autoSpaceDE/>
        <w:autoSpaceDN/>
        <w:adjustRightInd/>
        <w:spacing w:line="360" w:lineRule="auto"/>
        <w:ind w:left="1440"/>
        <w:rPr>
          <w:rFonts w:ascii="Arial" w:hAnsi="Arial" w:cs="Arial"/>
          <w:sz w:val="24"/>
          <w:szCs w:val="24"/>
        </w:rPr>
      </w:pPr>
    </w:p>
    <w:p w14:paraId="1DE76325" w14:textId="77777777" w:rsidR="00AF35E5" w:rsidRPr="00B61FF1" w:rsidRDefault="00AF35E5" w:rsidP="00AF35E5">
      <w:pPr>
        <w:autoSpaceDE/>
        <w:autoSpaceDN/>
        <w:adjustRightInd/>
        <w:spacing w:line="360" w:lineRule="auto"/>
        <w:ind w:left="144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vertAlign w:val="subscript"/>
        </w:rPr>
        <w:t>Y,Credit</w:t>
      </w:r>
      <w:r w:rsidRPr="00B61FF1">
        <w:rPr>
          <w:rFonts w:ascii="Arial" w:hAnsi="Arial" w:cs="Arial"/>
          <w:strike/>
          <w:sz w:val="24"/>
          <w:szCs w:val="24"/>
        </w:rPr>
        <w:t xml:space="preserve">” = An additional true-up allocation distributed by the Executive Officer to refinery “Y” using 2015 vintage allowances. </w:t>
      </w:r>
    </w:p>
    <w:p w14:paraId="656C6CA5" w14:textId="77777777" w:rsidR="00AF35E5" w:rsidRPr="00B61FF1" w:rsidRDefault="00AF35E5" w:rsidP="00AF35E5">
      <w:pPr>
        <w:autoSpaceDE/>
        <w:autoSpaceDN/>
        <w:adjustRightInd/>
        <w:spacing w:line="360" w:lineRule="auto"/>
        <w:ind w:left="1440"/>
        <w:rPr>
          <w:rFonts w:ascii="Arial" w:hAnsi="Arial" w:cs="Arial"/>
          <w:strike/>
          <w:sz w:val="24"/>
          <w:szCs w:val="24"/>
        </w:rPr>
      </w:pPr>
    </w:p>
    <w:p w14:paraId="1506E8AC" w14:textId="77777777" w:rsidR="00AF35E5" w:rsidRPr="00B61FF1" w:rsidRDefault="00AF35E5" w:rsidP="00AF35E5">
      <w:pPr>
        <w:autoSpaceDE/>
        <w:autoSpaceDN/>
        <w:adjustRightInd/>
        <w:spacing w:line="360" w:lineRule="auto"/>
        <w:ind w:left="1440"/>
        <w:rPr>
          <w:rFonts w:ascii="Arial" w:hAnsi="Arial" w:cs="Arial"/>
          <w:sz w:val="24"/>
          <w:szCs w:val="24"/>
          <w:u w:val="single"/>
        </w:rPr>
      </w:pPr>
      <w:r w:rsidRPr="00B61FF1">
        <w:rPr>
          <w:rFonts w:ascii="Arial" w:hAnsi="Arial" w:cs="Arial"/>
          <w:sz w:val="24"/>
          <w:szCs w:val="24"/>
          <w:u w:val="single"/>
        </w:rPr>
        <w:t>“DF</w:t>
      </w:r>
      <m:oMath>
        <m:r>
          <w:rPr>
            <w:rFonts w:ascii="Cambria Math" w:hAnsi="Cambria Math" w:cs="Arial"/>
            <w:sz w:val="24"/>
            <w:szCs w:val="24"/>
            <w:u w:val="single"/>
          </w:rPr>
          <m:t>'</m:t>
        </m:r>
      </m:oMath>
      <w:r w:rsidRPr="00B61FF1">
        <w:rPr>
          <w:rFonts w:ascii="Arial" w:hAnsi="Arial" w:cs="Arial"/>
          <w:sz w:val="24"/>
          <w:szCs w:val="24"/>
          <w:u w:val="single"/>
          <w:vertAlign w:val="subscript"/>
        </w:rPr>
        <w:t>Y,t</w:t>
      </w:r>
      <w:r w:rsidRPr="00B61FF1">
        <w:rPr>
          <w:rFonts w:ascii="Arial" w:hAnsi="Arial" w:cs="Arial"/>
          <w:sz w:val="24"/>
          <w:szCs w:val="24"/>
          <w:u w:val="single"/>
        </w:rPr>
        <w:t>” and F’</w:t>
      </w:r>
      <w:r w:rsidRPr="00B61FF1">
        <w:rPr>
          <w:rFonts w:ascii="Arial" w:hAnsi="Arial" w:cs="Arial"/>
          <w:sz w:val="24"/>
          <w:szCs w:val="24"/>
          <w:u w:val="single"/>
          <w:vertAlign w:val="subscript"/>
        </w:rPr>
        <w:t>t</w:t>
      </w:r>
      <w:r w:rsidRPr="00B61FF1">
        <w:rPr>
          <w:rFonts w:ascii="Arial" w:hAnsi="Arial" w:cs="Arial"/>
          <w:sz w:val="24"/>
          <w:szCs w:val="24"/>
          <w:u w:val="single"/>
        </w:rPr>
        <w:t xml:space="preserve"> are calculated using actual 2013 and 2014 emissions and a revised sector allocation reflecting actual 2013 and 2014 output</w:t>
      </w:r>
    </w:p>
    <w:p w14:paraId="4518CDCC" w14:textId="77777777" w:rsidR="00AF35E5" w:rsidRPr="00B61FF1" w:rsidRDefault="00AF35E5" w:rsidP="00AF35E5">
      <w:pPr>
        <w:autoSpaceDE/>
        <w:autoSpaceDN/>
        <w:adjustRightInd/>
        <w:spacing w:line="360" w:lineRule="auto"/>
        <w:ind w:left="1440"/>
        <w:rPr>
          <w:rFonts w:ascii="Arial" w:hAnsi="Arial" w:cs="Arial"/>
          <w:sz w:val="24"/>
          <w:szCs w:val="24"/>
        </w:rPr>
      </w:pPr>
    </w:p>
    <w:p w14:paraId="639BF79B" w14:textId="77777777" w:rsidR="00AF35E5" w:rsidRPr="00B61FF1" w:rsidRDefault="00AF35E5" w:rsidP="00AF35E5">
      <w:pPr>
        <w:autoSpaceDE/>
        <w:autoSpaceDN/>
        <w:adjustRightInd/>
        <w:spacing w:line="360" w:lineRule="auto"/>
        <w:ind w:left="1440"/>
        <w:rPr>
          <w:rFonts w:ascii="Arial" w:hAnsi="Arial" w:cs="Arial"/>
          <w:strike/>
          <w:sz w:val="24"/>
          <w:szCs w:val="24"/>
          <w:u w:val="single"/>
        </w:rPr>
      </w:pPr>
      <w:r w:rsidRPr="00B61FF1">
        <w:rPr>
          <w:rFonts w:ascii="Arial" w:hAnsi="Arial" w:cs="Arial"/>
          <w:sz w:val="24"/>
          <w:szCs w:val="24"/>
          <w:u w:val="single"/>
        </w:rPr>
        <w:t>“AE</w:t>
      </w:r>
      <w:r w:rsidRPr="00B61FF1">
        <w:rPr>
          <w:rFonts w:ascii="Arial" w:hAnsi="Arial" w:cs="Arial"/>
          <w:sz w:val="24"/>
          <w:szCs w:val="24"/>
          <w:u w:val="single"/>
          <w:vertAlign w:val="subscript"/>
        </w:rPr>
        <w:t>Y,t</w:t>
      </w:r>
      <w:r w:rsidRPr="00B61FF1">
        <w:rPr>
          <w:rFonts w:ascii="Arial" w:hAnsi="Arial" w:cs="Arial"/>
          <w:sz w:val="24"/>
          <w:szCs w:val="24"/>
          <w:u w:val="single"/>
        </w:rPr>
        <w:t>” = Actual GHG emissions from a facility in year “t” adjusted for heat sales and purchases and electricity sales.</w:t>
      </w:r>
      <w:r w:rsidRPr="00B61FF1">
        <w:rPr>
          <w:rFonts w:ascii="Arial" w:hAnsi="Arial" w:cs="Arial"/>
          <w:strike/>
          <w:sz w:val="24"/>
          <w:szCs w:val="24"/>
          <w:u w:val="single"/>
        </w:rPr>
        <w:t xml:space="preserve"> </w:t>
      </w:r>
    </w:p>
    <w:p w14:paraId="7176CFBF" w14:textId="77777777" w:rsidR="00AF35E5" w:rsidRPr="00B61FF1" w:rsidRDefault="00AF35E5" w:rsidP="00AF35E5">
      <w:pPr>
        <w:autoSpaceDE/>
        <w:autoSpaceDN/>
        <w:adjustRightInd/>
        <w:spacing w:line="360" w:lineRule="auto"/>
        <w:ind w:left="1440"/>
        <w:rPr>
          <w:rFonts w:ascii="Arial" w:hAnsi="Arial" w:cs="Arial"/>
          <w:sz w:val="24"/>
          <w:szCs w:val="24"/>
        </w:rPr>
      </w:pPr>
    </w:p>
    <w:p w14:paraId="704123EA" w14:textId="744979E3" w:rsidR="00BC06E0" w:rsidRPr="00B61FF1" w:rsidRDefault="00BC06E0" w:rsidP="00AF35E5">
      <w:pPr>
        <w:autoSpaceDE/>
        <w:autoSpaceDN/>
        <w:adjustRightInd/>
        <w:spacing w:line="360" w:lineRule="auto"/>
        <w:ind w:left="1440"/>
        <w:rPr>
          <w:rFonts w:ascii="Arial" w:hAnsi="Arial" w:cs="Arial"/>
          <w:sz w:val="24"/>
          <w:szCs w:val="24"/>
          <w:u w:val="single"/>
        </w:rPr>
      </w:pPr>
      <w:r w:rsidRPr="00B61FF1">
        <w:rPr>
          <w:rFonts w:ascii="Arial" w:hAnsi="Arial" w:cs="Arial"/>
          <w:sz w:val="24"/>
          <w:szCs w:val="24"/>
        </w:rPr>
        <w:lastRenderedPageBreak/>
        <w:t>“</w:t>
      </w:r>
      <w:r w:rsidRPr="00B61FF1">
        <w:rPr>
          <w:rFonts w:ascii="Arial" w:hAnsi="Arial" w:cs="Arial"/>
          <w:sz w:val="24"/>
          <w:szCs w:val="24"/>
          <w:u w:val="single"/>
        </w:rPr>
        <w:t>TrueUp</w:t>
      </w:r>
      <w:r w:rsidRPr="00B61FF1">
        <w:rPr>
          <w:rFonts w:ascii="Arial" w:hAnsi="Arial" w:cs="Arial"/>
          <w:sz w:val="24"/>
          <w:szCs w:val="24"/>
          <w:u w:val="single"/>
          <w:vertAlign w:val="subscript"/>
        </w:rPr>
        <w:t xml:space="preserve">Y, t </w:t>
      </w:r>
      <w:r w:rsidRPr="00B61FF1">
        <w:rPr>
          <w:rFonts w:ascii="Arial" w:hAnsi="Arial" w:cs="Arial"/>
          <w:sz w:val="24"/>
          <w:szCs w:val="24"/>
          <w:u w:val="single"/>
        </w:rPr>
        <w:t xml:space="preserve">”is the amount true-up allowances allocated to account for changes in production or allocation not properly accounted for in prior allocations for refinery “Y”. This value of allowances for budget year “t” shall be allowed to be used for budget year “t-2” pursuant to 95856(h)(1)(C) and 95856(h)(2)(C).  </w:t>
      </w:r>
    </w:p>
    <w:p w14:paraId="0B90DF4B" w14:textId="77777777" w:rsidR="00AF35E5" w:rsidRPr="00B61FF1" w:rsidRDefault="00AF35E5" w:rsidP="002807B7">
      <w:pPr>
        <w:autoSpaceDE/>
        <w:autoSpaceDN/>
        <w:adjustRightInd/>
        <w:spacing w:line="360" w:lineRule="auto"/>
        <w:rPr>
          <w:rFonts w:ascii="Arial" w:hAnsi="Arial" w:cs="Arial"/>
          <w:strike/>
          <w:sz w:val="24"/>
          <w:szCs w:val="24"/>
        </w:rPr>
      </w:pPr>
    </w:p>
    <w:p w14:paraId="14D988DA" w14:textId="50D343B4" w:rsidR="00E643F6" w:rsidRPr="00B61FF1" w:rsidRDefault="00AF35E5" w:rsidP="00AF35E5">
      <w:pPr>
        <w:autoSpaceDE/>
        <w:autoSpaceDN/>
        <w:adjustRightInd/>
        <w:spacing w:line="360" w:lineRule="auto"/>
        <w:ind w:left="720" w:hanging="720"/>
        <w:rPr>
          <w:rFonts w:ascii="Arial" w:hAnsi="Arial" w:cs="Arial"/>
          <w:sz w:val="24"/>
          <w:szCs w:val="24"/>
          <w:u w:val="single"/>
        </w:rPr>
      </w:pPr>
      <w:r w:rsidRPr="002807B7">
        <w:rPr>
          <w:rFonts w:ascii="Arial" w:hAnsi="Arial" w:cs="Arial"/>
          <w:sz w:val="24"/>
          <w:szCs w:val="24"/>
        </w:rPr>
        <w:t xml:space="preserve"> </w:t>
      </w:r>
      <w:r w:rsidR="00E643F6" w:rsidRPr="00B61FF1">
        <w:rPr>
          <w:rFonts w:ascii="Arial" w:hAnsi="Arial" w:cs="Arial"/>
          <w:sz w:val="24"/>
          <w:szCs w:val="24"/>
          <w:u w:val="single"/>
        </w:rPr>
        <w:t>(e)</w:t>
      </w:r>
      <w:r w:rsidR="00E643F6" w:rsidRPr="00B61FF1">
        <w:rPr>
          <w:rFonts w:ascii="Arial" w:hAnsi="Arial" w:cs="Arial"/>
          <w:sz w:val="24"/>
          <w:szCs w:val="24"/>
        </w:rPr>
        <w:t xml:space="preserve">  </w:t>
      </w:r>
      <w:r w:rsidR="00AF4241" w:rsidRPr="00B61FF1">
        <w:rPr>
          <w:rFonts w:ascii="Arial" w:hAnsi="Arial" w:cs="Arial"/>
          <w:sz w:val="24"/>
          <w:szCs w:val="24"/>
        </w:rPr>
        <w:tab/>
      </w:r>
      <w:r w:rsidR="00E643F6" w:rsidRPr="00B61FF1">
        <w:rPr>
          <w:rFonts w:ascii="Arial" w:hAnsi="Arial" w:cs="Arial"/>
          <w:sz w:val="24"/>
          <w:szCs w:val="24"/>
          <w:u w:val="single"/>
        </w:rPr>
        <w:t>Allocation to University Covered Entities</w:t>
      </w:r>
      <w:r w:rsidR="00C21FCD" w:rsidRPr="00B61FF1">
        <w:t xml:space="preserve"> </w:t>
      </w:r>
      <w:r w:rsidR="00C21FCD" w:rsidRPr="00B61FF1">
        <w:rPr>
          <w:rFonts w:ascii="Arial" w:hAnsi="Arial" w:cs="Arial"/>
          <w:sz w:val="24"/>
          <w:szCs w:val="24"/>
          <w:u w:val="single"/>
        </w:rPr>
        <w:t>and Public Service Facilities</w:t>
      </w:r>
      <w:r w:rsidR="00E643F6" w:rsidRPr="00B61FF1">
        <w:rPr>
          <w:rFonts w:ascii="Arial" w:hAnsi="Arial" w:cs="Arial"/>
          <w:sz w:val="24"/>
          <w:szCs w:val="24"/>
          <w:u w:val="single"/>
        </w:rPr>
        <w:t>.  The Executive Officer shall calculate the amount of allowances directly allocated to a University</w:t>
      </w:r>
      <w:r w:rsidR="00BC59F5" w:rsidRPr="00B61FF1">
        <w:rPr>
          <w:rFonts w:ascii="Arial" w:hAnsi="Arial" w:cs="Arial"/>
          <w:sz w:val="24"/>
          <w:szCs w:val="24"/>
          <w:u w:val="single"/>
        </w:rPr>
        <w:t xml:space="preserve"> or a public service facility</w:t>
      </w:r>
      <w:r w:rsidR="00E643F6" w:rsidRPr="00B61FF1">
        <w:rPr>
          <w:rFonts w:ascii="Arial" w:hAnsi="Arial" w:cs="Arial"/>
          <w:sz w:val="24"/>
          <w:szCs w:val="24"/>
          <w:u w:val="single"/>
        </w:rPr>
        <w:t xml:space="preserve"> using the following formulas:</w:t>
      </w:r>
    </w:p>
    <w:p w14:paraId="01DCA0F7" w14:textId="6C7A75B0" w:rsidR="00E643F6" w:rsidRPr="00B61FF1" w:rsidRDefault="00E643F6" w:rsidP="00E643F6">
      <w:pPr>
        <w:autoSpaceDE/>
        <w:autoSpaceDN/>
        <w:adjustRightInd/>
        <w:spacing w:line="360" w:lineRule="auto"/>
        <w:ind w:left="1440" w:hanging="720"/>
        <w:rPr>
          <w:rFonts w:ascii="Arial" w:eastAsia="Calibri" w:hAnsi="Arial" w:cs="Arial"/>
          <w:sz w:val="24"/>
          <w:szCs w:val="24"/>
          <w:u w:val="single"/>
        </w:rPr>
      </w:pPr>
      <w:r w:rsidRPr="00B61FF1">
        <w:rPr>
          <w:rFonts w:ascii="Arial" w:eastAsia="Calibri" w:hAnsi="Arial" w:cs="Arial"/>
          <w:sz w:val="24"/>
          <w:szCs w:val="24"/>
          <w:u w:val="single"/>
        </w:rPr>
        <w:t>(1)</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Budget Year 2015 Allocation. For budget year 2015, the Executive Officer shall calculate the amount of California GHG Allowances directly allocated to eligible University Covered Entities</w:t>
      </w:r>
      <w:r w:rsidR="00203780" w:rsidRPr="00B61FF1">
        <w:rPr>
          <w:rFonts w:ascii="Arial" w:eastAsia="Calibri" w:hAnsi="Arial" w:cs="Arial"/>
          <w:sz w:val="24"/>
          <w:szCs w:val="24"/>
          <w:u w:val="single"/>
        </w:rPr>
        <w:t xml:space="preserve"> or Public Service Facilities</w:t>
      </w:r>
      <w:r w:rsidRPr="00B61FF1">
        <w:rPr>
          <w:rFonts w:ascii="Arial" w:eastAsia="Calibri" w:hAnsi="Arial" w:cs="Arial"/>
          <w:sz w:val="24"/>
          <w:szCs w:val="24"/>
          <w:u w:val="single"/>
        </w:rPr>
        <w:t xml:space="preserve"> using the following formula.</w:t>
      </w:r>
    </w:p>
    <w:p w14:paraId="34D88A8D" w14:textId="77777777" w:rsidR="00E643F6" w:rsidRPr="00B61FF1" w:rsidRDefault="00E643F6" w:rsidP="00E643F6">
      <w:pPr>
        <w:autoSpaceDE/>
        <w:autoSpaceDN/>
        <w:adjustRightInd/>
        <w:spacing w:line="360" w:lineRule="auto"/>
        <w:ind w:left="1440" w:hanging="720"/>
        <w:rPr>
          <w:rFonts w:ascii="Arial" w:eastAsia="Calibri" w:hAnsi="Arial" w:cs="Arial"/>
          <w:sz w:val="24"/>
          <w:szCs w:val="24"/>
          <w:u w:val="single"/>
        </w:rPr>
      </w:pPr>
    </w:p>
    <w:p w14:paraId="0817C5F8" w14:textId="77777777" w:rsidR="00E643F6" w:rsidRPr="00B61FF1" w:rsidRDefault="00661852" w:rsidP="00E643F6">
      <w:pPr>
        <w:autoSpaceDE/>
        <w:autoSpaceDN/>
        <w:adjustRightInd/>
        <w:spacing w:line="360" w:lineRule="auto"/>
        <w:ind w:left="720" w:hanging="720"/>
        <w:jc w:val="center"/>
        <w:rPr>
          <w:rFonts w:ascii="Arial" w:eastAsia="Times New Roman" w:hAnsi="Arial" w:cs="Arial"/>
          <w:sz w:val="24"/>
          <w:szCs w:val="24"/>
          <w:u w:val="single"/>
        </w:rPr>
      </w:pPr>
      <m:oMathPara>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m:t>
              </m:r>
            </m:e>
            <m:sub>
              <m:r>
                <w:rPr>
                  <w:rFonts w:ascii="Cambria Math" w:eastAsia="Calibri" w:hAnsi="Cambria Math" w:cs="Arial"/>
                  <w:sz w:val="24"/>
                  <w:szCs w:val="24"/>
                  <w:u w:val="single"/>
                </w:rPr>
                <m:t>2015</m:t>
              </m:r>
            </m:sub>
          </m:sSub>
          <m:r>
            <w:rPr>
              <w:rFonts w:ascii="Cambria Math" w:eastAsia="Calibri" w:hAnsi="Cambria Math" w:cs="Arial"/>
              <w:sz w:val="24"/>
              <w:szCs w:val="24"/>
              <w:u w:val="single"/>
            </w:rPr>
            <m:t>=</m:t>
          </m:r>
          <m:d>
            <m:dPr>
              <m:ctrlPr>
                <w:rPr>
                  <w:rFonts w:ascii="Cambria Math" w:eastAsia="Calibri" w:hAnsi="Cambria Math" w:cs="Arial"/>
                  <w:i/>
                  <w:sz w:val="24"/>
                  <w:szCs w:val="24"/>
                </w:rPr>
              </m:ctrlPr>
            </m:dPr>
            <m:e>
              <m:sSub>
                <m:sSubPr>
                  <m:ctrlPr>
                    <w:rPr>
                      <w:rFonts w:ascii="Cambria Math" w:eastAsia="Calibri" w:hAnsi="Cambria Math" w:cs="Arial"/>
                      <w:i/>
                      <w:sz w:val="24"/>
                      <w:szCs w:val="24"/>
                    </w:rPr>
                  </m:ctrlPr>
                </m:sSubPr>
                <m:e>
                  <m:r>
                    <w:rPr>
                      <w:rFonts w:ascii="Cambria Math" w:eastAsia="Calibri" w:hAnsi="Cambria Math" w:cs="Arial"/>
                      <w:sz w:val="24"/>
                      <w:szCs w:val="24"/>
                    </w:rPr>
                    <m:t>F</m:t>
                  </m:r>
                </m:e>
                <m:sub>
                  <m:r>
                    <w:rPr>
                      <w:rFonts w:ascii="Cambria Math" w:eastAsia="Calibri" w:hAnsi="Cambria Math" w:cs="Arial"/>
                      <w:sz w:val="24"/>
                      <w:szCs w:val="24"/>
                    </w:rPr>
                    <m:t>consumed</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B</m:t>
                  </m:r>
                </m:e>
                <m:sub>
                  <m:r>
                    <w:rPr>
                      <w:rFonts w:ascii="Cambria Math" w:eastAsia="Calibri" w:hAnsi="Cambria Math" w:cs="Arial"/>
                      <w:sz w:val="24"/>
                      <w:szCs w:val="24"/>
                    </w:rPr>
                    <m:t>Fuel</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e</m:t>
                  </m:r>
                </m:e>
                <m:sub>
                  <m:r>
                    <w:rPr>
                      <w:rFonts w:ascii="Cambria Math" w:eastAsia="Calibri" w:hAnsi="Cambria Math" w:cs="Arial"/>
                      <w:sz w:val="24"/>
                      <w:szCs w:val="24"/>
                    </w:rPr>
                    <m:t>sold</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B</m:t>
                  </m:r>
                </m:e>
                <m:sub>
                  <m:r>
                    <w:rPr>
                      <w:rFonts w:ascii="Cambria Math" w:eastAsia="Calibri" w:hAnsi="Cambria Math" w:cs="Arial"/>
                      <w:sz w:val="24"/>
                      <w:szCs w:val="24"/>
                    </w:rPr>
                    <m:t>electricity</m:t>
                  </m:r>
                </m:sub>
              </m:sSub>
            </m:e>
          </m:d>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c</m:t>
              </m:r>
            </m:e>
            <m:sub>
              <m:r>
                <w:rPr>
                  <w:rFonts w:ascii="Cambria Math" w:eastAsia="Calibri" w:hAnsi="Cambria Math" w:cs="Arial"/>
                  <w:sz w:val="24"/>
                  <w:szCs w:val="24"/>
                </w:rPr>
                <m:t>t</m:t>
              </m:r>
            </m:sub>
          </m:sSub>
          <m:r>
            <w:rPr>
              <w:rFonts w:ascii="Cambria Math" w:eastAsia="Calibri" w:hAnsi="Cambria Math" w:cs="Arial"/>
              <w:sz w:val="24"/>
              <w:szCs w:val="24"/>
              <w:u w:val="single"/>
            </w:rPr>
            <m:t>+</m:t>
          </m:r>
          <m:nary>
            <m:naryPr>
              <m:chr m:val="∑"/>
              <m:limLoc m:val="undOvr"/>
              <m:ctrlPr>
                <w:rPr>
                  <w:rFonts w:ascii="Cambria Math" w:eastAsia="Calibri" w:hAnsi="Cambria Math" w:cs="Arial"/>
                  <w:i/>
                  <w:sz w:val="24"/>
                  <w:szCs w:val="24"/>
                  <w:u w:val="single"/>
                </w:rPr>
              </m:ctrlPr>
            </m:naryPr>
            <m:sub>
              <m:r>
                <w:rPr>
                  <w:rFonts w:ascii="Cambria Math" w:eastAsia="Calibri" w:hAnsi="Cambria Math" w:cs="Arial"/>
                  <w:sz w:val="24"/>
                  <w:szCs w:val="24"/>
                  <w:u w:val="single"/>
                </w:rPr>
                <m:t>y=2013</m:t>
              </m:r>
            </m:sub>
            <m:sup>
              <m:r>
                <w:rPr>
                  <w:rFonts w:ascii="Cambria Math" w:eastAsia="Calibri" w:hAnsi="Cambria Math" w:cs="Arial"/>
                  <w:sz w:val="24"/>
                  <w:szCs w:val="24"/>
                  <w:u w:val="single"/>
                </w:rPr>
                <m:t>2014</m:t>
              </m:r>
            </m:sup>
            <m:e>
              <m:r>
                <w:rPr>
                  <w:rFonts w:ascii="Cambria Math" w:eastAsia="Calibri" w:hAnsi="Cambria Math" w:cs="Arial"/>
                  <w:sz w:val="24"/>
                  <w:szCs w:val="24"/>
                  <w:u w:val="single"/>
                </w:rPr>
                <m:t>TrueU</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p</m:t>
                  </m:r>
                </m:e>
                <m:sub>
                  <m:r>
                    <w:rPr>
                      <w:rFonts w:ascii="Cambria Math" w:eastAsia="Calibri" w:hAnsi="Cambria Math" w:cs="Arial"/>
                      <w:sz w:val="24"/>
                      <w:szCs w:val="24"/>
                      <w:u w:val="single"/>
                    </w:rPr>
                    <m:t>y</m:t>
                  </m:r>
                </m:sub>
              </m:sSub>
            </m:e>
          </m:nary>
        </m:oMath>
      </m:oMathPara>
    </w:p>
    <w:p w14:paraId="4636CDCF" w14:textId="77777777" w:rsidR="00E643F6" w:rsidRPr="00B61FF1" w:rsidRDefault="00E643F6" w:rsidP="00E643F6">
      <w:pPr>
        <w:spacing w:line="360" w:lineRule="auto"/>
        <w:ind w:left="1440"/>
        <w:rPr>
          <w:rFonts w:ascii="Arial" w:hAnsi="Arial" w:cs="Arial"/>
          <w:sz w:val="24"/>
          <w:szCs w:val="24"/>
          <w:u w:val="single"/>
        </w:rPr>
      </w:pPr>
    </w:p>
    <w:p w14:paraId="0849F45C" w14:textId="13327EA4" w:rsidR="00E643F6" w:rsidRPr="00B61FF1" w:rsidRDefault="00E643F6" w:rsidP="00E643F6">
      <w:pPr>
        <w:spacing w:line="360" w:lineRule="auto"/>
        <w:ind w:left="1440"/>
        <w:rPr>
          <w:rFonts w:ascii="Arial" w:hAnsi="Arial" w:cs="Arial"/>
          <w:sz w:val="24"/>
          <w:szCs w:val="24"/>
          <w:u w:val="single"/>
        </w:rPr>
      </w:pPr>
      <w:r w:rsidRPr="00B61FF1">
        <w:rPr>
          <w:rFonts w:ascii="Arial" w:hAnsi="Arial" w:cs="Arial"/>
          <w:sz w:val="24"/>
          <w:szCs w:val="24"/>
          <w:u w:val="single"/>
        </w:rPr>
        <w:t>Where:</w:t>
      </w:r>
    </w:p>
    <w:p w14:paraId="3F82642D" w14:textId="77777777" w:rsidR="00E643F6" w:rsidRPr="00B61FF1" w:rsidRDefault="00E643F6" w:rsidP="00E643F6">
      <w:pPr>
        <w:spacing w:line="360" w:lineRule="auto"/>
        <w:ind w:left="1440"/>
        <w:rPr>
          <w:rFonts w:ascii="Arial" w:hAnsi="Arial" w:cs="Arial"/>
          <w:sz w:val="24"/>
          <w:szCs w:val="24"/>
          <w:u w:val="single"/>
        </w:rPr>
      </w:pPr>
    </w:p>
    <w:p w14:paraId="13125FB1" w14:textId="22775BE9" w:rsidR="00E643F6" w:rsidRPr="00B61FF1" w:rsidRDefault="00E643F6" w:rsidP="00E643F6">
      <w:pPr>
        <w:spacing w:line="360" w:lineRule="auto"/>
        <w:ind w:left="144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u w:val="single"/>
          <w:vertAlign w:val="subscript"/>
        </w:rPr>
        <w:t>2015</w:t>
      </w:r>
      <w:r w:rsidRPr="00B61FF1">
        <w:rPr>
          <w:rFonts w:ascii="Arial" w:hAnsi="Arial" w:cs="Arial"/>
          <w:sz w:val="24"/>
          <w:szCs w:val="24"/>
          <w:u w:val="single"/>
        </w:rPr>
        <w:t>” is the amount of California GHG allowances directly allocated to a university</w:t>
      </w:r>
      <w:r w:rsidR="002B52BA" w:rsidRPr="00B61FF1">
        <w:rPr>
          <w:rFonts w:ascii="Arial" w:hAnsi="Arial" w:cs="Arial"/>
          <w:sz w:val="24"/>
          <w:szCs w:val="24"/>
          <w:u w:val="single"/>
        </w:rPr>
        <w:t xml:space="preserve"> or public service facility</w:t>
      </w:r>
      <w:r w:rsidRPr="00B61FF1">
        <w:rPr>
          <w:rFonts w:ascii="Arial" w:hAnsi="Arial" w:cs="Arial"/>
          <w:sz w:val="24"/>
          <w:szCs w:val="24"/>
          <w:u w:val="single"/>
        </w:rPr>
        <w:t xml:space="preserve"> from budget year 2015;</w:t>
      </w:r>
    </w:p>
    <w:p w14:paraId="72481737" w14:textId="77777777" w:rsidR="00E643F6" w:rsidRPr="00B61FF1" w:rsidRDefault="00E643F6" w:rsidP="00E643F6">
      <w:pPr>
        <w:spacing w:line="360" w:lineRule="auto"/>
        <w:ind w:left="1440"/>
        <w:rPr>
          <w:rFonts w:ascii="Arial" w:hAnsi="Arial" w:cs="Arial"/>
          <w:sz w:val="24"/>
          <w:szCs w:val="24"/>
          <w:u w:val="single"/>
        </w:rPr>
      </w:pPr>
    </w:p>
    <w:p w14:paraId="42EDCD64" w14:textId="77777777" w:rsidR="00E643F6" w:rsidRPr="00B61FF1" w:rsidRDefault="00E643F6" w:rsidP="00E643F6">
      <w:pPr>
        <w:autoSpaceDE/>
        <w:autoSpaceDN/>
        <w:adjustRightInd/>
        <w:spacing w:line="360" w:lineRule="auto"/>
        <w:ind w:left="1440"/>
        <w:rPr>
          <w:rFonts w:ascii="Arial" w:eastAsia="Times New Roman" w:hAnsi="Arial" w:cs="Arial"/>
          <w:sz w:val="24"/>
          <w:szCs w:val="24"/>
          <w:u w:val="single"/>
        </w:rPr>
      </w:pPr>
      <w:r w:rsidRPr="00B61FF1">
        <w:rPr>
          <w:rFonts w:ascii="Arial" w:eastAsia="Times New Roman" w:hAnsi="Arial" w:cs="Arial"/>
          <w:sz w:val="24"/>
          <w:szCs w:val="24"/>
          <w:u w:val="single"/>
        </w:rPr>
        <w:t>“F</w:t>
      </w:r>
      <w:r w:rsidRPr="00B61FF1">
        <w:rPr>
          <w:rFonts w:ascii="Arial" w:eastAsia="Times New Roman" w:hAnsi="Arial" w:cs="Arial"/>
          <w:sz w:val="24"/>
          <w:szCs w:val="24"/>
          <w:u w:val="single"/>
          <w:vertAlign w:val="subscript"/>
        </w:rPr>
        <w:t>consumed</w:t>
      </w:r>
      <w:r w:rsidRPr="00B61FF1">
        <w:rPr>
          <w:rFonts w:ascii="Arial" w:eastAsia="Times New Roman" w:hAnsi="Arial" w:cs="Arial"/>
          <w:sz w:val="24"/>
          <w:szCs w:val="24"/>
          <w:u w:val="single"/>
        </w:rPr>
        <w:t xml:space="preserve">” is the historical baseline annual arithmetic mean amount of energy produced due to fuel combustion at the facility, measured in MMBtus.  The Executive Officer shall calculate this value based on measured higher heating values or the default higher heating value of the applicable fuel in Table C–1 of subpart C, title 40, Code of Federal Regulations, Part 98. This value shall include any energy </w:t>
      </w:r>
      <w:r w:rsidRPr="00B61FF1">
        <w:rPr>
          <w:rFonts w:ascii="Arial" w:eastAsia="Times New Roman" w:hAnsi="Arial" w:cs="Arial"/>
          <w:sz w:val="24"/>
          <w:szCs w:val="24"/>
          <w:u w:val="single"/>
        </w:rPr>
        <w:lastRenderedPageBreak/>
        <w:t>from fuel combusted in an onsite electricity generation or cogeneration unit.</w:t>
      </w:r>
    </w:p>
    <w:p w14:paraId="52AF8A92" w14:textId="77777777" w:rsidR="00E643F6" w:rsidRPr="00B61FF1" w:rsidRDefault="00E643F6" w:rsidP="00E643F6">
      <w:pPr>
        <w:autoSpaceDE/>
        <w:autoSpaceDN/>
        <w:adjustRightInd/>
        <w:spacing w:line="360" w:lineRule="auto"/>
        <w:ind w:left="1440"/>
        <w:rPr>
          <w:rFonts w:ascii="Arial" w:eastAsia="Calibri" w:hAnsi="Arial" w:cs="Arial"/>
          <w:sz w:val="24"/>
          <w:szCs w:val="24"/>
          <w:u w:val="single"/>
        </w:rPr>
      </w:pPr>
    </w:p>
    <w:p w14:paraId="37ED5B4A" w14:textId="77777777" w:rsidR="00E643F6" w:rsidRPr="00B61FF1" w:rsidRDefault="00E643F6" w:rsidP="00E643F6">
      <w:pPr>
        <w:spacing w:line="360" w:lineRule="auto"/>
        <w:ind w:left="1440"/>
        <w:rPr>
          <w:rFonts w:ascii="Arial" w:eastAsia="Calibri" w:hAnsi="Arial" w:cs="Arial"/>
          <w:sz w:val="24"/>
          <w:szCs w:val="24"/>
          <w:u w:val="single"/>
        </w:rPr>
      </w:pPr>
      <w:r w:rsidRPr="00B61FF1">
        <w:rPr>
          <w:rFonts w:ascii="Arial" w:eastAsia="Calibri" w:hAnsi="Arial" w:cs="Arial"/>
          <w:sz w:val="24"/>
          <w:szCs w:val="24"/>
          <w:u w:val="single"/>
        </w:rPr>
        <w:t>“B</w:t>
      </w:r>
      <w:r w:rsidRPr="00B61FF1">
        <w:rPr>
          <w:rFonts w:ascii="Arial" w:eastAsia="Calibri" w:hAnsi="Arial" w:cs="Arial"/>
          <w:sz w:val="24"/>
          <w:szCs w:val="24"/>
          <w:u w:val="single"/>
          <w:vertAlign w:val="subscript"/>
        </w:rPr>
        <w:t>Fuel</w:t>
      </w:r>
      <w:r w:rsidRPr="00B61FF1">
        <w:rPr>
          <w:rFonts w:ascii="Arial" w:eastAsia="Calibri" w:hAnsi="Arial" w:cs="Arial"/>
          <w:sz w:val="24"/>
          <w:szCs w:val="24"/>
          <w:u w:val="single"/>
        </w:rPr>
        <w:t>” is the emissions efficiency benchmark per unit of energy from fuel combustion, 0.05307 California GHG Allowances/MMBtu</w:t>
      </w:r>
      <w:r w:rsidRPr="00B61FF1">
        <w:rPr>
          <w:rFonts w:ascii="Arial" w:eastAsia="Calibri" w:hAnsi="Arial" w:cs="Arial"/>
          <w:b/>
          <w:bCs/>
          <w:sz w:val="24"/>
          <w:szCs w:val="24"/>
          <w:u w:val="single"/>
        </w:rPr>
        <w:t xml:space="preserve">; </w:t>
      </w:r>
    </w:p>
    <w:p w14:paraId="27D3E965" w14:textId="77777777" w:rsidR="00E643F6" w:rsidRPr="00B61FF1" w:rsidRDefault="00E643F6" w:rsidP="00E643F6">
      <w:pPr>
        <w:spacing w:line="360" w:lineRule="auto"/>
        <w:ind w:left="1440"/>
        <w:rPr>
          <w:rFonts w:ascii="Arial" w:eastAsia="Calibri" w:hAnsi="Arial" w:cs="Arial"/>
          <w:sz w:val="24"/>
          <w:szCs w:val="24"/>
          <w:u w:val="single"/>
        </w:rPr>
      </w:pPr>
      <w:r w:rsidRPr="00B61FF1">
        <w:rPr>
          <w:rFonts w:ascii="Arial" w:eastAsia="Calibri" w:hAnsi="Arial" w:cs="Arial"/>
          <w:sz w:val="24"/>
          <w:szCs w:val="24"/>
          <w:u w:val="single"/>
        </w:rPr>
        <w:t>“e</w:t>
      </w:r>
      <w:r w:rsidRPr="00B61FF1">
        <w:rPr>
          <w:rFonts w:ascii="Arial" w:eastAsia="Calibri" w:hAnsi="Arial" w:cs="Arial"/>
          <w:sz w:val="24"/>
          <w:szCs w:val="24"/>
          <w:u w:val="single"/>
          <w:vertAlign w:val="subscript"/>
        </w:rPr>
        <w:t>Sold</w:t>
      </w:r>
      <w:r w:rsidRPr="00B61FF1">
        <w:rPr>
          <w:rFonts w:ascii="Arial" w:eastAsia="Calibri" w:hAnsi="Arial" w:cs="Arial"/>
          <w:sz w:val="24"/>
          <w:szCs w:val="24"/>
          <w:u w:val="single"/>
        </w:rPr>
        <w:t xml:space="preserve">” is the historical baseline annual arithmetic mean amount of electricity sold or provided for off-site use, measured in MWhs; </w:t>
      </w:r>
    </w:p>
    <w:p w14:paraId="07AD946C" w14:textId="77777777" w:rsidR="00E643F6" w:rsidRPr="00B61FF1" w:rsidRDefault="00E643F6" w:rsidP="00E643F6">
      <w:pPr>
        <w:autoSpaceDE/>
        <w:autoSpaceDN/>
        <w:adjustRightInd/>
        <w:spacing w:line="360" w:lineRule="auto"/>
        <w:ind w:left="1440"/>
        <w:rPr>
          <w:rFonts w:ascii="Arial" w:eastAsia="Calibri" w:hAnsi="Arial" w:cs="Arial"/>
          <w:sz w:val="24"/>
          <w:szCs w:val="24"/>
          <w:u w:val="single"/>
        </w:rPr>
      </w:pPr>
      <w:r w:rsidRPr="00B61FF1">
        <w:rPr>
          <w:rFonts w:ascii="Arial" w:eastAsia="Calibri" w:hAnsi="Arial" w:cs="Arial"/>
          <w:sz w:val="24"/>
          <w:szCs w:val="24"/>
          <w:u w:val="single"/>
        </w:rPr>
        <w:t>“B</w:t>
      </w:r>
      <w:r w:rsidRPr="00B61FF1">
        <w:rPr>
          <w:rFonts w:ascii="Arial" w:eastAsia="Calibri" w:hAnsi="Arial" w:cs="Arial"/>
          <w:sz w:val="24"/>
          <w:szCs w:val="24"/>
          <w:u w:val="single"/>
          <w:vertAlign w:val="subscript"/>
        </w:rPr>
        <w:t>Electricity</w:t>
      </w:r>
      <w:r w:rsidRPr="00B61FF1">
        <w:rPr>
          <w:rFonts w:ascii="Arial" w:eastAsia="Calibri" w:hAnsi="Arial" w:cs="Arial"/>
          <w:sz w:val="24"/>
          <w:szCs w:val="24"/>
          <w:u w:val="single"/>
        </w:rPr>
        <w:t>” is the emissions efficiency benchmark per unit of electricity sold or provided to off-site end users, 0.431 California GHG Allowances/MWh;</w:t>
      </w:r>
    </w:p>
    <w:p w14:paraId="3363EAF7" w14:textId="77777777" w:rsidR="00E643F6" w:rsidRPr="00B61FF1" w:rsidRDefault="00E643F6" w:rsidP="00E643F6">
      <w:pPr>
        <w:autoSpaceDE/>
        <w:autoSpaceDN/>
        <w:adjustRightInd/>
        <w:spacing w:line="360" w:lineRule="auto"/>
        <w:ind w:left="1440"/>
        <w:rPr>
          <w:rFonts w:ascii="Arial" w:eastAsia="Calibri" w:hAnsi="Arial" w:cs="Arial"/>
          <w:sz w:val="24"/>
          <w:szCs w:val="24"/>
          <w:u w:val="single"/>
        </w:rPr>
      </w:pPr>
    </w:p>
    <w:p w14:paraId="2923A6B6" w14:textId="77777777" w:rsidR="00E643F6" w:rsidRPr="00B61FF1" w:rsidRDefault="00E643F6" w:rsidP="00E643F6">
      <w:pPr>
        <w:autoSpaceDE/>
        <w:autoSpaceDN/>
        <w:adjustRightInd/>
        <w:spacing w:line="360" w:lineRule="auto"/>
        <w:ind w:left="1440"/>
        <w:rPr>
          <w:rFonts w:ascii="Arial" w:eastAsia="Calibri" w:hAnsi="Arial" w:cs="Arial"/>
          <w:sz w:val="24"/>
          <w:szCs w:val="24"/>
          <w:u w:val="single"/>
        </w:rPr>
      </w:pPr>
      <w:r w:rsidRPr="00B61FF1">
        <w:rPr>
          <w:rFonts w:ascii="Arial" w:eastAsia="Calibri" w:hAnsi="Arial" w:cs="Arial"/>
          <w:sz w:val="24"/>
          <w:szCs w:val="24"/>
          <w:u w:val="single"/>
        </w:rPr>
        <w:t>“c</w:t>
      </w:r>
      <w:r w:rsidRPr="00B61FF1">
        <w:rPr>
          <w:rFonts w:ascii="Arial" w:eastAsia="Calibri" w:hAnsi="Arial" w:cs="Arial"/>
          <w:sz w:val="24"/>
          <w:szCs w:val="24"/>
          <w:u w:val="single"/>
          <w:vertAlign w:val="subscript"/>
        </w:rPr>
        <w:t>t</w:t>
      </w:r>
      <w:r w:rsidRPr="00B61FF1">
        <w:rPr>
          <w:rFonts w:ascii="Arial" w:eastAsia="Calibri" w:hAnsi="Arial" w:cs="Arial"/>
          <w:sz w:val="24"/>
          <w:szCs w:val="24"/>
          <w:u w:val="single"/>
        </w:rPr>
        <w:t>” is the adjustment factor for budget year “t” to account for cap decline as specified in Table 9-2.</w:t>
      </w:r>
    </w:p>
    <w:p w14:paraId="1B39DD19" w14:textId="77777777" w:rsidR="00E643F6" w:rsidRPr="00B61FF1" w:rsidRDefault="00E643F6" w:rsidP="00E643F6">
      <w:pPr>
        <w:autoSpaceDE/>
        <w:autoSpaceDN/>
        <w:adjustRightInd/>
        <w:spacing w:line="360" w:lineRule="auto"/>
        <w:ind w:left="1440"/>
        <w:rPr>
          <w:rFonts w:ascii="Arial" w:eastAsia="Calibri" w:hAnsi="Arial" w:cs="Arial"/>
          <w:sz w:val="24"/>
          <w:szCs w:val="24"/>
          <w:u w:val="single"/>
        </w:rPr>
      </w:pPr>
    </w:p>
    <w:p w14:paraId="57BF65CA" w14:textId="34AD37FB" w:rsidR="00E643F6" w:rsidRPr="00B61FF1" w:rsidRDefault="00E643F6" w:rsidP="00E643F6">
      <w:pPr>
        <w:spacing w:line="360" w:lineRule="auto"/>
        <w:ind w:left="1440"/>
        <w:rPr>
          <w:rFonts w:ascii="Arial" w:hAnsi="Arial" w:cs="Arial"/>
          <w:sz w:val="24"/>
          <w:szCs w:val="24"/>
          <w:u w:val="single"/>
        </w:rPr>
      </w:pPr>
      <w:r w:rsidRPr="00B61FF1">
        <w:rPr>
          <w:rFonts w:ascii="Arial" w:hAnsi="Arial" w:cs="Arial"/>
          <w:sz w:val="24"/>
          <w:szCs w:val="24"/>
          <w:u w:val="single"/>
        </w:rPr>
        <w:t xml:space="preserve">“TrueUp” is the amount of </w:t>
      </w:r>
      <w:r w:rsidR="00BC06E0" w:rsidRPr="00B61FF1">
        <w:rPr>
          <w:rFonts w:ascii="Arial" w:hAnsi="Arial" w:cs="Arial"/>
          <w:sz w:val="24"/>
          <w:szCs w:val="24"/>
          <w:u w:val="single"/>
        </w:rPr>
        <w:t>true-up</w:t>
      </w:r>
      <w:r w:rsidRPr="00B61FF1">
        <w:rPr>
          <w:rFonts w:ascii="Arial" w:hAnsi="Arial" w:cs="Arial"/>
          <w:sz w:val="24"/>
          <w:szCs w:val="24"/>
          <w:u w:val="single"/>
        </w:rPr>
        <w:t xml:space="preserve"> allowances allocated to account for changes in allocation not properly accounted for in prior allocations. This value of allowances for budget year 2015 shall be allowed to be used for budget year 2013 pursuant to section </w:t>
      </w:r>
      <w:r w:rsidR="00BC06E0" w:rsidRPr="00B61FF1">
        <w:rPr>
          <w:rFonts w:ascii="Arial" w:hAnsi="Arial" w:cs="Arial"/>
          <w:sz w:val="24"/>
          <w:szCs w:val="24"/>
          <w:u w:val="single"/>
        </w:rPr>
        <w:t>95856(h)(1)(C) and 95856(h)(2)(C)</w:t>
      </w:r>
      <w:r w:rsidRPr="00B61FF1">
        <w:rPr>
          <w:rFonts w:ascii="Arial" w:hAnsi="Arial" w:cs="Arial"/>
          <w:sz w:val="24"/>
          <w:szCs w:val="24"/>
          <w:u w:val="single"/>
        </w:rPr>
        <w:t>.  This value is calculated using the following formula:</w:t>
      </w:r>
    </w:p>
    <w:p w14:paraId="15E3D9FB" w14:textId="77777777" w:rsidR="00E643F6" w:rsidRPr="00B61FF1" w:rsidRDefault="00E643F6" w:rsidP="00E643F6">
      <w:pPr>
        <w:spacing w:line="360" w:lineRule="auto"/>
        <w:ind w:left="1440"/>
        <w:rPr>
          <w:rFonts w:ascii="Arial" w:hAnsi="Arial" w:cs="Arial"/>
          <w:sz w:val="24"/>
          <w:szCs w:val="24"/>
          <w:u w:val="single"/>
        </w:rPr>
      </w:pPr>
    </w:p>
    <w:p w14:paraId="64B0CFC5" w14:textId="77777777" w:rsidR="00E643F6" w:rsidRPr="00B61FF1" w:rsidRDefault="00E643F6" w:rsidP="00E643F6">
      <w:pPr>
        <w:autoSpaceDE/>
        <w:autoSpaceDN/>
        <w:adjustRightInd/>
        <w:spacing w:line="360" w:lineRule="auto"/>
        <w:ind w:left="720" w:hanging="720"/>
        <w:rPr>
          <w:rFonts w:ascii="Arial" w:hAnsi="Arial" w:cs="Arial"/>
          <w:sz w:val="24"/>
          <w:szCs w:val="24"/>
        </w:rPr>
      </w:pPr>
      <m:oMathPara>
        <m:oMath>
          <m:r>
            <w:rPr>
              <w:rFonts w:ascii="Cambria Math" w:hAnsi="Cambria Math" w:cs="Arial"/>
              <w:sz w:val="24"/>
              <w:szCs w:val="24"/>
              <w:u w:val="single"/>
            </w:rPr>
            <m:t>TrueU</m:t>
          </m:r>
          <m:sSub>
            <m:sSubPr>
              <m:ctrlPr>
                <w:rPr>
                  <w:rFonts w:ascii="Cambria Math" w:hAnsi="Cambria Math" w:cs="Arial"/>
                  <w:i/>
                  <w:sz w:val="24"/>
                  <w:szCs w:val="24"/>
                  <w:u w:val="single"/>
                </w:rPr>
              </m:ctrlPr>
            </m:sSubPr>
            <m:e>
              <m:r>
                <w:rPr>
                  <w:rFonts w:ascii="Cambria Math" w:hAnsi="Cambria Math" w:cs="Arial"/>
                  <w:sz w:val="24"/>
                  <w:szCs w:val="24"/>
                  <w:u w:val="single"/>
                </w:rPr>
                <m:t>p</m:t>
              </m:r>
            </m:e>
            <m:sub>
              <m:r>
                <w:rPr>
                  <w:rFonts w:ascii="Cambria Math" w:hAnsi="Cambria Math" w:cs="Arial"/>
                  <w:sz w:val="24"/>
                  <w:szCs w:val="24"/>
                  <w:u w:val="single"/>
                </w:rPr>
                <m:t>y</m:t>
              </m:r>
            </m:sub>
          </m:sSub>
          <m:r>
            <w:rPr>
              <w:rFonts w:ascii="Cambria Math" w:hAnsi="Cambria Math" w:cs="Arial"/>
              <w:sz w:val="24"/>
              <w:szCs w:val="24"/>
              <w:u w:val="single"/>
            </w:rPr>
            <m:t xml:space="preserve">= </m:t>
          </m:r>
          <m:d>
            <m:dPr>
              <m:ctrlPr>
                <w:rPr>
                  <w:rFonts w:ascii="Cambria Math" w:eastAsia="Calibri" w:hAnsi="Cambria Math" w:cs="Arial"/>
                  <w:i/>
                  <w:sz w:val="24"/>
                  <w:szCs w:val="24"/>
                </w:rPr>
              </m:ctrlPr>
            </m:dPr>
            <m:e>
              <m:sSub>
                <m:sSubPr>
                  <m:ctrlPr>
                    <w:rPr>
                      <w:rFonts w:ascii="Cambria Math" w:eastAsia="Calibri" w:hAnsi="Cambria Math" w:cs="Arial"/>
                      <w:i/>
                      <w:sz w:val="24"/>
                      <w:szCs w:val="24"/>
                    </w:rPr>
                  </m:ctrlPr>
                </m:sSubPr>
                <m:e>
                  <m:r>
                    <w:rPr>
                      <w:rFonts w:ascii="Cambria Math" w:eastAsia="Calibri" w:hAnsi="Cambria Math" w:cs="Arial"/>
                      <w:sz w:val="24"/>
                      <w:szCs w:val="24"/>
                    </w:rPr>
                    <m:t>F</m:t>
                  </m:r>
                </m:e>
                <m:sub>
                  <m:r>
                    <w:rPr>
                      <w:rFonts w:ascii="Cambria Math" w:eastAsia="Calibri" w:hAnsi="Cambria Math" w:cs="Arial"/>
                      <w:sz w:val="24"/>
                      <w:szCs w:val="24"/>
                    </w:rPr>
                    <m:t>consumed</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B</m:t>
                  </m:r>
                </m:e>
                <m:sub>
                  <m:r>
                    <w:rPr>
                      <w:rFonts w:ascii="Cambria Math" w:eastAsia="Calibri" w:hAnsi="Cambria Math" w:cs="Arial"/>
                      <w:sz w:val="24"/>
                      <w:szCs w:val="24"/>
                    </w:rPr>
                    <m:t>Fuel</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e</m:t>
                  </m:r>
                </m:e>
                <m:sub>
                  <m:r>
                    <w:rPr>
                      <w:rFonts w:ascii="Cambria Math" w:eastAsia="Calibri" w:hAnsi="Cambria Math" w:cs="Arial"/>
                      <w:sz w:val="24"/>
                      <w:szCs w:val="24"/>
                    </w:rPr>
                    <m:t>sold</m:t>
                  </m:r>
                </m:sub>
              </m:sSub>
              <m:r>
                <w:rPr>
                  <w:rFonts w:ascii="Cambria Math" w:eastAsia="Calibri" w:hAnsi="Cambria Math" w:cs="Arial"/>
                  <w:sz w:val="24"/>
                  <w:szCs w:val="24"/>
                </w:rPr>
                <m:t>*</m:t>
              </m:r>
              <m:sSub>
                <m:sSubPr>
                  <m:ctrlPr>
                    <w:rPr>
                      <w:rFonts w:ascii="Cambria Math" w:eastAsia="Calibri" w:hAnsi="Cambria Math" w:cs="Arial"/>
                      <w:i/>
                      <w:sz w:val="24"/>
                      <w:szCs w:val="24"/>
                    </w:rPr>
                  </m:ctrlPr>
                </m:sSubPr>
                <m:e>
                  <m:r>
                    <w:rPr>
                      <w:rFonts w:ascii="Cambria Math" w:eastAsia="Calibri" w:hAnsi="Cambria Math" w:cs="Arial"/>
                      <w:sz w:val="24"/>
                      <w:szCs w:val="24"/>
                    </w:rPr>
                    <m:t>B</m:t>
                  </m:r>
                </m:e>
                <m:sub>
                  <m:r>
                    <w:rPr>
                      <w:rFonts w:ascii="Cambria Math" w:eastAsia="Calibri" w:hAnsi="Cambria Math" w:cs="Arial"/>
                      <w:sz w:val="24"/>
                      <w:szCs w:val="24"/>
                    </w:rPr>
                    <m:t>elec</m:t>
                  </m:r>
                  <m:r>
                    <w:rPr>
                      <w:rFonts w:ascii="Cambria Math" w:eastAsia="Calibri" w:hAnsi="Cambria Math" w:cs="Arial"/>
                      <w:sz w:val="24"/>
                      <w:szCs w:val="24"/>
                    </w:rPr>
                    <m:t>tricity</m:t>
                  </m:r>
                </m:sub>
              </m:sSub>
            </m:e>
          </m:d>
          <m:r>
            <w:rPr>
              <w:rFonts w:ascii="Cambria Math" w:eastAsia="Calibri" w:hAnsi="Cambria Math" w:cs="Arial"/>
              <w:sz w:val="24"/>
              <w:szCs w:val="24"/>
              <w:u w:val="single"/>
            </w:rPr>
            <m:t>*</m:t>
          </m:r>
          <m:sSub>
            <m:sSubPr>
              <m:ctrlPr>
                <w:rPr>
                  <w:rFonts w:ascii="Cambria Math" w:eastAsia="Calibri" w:hAnsi="Cambria Math" w:cs="Arial"/>
                  <w:i/>
                  <w:sz w:val="24"/>
                  <w:szCs w:val="24"/>
                </w:rPr>
              </m:ctrlPr>
            </m:sSubPr>
            <m:e>
              <m:r>
                <w:rPr>
                  <w:rFonts w:ascii="Cambria Math" w:eastAsia="Calibri" w:hAnsi="Cambria Math" w:cs="Arial"/>
                  <w:sz w:val="24"/>
                  <w:szCs w:val="24"/>
                </w:rPr>
                <m:t>c</m:t>
              </m:r>
            </m:e>
            <m:sub>
              <m:r>
                <w:rPr>
                  <w:rFonts w:ascii="Cambria Math" w:eastAsia="Calibri" w:hAnsi="Cambria Math" w:cs="Arial"/>
                  <w:sz w:val="24"/>
                  <w:szCs w:val="24"/>
                </w:rPr>
                <m:t>y</m:t>
              </m:r>
            </m:sub>
          </m:sSub>
        </m:oMath>
      </m:oMathPara>
    </w:p>
    <w:p w14:paraId="612E3A1D" w14:textId="77777777" w:rsidR="00E643F6" w:rsidRPr="00B61FF1" w:rsidRDefault="00E643F6" w:rsidP="00E643F6">
      <w:pPr>
        <w:autoSpaceDE/>
        <w:autoSpaceDN/>
        <w:adjustRightInd/>
        <w:spacing w:line="360" w:lineRule="auto"/>
        <w:ind w:left="720" w:hanging="720"/>
        <w:rPr>
          <w:rFonts w:ascii="Arial" w:hAnsi="Arial" w:cs="Arial"/>
          <w:sz w:val="24"/>
          <w:szCs w:val="24"/>
          <w:u w:val="single"/>
        </w:rPr>
      </w:pPr>
    </w:p>
    <w:p w14:paraId="6E1FAD27" w14:textId="77777777" w:rsidR="00E643F6" w:rsidRPr="00B61FF1" w:rsidRDefault="00E643F6" w:rsidP="00E643F6">
      <w:pPr>
        <w:spacing w:line="360" w:lineRule="auto"/>
        <w:ind w:left="1440"/>
        <w:rPr>
          <w:rFonts w:ascii="Arial" w:hAnsi="Arial" w:cs="Arial"/>
          <w:sz w:val="24"/>
          <w:szCs w:val="24"/>
          <w:u w:val="single"/>
        </w:rPr>
      </w:pPr>
      <w:r w:rsidRPr="00B61FF1">
        <w:rPr>
          <w:rFonts w:ascii="Arial" w:hAnsi="Arial" w:cs="Arial"/>
          <w:sz w:val="24"/>
          <w:szCs w:val="24"/>
          <w:u w:val="single"/>
        </w:rPr>
        <w:t>Where:</w:t>
      </w:r>
    </w:p>
    <w:p w14:paraId="457852C3" w14:textId="77777777" w:rsidR="00E643F6" w:rsidRPr="00B61FF1" w:rsidRDefault="00E643F6" w:rsidP="00E643F6">
      <w:pPr>
        <w:spacing w:line="360" w:lineRule="auto"/>
        <w:ind w:left="1440"/>
        <w:rPr>
          <w:rFonts w:ascii="Arial" w:hAnsi="Arial" w:cs="Arial"/>
          <w:sz w:val="24"/>
          <w:szCs w:val="24"/>
          <w:u w:val="single"/>
        </w:rPr>
      </w:pPr>
    </w:p>
    <w:p w14:paraId="5042A348" w14:textId="4E57F839" w:rsidR="00E643F6" w:rsidRPr="00B61FF1" w:rsidRDefault="00E643F6" w:rsidP="00E643F6">
      <w:pPr>
        <w:spacing w:line="360" w:lineRule="auto"/>
        <w:ind w:left="1440"/>
        <w:rPr>
          <w:rFonts w:ascii="Arial" w:hAnsi="Arial" w:cs="Arial"/>
          <w:sz w:val="24"/>
          <w:szCs w:val="24"/>
          <w:u w:val="single"/>
        </w:rPr>
      </w:pPr>
      <w:r w:rsidRPr="00B61FF1">
        <w:rPr>
          <w:rFonts w:ascii="Arial" w:hAnsi="Arial" w:cs="Arial"/>
          <w:sz w:val="24"/>
          <w:szCs w:val="24"/>
          <w:u w:val="single"/>
        </w:rPr>
        <w:t>“y” is the calendar year to which the true</w:t>
      </w:r>
      <w:r w:rsidR="001173BD" w:rsidRPr="00B61FF1">
        <w:rPr>
          <w:rFonts w:ascii="Arial" w:hAnsi="Arial" w:cs="Arial"/>
          <w:sz w:val="24"/>
          <w:szCs w:val="24"/>
          <w:u w:val="single"/>
        </w:rPr>
        <w:t>up is correcting, 2013 and 2014.</w:t>
      </w:r>
    </w:p>
    <w:p w14:paraId="619CE7B3" w14:textId="77777777" w:rsidR="001173BD" w:rsidRPr="00B61FF1" w:rsidRDefault="001173BD" w:rsidP="00E643F6">
      <w:pPr>
        <w:spacing w:line="360" w:lineRule="auto"/>
        <w:ind w:left="1440"/>
        <w:rPr>
          <w:rFonts w:ascii="Arial" w:hAnsi="Arial" w:cs="Arial"/>
          <w:sz w:val="24"/>
          <w:szCs w:val="24"/>
          <w:u w:val="single"/>
        </w:rPr>
      </w:pPr>
    </w:p>
    <w:p w14:paraId="277EF393" w14:textId="55081BDE" w:rsidR="00E643F6" w:rsidRPr="00B61FF1" w:rsidRDefault="00E643F6" w:rsidP="001173BD">
      <w:pPr>
        <w:autoSpaceDE/>
        <w:autoSpaceDN/>
        <w:adjustRightInd/>
        <w:spacing w:line="360" w:lineRule="auto"/>
        <w:ind w:left="1440" w:hanging="720"/>
        <w:rPr>
          <w:rFonts w:ascii="Arial" w:eastAsia="Calibri" w:hAnsi="Arial" w:cs="Arial"/>
          <w:sz w:val="24"/>
          <w:szCs w:val="24"/>
          <w:u w:val="single"/>
        </w:rPr>
      </w:pPr>
      <w:r w:rsidRPr="00B61FF1">
        <w:rPr>
          <w:rFonts w:ascii="Arial" w:eastAsia="Calibri" w:hAnsi="Arial" w:cs="Arial"/>
          <w:sz w:val="24"/>
          <w:szCs w:val="24"/>
          <w:u w:val="single"/>
        </w:rPr>
        <w:t>(2)</w:t>
      </w:r>
      <w:r w:rsidRPr="00B61FF1">
        <w:rPr>
          <w:rFonts w:ascii="Arial" w:eastAsia="Calibri" w:hAnsi="Arial" w:cs="Arial"/>
          <w:sz w:val="24"/>
          <w:szCs w:val="24"/>
        </w:rPr>
        <w:t xml:space="preserve"> </w:t>
      </w:r>
      <w:r w:rsidR="001173BD" w:rsidRPr="00B61FF1">
        <w:rPr>
          <w:rFonts w:ascii="Arial" w:eastAsia="Calibri" w:hAnsi="Arial" w:cs="Arial"/>
          <w:sz w:val="24"/>
          <w:szCs w:val="24"/>
        </w:rPr>
        <w:tab/>
      </w:r>
      <w:r w:rsidRPr="00B61FF1">
        <w:rPr>
          <w:rFonts w:ascii="Arial" w:eastAsia="Calibri" w:hAnsi="Arial" w:cs="Arial"/>
          <w:sz w:val="24"/>
          <w:szCs w:val="24"/>
          <w:u w:val="single"/>
        </w:rPr>
        <w:t xml:space="preserve">Budget Years 2016 to 2020 Allocation. For budget years 2016 to 2020, the Executive Officer shall calculate the amount of California </w:t>
      </w:r>
      <w:r w:rsidRPr="00B61FF1">
        <w:rPr>
          <w:rFonts w:ascii="Arial" w:eastAsia="Calibri" w:hAnsi="Arial" w:cs="Arial"/>
          <w:sz w:val="24"/>
          <w:szCs w:val="24"/>
          <w:u w:val="single"/>
        </w:rPr>
        <w:lastRenderedPageBreak/>
        <w:t>GHG Allowances directly allocated to eligible University Covered Entities</w:t>
      </w:r>
      <w:r w:rsidR="002B52BA" w:rsidRPr="00B61FF1">
        <w:rPr>
          <w:rFonts w:ascii="Arial" w:eastAsia="Calibri" w:hAnsi="Arial" w:cs="Arial"/>
          <w:sz w:val="24"/>
          <w:szCs w:val="24"/>
          <w:u w:val="single"/>
        </w:rPr>
        <w:t xml:space="preserve"> or Public Service Facility</w:t>
      </w:r>
      <w:r w:rsidRPr="00B61FF1">
        <w:rPr>
          <w:rFonts w:ascii="Arial" w:eastAsia="Calibri" w:hAnsi="Arial" w:cs="Arial"/>
          <w:sz w:val="24"/>
          <w:szCs w:val="24"/>
          <w:u w:val="single"/>
        </w:rPr>
        <w:t xml:space="preserve"> using the following formula.</w:t>
      </w:r>
    </w:p>
    <w:p w14:paraId="3885A5EB" w14:textId="77777777" w:rsidR="001173BD" w:rsidRPr="00B61FF1" w:rsidRDefault="001173BD" w:rsidP="001173BD">
      <w:pPr>
        <w:autoSpaceDE/>
        <w:autoSpaceDN/>
        <w:adjustRightInd/>
        <w:spacing w:line="360" w:lineRule="auto"/>
        <w:ind w:left="1440" w:hanging="720"/>
        <w:rPr>
          <w:rFonts w:ascii="Arial" w:eastAsia="Calibri" w:hAnsi="Arial" w:cs="Arial"/>
          <w:sz w:val="24"/>
          <w:szCs w:val="24"/>
          <w:u w:val="single"/>
        </w:rPr>
      </w:pPr>
    </w:p>
    <w:p w14:paraId="4C530FE4" w14:textId="77777777" w:rsidR="00E643F6" w:rsidRPr="00B61FF1" w:rsidRDefault="00661852" w:rsidP="00E643F6">
      <w:pPr>
        <w:autoSpaceDE/>
        <w:autoSpaceDN/>
        <w:adjustRightInd/>
        <w:spacing w:line="360" w:lineRule="auto"/>
        <w:jc w:val="center"/>
        <w:rPr>
          <w:rFonts w:ascii="Arial" w:eastAsia="Times New Roman" w:hAnsi="Arial" w:cs="Arial"/>
          <w:sz w:val="24"/>
          <w:szCs w:val="24"/>
          <w:u w:val="single"/>
        </w:rPr>
      </w:pPr>
      <m:oMathPara>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m:t>
              </m:r>
            </m:e>
            <m:sub>
              <m:r>
                <w:rPr>
                  <w:rFonts w:ascii="Cambria Math" w:eastAsia="Calibri" w:hAnsi="Cambria Math" w:cs="Arial"/>
                  <w:sz w:val="24"/>
                  <w:szCs w:val="24"/>
                  <w:u w:val="single"/>
                </w:rPr>
                <m:t>t</m:t>
              </m:r>
            </m:sub>
          </m:sSub>
          <m:r>
            <w:rPr>
              <w:rFonts w:ascii="Cambria Math" w:eastAsia="Calibri" w:hAnsi="Cambria Math" w:cs="Arial"/>
              <w:sz w:val="24"/>
              <w:szCs w:val="24"/>
              <w:u w:val="single"/>
            </w:rPr>
            <m:t>=</m:t>
          </m:r>
          <m:d>
            <m:dPr>
              <m:ctrlPr>
                <w:rPr>
                  <w:rFonts w:ascii="Cambria Math" w:eastAsia="Calibri" w:hAnsi="Cambria Math" w:cs="Arial"/>
                  <w:i/>
                  <w:sz w:val="24"/>
                  <w:szCs w:val="24"/>
                  <w:u w:val="single"/>
                </w:rPr>
              </m:ctrlPr>
            </m:dPr>
            <m:e>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F</m:t>
                  </m:r>
                </m:e>
                <m:sub>
                  <m:r>
                    <w:rPr>
                      <w:rFonts w:ascii="Cambria Math" w:eastAsia="Calibri" w:hAnsi="Cambria Math" w:cs="Arial"/>
                      <w:sz w:val="24"/>
                      <w:szCs w:val="24"/>
                      <w:u w:val="single"/>
                    </w:rPr>
                    <m:t>consumed</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B</m:t>
                  </m:r>
                </m:e>
                <m:sub>
                  <m:r>
                    <w:rPr>
                      <w:rFonts w:ascii="Cambria Math" w:eastAsia="Calibri" w:hAnsi="Cambria Math" w:cs="Arial"/>
                      <w:sz w:val="24"/>
                      <w:szCs w:val="24"/>
                      <w:u w:val="single"/>
                    </w:rPr>
                    <m:t>Fuel</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e</m:t>
                  </m:r>
                </m:e>
                <m:sub>
                  <m:r>
                    <w:rPr>
                      <w:rFonts w:ascii="Cambria Math" w:eastAsia="Calibri" w:hAnsi="Cambria Math" w:cs="Arial"/>
                      <w:sz w:val="24"/>
                      <w:szCs w:val="24"/>
                      <w:u w:val="single"/>
                    </w:rPr>
                    <m:t>sold</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B</m:t>
                  </m:r>
                </m:e>
                <m:sub>
                  <m:r>
                    <w:rPr>
                      <w:rFonts w:ascii="Cambria Math" w:eastAsia="Calibri" w:hAnsi="Cambria Math" w:cs="Arial"/>
                      <w:sz w:val="24"/>
                      <w:szCs w:val="24"/>
                      <w:u w:val="single"/>
                    </w:rPr>
                    <m:t>electricity</m:t>
                  </m:r>
                </m:sub>
              </m:sSub>
            </m:e>
          </m:d>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c</m:t>
              </m:r>
            </m:e>
            <m:sub>
              <m:r>
                <w:rPr>
                  <w:rFonts w:ascii="Cambria Math" w:eastAsia="Calibri" w:hAnsi="Cambria Math" w:cs="Arial"/>
                  <w:sz w:val="24"/>
                  <w:szCs w:val="24"/>
                  <w:u w:val="single"/>
                </w:rPr>
                <m:t>t</m:t>
              </m:r>
            </m:sub>
          </m:sSub>
        </m:oMath>
      </m:oMathPara>
    </w:p>
    <w:p w14:paraId="7A3AFB04" w14:textId="77777777" w:rsidR="001173BD" w:rsidRPr="00B61FF1" w:rsidRDefault="001173BD" w:rsidP="00E643F6">
      <w:pPr>
        <w:autoSpaceDE/>
        <w:autoSpaceDN/>
        <w:adjustRightInd/>
        <w:spacing w:line="360" w:lineRule="auto"/>
        <w:jc w:val="center"/>
        <w:rPr>
          <w:rFonts w:ascii="Arial" w:eastAsia="Times New Roman" w:hAnsi="Arial" w:cs="Arial"/>
          <w:sz w:val="24"/>
          <w:szCs w:val="24"/>
          <w:u w:val="single"/>
        </w:rPr>
      </w:pPr>
    </w:p>
    <w:p w14:paraId="29956E3A" w14:textId="77777777" w:rsidR="00E643F6" w:rsidRPr="00B61FF1" w:rsidRDefault="00E643F6" w:rsidP="001173BD">
      <w:pPr>
        <w:autoSpaceDE/>
        <w:autoSpaceDN/>
        <w:adjustRightInd/>
        <w:spacing w:line="360" w:lineRule="auto"/>
        <w:ind w:left="1440"/>
        <w:rPr>
          <w:rFonts w:ascii="Arial" w:eastAsia="Times New Roman" w:hAnsi="Arial" w:cs="Arial"/>
          <w:sz w:val="24"/>
          <w:szCs w:val="24"/>
          <w:u w:val="single"/>
        </w:rPr>
      </w:pPr>
      <w:r w:rsidRPr="00B61FF1">
        <w:rPr>
          <w:rFonts w:ascii="Arial" w:eastAsia="Times New Roman" w:hAnsi="Arial" w:cs="Arial"/>
          <w:sz w:val="24"/>
          <w:szCs w:val="24"/>
          <w:u w:val="single"/>
        </w:rPr>
        <w:t>Where:</w:t>
      </w:r>
    </w:p>
    <w:p w14:paraId="43BCAFB4" w14:textId="77777777" w:rsidR="001173BD" w:rsidRPr="00B61FF1" w:rsidRDefault="001173BD" w:rsidP="001173BD">
      <w:pPr>
        <w:autoSpaceDE/>
        <w:autoSpaceDN/>
        <w:adjustRightInd/>
        <w:spacing w:line="360" w:lineRule="auto"/>
        <w:ind w:left="1440"/>
        <w:rPr>
          <w:rFonts w:ascii="Arial" w:eastAsia="Times New Roman" w:hAnsi="Arial" w:cs="Arial"/>
          <w:sz w:val="24"/>
          <w:szCs w:val="24"/>
          <w:u w:val="single"/>
        </w:rPr>
      </w:pPr>
    </w:p>
    <w:p w14:paraId="64B27D16" w14:textId="02247248" w:rsidR="00E643F6" w:rsidRPr="00B61FF1" w:rsidRDefault="00E643F6" w:rsidP="001173BD">
      <w:pPr>
        <w:autoSpaceDE/>
        <w:autoSpaceDN/>
        <w:adjustRightInd/>
        <w:spacing w:line="360" w:lineRule="auto"/>
        <w:ind w:left="1440"/>
        <w:rPr>
          <w:rFonts w:ascii="Arial" w:eastAsia="Times New Roman" w:hAnsi="Arial" w:cs="Arial"/>
          <w:sz w:val="24"/>
          <w:szCs w:val="24"/>
          <w:u w:val="single"/>
        </w:rPr>
      </w:pPr>
      <w:r w:rsidRPr="00B61FF1">
        <w:rPr>
          <w:rFonts w:ascii="Arial" w:eastAsia="Times New Roman" w:hAnsi="Arial" w:cs="Arial"/>
          <w:sz w:val="24"/>
          <w:szCs w:val="24"/>
          <w:u w:val="single"/>
        </w:rPr>
        <w:t>“A</w:t>
      </w:r>
      <w:r w:rsidRPr="00B61FF1">
        <w:rPr>
          <w:rFonts w:ascii="Arial" w:eastAsia="Times New Roman" w:hAnsi="Arial" w:cs="Arial"/>
          <w:sz w:val="24"/>
          <w:szCs w:val="24"/>
          <w:u w:val="single"/>
          <w:vertAlign w:val="subscript"/>
        </w:rPr>
        <w:t>t</w:t>
      </w:r>
      <w:r w:rsidRPr="00B61FF1">
        <w:rPr>
          <w:rFonts w:ascii="Arial" w:eastAsia="Times New Roman" w:hAnsi="Arial" w:cs="Arial"/>
          <w:sz w:val="24"/>
          <w:szCs w:val="24"/>
          <w:u w:val="single"/>
        </w:rPr>
        <w:t>” is the amount of California GHG allowances directly allocated to a university</w:t>
      </w:r>
      <w:r w:rsidR="002B52BA" w:rsidRPr="00B61FF1">
        <w:t xml:space="preserve"> </w:t>
      </w:r>
      <w:r w:rsidR="002B52BA" w:rsidRPr="00B61FF1">
        <w:rPr>
          <w:rFonts w:ascii="Arial" w:eastAsia="Times New Roman" w:hAnsi="Arial" w:cs="Arial"/>
          <w:sz w:val="24"/>
          <w:szCs w:val="24"/>
          <w:u w:val="single"/>
        </w:rPr>
        <w:t>or public service facility</w:t>
      </w:r>
      <w:r w:rsidRPr="00B61FF1">
        <w:rPr>
          <w:rFonts w:ascii="Arial" w:eastAsia="Times New Roman" w:hAnsi="Arial" w:cs="Arial"/>
          <w:sz w:val="24"/>
          <w:szCs w:val="24"/>
          <w:u w:val="single"/>
        </w:rPr>
        <w:t xml:space="preserve"> for budget years “t” from 2016 to 2020.</w:t>
      </w:r>
    </w:p>
    <w:p w14:paraId="38AD71C5" w14:textId="77777777" w:rsidR="001173BD" w:rsidRPr="00B61FF1" w:rsidRDefault="001173BD" w:rsidP="001173BD">
      <w:pPr>
        <w:autoSpaceDE/>
        <w:autoSpaceDN/>
        <w:adjustRightInd/>
        <w:spacing w:line="360" w:lineRule="auto"/>
        <w:ind w:left="1440"/>
        <w:rPr>
          <w:rFonts w:ascii="Arial" w:eastAsia="Times New Roman" w:hAnsi="Arial" w:cs="Arial"/>
          <w:sz w:val="24"/>
          <w:szCs w:val="24"/>
          <w:u w:val="single"/>
        </w:rPr>
      </w:pPr>
    </w:p>
    <w:p w14:paraId="2E75A2EA" w14:textId="281D68E8" w:rsidR="00E643F6" w:rsidRPr="00B61FF1" w:rsidRDefault="00E643F6" w:rsidP="00E643F6">
      <w:pPr>
        <w:autoSpaceDE/>
        <w:autoSpaceDN/>
        <w:adjustRightInd/>
        <w:spacing w:line="360" w:lineRule="auto"/>
        <w:ind w:left="1440" w:hanging="720"/>
        <w:rPr>
          <w:rFonts w:ascii="Arial" w:eastAsia="Calibri" w:hAnsi="Arial" w:cs="Arial"/>
          <w:sz w:val="24"/>
          <w:szCs w:val="24"/>
          <w:u w:val="single"/>
        </w:rPr>
      </w:pPr>
      <w:r w:rsidRPr="00B61FF1">
        <w:rPr>
          <w:rFonts w:ascii="Arial" w:eastAsia="Calibri" w:hAnsi="Arial" w:cs="Arial"/>
          <w:sz w:val="24"/>
          <w:szCs w:val="24"/>
          <w:u w:val="single"/>
        </w:rPr>
        <w:t>(3)</w:t>
      </w:r>
      <w:r w:rsidRPr="00B61FF1">
        <w:rPr>
          <w:rFonts w:ascii="Arial" w:eastAsia="Calibri" w:hAnsi="Arial" w:cs="Arial"/>
          <w:sz w:val="24"/>
          <w:szCs w:val="24"/>
        </w:rPr>
        <w:tab/>
      </w:r>
      <w:r w:rsidRPr="00B61FF1">
        <w:rPr>
          <w:rFonts w:ascii="Arial" w:eastAsia="Calibri" w:hAnsi="Arial" w:cs="Arial"/>
          <w:sz w:val="24"/>
          <w:szCs w:val="24"/>
          <w:u w:val="single"/>
        </w:rPr>
        <w:t>Data Sources. In determining the appropriate baseline values, the Executive Officer may employ all available data reported to AR</w:t>
      </w:r>
      <w:r w:rsidR="004E79F1" w:rsidRPr="00B61FF1">
        <w:rPr>
          <w:rFonts w:ascii="Arial" w:eastAsia="Calibri" w:hAnsi="Arial" w:cs="Arial"/>
          <w:sz w:val="24"/>
          <w:szCs w:val="24"/>
          <w:u w:val="single"/>
        </w:rPr>
        <w:t xml:space="preserve">B under MRR for data years 2008 through </w:t>
      </w:r>
      <w:r w:rsidRPr="00B61FF1">
        <w:rPr>
          <w:rFonts w:ascii="Arial" w:eastAsia="Calibri" w:hAnsi="Arial" w:cs="Arial"/>
          <w:sz w:val="24"/>
          <w:szCs w:val="24"/>
          <w:u w:val="single"/>
        </w:rPr>
        <w:t>2013.</w:t>
      </w:r>
    </w:p>
    <w:p w14:paraId="14F30520" w14:textId="51E8536F" w:rsidR="00AF4241" w:rsidRPr="00B61FF1" w:rsidRDefault="00AF4241" w:rsidP="00AF4241">
      <w:pPr>
        <w:autoSpaceDE/>
        <w:autoSpaceDN/>
        <w:adjustRightInd/>
        <w:spacing w:line="360" w:lineRule="auto"/>
        <w:ind w:left="144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Reporting on the Use of Allowance Value.  No later than June 30, 2016, and each calendar year thereafter, each university and public service facility shall submit a report to the Executive Officer describing the disposition of any allowance value received in the prior calendar year, and how the allowance value was used to reduce greenhouse gas emissions and achieve additional environmental and economic benefits for California.  This report shall include:</w:t>
      </w:r>
    </w:p>
    <w:p w14:paraId="4A18550C" w14:textId="58D598D2" w:rsidR="00AF4241" w:rsidRPr="00B61FF1" w:rsidRDefault="00AF4241" w:rsidP="00AF4241">
      <w:pPr>
        <w:autoSpaceDE/>
        <w:autoSpaceDN/>
        <w:adjustRightInd/>
        <w:spacing w:line="360" w:lineRule="auto"/>
        <w:ind w:left="216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The monetary value of allowances received by the university or public service facility.  The </w:t>
      </w:r>
      <w:r w:rsidRPr="00B61FF1">
        <w:rPr>
          <w:rFonts w:ascii="Arial" w:eastAsia="MS Mincho" w:hAnsi="Arial" w:cs="Arial"/>
          <w:sz w:val="24"/>
          <w:szCs w:val="24"/>
          <w:u w:val="single"/>
        </w:rPr>
        <w:t>university or public service facility shall calculate the</w:t>
      </w:r>
      <w:r w:rsidRPr="00B61FF1">
        <w:rPr>
          <w:rFonts w:ascii="Arial" w:eastAsia="MS Mincho" w:hAnsi="Arial" w:cs="Arial"/>
          <w:color w:val="CD1020"/>
          <w:sz w:val="24"/>
          <w:szCs w:val="24"/>
          <w:u w:val="single"/>
        </w:rPr>
        <w:t xml:space="preserve"> </w:t>
      </w:r>
      <w:r w:rsidRPr="00B61FF1">
        <w:rPr>
          <w:rFonts w:ascii="Arial" w:hAnsi="Arial" w:cs="Arial"/>
          <w:sz w:val="24"/>
          <w:szCs w:val="24"/>
          <w:u w:val="single"/>
        </w:rPr>
        <w:t>value of these allowances based on the average market clearing price of the four quarterly auctions held in the same calendar year that the allowances are allocated; and</w:t>
      </w:r>
    </w:p>
    <w:p w14:paraId="0E063AF0" w14:textId="1554A5C8" w:rsidR="004E79F1" w:rsidRPr="00B61FF1" w:rsidRDefault="00AF4241" w:rsidP="00AF4241">
      <w:pPr>
        <w:autoSpaceDE/>
        <w:autoSpaceDN/>
        <w:adjustRightInd/>
        <w:spacing w:line="360" w:lineRule="auto"/>
        <w:ind w:left="2160" w:hanging="720"/>
        <w:rPr>
          <w:rFonts w:ascii="Arial" w:eastAsia="Calibri"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 xml:space="preserve">How the university or public service facility’s disposition of the monetary value of allowances complies with the </w:t>
      </w:r>
      <w:r w:rsidRPr="00B61FF1">
        <w:rPr>
          <w:rFonts w:ascii="Arial" w:hAnsi="Arial" w:cs="Arial"/>
          <w:sz w:val="24"/>
          <w:szCs w:val="24"/>
          <w:u w:val="single"/>
        </w:rPr>
        <w:lastRenderedPageBreak/>
        <w:t>requirements of California Health and Safety Code sections 38500 et seq.</w:t>
      </w:r>
    </w:p>
    <w:p w14:paraId="07D18E98" w14:textId="3B97F1BD" w:rsidR="00111CCD" w:rsidRPr="00B61FF1" w:rsidRDefault="002B4757" w:rsidP="00BE0C20">
      <w:pPr>
        <w:autoSpaceDE/>
        <w:autoSpaceDN/>
        <w:adjustRightInd/>
        <w:spacing w:line="360" w:lineRule="auto"/>
        <w:ind w:left="720" w:hanging="720"/>
        <w:rPr>
          <w:rFonts w:ascii="Arial" w:eastAsia="Calibri" w:hAnsi="Arial" w:cs="Arial"/>
          <w:sz w:val="24"/>
          <w:szCs w:val="24"/>
          <w:u w:val="single"/>
        </w:rPr>
      </w:pPr>
      <w:r w:rsidRPr="00B61FF1">
        <w:rPr>
          <w:rFonts w:ascii="Arial" w:eastAsia="Calibri" w:hAnsi="Arial" w:cs="Arial"/>
          <w:sz w:val="24"/>
          <w:szCs w:val="24"/>
          <w:u w:val="single"/>
        </w:rPr>
        <w:t>(</w:t>
      </w:r>
      <w:r w:rsidR="00B53227" w:rsidRPr="00B61FF1">
        <w:rPr>
          <w:rFonts w:ascii="Arial" w:eastAsia="Calibri" w:hAnsi="Arial" w:cs="Arial"/>
          <w:sz w:val="24"/>
          <w:szCs w:val="24"/>
          <w:u w:val="single"/>
        </w:rPr>
        <w:t>f</w:t>
      </w:r>
      <w:r w:rsidRPr="00B61FF1">
        <w:rPr>
          <w:rFonts w:ascii="Arial" w:eastAsia="Calibri" w:hAnsi="Arial" w:cs="Arial"/>
          <w:sz w:val="24"/>
          <w:szCs w:val="24"/>
          <w:u w:val="single"/>
        </w:rPr>
        <w:t>)</w:t>
      </w:r>
      <w:r w:rsidRPr="00B61FF1">
        <w:rPr>
          <w:rFonts w:ascii="Arial" w:eastAsia="Calibri" w:hAnsi="Arial" w:cs="Arial"/>
          <w:sz w:val="24"/>
          <w:szCs w:val="24"/>
        </w:rPr>
        <w:t xml:space="preserve"> </w:t>
      </w:r>
      <w:r w:rsidRPr="00B61FF1">
        <w:rPr>
          <w:rFonts w:ascii="Arial" w:eastAsia="Calibri" w:hAnsi="Arial" w:cs="Arial"/>
          <w:sz w:val="24"/>
          <w:szCs w:val="24"/>
        </w:rPr>
        <w:tab/>
      </w:r>
      <w:r w:rsidRPr="00B61FF1">
        <w:rPr>
          <w:rFonts w:ascii="Arial" w:eastAsia="Calibri" w:hAnsi="Arial" w:cs="Arial"/>
          <w:sz w:val="24"/>
          <w:szCs w:val="24"/>
          <w:u w:val="single"/>
        </w:rPr>
        <w:t>Adjustment to Allowance Allocation of a Legacy Contract Counterparty.  The Executive Officer shall</w:t>
      </w:r>
      <w:r w:rsidR="00BE0C20" w:rsidRPr="00B61FF1">
        <w:rPr>
          <w:rFonts w:ascii="Arial" w:eastAsia="Calibri" w:hAnsi="Arial" w:cs="Arial"/>
          <w:sz w:val="24"/>
          <w:szCs w:val="24"/>
          <w:u w:val="single"/>
        </w:rPr>
        <w:t xml:space="preserve"> subtract the allocation adjustment from</w:t>
      </w:r>
      <w:r w:rsidRPr="00B61FF1">
        <w:rPr>
          <w:rFonts w:ascii="Arial" w:eastAsia="Calibri" w:hAnsi="Arial" w:cs="Arial"/>
          <w:sz w:val="24"/>
          <w:szCs w:val="24"/>
          <w:u w:val="single"/>
        </w:rPr>
        <w:t xml:space="preserve"> the</w:t>
      </w:r>
      <w:r w:rsidR="00BE0C20" w:rsidRPr="00B61FF1">
        <w:rPr>
          <w:rFonts w:ascii="Arial" w:eastAsia="Calibri" w:hAnsi="Arial" w:cs="Arial"/>
          <w:sz w:val="24"/>
          <w:szCs w:val="24"/>
          <w:u w:val="single"/>
        </w:rPr>
        <w:t xml:space="preserve"> number of California GHG Allowances directly allocated</w:t>
      </w:r>
      <w:r w:rsidR="00EF0862" w:rsidRPr="00B61FF1">
        <w:rPr>
          <w:rFonts w:ascii="Arial" w:eastAsia="Calibri" w:hAnsi="Arial" w:cs="Arial"/>
          <w:sz w:val="24"/>
          <w:szCs w:val="24"/>
          <w:u w:val="single"/>
        </w:rPr>
        <w:t xml:space="preserve"> to Legacy Contract Counterparty</w:t>
      </w:r>
      <w:r w:rsidR="00BE0C20" w:rsidRPr="00B61FF1">
        <w:rPr>
          <w:rFonts w:ascii="Arial" w:eastAsia="Calibri" w:hAnsi="Arial" w:cs="Arial"/>
          <w:sz w:val="24"/>
          <w:szCs w:val="24"/>
          <w:u w:val="single"/>
        </w:rPr>
        <w:t xml:space="preserve"> pursuant to 95891(b) through 95891(d):</w:t>
      </w:r>
    </w:p>
    <w:p w14:paraId="58433EA3" w14:textId="77777777" w:rsidR="00BE0C20" w:rsidRPr="00B61FF1" w:rsidRDefault="00BE0C20" w:rsidP="00BE0C20">
      <w:pPr>
        <w:autoSpaceDE/>
        <w:autoSpaceDN/>
        <w:adjustRightInd/>
        <w:spacing w:line="360" w:lineRule="auto"/>
        <w:ind w:left="720" w:hanging="720"/>
        <w:rPr>
          <w:rFonts w:ascii="Arial" w:eastAsia="Calibri" w:hAnsi="Arial" w:cs="Arial"/>
          <w:sz w:val="24"/>
          <w:szCs w:val="24"/>
          <w:u w:val="single"/>
        </w:rPr>
      </w:pPr>
    </w:p>
    <w:p w14:paraId="7F381270" w14:textId="77777777" w:rsidR="00203780" w:rsidRPr="00B61FF1" w:rsidRDefault="00203780" w:rsidP="00203780">
      <w:pPr>
        <w:autoSpaceDE/>
        <w:autoSpaceDN/>
        <w:adjustRightInd/>
        <w:spacing w:line="360" w:lineRule="auto"/>
        <w:ind w:left="1440" w:hanging="720"/>
        <w:rPr>
          <w:rFonts w:ascii="Arial" w:eastAsia="Calibri" w:hAnsi="Arial" w:cs="Arial"/>
          <w:sz w:val="24"/>
          <w:szCs w:val="24"/>
          <w:u w:val="single"/>
        </w:rPr>
      </w:pPr>
      <m:oMathPara>
        <m:oMath>
          <m:r>
            <w:rPr>
              <w:rFonts w:ascii="Cambria Math" w:eastAsia="Calibri" w:hAnsi="Cambria Math" w:cs="Arial"/>
              <w:sz w:val="24"/>
              <w:szCs w:val="24"/>
              <w:u w:val="single"/>
            </w:rPr>
            <m:t>Ad</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j</m:t>
              </m:r>
            </m:e>
            <m:sub>
              <m:r>
                <w:rPr>
                  <w:rFonts w:ascii="Cambria Math" w:eastAsia="Calibri" w:hAnsi="Cambria Math" w:cs="Arial"/>
                  <w:sz w:val="24"/>
                  <w:szCs w:val="24"/>
                  <w:u w:val="single"/>
                </w:rPr>
                <m:t>2015</m:t>
              </m:r>
            </m:sub>
          </m:sSub>
          <m:r>
            <w:rPr>
              <w:rFonts w:ascii="Cambria Math" w:eastAsia="Calibri" w:hAnsi="Cambria Math" w:cs="Arial"/>
              <w:sz w:val="24"/>
              <w:szCs w:val="24"/>
              <w:u w:val="single"/>
            </w:rPr>
            <m:t>=</m:t>
          </m:r>
          <m:nary>
            <m:naryPr>
              <m:chr m:val="∑"/>
              <m:limLoc m:val="undOvr"/>
              <m:ctrlPr>
                <w:rPr>
                  <w:rFonts w:ascii="Cambria Math" w:eastAsia="Calibri" w:hAnsi="Cambria Math" w:cs="Arial"/>
                  <w:i/>
                  <w:sz w:val="24"/>
                  <w:szCs w:val="24"/>
                  <w:u w:val="single"/>
                </w:rPr>
              </m:ctrlPr>
            </m:naryPr>
            <m:sub>
              <m:r>
                <w:rPr>
                  <w:rFonts w:ascii="Cambria Math" w:eastAsia="Calibri" w:hAnsi="Cambria Math" w:cs="Arial"/>
                  <w:sz w:val="24"/>
                  <w:szCs w:val="24"/>
                  <w:u w:val="single"/>
                </w:rPr>
                <m:t>t=2013</m:t>
              </m:r>
            </m:sub>
            <m:sup>
              <m:r>
                <w:rPr>
                  <w:rFonts w:ascii="Cambria Math" w:eastAsia="Calibri" w:hAnsi="Cambria Math" w:cs="Arial"/>
                  <w:sz w:val="24"/>
                  <w:szCs w:val="24"/>
                  <w:u w:val="single"/>
                </w:rPr>
                <m:t>2014</m:t>
              </m:r>
            </m:sup>
            <m:e>
              <m:r>
                <w:rPr>
                  <w:rFonts w:ascii="Cambria Math" w:eastAsia="Calibri" w:hAnsi="Cambria Math" w:cs="Arial"/>
                  <w:sz w:val="24"/>
                  <w:szCs w:val="24"/>
                  <w:u w:val="single"/>
                </w:rPr>
                <m:t>GH</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G</m:t>
                  </m:r>
                </m:e>
                <m:sub>
                  <m:r>
                    <w:rPr>
                      <w:rFonts w:ascii="Cambria Math" w:eastAsia="Calibri" w:hAnsi="Cambria Math" w:cs="Arial"/>
                      <w:sz w:val="24"/>
                      <w:szCs w:val="24"/>
                      <w:u w:val="single"/>
                    </w:rPr>
                    <m:t>LC</m:t>
                  </m:r>
                </m:sub>
              </m:sSub>
              <m:r>
                <w:rPr>
                  <w:rFonts w:ascii="Cambria Math" w:eastAsia="Calibri" w:hAnsi="Cambria Math" w:cs="Arial"/>
                  <w:sz w:val="24"/>
                  <w:szCs w:val="24"/>
                  <w:u w:val="single"/>
                </w:rPr>
                <m:t>*</m:t>
              </m:r>
              <m:sSub>
                <m:sSubPr>
                  <m:ctrlPr>
                    <w:rPr>
                      <w:rFonts w:ascii="Cambria Math" w:eastAsia="Calibri" w:hAnsi="Cambria Math" w:cs="Arial"/>
                      <w:i/>
                      <w:sz w:val="24"/>
                      <w:szCs w:val="24"/>
                    </w:rPr>
                  </m:ctrlPr>
                </m:sSubPr>
                <m:e>
                  <m:r>
                    <w:rPr>
                      <w:rFonts w:ascii="Cambria Math" w:eastAsia="Calibri" w:hAnsi="Cambria Math" w:cs="Arial"/>
                      <w:sz w:val="24"/>
                      <w:szCs w:val="24"/>
                    </w:rPr>
                    <m:t>c</m:t>
                  </m:r>
                </m:e>
                <m:sub>
                  <m:r>
                    <w:rPr>
                      <w:rFonts w:ascii="Cambria Math" w:eastAsia="Calibri" w:hAnsi="Cambria Math" w:cs="Arial"/>
                      <w:sz w:val="24"/>
                      <w:szCs w:val="24"/>
                    </w:rPr>
                    <m:t>t</m:t>
                  </m:r>
                </m:sub>
              </m:sSub>
            </m:e>
          </m:nary>
        </m:oMath>
      </m:oMathPara>
    </w:p>
    <w:p w14:paraId="3857BA03" w14:textId="536FB322" w:rsidR="002B4757" w:rsidRPr="00B61FF1" w:rsidRDefault="002B4757" w:rsidP="00EF0862">
      <w:pPr>
        <w:autoSpaceDE/>
        <w:autoSpaceDN/>
        <w:adjustRightInd/>
        <w:spacing w:line="360" w:lineRule="auto"/>
        <w:ind w:left="720"/>
        <w:rPr>
          <w:rFonts w:ascii="Arial" w:eastAsia="Calibri" w:hAnsi="Arial" w:cs="Arial"/>
          <w:sz w:val="24"/>
          <w:szCs w:val="24"/>
          <w:u w:val="single"/>
        </w:rPr>
      </w:pPr>
    </w:p>
    <w:p w14:paraId="55C7AAAE" w14:textId="77777777" w:rsidR="002B4757" w:rsidRPr="00B61FF1" w:rsidRDefault="002B4757" w:rsidP="00EF0862">
      <w:pPr>
        <w:autoSpaceDE/>
        <w:autoSpaceDN/>
        <w:adjustRightInd/>
        <w:spacing w:line="360" w:lineRule="auto"/>
        <w:ind w:left="720"/>
        <w:rPr>
          <w:rFonts w:ascii="Arial" w:eastAsia="Calibri" w:hAnsi="Arial" w:cs="Arial"/>
          <w:sz w:val="24"/>
          <w:szCs w:val="24"/>
          <w:u w:val="single"/>
        </w:rPr>
      </w:pPr>
      <w:r w:rsidRPr="00B61FF1">
        <w:rPr>
          <w:rFonts w:ascii="Arial" w:eastAsia="Calibri" w:hAnsi="Arial" w:cs="Arial"/>
          <w:sz w:val="24"/>
          <w:szCs w:val="24"/>
          <w:u w:val="single"/>
        </w:rPr>
        <w:t>Where:</w:t>
      </w:r>
    </w:p>
    <w:p w14:paraId="2805F696" w14:textId="77777777" w:rsidR="00111CCD" w:rsidRPr="00B61FF1" w:rsidRDefault="00111CCD" w:rsidP="00EF0862">
      <w:pPr>
        <w:autoSpaceDE/>
        <w:autoSpaceDN/>
        <w:adjustRightInd/>
        <w:spacing w:line="360" w:lineRule="auto"/>
        <w:ind w:left="720"/>
        <w:rPr>
          <w:rFonts w:ascii="Arial" w:eastAsia="Calibri" w:hAnsi="Arial" w:cs="Arial"/>
          <w:sz w:val="24"/>
          <w:szCs w:val="24"/>
          <w:u w:val="single"/>
        </w:rPr>
      </w:pPr>
    </w:p>
    <w:p w14:paraId="126B8E17" w14:textId="6C22693D" w:rsidR="00111CCD" w:rsidRPr="00B61FF1" w:rsidRDefault="00111CCD" w:rsidP="00EF0862">
      <w:pPr>
        <w:autoSpaceDE/>
        <w:autoSpaceDN/>
        <w:adjustRightInd/>
        <w:spacing w:line="360" w:lineRule="auto"/>
        <w:ind w:left="720"/>
        <w:rPr>
          <w:rFonts w:ascii="Arial" w:eastAsia="Calibri" w:hAnsi="Arial" w:cs="Arial"/>
          <w:sz w:val="24"/>
          <w:szCs w:val="24"/>
          <w:u w:val="single"/>
        </w:rPr>
      </w:pPr>
      <w:r w:rsidRPr="00B61FF1">
        <w:rPr>
          <w:rFonts w:ascii="Arial" w:eastAsia="Calibri" w:hAnsi="Arial" w:cs="Arial"/>
          <w:sz w:val="24"/>
          <w:szCs w:val="24"/>
          <w:u w:val="single"/>
        </w:rPr>
        <w:t>“A</w:t>
      </w:r>
      <w:r w:rsidR="00BE0C20" w:rsidRPr="00B61FF1">
        <w:rPr>
          <w:rFonts w:ascii="Arial" w:eastAsia="Calibri" w:hAnsi="Arial" w:cs="Arial"/>
          <w:sz w:val="24"/>
          <w:szCs w:val="24"/>
          <w:u w:val="single"/>
        </w:rPr>
        <w:t>dj</w:t>
      </w:r>
      <w:r w:rsidR="00BE0C20" w:rsidRPr="00B61FF1">
        <w:rPr>
          <w:rFonts w:ascii="Arial" w:eastAsia="Calibri" w:hAnsi="Arial" w:cs="Arial"/>
          <w:sz w:val="24"/>
          <w:szCs w:val="24"/>
          <w:u w:val="single"/>
          <w:vertAlign w:val="subscript"/>
        </w:rPr>
        <w:t>2015</w:t>
      </w:r>
      <w:r w:rsidRPr="00B61FF1">
        <w:rPr>
          <w:rFonts w:ascii="Arial" w:eastAsia="Calibri" w:hAnsi="Arial" w:cs="Arial"/>
          <w:sz w:val="24"/>
          <w:szCs w:val="24"/>
          <w:u w:val="single"/>
        </w:rPr>
        <w:t xml:space="preserve">” is the </w:t>
      </w:r>
      <w:r w:rsidR="00BE0C20" w:rsidRPr="00B61FF1">
        <w:rPr>
          <w:rFonts w:ascii="Arial" w:eastAsia="Calibri" w:hAnsi="Arial" w:cs="Arial"/>
          <w:sz w:val="24"/>
          <w:szCs w:val="24"/>
          <w:u w:val="single"/>
        </w:rPr>
        <w:t>allocation adjustment for budget year 2015. This number shall be subtracted from the number</w:t>
      </w:r>
      <w:r w:rsidRPr="00B61FF1">
        <w:rPr>
          <w:rFonts w:ascii="Arial" w:eastAsia="Calibri" w:hAnsi="Arial" w:cs="Arial"/>
          <w:sz w:val="24"/>
          <w:szCs w:val="24"/>
          <w:u w:val="single"/>
        </w:rPr>
        <w:t xml:space="preserve"> of California GHG allowances directly allocated to a legacy contract counterparty for budget ye</w:t>
      </w:r>
      <w:r w:rsidR="00BE0C20" w:rsidRPr="00B61FF1">
        <w:rPr>
          <w:rFonts w:ascii="Arial" w:eastAsia="Calibri" w:hAnsi="Arial" w:cs="Arial"/>
          <w:sz w:val="24"/>
          <w:szCs w:val="24"/>
          <w:u w:val="single"/>
        </w:rPr>
        <w:t>ar</w:t>
      </w:r>
      <w:r w:rsidRPr="00B61FF1">
        <w:rPr>
          <w:rFonts w:ascii="Arial" w:eastAsia="Calibri" w:hAnsi="Arial" w:cs="Arial"/>
          <w:sz w:val="24"/>
          <w:szCs w:val="24"/>
          <w:u w:val="single"/>
        </w:rPr>
        <w:t xml:space="preserve"> 201</w:t>
      </w:r>
      <w:r w:rsidR="00BE0C20" w:rsidRPr="00B61FF1">
        <w:rPr>
          <w:rFonts w:ascii="Arial" w:eastAsia="Calibri" w:hAnsi="Arial" w:cs="Arial"/>
          <w:sz w:val="24"/>
          <w:szCs w:val="24"/>
          <w:u w:val="single"/>
        </w:rPr>
        <w:t>5</w:t>
      </w:r>
      <w:r w:rsidRPr="00B61FF1">
        <w:rPr>
          <w:rFonts w:ascii="Arial" w:eastAsia="Calibri" w:hAnsi="Arial" w:cs="Arial"/>
          <w:sz w:val="24"/>
          <w:szCs w:val="24"/>
          <w:u w:val="single"/>
        </w:rPr>
        <w:t>.</w:t>
      </w:r>
    </w:p>
    <w:p w14:paraId="6C945AC8" w14:textId="77777777" w:rsidR="00111CCD" w:rsidRPr="00B61FF1" w:rsidRDefault="00111CCD" w:rsidP="00EF0862">
      <w:pPr>
        <w:autoSpaceDE/>
        <w:autoSpaceDN/>
        <w:adjustRightInd/>
        <w:spacing w:line="360" w:lineRule="auto"/>
        <w:ind w:left="720"/>
        <w:rPr>
          <w:rFonts w:ascii="Arial" w:eastAsia="Calibri" w:hAnsi="Arial" w:cs="Arial"/>
          <w:sz w:val="24"/>
          <w:szCs w:val="24"/>
          <w:u w:val="single"/>
        </w:rPr>
      </w:pPr>
    </w:p>
    <w:p w14:paraId="45C494BD" w14:textId="5D34105A" w:rsidR="002B4757" w:rsidRPr="00B61FF1" w:rsidRDefault="00BE0C20" w:rsidP="00EF0862">
      <w:pPr>
        <w:autoSpaceDE/>
        <w:autoSpaceDN/>
        <w:adjustRightInd/>
        <w:spacing w:line="360" w:lineRule="auto"/>
        <w:ind w:left="720"/>
        <w:rPr>
          <w:rFonts w:ascii="Arial" w:eastAsia="Calibri" w:hAnsi="Arial" w:cs="Arial"/>
          <w:sz w:val="24"/>
          <w:szCs w:val="24"/>
          <w:u w:val="single"/>
        </w:rPr>
      </w:pPr>
      <w:r w:rsidRPr="00B61FF1">
        <w:rPr>
          <w:rFonts w:ascii="Arial" w:eastAsia="Calibri" w:hAnsi="Arial" w:cs="Arial"/>
          <w:sz w:val="24"/>
          <w:szCs w:val="24"/>
          <w:u w:val="single"/>
        </w:rPr>
        <w:t>“</w:t>
      </w:r>
      <w:r w:rsidR="002B4757" w:rsidRPr="00B61FF1">
        <w:rPr>
          <w:rFonts w:ascii="Arial" w:eastAsia="Calibri" w:hAnsi="Arial" w:cs="Arial"/>
          <w:sz w:val="24"/>
          <w:szCs w:val="24"/>
          <w:u w:val="single"/>
        </w:rPr>
        <w:t>GHG</w:t>
      </w:r>
      <w:r w:rsidRPr="00B61FF1">
        <w:rPr>
          <w:rFonts w:ascii="Arial" w:eastAsia="Calibri" w:hAnsi="Arial" w:cs="Arial"/>
          <w:sz w:val="24"/>
          <w:szCs w:val="24"/>
          <w:u w:val="single"/>
          <w:vertAlign w:val="subscript"/>
        </w:rPr>
        <w:t>LC</w:t>
      </w:r>
      <w:r w:rsidRPr="00B61FF1">
        <w:rPr>
          <w:rFonts w:ascii="Arial" w:eastAsia="Calibri" w:hAnsi="Arial" w:cs="Arial"/>
          <w:sz w:val="24"/>
          <w:szCs w:val="24"/>
          <w:u w:val="single"/>
        </w:rPr>
        <w:t>”</w:t>
      </w:r>
      <w:r w:rsidR="002B4757" w:rsidRPr="00B61FF1">
        <w:rPr>
          <w:rFonts w:ascii="Arial" w:eastAsia="Calibri" w:hAnsi="Arial" w:cs="Arial"/>
          <w:sz w:val="24"/>
          <w:szCs w:val="24"/>
          <w:u w:val="single"/>
        </w:rPr>
        <w:t xml:space="preserve"> are the Legacy Contract Emissions calculated pursuant to data reported to MRR under the legacy contract for 201</w:t>
      </w:r>
      <w:r w:rsidR="009A53F5">
        <w:rPr>
          <w:rFonts w:ascii="Arial" w:eastAsia="Calibri" w:hAnsi="Arial" w:cs="Arial"/>
          <w:sz w:val="24"/>
          <w:szCs w:val="24"/>
          <w:u w:val="single"/>
        </w:rPr>
        <w:t>2</w:t>
      </w:r>
      <w:r w:rsidR="002B4757" w:rsidRPr="00B61FF1">
        <w:rPr>
          <w:rFonts w:ascii="Arial" w:eastAsia="Calibri" w:hAnsi="Arial" w:cs="Arial"/>
          <w:sz w:val="24"/>
          <w:szCs w:val="24"/>
          <w:u w:val="single"/>
        </w:rPr>
        <w:t xml:space="preserve"> emissions; and</w:t>
      </w:r>
    </w:p>
    <w:p w14:paraId="5999186D" w14:textId="77777777" w:rsidR="00BE0C20" w:rsidRPr="00B61FF1" w:rsidRDefault="00BE0C20" w:rsidP="00111CCD">
      <w:pPr>
        <w:autoSpaceDE/>
        <w:autoSpaceDN/>
        <w:adjustRightInd/>
        <w:spacing w:line="360" w:lineRule="auto"/>
        <w:ind w:left="1440"/>
        <w:rPr>
          <w:rFonts w:ascii="Arial" w:eastAsia="Calibri" w:hAnsi="Arial" w:cs="Arial"/>
          <w:sz w:val="24"/>
          <w:szCs w:val="24"/>
          <w:u w:val="single"/>
        </w:rPr>
      </w:pPr>
    </w:p>
    <w:p w14:paraId="689B8184" w14:textId="6DF6296F" w:rsidR="002B4757" w:rsidRPr="00B61FF1" w:rsidRDefault="002B4757" w:rsidP="00111CCD">
      <w:pPr>
        <w:autoSpaceDE/>
        <w:autoSpaceDN/>
        <w:adjustRightInd/>
        <w:spacing w:line="360" w:lineRule="auto"/>
        <w:ind w:left="1440" w:hanging="720"/>
        <w:rPr>
          <w:rFonts w:ascii="Arial" w:eastAsia="Calibri" w:hAnsi="Arial" w:cs="Arial"/>
          <w:sz w:val="24"/>
          <w:szCs w:val="24"/>
          <w:u w:val="single"/>
        </w:rPr>
      </w:pPr>
      <w:r w:rsidRPr="00B61FF1">
        <w:rPr>
          <w:rFonts w:ascii="Arial" w:eastAsia="Calibri" w:hAnsi="Arial" w:cs="Arial"/>
          <w:sz w:val="24"/>
          <w:szCs w:val="24"/>
          <w:u w:val="single"/>
        </w:rPr>
        <w:t>(</w:t>
      </w:r>
      <w:r w:rsidR="001165BA" w:rsidRPr="00B61FF1">
        <w:rPr>
          <w:rFonts w:ascii="Arial" w:eastAsia="Calibri" w:hAnsi="Arial" w:cs="Arial"/>
          <w:sz w:val="24"/>
          <w:szCs w:val="24"/>
          <w:u w:val="single"/>
        </w:rPr>
        <w:t>1</w:t>
      </w:r>
      <w:r w:rsidRPr="00B61FF1">
        <w:rPr>
          <w:rFonts w:ascii="Arial" w:eastAsia="Calibri" w:hAnsi="Arial" w:cs="Arial"/>
          <w:sz w:val="24"/>
          <w:szCs w:val="24"/>
          <w:u w:val="single"/>
        </w:rPr>
        <w:t>)</w:t>
      </w:r>
      <w:r w:rsidRPr="00B61FF1">
        <w:rPr>
          <w:rFonts w:ascii="Arial" w:eastAsia="Calibri" w:hAnsi="Arial" w:cs="Arial"/>
          <w:sz w:val="24"/>
          <w:szCs w:val="24"/>
        </w:rPr>
        <w:t xml:space="preserve"> </w:t>
      </w:r>
      <w:r w:rsidR="00BE6305" w:rsidRPr="00B61FF1">
        <w:rPr>
          <w:rFonts w:ascii="Arial" w:eastAsia="Calibri" w:hAnsi="Arial" w:cs="Arial"/>
          <w:sz w:val="24"/>
          <w:szCs w:val="24"/>
        </w:rPr>
        <w:tab/>
      </w:r>
      <w:r w:rsidR="00BE0C20" w:rsidRPr="00B61FF1">
        <w:rPr>
          <w:rFonts w:ascii="Arial" w:eastAsia="Calibri" w:hAnsi="Arial" w:cs="Arial"/>
          <w:sz w:val="24"/>
          <w:szCs w:val="24"/>
          <w:u w:val="single"/>
        </w:rPr>
        <w:t xml:space="preserve">In the case that the allocation adjustment is greater than the number California GHG Allowances directly allocated to a </w:t>
      </w:r>
      <w:r w:rsidR="00EF0862" w:rsidRPr="00B61FF1">
        <w:rPr>
          <w:rFonts w:ascii="Arial" w:eastAsia="Calibri" w:hAnsi="Arial" w:cs="Arial"/>
          <w:sz w:val="24"/>
          <w:szCs w:val="24"/>
          <w:u w:val="single"/>
        </w:rPr>
        <w:t>L</w:t>
      </w:r>
      <w:r w:rsidR="00BE0C20" w:rsidRPr="00B61FF1">
        <w:rPr>
          <w:rFonts w:ascii="Arial" w:eastAsia="Calibri" w:hAnsi="Arial" w:cs="Arial"/>
          <w:sz w:val="24"/>
          <w:szCs w:val="24"/>
          <w:u w:val="single"/>
        </w:rPr>
        <w:t xml:space="preserve">egacy </w:t>
      </w:r>
      <w:r w:rsidR="00EF0862" w:rsidRPr="00B61FF1">
        <w:rPr>
          <w:rFonts w:ascii="Arial" w:eastAsia="Calibri" w:hAnsi="Arial" w:cs="Arial"/>
          <w:sz w:val="24"/>
          <w:szCs w:val="24"/>
          <w:u w:val="single"/>
        </w:rPr>
        <w:t>C</w:t>
      </w:r>
      <w:r w:rsidR="00BE0C20" w:rsidRPr="00B61FF1">
        <w:rPr>
          <w:rFonts w:ascii="Arial" w:eastAsia="Calibri" w:hAnsi="Arial" w:cs="Arial"/>
          <w:sz w:val="24"/>
          <w:szCs w:val="24"/>
          <w:u w:val="single"/>
        </w:rPr>
        <w:t xml:space="preserve">ontract </w:t>
      </w:r>
      <w:r w:rsidR="00EF0862" w:rsidRPr="00B61FF1">
        <w:rPr>
          <w:rFonts w:ascii="Arial" w:eastAsia="Calibri" w:hAnsi="Arial" w:cs="Arial"/>
          <w:sz w:val="24"/>
          <w:szCs w:val="24"/>
          <w:u w:val="single"/>
        </w:rPr>
        <w:t>C</w:t>
      </w:r>
      <w:r w:rsidR="00BE0C20" w:rsidRPr="00B61FF1">
        <w:rPr>
          <w:rFonts w:ascii="Arial" w:eastAsia="Calibri" w:hAnsi="Arial" w:cs="Arial"/>
          <w:sz w:val="24"/>
          <w:szCs w:val="24"/>
          <w:u w:val="single"/>
        </w:rPr>
        <w:t>ounterpart</w:t>
      </w:r>
      <w:r w:rsidR="00EF0862" w:rsidRPr="00B61FF1">
        <w:rPr>
          <w:rFonts w:ascii="Arial" w:eastAsia="Calibri" w:hAnsi="Arial" w:cs="Arial"/>
          <w:sz w:val="24"/>
          <w:szCs w:val="24"/>
          <w:u w:val="single"/>
        </w:rPr>
        <w:t>y</w:t>
      </w:r>
      <w:r w:rsidR="00BE0C20" w:rsidRPr="00B61FF1">
        <w:rPr>
          <w:rFonts w:ascii="Arial" w:eastAsia="Calibri" w:hAnsi="Arial" w:cs="Arial"/>
          <w:sz w:val="24"/>
          <w:szCs w:val="24"/>
          <w:u w:val="single"/>
        </w:rPr>
        <w:t xml:space="preserve"> pursuant to 95891(b) through 95891(d), the allocation adjustment shall be equal to the number California GHG Allowances directly allocated to the legacy contract counterparty</w:t>
      </w:r>
      <w:r w:rsidRPr="00B61FF1">
        <w:rPr>
          <w:rFonts w:ascii="Arial" w:eastAsia="Calibri" w:hAnsi="Arial" w:cs="Arial"/>
          <w:sz w:val="24"/>
          <w:szCs w:val="24"/>
          <w:u w:val="single"/>
        </w:rPr>
        <w:t>.</w:t>
      </w:r>
    </w:p>
    <w:p w14:paraId="63C7C606" w14:textId="77777777" w:rsidR="00E643F6" w:rsidRPr="00B61FF1" w:rsidRDefault="00E643F6" w:rsidP="00E643F6">
      <w:pPr>
        <w:autoSpaceDE/>
        <w:autoSpaceDN/>
        <w:adjustRightInd/>
        <w:spacing w:line="360" w:lineRule="auto"/>
        <w:ind w:left="720" w:hanging="720"/>
        <w:rPr>
          <w:rFonts w:ascii="Arial" w:hAnsi="Arial" w:cs="Arial"/>
          <w:sz w:val="24"/>
          <w:szCs w:val="24"/>
          <w:u w:val="single"/>
        </w:rPr>
      </w:pPr>
    </w:p>
    <w:p w14:paraId="029211FD" w14:textId="77777777" w:rsidR="00147A21" w:rsidRPr="00B61FF1" w:rsidRDefault="00147A21">
      <w:pPr>
        <w:autoSpaceDE/>
        <w:autoSpaceDN/>
        <w:adjustRightInd/>
        <w:rPr>
          <w:rFonts w:ascii="Arial" w:hAnsi="Arial" w:cs="Arial"/>
          <w:sz w:val="24"/>
          <w:szCs w:val="24"/>
        </w:rPr>
      </w:pPr>
      <w:r w:rsidRPr="00B61FF1">
        <w:rPr>
          <w:rFonts w:ascii="Arial" w:hAnsi="Arial" w:cs="Arial"/>
          <w:sz w:val="24"/>
          <w:szCs w:val="24"/>
        </w:rPr>
        <w:br w:type="page"/>
      </w:r>
    </w:p>
    <w:p w14:paraId="38C8DA59" w14:textId="77777777" w:rsidR="000240E5" w:rsidRPr="00B61FF1" w:rsidRDefault="000240E5" w:rsidP="000240E5">
      <w:pPr>
        <w:autoSpaceDE/>
        <w:autoSpaceDN/>
        <w:adjustRightInd/>
        <w:spacing w:line="360" w:lineRule="auto"/>
        <w:ind w:left="1440" w:hanging="720"/>
        <w:rPr>
          <w:rFonts w:ascii="Arial" w:hAnsi="Arial" w:cs="Arial"/>
          <w:sz w:val="24"/>
          <w:szCs w:val="24"/>
        </w:rPr>
      </w:pPr>
    </w:p>
    <w:p w14:paraId="0C6D4E19" w14:textId="77777777" w:rsidR="00FE6B15" w:rsidRPr="00B61FF1" w:rsidRDefault="000F1740" w:rsidP="007E0733">
      <w:pPr>
        <w:pStyle w:val="Heading2"/>
        <w:rPr>
          <w:szCs w:val="24"/>
        </w:rPr>
      </w:pPr>
      <w:bookmarkStart w:id="311" w:name="_Toc269798083"/>
      <w:bookmarkStart w:id="312" w:name="_Toc272527746"/>
      <w:bookmarkStart w:id="313" w:name="_Toc352146262"/>
      <w:bookmarkStart w:id="314" w:name="_Toc361659863"/>
      <w:bookmarkStart w:id="315" w:name="_Toc299094948"/>
      <w:bookmarkStart w:id="316" w:name="_Toc302746801"/>
      <w:r w:rsidRPr="00B61FF1">
        <w:rPr>
          <w:szCs w:val="24"/>
        </w:rPr>
        <w:t>T</w:t>
      </w:r>
      <w:r w:rsidR="00FE6B15" w:rsidRPr="00B61FF1">
        <w:rPr>
          <w:szCs w:val="24"/>
        </w:rPr>
        <w:t xml:space="preserve">able 9-2: </w:t>
      </w:r>
      <w:bookmarkEnd w:id="309"/>
      <w:bookmarkEnd w:id="310"/>
      <w:bookmarkEnd w:id="311"/>
      <w:bookmarkEnd w:id="312"/>
      <w:r w:rsidR="007E0733" w:rsidRPr="00B61FF1">
        <w:rPr>
          <w:szCs w:val="24"/>
        </w:rPr>
        <w:t>Cap Adjustment Factors for Allowance Allocation</w:t>
      </w:r>
      <w:bookmarkEnd w:id="313"/>
      <w:bookmarkEnd w:id="314"/>
      <w:r w:rsidR="007E0733" w:rsidRPr="00B61FF1">
        <w:rPr>
          <w:szCs w:val="24"/>
        </w:rPr>
        <w:t xml:space="preserve"> </w:t>
      </w:r>
      <w:bookmarkEnd w:id="315"/>
      <w:bookmarkEnd w:id="316"/>
    </w:p>
    <w:tbl>
      <w:tblPr>
        <w:tblpPr w:leftFromText="180" w:rightFromText="180" w:vertAnchor="text" w:horzAnchor="margin" w:tblpXSpec="center" w:tblpY="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620"/>
        <w:gridCol w:w="6138"/>
      </w:tblGrid>
      <w:tr w:rsidR="007E0733" w:rsidRPr="00B61FF1" w14:paraId="79C403D3" w14:textId="77777777" w:rsidTr="001E05F0">
        <w:trPr>
          <w:jc w:val="center"/>
        </w:trPr>
        <w:tc>
          <w:tcPr>
            <w:tcW w:w="1098" w:type="dxa"/>
            <w:shd w:val="clear" w:color="auto" w:fill="C0C0C0"/>
          </w:tcPr>
          <w:p w14:paraId="5859BD51" w14:textId="77777777" w:rsidR="007E0733" w:rsidRPr="00B61FF1" w:rsidRDefault="007E0733" w:rsidP="007E6CC1">
            <w:pPr>
              <w:spacing w:line="360" w:lineRule="auto"/>
              <w:jc w:val="center"/>
              <w:rPr>
                <w:rFonts w:ascii="Arial" w:hAnsi="Arial" w:cs="Arial"/>
                <w:i/>
                <w:sz w:val="24"/>
                <w:szCs w:val="24"/>
              </w:rPr>
            </w:pPr>
            <w:r w:rsidRPr="00B61FF1">
              <w:rPr>
                <w:rFonts w:ascii="Arial" w:hAnsi="Arial" w:cs="Arial"/>
                <w:b/>
                <w:i/>
                <w:sz w:val="24"/>
                <w:szCs w:val="24"/>
              </w:rPr>
              <w:t>Budget Year</w:t>
            </w:r>
          </w:p>
        </w:tc>
        <w:tc>
          <w:tcPr>
            <w:tcW w:w="1620" w:type="dxa"/>
            <w:shd w:val="clear" w:color="auto" w:fill="C0C0C0"/>
          </w:tcPr>
          <w:p w14:paraId="05C0BB06" w14:textId="77777777" w:rsidR="007E0733" w:rsidRPr="00B61FF1" w:rsidRDefault="007E0733" w:rsidP="00905CB2">
            <w:pPr>
              <w:spacing w:line="360" w:lineRule="auto"/>
              <w:jc w:val="center"/>
              <w:rPr>
                <w:rFonts w:ascii="Arial" w:hAnsi="Arial" w:cs="Arial"/>
                <w:i/>
                <w:sz w:val="24"/>
                <w:szCs w:val="24"/>
              </w:rPr>
            </w:pPr>
            <w:r w:rsidRPr="00B61FF1">
              <w:rPr>
                <w:rFonts w:ascii="Arial" w:hAnsi="Arial" w:cs="Arial"/>
                <w:b/>
                <w:i/>
                <w:sz w:val="24"/>
                <w:szCs w:val="24"/>
              </w:rPr>
              <w:t>Cap Adjustment Factor (c) for All Other Direct Allocation</w:t>
            </w:r>
          </w:p>
        </w:tc>
        <w:tc>
          <w:tcPr>
            <w:tcW w:w="6138" w:type="dxa"/>
            <w:shd w:val="clear" w:color="auto" w:fill="BFBFBF" w:themeFill="background1" w:themeFillShade="BF"/>
          </w:tcPr>
          <w:p w14:paraId="4DD38C8D" w14:textId="77777777" w:rsidR="008E2B23" w:rsidRPr="00B61FF1" w:rsidRDefault="007E0733" w:rsidP="007E6CC1">
            <w:pPr>
              <w:spacing w:line="360" w:lineRule="auto"/>
              <w:jc w:val="center"/>
              <w:rPr>
                <w:rFonts w:ascii="Arial" w:hAnsi="Arial" w:cs="Arial"/>
                <w:b/>
                <w:i/>
                <w:sz w:val="24"/>
                <w:szCs w:val="24"/>
              </w:rPr>
            </w:pPr>
            <w:r w:rsidRPr="00B61FF1">
              <w:rPr>
                <w:rFonts w:ascii="Arial" w:hAnsi="Arial" w:cs="Arial"/>
                <w:b/>
                <w:i/>
                <w:sz w:val="24"/>
                <w:szCs w:val="24"/>
              </w:rPr>
              <w:t xml:space="preserve">Cap Adjustment Factor (c) for </w:t>
            </w:r>
            <w:r w:rsidR="00825B81" w:rsidRPr="00B61FF1">
              <w:rPr>
                <w:rFonts w:ascii="Arial" w:hAnsi="Arial" w:cs="Arial"/>
                <w:b/>
                <w:i/>
                <w:sz w:val="24"/>
                <w:szCs w:val="24"/>
              </w:rPr>
              <w:t xml:space="preserve">Sectors with Process Emissions Greater Than 50% </w:t>
            </w:r>
          </w:p>
          <w:tbl>
            <w:tblPr>
              <w:tblpPr w:leftFromText="180" w:rightFromText="180" w:vertAnchor="text" w:horzAnchor="margin" w:tblpXSpec="center" w:tblpY="6"/>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174"/>
              <w:gridCol w:w="3364"/>
            </w:tblGrid>
            <w:tr w:rsidR="008E2B23" w:rsidRPr="00B61FF1" w14:paraId="47AE370B" w14:textId="77777777" w:rsidTr="008E2B23">
              <w:trPr>
                <w:trHeight w:val="523"/>
                <w:jc w:val="center"/>
              </w:trPr>
              <w:tc>
                <w:tcPr>
                  <w:tcW w:w="1619" w:type="dxa"/>
                  <w:shd w:val="clear" w:color="auto" w:fill="BFBFBF" w:themeFill="background1" w:themeFillShade="BF"/>
                  <w:vAlign w:val="center"/>
                </w:tcPr>
                <w:p w14:paraId="47C3DFFA" w14:textId="77777777" w:rsidR="008E2B23" w:rsidRPr="00B61FF1" w:rsidRDefault="008E2B23" w:rsidP="008E2B23">
                  <w:pPr>
                    <w:spacing w:line="360" w:lineRule="auto"/>
                    <w:jc w:val="center"/>
                    <w:rPr>
                      <w:rFonts w:ascii="Arial" w:hAnsi="Arial" w:cs="Arial"/>
                      <w:b/>
                    </w:rPr>
                  </w:pPr>
                  <w:r w:rsidRPr="00B61FF1">
                    <w:rPr>
                      <w:rFonts w:ascii="Arial" w:hAnsi="Arial" w:cs="Arial"/>
                      <w:b/>
                    </w:rPr>
                    <w:t>Sector</w:t>
                  </w:r>
                </w:p>
              </w:tc>
              <w:tc>
                <w:tcPr>
                  <w:tcW w:w="1174" w:type="dxa"/>
                  <w:shd w:val="clear" w:color="auto" w:fill="BFBFBF" w:themeFill="background1" w:themeFillShade="BF"/>
                  <w:vAlign w:val="center"/>
                </w:tcPr>
                <w:p w14:paraId="40746318" w14:textId="77777777" w:rsidR="008E2B23" w:rsidRPr="00B61FF1" w:rsidRDefault="008E2B23" w:rsidP="008E2B23">
                  <w:pPr>
                    <w:spacing w:line="360" w:lineRule="auto"/>
                    <w:jc w:val="center"/>
                    <w:rPr>
                      <w:rFonts w:ascii="Arial" w:hAnsi="Arial" w:cs="Arial"/>
                      <w:b/>
                    </w:rPr>
                  </w:pPr>
                  <w:r w:rsidRPr="00B61FF1">
                    <w:rPr>
                      <w:rFonts w:ascii="Arial" w:hAnsi="Arial" w:cs="Arial"/>
                      <w:b/>
                    </w:rPr>
                    <w:t>NAICS</w:t>
                  </w:r>
                </w:p>
              </w:tc>
              <w:tc>
                <w:tcPr>
                  <w:tcW w:w="3364" w:type="dxa"/>
                  <w:shd w:val="clear" w:color="auto" w:fill="BFBFBF" w:themeFill="background1" w:themeFillShade="BF"/>
                  <w:vAlign w:val="center"/>
                </w:tcPr>
                <w:p w14:paraId="4C0A716D" w14:textId="77777777" w:rsidR="008E2B23" w:rsidRPr="00B61FF1" w:rsidRDefault="008E2B23" w:rsidP="008E2B23">
                  <w:pPr>
                    <w:spacing w:line="360" w:lineRule="auto"/>
                    <w:jc w:val="center"/>
                    <w:rPr>
                      <w:rFonts w:ascii="Arial" w:hAnsi="Arial" w:cs="Arial"/>
                      <w:b/>
                    </w:rPr>
                  </w:pPr>
                  <w:r w:rsidRPr="00B61FF1">
                    <w:rPr>
                      <w:rFonts w:ascii="Arial" w:hAnsi="Arial" w:cs="Arial"/>
                      <w:b/>
                    </w:rPr>
                    <w:t>Activity</w:t>
                  </w:r>
                </w:p>
              </w:tc>
            </w:tr>
            <w:tr w:rsidR="008E2B23" w:rsidRPr="00B61FF1" w14:paraId="28A82F11" w14:textId="77777777" w:rsidTr="008E2B23">
              <w:trPr>
                <w:trHeight w:val="446"/>
                <w:jc w:val="center"/>
              </w:trPr>
              <w:tc>
                <w:tcPr>
                  <w:tcW w:w="1619" w:type="dxa"/>
                  <w:vMerge w:val="restart"/>
                  <w:shd w:val="clear" w:color="auto" w:fill="BFBFBF" w:themeFill="background1" w:themeFillShade="BF"/>
                  <w:vAlign w:val="center"/>
                </w:tcPr>
                <w:p w14:paraId="01826FAD" w14:textId="77777777" w:rsidR="008E2B23" w:rsidRPr="00B61FF1" w:rsidRDefault="008E2B23" w:rsidP="008E2B23">
                  <w:pPr>
                    <w:spacing w:line="360" w:lineRule="auto"/>
                    <w:rPr>
                      <w:rFonts w:ascii="Arial" w:hAnsi="Arial" w:cs="Arial"/>
                    </w:rPr>
                  </w:pPr>
                  <w:r w:rsidRPr="00B61FF1">
                    <w:rPr>
                      <w:rFonts w:ascii="Arial" w:hAnsi="Arial" w:cs="Arial"/>
                    </w:rPr>
                    <w:t>Nitrogenous Fertilizer Manufacturing</w:t>
                  </w:r>
                </w:p>
              </w:tc>
              <w:tc>
                <w:tcPr>
                  <w:tcW w:w="1174" w:type="dxa"/>
                  <w:vMerge w:val="restart"/>
                  <w:shd w:val="clear" w:color="auto" w:fill="BFBFBF" w:themeFill="background1" w:themeFillShade="BF"/>
                  <w:vAlign w:val="center"/>
                </w:tcPr>
                <w:p w14:paraId="0402E8B0" w14:textId="77777777" w:rsidR="008E2B23" w:rsidRPr="00B61FF1" w:rsidRDefault="008E2B23" w:rsidP="008E2B23">
                  <w:pPr>
                    <w:spacing w:line="360" w:lineRule="auto"/>
                    <w:jc w:val="center"/>
                    <w:rPr>
                      <w:rFonts w:ascii="Arial" w:hAnsi="Arial" w:cs="Arial"/>
                    </w:rPr>
                  </w:pPr>
                  <w:r w:rsidRPr="00B61FF1">
                    <w:rPr>
                      <w:rFonts w:ascii="Arial" w:hAnsi="Arial" w:cs="Arial"/>
                    </w:rPr>
                    <w:t>325311</w:t>
                  </w:r>
                </w:p>
              </w:tc>
              <w:tc>
                <w:tcPr>
                  <w:tcW w:w="3364" w:type="dxa"/>
                  <w:shd w:val="clear" w:color="auto" w:fill="BFBFBF" w:themeFill="background1" w:themeFillShade="BF"/>
                  <w:vAlign w:val="center"/>
                </w:tcPr>
                <w:p w14:paraId="7EA55B30" w14:textId="77777777" w:rsidR="008E2B23" w:rsidRPr="00B61FF1" w:rsidRDefault="008E2B23" w:rsidP="008E2B23">
                  <w:pPr>
                    <w:spacing w:line="360" w:lineRule="auto"/>
                    <w:rPr>
                      <w:rFonts w:ascii="Arial" w:hAnsi="Arial" w:cs="Arial"/>
                    </w:rPr>
                  </w:pPr>
                  <w:r w:rsidRPr="00B61FF1">
                    <w:rPr>
                      <w:rFonts w:ascii="Arial" w:hAnsi="Arial" w:cs="Arial"/>
                    </w:rPr>
                    <w:t>Nitric Acid Production</w:t>
                  </w:r>
                </w:p>
              </w:tc>
            </w:tr>
            <w:tr w:rsidR="008E2B23" w:rsidRPr="00B61FF1" w14:paraId="7690A9E9" w14:textId="77777777" w:rsidTr="008E2B23">
              <w:trPr>
                <w:trHeight w:val="445"/>
                <w:jc w:val="center"/>
              </w:trPr>
              <w:tc>
                <w:tcPr>
                  <w:tcW w:w="1619" w:type="dxa"/>
                  <w:vMerge/>
                  <w:shd w:val="clear" w:color="auto" w:fill="BFBFBF" w:themeFill="background1" w:themeFillShade="BF"/>
                  <w:vAlign w:val="center"/>
                </w:tcPr>
                <w:p w14:paraId="572265AF" w14:textId="77777777" w:rsidR="008E2B23" w:rsidRPr="00B61FF1" w:rsidRDefault="008E2B23" w:rsidP="008E2B23">
                  <w:pPr>
                    <w:spacing w:line="360" w:lineRule="auto"/>
                    <w:rPr>
                      <w:rFonts w:ascii="Arial" w:hAnsi="Arial" w:cs="Arial"/>
                    </w:rPr>
                  </w:pPr>
                </w:p>
              </w:tc>
              <w:tc>
                <w:tcPr>
                  <w:tcW w:w="1174" w:type="dxa"/>
                  <w:vMerge/>
                  <w:shd w:val="clear" w:color="auto" w:fill="BFBFBF" w:themeFill="background1" w:themeFillShade="BF"/>
                  <w:vAlign w:val="center"/>
                </w:tcPr>
                <w:p w14:paraId="5DA3C17D" w14:textId="77777777" w:rsidR="008E2B23" w:rsidRPr="00B61FF1" w:rsidRDefault="008E2B23" w:rsidP="008E2B23">
                  <w:pPr>
                    <w:spacing w:line="360" w:lineRule="auto"/>
                    <w:jc w:val="center"/>
                    <w:rPr>
                      <w:rFonts w:ascii="Arial" w:hAnsi="Arial" w:cs="Arial"/>
                    </w:rPr>
                  </w:pPr>
                </w:p>
              </w:tc>
              <w:tc>
                <w:tcPr>
                  <w:tcW w:w="3364" w:type="dxa"/>
                  <w:shd w:val="clear" w:color="auto" w:fill="BFBFBF" w:themeFill="background1" w:themeFillShade="BF"/>
                  <w:vAlign w:val="center"/>
                </w:tcPr>
                <w:p w14:paraId="6E42CD39" w14:textId="77777777" w:rsidR="008E2B23" w:rsidRPr="00B61FF1" w:rsidRDefault="008E2B23" w:rsidP="008E2B23">
                  <w:pPr>
                    <w:spacing w:line="360" w:lineRule="auto"/>
                    <w:rPr>
                      <w:rFonts w:ascii="Arial" w:hAnsi="Arial" w:cs="Arial"/>
                    </w:rPr>
                  </w:pPr>
                  <w:r w:rsidRPr="00B61FF1">
                    <w:rPr>
                      <w:rFonts w:ascii="Arial" w:hAnsi="Arial" w:cs="Arial"/>
                    </w:rPr>
                    <w:t xml:space="preserve">Calcium Ammonium </w:t>
                  </w:r>
                </w:p>
                <w:p w14:paraId="13C7E45E" w14:textId="77777777" w:rsidR="008E2B23" w:rsidRPr="00B61FF1" w:rsidRDefault="008E2B23" w:rsidP="008E2B23">
                  <w:pPr>
                    <w:spacing w:line="360" w:lineRule="auto"/>
                    <w:rPr>
                      <w:rFonts w:ascii="Arial" w:hAnsi="Arial" w:cs="Arial"/>
                    </w:rPr>
                  </w:pPr>
                  <w:r w:rsidRPr="00B61FF1">
                    <w:rPr>
                      <w:rFonts w:ascii="Arial" w:hAnsi="Arial" w:cs="Arial"/>
                    </w:rPr>
                    <w:t>Nitrate Solution Production</w:t>
                  </w:r>
                </w:p>
              </w:tc>
            </w:tr>
            <w:tr w:rsidR="008E2B23" w:rsidRPr="00B61FF1" w14:paraId="3B672A9F" w14:textId="77777777" w:rsidTr="008E2B23">
              <w:trPr>
                <w:trHeight w:val="519"/>
                <w:jc w:val="center"/>
              </w:trPr>
              <w:tc>
                <w:tcPr>
                  <w:tcW w:w="1619" w:type="dxa"/>
                  <w:shd w:val="clear" w:color="auto" w:fill="BFBFBF" w:themeFill="background1" w:themeFillShade="BF"/>
                  <w:vAlign w:val="center"/>
                </w:tcPr>
                <w:p w14:paraId="26D33F97" w14:textId="77777777" w:rsidR="008E2B23" w:rsidRPr="00B61FF1" w:rsidRDefault="008E2B23" w:rsidP="008E2B23">
                  <w:pPr>
                    <w:spacing w:line="360" w:lineRule="auto"/>
                    <w:rPr>
                      <w:rFonts w:ascii="Arial" w:hAnsi="Arial" w:cs="Arial"/>
                    </w:rPr>
                  </w:pPr>
                  <w:r w:rsidRPr="00B61FF1">
                    <w:rPr>
                      <w:rFonts w:ascii="Arial" w:hAnsi="Arial" w:cs="Arial"/>
                    </w:rPr>
                    <w:t>Cement manufacturing</w:t>
                  </w:r>
                </w:p>
              </w:tc>
              <w:tc>
                <w:tcPr>
                  <w:tcW w:w="1174" w:type="dxa"/>
                  <w:shd w:val="clear" w:color="auto" w:fill="BFBFBF" w:themeFill="background1" w:themeFillShade="BF"/>
                  <w:vAlign w:val="center"/>
                </w:tcPr>
                <w:p w14:paraId="113B45B8" w14:textId="77777777" w:rsidR="008E2B23" w:rsidRPr="00B61FF1" w:rsidRDefault="008E2B23" w:rsidP="008E2B23">
                  <w:pPr>
                    <w:spacing w:line="360" w:lineRule="auto"/>
                    <w:jc w:val="center"/>
                    <w:rPr>
                      <w:rFonts w:ascii="Arial" w:hAnsi="Arial" w:cs="Arial"/>
                    </w:rPr>
                  </w:pPr>
                  <w:r w:rsidRPr="00B61FF1">
                    <w:rPr>
                      <w:rFonts w:ascii="Arial" w:hAnsi="Arial" w:cs="Arial"/>
                    </w:rPr>
                    <w:t>327311</w:t>
                  </w:r>
                </w:p>
              </w:tc>
              <w:tc>
                <w:tcPr>
                  <w:tcW w:w="3364" w:type="dxa"/>
                  <w:shd w:val="clear" w:color="auto" w:fill="BFBFBF" w:themeFill="background1" w:themeFillShade="BF"/>
                  <w:vAlign w:val="center"/>
                </w:tcPr>
                <w:p w14:paraId="29EE70B9" w14:textId="77777777" w:rsidR="008E2B23" w:rsidRPr="00B61FF1" w:rsidRDefault="008E2B23" w:rsidP="008E2B23">
                  <w:pPr>
                    <w:spacing w:line="360" w:lineRule="auto"/>
                    <w:rPr>
                      <w:rFonts w:ascii="Arial" w:hAnsi="Arial" w:cs="Arial"/>
                    </w:rPr>
                  </w:pPr>
                  <w:r w:rsidRPr="00B61FF1">
                    <w:rPr>
                      <w:rFonts w:ascii="Arial" w:hAnsi="Arial" w:cs="Arial"/>
                    </w:rPr>
                    <w:t>Cement manufacturing</w:t>
                  </w:r>
                </w:p>
              </w:tc>
            </w:tr>
            <w:tr w:rsidR="008E2B23" w:rsidRPr="00B61FF1" w14:paraId="424C7D13" w14:textId="77777777" w:rsidTr="008E2B23">
              <w:trPr>
                <w:trHeight w:val="519"/>
                <w:jc w:val="center"/>
              </w:trPr>
              <w:tc>
                <w:tcPr>
                  <w:tcW w:w="1619" w:type="dxa"/>
                  <w:shd w:val="clear" w:color="auto" w:fill="BFBFBF" w:themeFill="background1" w:themeFillShade="BF"/>
                  <w:vAlign w:val="center"/>
                </w:tcPr>
                <w:p w14:paraId="7FDADF30" w14:textId="77777777" w:rsidR="008E2B23" w:rsidRPr="00B61FF1" w:rsidRDefault="008E2B23" w:rsidP="008E2B23">
                  <w:pPr>
                    <w:spacing w:line="360" w:lineRule="auto"/>
                    <w:rPr>
                      <w:rFonts w:ascii="Arial" w:hAnsi="Arial" w:cs="Arial"/>
                    </w:rPr>
                  </w:pPr>
                  <w:r w:rsidRPr="00B61FF1">
                    <w:rPr>
                      <w:rFonts w:ascii="Arial" w:hAnsi="Arial" w:cs="Arial"/>
                    </w:rPr>
                    <w:t>Lime manufacturing</w:t>
                  </w:r>
                </w:p>
              </w:tc>
              <w:tc>
                <w:tcPr>
                  <w:tcW w:w="1174" w:type="dxa"/>
                  <w:shd w:val="clear" w:color="auto" w:fill="BFBFBF" w:themeFill="background1" w:themeFillShade="BF"/>
                  <w:vAlign w:val="center"/>
                </w:tcPr>
                <w:p w14:paraId="0AB134F1" w14:textId="77777777" w:rsidR="008E2B23" w:rsidRPr="00B61FF1" w:rsidRDefault="008E2B23" w:rsidP="008E2B23">
                  <w:pPr>
                    <w:spacing w:line="360" w:lineRule="auto"/>
                    <w:jc w:val="center"/>
                    <w:rPr>
                      <w:rFonts w:ascii="Arial" w:hAnsi="Arial" w:cs="Arial"/>
                    </w:rPr>
                  </w:pPr>
                  <w:r w:rsidRPr="00B61FF1">
                    <w:rPr>
                      <w:rFonts w:ascii="Arial" w:hAnsi="Arial" w:cs="Arial"/>
                    </w:rPr>
                    <w:t>327410</w:t>
                  </w:r>
                </w:p>
              </w:tc>
              <w:tc>
                <w:tcPr>
                  <w:tcW w:w="3364" w:type="dxa"/>
                  <w:shd w:val="clear" w:color="auto" w:fill="BFBFBF" w:themeFill="background1" w:themeFillShade="BF"/>
                  <w:vAlign w:val="center"/>
                </w:tcPr>
                <w:p w14:paraId="4B48C8CF" w14:textId="77777777" w:rsidR="008E2B23" w:rsidRPr="00B61FF1" w:rsidRDefault="008E2B23" w:rsidP="008E2B23">
                  <w:pPr>
                    <w:spacing w:line="360" w:lineRule="auto"/>
                    <w:rPr>
                      <w:rFonts w:ascii="Arial" w:hAnsi="Arial" w:cs="Arial"/>
                    </w:rPr>
                  </w:pPr>
                  <w:r w:rsidRPr="00B61FF1">
                    <w:rPr>
                      <w:rFonts w:ascii="Arial" w:hAnsi="Arial" w:cs="Arial"/>
                    </w:rPr>
                    <w:t>Dolime Manufacturing</w:t>
                  </w:r>
                </w:p>
              </w:tc>
            </w:tr>
          </w:tbl>
          <w:p w14:paraId="0B670D82" w14:textId="77777777" w:rsidR="00825B81" w:rsidRPr="00B61FF1" w:rsidRDefault="00825B81" w:rsidP="007E6CC1">
            <w:pPr>
              <w:spacing w:line="360" w:lineRule="auto"/>
              <w:jc w:val="center"/>
              <w:rPr>
                <w:rFonts w:ascii="Arial" w:hAnsi="Arial" w:cs="Arial"/>
                <w:b/>
                <w:i/>
                <w:sz w:val="24"/>
                <w:szCs w:val="24"/>
              </w:rPr>
            </w:pPr>
          </w:p>
          <w:p w14:paraId="0B7DF245" w14:textId="77777777" w:rsidR="007E0733" w:rsidRPr="00B61FF1" w:rsidRDefault="007E0733" w:rsidP="007E6CC1">
            <w:pPr>
              <w:spacing w:line="360" w:lineRule="auto"/>
              <w:jc w:val="center"/>
              <w:rPr>
                <w:rFonts w:ascii="Arial" w:hAnsi="Arial" w:cs="Arial"/>
                <w:b/>
                <w:i/>
                <w:sz w:val="24"/>
                <w:szCs w:val="24"/>
              </w:rPr>
            </w:pPr>
          </w:p>
        </w:tc>
      </w:tr>
      <w:tr w:rsidR="007E0733" w:rsidRPr="00B61FF1" w14:paraId="644E341A" w14:textId="77777777" w:rsidTr="001E05F0">
        <w:trPr>
          <w:jc w:val="center"/>
        </w:trPr>
        <w:tc>
          <w:tcPr>
            <w:tcW w:w="1098" w:type="dxa"/>
          </w:tcPr>
          <w:p w14:paraId="6FD3AFC8"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2013</w:t>
            </w:r>
          </w:p>
        </w:tc>
        <w:tc>
          <w:tcPr>
            <w:tcW w:w="1620" w:type="dxa"/>
          </w:tcPr>
          <w:p w14:paraId="270B8EDC"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0.981</w:t>
            </w:r>
          </w:p>
        </w:tc>
        <w:tc>
          <w:tcPr>
            <w:tcW w:w="6138" w:type="dxa"/>
          </w:tcPr>
          <w:p w14:paraId="01744380"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0.991</w:t>
            </w:r>
          </w:p>
        </w:tc>
      </w:tr>
      <w:tr w:rsidR="007E0733" w:rsidRPr="00B61FF1" w14:paraId="429C0316" w14:textId="77777777" w:rsidTr="001E05F0">
        <w:trPr>
          <w:jc w:val="center"/>
        </w:trPr>
        <w:tc>
          <w:tcPr>
            <w:tcW w:w="1098" w:type="dxa"/>
          </w:tcPr>
          <w:p w14:paraId="2731C8E7"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2014</w:t>
            </w:r>
          </w:p>
        </w:tc>
        <w:tc>
          <w:tcPr>
            <w:tcW w:w="1620" w:type="dxa"/>
          </w:tcPr>
          <w:p w14:paraId="3BF503BC"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0.963</w:t>
            </w:r>
          </w:p>
        </w:tc>
        <w:tc>
          <w:tcPr>
            <w:tcW w:w="6138" w:type="dxa"/>
          </w:tcPr>
          <w:p w14:paraId="419D1784"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0.981</w:t>
            </w:r>
          </w:p>
        </w:tc>
      </w:tr>
      <w:tr w:rsidR="007E0733" w:rsidRPr="00B61FF1" w14:paraId="780CE84B" w14:textId="77777777" w:rsidTr="001E05F0">
        <w:trPr>
          <w:jc w:val="center"/>
        </w:trPr>
        <w:tc>
          <w:tcPr>
            <w:tcW w:w="1098" w:type="dxa"/>
          </w:tcPr>
          <w:p w14:paraId="762F3E8D"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2015</w:t>
            </w:r>
          </w:p>
        </w:tc>
        <w:tc>
          <w:tcPr>
            <w:tcW w:w="1620" w:type="dxa"/>
          </w:tcPr>
          <w:p w14:paraId="0D7FA614"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0.944</w:t>
            </w:r>
          </w:p>
        </w:tc>
        <w:tc>
          <w:tcPr>
            <w:tcW w:w="6138" w:type="dxa"/>
          </w:tcPr>
          <w:p w14:paraId="751314AB"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0.972</w:t>
            </w:r>
          </w:p>
        </w:tc>
      </w:tr>
      <w:tr w:rsidR="007E0733" w:rsidRPr="00B61FF1" w14:paraId="1C2B1BE9" w14:textId="77777777" w:rsidTr="001E05F0">
        <w:trPr>
          <w:jc w:val="center"/>
        </w:trPr>
        <w:tc>
          <w:tcPr>
            <w:tcW w:w="1098" w:type="dxa"/>
          </w:tcPr>
          <w:p w14:paraId="22386EF9"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2016</w:t>
            </w:r>
          </w:p>
        </w:tc>
        <w:tc>
          <w:tcPr>
            <w:tcW w:w="1620" w:type="dxa"/>
          </w:tcPr>
          <w:p w14:paraId="6A060552"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0.925</w:t>
            </w:r>
          </w:p>
        </w:tc>
        <w:tc>
          <w:tcPr>
            <w:tcW w:w="6138" w:type="dxa"/>
          </w:tcPr>
          <w:p w14:paraId="040703D8"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0.963</w:t>
            </w:r>
          </w:p>
        </w:tc>
      </w:tr>
      <w:tr w:rsidR="007E0733" w:rsidRPr="00B61FF1" w14:paraId="42F7B810" w14:textId="77777777" w:rsidTr="001E05F0">
        <w:trPr>
          <w:jc w:val="center"/>
        </w:trPr>
        <w:tc>
          <w:tcPr>
            <w:tcW w:w="1098" w:type="dxa"/>
          </w:tcPr>
          <w:p w14:paraId="3CDA7417"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2017</w:t>
            </w:r>
          </w:p>
        </w:tc>
        <w:tc>
          <w:tcPr>
            <w:tcW w:w="1620" w:type="dxa"/>
          </w:tcPr>
          <w:p w14:paraId="23A463E9"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0.907</w:t>
            </w:r>
          </w:p>
        </w:tc>
        <w:tc>
          <w:tcPr>
            <w:tcW w:w="6138" w:type="dxa"/>
          </w:tcPr>
          <w:p w14:paraId="7499950B"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0.953</w:t>
            </w:r>
          </w:p>
        </w:tc>
      </w:tr>
      <w:tr w:rsidR="007E0733" w:rsidRPr="00B61FF1" w14:paraId="0E05D414" w14:textId="77777777" w:rsidTr="001E05F0">
        <w:trPr>
          <w:jc w:val="center"/>
        </w:trPr>
        <w:tc>
          <w:tcPr>
            <w:tcW w:w="1098" w:type="dxa"/>
          </w:tcPr>
          <w:p w14:paraId="345D1B66"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2018</w:t>
            </w:r>
          </w:p>
        </w:tc>
        <w:tc>
          <w:tcPr>
            <w:tcW w:w="1620" w:type="dxa"/>
          </w:tcPr>
          <w:p w14:paraId="72F0ECDF"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0.888</w:t>
            </w:r>
          </w:p>
        </w:tc>
        <w:tc>
          <w:tcPr>
            <w:tcW w:w="6138" w:type="dxa"/>
          </w:tcPr>
          <w:p w14:paraId="1FBC1888"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0.944</w:t>
            </w:r>
          </w:p>
        </w:tc>
      </w:tr>
      <w:tr w:rsidR="007E0733" w:rsidRPr="00B61FF1" w14:paraId="221044A2" w14:textId="77777777" w:rsidTr="001E05F0">
        <w:trPr>
          <w:jc w:val="center"/>
        </w:trPr>
        <w:tc>
          <w:tcPr>
            <w:tcW w:w="1098" w:type="dxa"/>
          </w:tcPr>
          <w:p w14:paraId="10A5BF5D"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2019</w:t>
            </w:r>
          </w:p>
        </w:tc>
        <w:tc>
          <w:tcPr>
            <w:tcW w:w="1620" w:type="dxa"/>
          </w:tcPr>
          <w:p w14:paraId="41AAF9D3"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0.869</w:t>
            </w:r>
          </w:p>
        </w:tc>
        <w:tc>
          <w:tcPr>
            <w:tcW w:w="6138" w:type="dxa"/>
          </w:tcPr>
          <w:p w14:paraId="573EDF7B"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0.935</w:t>
            </w:r>
          </w:p>
        </w:tc>
      </w:tr>
      <w:tr w:rsidR="007E0733" w:rsidRPr="00B61FF1" w14:paraId="5FF77B26" w14:textId="77777777" w:rsidTr="001E05F0">
        <w:trPr>
          <w:jc w:val="center"/>
        </w:trPr>
        <w:tc>
          <w:tcPr>
            <w:tcW w:w="1098" w:type="dxa"/>
          </w:tcPr>
          <w:p w14:paraId="6525B13F"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2020</w:t>
            </w:r>
          </w:p>
        </w:tc>
        <w:tc>
          <w:tcPr>
            <w:tcW w:w="1620" w:type="dxa"/>
          </w:tcPr>
          <w:p w14:paraId="720DB924" w14:textId="77777777" w:rsidR="007E0733" w:rsidRPr="00B61FF1" w:rsidRDefault="007E0733" w:rsidP="007E6CC1">
            <w:pPr>
              <w:spacing w:line="360" w:lineRule="auto"/>
              <w:jc w:val="center"/>
              <w:rPr>
                <w:rFonts w:ascii="Arial" w:hAnsi="Arial" w:cs="Arial"/>
                <w:sz w:val="24"/>
                <w:szCs w:val="24"/>
              </w:rPr>
            </w:pPr>
            <w:r w:rsidRPr="00B61FF1">
              <w:rPr>
                <w:rFonts w:ascii="Arial" w:hAnsi="Arial" w:cs="Arial"/>
                <w:sz w:val="24"/>
                <w:szCs w:val="24"/>
              </w:rPr>
              <w:t>0.851</w:t>
            </w:r>
          </w:p>
        </w:tc>
        <w:tc>
          <w:tcPr>
            <w:tcW w:w="6138" w:type="dxa"/>
          </w:tcPr>
          <w:p w14:paraId="13849291" w14:textId="77777777" w:rsidR="007E0733" w:rsidRPr="00B61FF1" w:rsidRDefault="007E0733" w:rsidP="007E6CC1">
            <w:pPr>
              <w:autoSpaceDE/>
              <w:autoSpaceDN/>
              <w:adjustRightInd/>
              <w:spacing w:line="360" w:lineRule="auto"/>
              <w:jc w:val="center"/>
              <w:rPr>
                <w:rFonts w:ascii="Arial" w:hAnsi="Arial" w:cs="Arial"/>
                <w:sz w:val="24"/>
                <w:szCs w:val="24"/>
              </w:rPr>
            </w:pPr>
            <w:r w:rsidRPr="00B61FF1">
              <w:rPr>
                <w:rFonts w:ascii="Arial" w:hAnsi="Arial" w:cs="Arial"/>
                <w:sz w:val="24"/>
                <w:szCs w:val="24"/>
              </w:rPr>
              <w:t>0.925</w:t>
            </w:r>
          </w:p>
        </w:tc>
      </w:tr>
    </w:tbl>
    <w:p w14:paraId="343C3CAB" w14:textId="77777777" w:rsidR="00BD1FA4" w:rsidRPr="00B61FF1" w:rsidRDefault="00BD1FA4" w:rsidP="00EC7AFC">
      <w:pPr>
        <w:rPr>
          <w:rFonts w:ascii="Arial" w:hAnsi="Arial" w:cs="Arial"/>
        </w:rPr>
      </w:pPr>
    </w:p>
    <w:p w14:paraId="05F03A20"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6BF29478"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5436BE4C" w14:textId="77777777" w:rsidR="007C2F50" w:rsidRPr="00B61FF1" w:rsidRDefault="007C2F50">
      <w:pPr>
        <w:autoSpaceDE/>
        <w:autoSpaceDN/>
        <w:adjustRightInd/>
        <w:rPr>
          <w:rFonts w:ascii="Arial" w:hAnsi="Arial" w:cs="Arial"/>
          <w:b/>
          <w:bCs/>
          <w:iCs/>
          <w:sz w:val="24"/>
          <w:szCs w:val="24"/>
        </w:rPr>
      </w:pPr>
      <w:bookmarkStart w:id="317" w:name="_Toc299094949"/>
      <w:bookmarkStart w:id="318" w:name="_Toc302746802"/>
      <w:r w:rsidRPr="00B61FF1">
        <w:rPr>
          <w:i/>
          <w:sz w:val="24"/>
          <w:szCs w:val="24"/>
        </w:rPr>
        <w:br w:type="page"/>
      </w:r>
    </w:p>
    <w:p w14:paraId="532F4971" w14:textId="77777777" w:rsidR="00FE6B15" w:rsidRPr="00B61FF1" w:rsidRDefault="00FE6B15" w:rsidP="004E3B67">
      <w:pPr>
        <w:pStyle w:val="Heading2"/>
        <w:keepNext w:val="0"/>
        <w:rPr>
          <w:i/>
          <w:szCs w:val="24"/>
        </w:rPr>
      </w:pPr>
      <w:bookmarkStart w:id="319" w:name="_Toc352146263"/>
      <w:bookmarkStart w:id="320" w:name="_Toc361659864"/>
      <w:r w:rsidRPr="00B61FF1">
        <w:rPr>
          <w:szCs w:val="24"/>
        </w:rPr>
        <w:lastRenderedPageBreak/>
        <w:t xml:space="preserve">§ 95892.  Allocation to Electrical Distribution Utilities for </w:t>
      </w:r>
      <w:bookmarkEnd w:id="300"/>
      <w:r w:rsidRPr="00B61FF1">
        <w:rPr>
          <w:szCs w:val="24"/>
        </w:rPr>
        <w:t xml:space="preserve">Protection of Electricity </w:t>
      </w:r>
      <w:bookmarkEnd w:id="301"/>
      <w:r w:rsidRPr="00B61FF1">
        <w:rPr>
          <w:szCs w:val="24"/>
        </w:rPr>
        <w:t>Ratepayers</w:t>
      </w:r>
      <w:bookmarkEnd w:id="302"/>
      <w:bookmarkEnd w:id="303"/>
      <w:r w:rsidR="008A5A91" w:rsidRPr="00B61FF1">
        <w:rPr>
          <w:szCs w:val="24"/>
        </w:rPr>
        <w:t>.</w:t>
      </w:r>
      <w:bookmarkEnd w:id="317"/>
      <w:bookmarkEnd w:id="318"/>
      <w:bookmarkEnd w:id="319"/>
      <w:bookmarkEnd w:id="320"/>
    </w:p>
    <w:bookmarkEnd w:id="291"/>
    <w:p w14:paraId="58215A1A" w14:textId="77777777" w:rsidR="00D63004" w:rsidRPr="00B61FF1" w:rsidRDefault="00DF6551" w:rsidP="00DF6551">
      <w:pPr>
        <w:autoSpaceDE/>
        <w:autoSpaceDN/>
        <w:adjustRightInd/>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413FD0" w:rsidRPr="00B61FF1">
        <w:rPr>
          <w:rFonts w:ascii="Arial" w:hAnsi="Arial" w:cs="Arial"/>
          <w:sz w:val="24"/>
          <w:szCs w:val="24"/>
        </w:rPr>
        <w:t xml:space="preserve">Allocation to Individual Electrical Distribution Utilities. The allowances allocated to each electrical distribution utility from each budget year shall be the electrical distribution utility sector allocation calculated pursuant to section 95870(d) for the budget year multiplied by the percentage allocation factors specified in Table 9-3.  </w:t>
      </w:r>
      <w:r w:rsidR="00D2736F" w:rsidRPr="00B61FF1">
        <w:rPr>
          <w:rFonts w:ascii="Arial" w:hAnsi="Arial" w:cs="Arial"/>
          <w:sz w:val="24"/>
          <w:szCs w:val="24"/>
        </w:rPr>
        <w:t>Any allo</w:t>
      </w:r>
      <w:r w:rsidR="00971AA2" w:rsidRPr="00B61FF1">
        <w:rPr>
          <w:rFonts w:ascii="Arial" w:hAnsi="Arial" w:cs="Arial"/>
          <w:sz w:val="24"/>
          <w:szCs w:val="24"/>
        </w:rPr>
        <w:t>w</w:t>
      </w:r>
      <w:r w:rsidR="00D2736F" w:rsidRPr="00B61FF1">
        <w:rPr>
          <w:rFonts w:ascii="Arial" w:hAnsi="Arial" w:cs="Arial"/>
          <w:sz w:val="24"/>
          <w:szCs w:val="24"/>
        </w:rPr>
        <w:t>ance allocated to electrical distribution utilities must be used exclusively for the bene</w:t>
      </w:r>
      <w:r w:rsidR="0024088E" w:rsidRPr="00B61FF1">
        <w:rPr>
          <w:rFonts w:ascii="Arial" w:hAnsi="Arial" w:cs="Arial"/>
          <w:sz w:val="24"/>
          <w:szCs w:val="24"/>
        </w:rPr>
        <w:t xml:space="preserve">fit of retail ratepayers of each such </w:t>
      </w:r>
      <w:r w:rsidR="00B87A00" w:rsidRPr="00B61FF1">
        <w:rPr>
          <w:rFonts w:ascii="Arial" w:hAnsi="Arial" w:cs="Arial"/>
          <w:sz w:val="24"/>
          <w:szCs w:val="24"/>
        </w:rPr>
        <w:t xml:space="preserve">electrical </w:t>
      </w:r>
      <w:r w:rsidR="0024088E" w:rsidRPr="00B61FF1">
        <w:rPr>
          <w:rFonts w:ascii="Arial" w:hAnsi="Arial" w:cs="Arial"/>
          <w:sz w:val="24"/>
          <w:szCs w:val="24"/>
        </w:rPr>
        <w:t>distribution utility, consistent with the goals of AB 32, and may not be used for the benefit of entities or person</w:t>
      </w:r>
      <w:r w:rsidR="00DA31DF" w:rsidRPr="00B61FF1">
        <w:rPr>
          <w:rFonts w:ascii="Arial" w:hAnsi="Arial" w:cs="Arial"/>
          <w:sz w:val="24"/>
          <w:szCs w:val="24"/>
        </w:rPr>
        <w:t>s</w:t>
      </w:r>
      <w:r w:rsidR="0024088E" w:rsidRPr="00B61FF1">
        <w:rPr>
          <w:rFonts w:ascii="Arial" w:hAnsi="Arial" w:cs="Arial"/>
          <w:sz w:val="24"/>
          <w:szCs w:val="24"/>
        </w:rPr>
        <w:t xml:space="preserve"> other than such ratepayers. </w:t>
      </w:r>
    </w:p>
    <w:p w14:paraId="128A806C" w14:textId="77777777" w:rsidR="004E6B7E" w:rsidRPr="00B61FF1" w:rsidRDefault="004E6B7E" w:rsidP="00FE6A4C">
      <w:pPr>
        <w:numPr>
          <w:ilvl w:val="0"/>
          <w:numId w:val="18"/>
        </w:numPr>
        <w:autoSpaceDE/>
        <w:autoSpaceDN/>
        <w:adjustRightInd/>
        <w:spacing w:line="360" w:lineRule="auto"/>
        <w:rPr>
          <w:rFonts w:ascii="Arial" w:hAnsi="Arial" w:cs="Arial"/>
          <w:sz w:val="24"/>
          <w:szCs w:val="24"/>
        </w:rPr>
      </w:pPr>
      <w:r w:rsidRPr="00B61FF1">
        <w:rPr>
          <w:rFonts w:ascii="Arial" w:hAnsi="Arial" w:cs="Arial"/>
          <w:sz w:val="24"/>
          <w:szCs w:val="24"/>
        </w:rPr>
        <w:t>Transfer to Utility Accounts.</w:t>
      </w:r>
    </w:p>
    <w:p w14:paraId="666D7511" w14:textId="77777777" w:rsidR="004E6B7E" w:rsidRPr="00B61FF1" w:rsidRDefault="00413FD0"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Investor Owned Utilities.  </w:t>
      </w:r>
      <w:r w:rsidR="004E6B7E" w:rsidRPr="00B61FF1">
        <w:rPr>
          <w:rFonts w:ascii="Arial" w:hAnsi="Arial" w:cs="Arial"/>
          <w:sz w:val="24"/>
          <w:szCs w:val="24"/>
        </w:rPr>
        <w:t xml:space="preserve">The Executive Officer will place allowances in the limited use holding account created for each electrical corporation. </w:t>
      </w:r>
    </w:p>
    <w:p w14:paraId="1030F21C" w14:textId="77777777" w:rsidR="00413FD0" w:rsidRPr="00B61FF1" w:rsidRDefault="00413FD0"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Publicly Owned Electric Utilities or Electrical Cooperatives.  </w:t>
      </w:r>
      <w:r w:rsidR="00E22A7B" w:rsidRPr="00B61FF1">
        <w:rPr>
          <w:rFonts w:ascii="Arial" w:hAnsi="Arial" w:cs="Arial"/>
          <w:sz w:val="24"/>
          <w:szCs w:val="24"/>
        </w:rPr>
        <w:t xml:space="preserve">When a publicly owned electric utility or electrical cooperative is eligible for a direct allocation, it shall inform the Executive Officer of the amounts </w:t>
      </w:r>
      <w:r w:rsidRPr="00B61FF1">
        <w:rPr>
          <w:rFonts w:ascii="Arial" w:hAnsi="Arial" w:cs="Arial"/>
          <w:sz w:val="24"/>
          <w:szCs w:val="24"/>
        </w:rPr>
        <w:t>to be placed:</w:t>
      </w:r>
    </w:p>
    <w:p w14:paraId="40C4C2FC" w14:textId="77777777" w:rsidR="00413FD0" w:rsidRPr="00B61FF1" w:rsidRDefault="00413FD0" w:rsidP="00FE6A4C">
      <w:pPr>
        <w:numPr>
          <w:ilvl w:val="2"/>
          <w:numId w:val="18"/>
        </w:numPr>
        <w:autoSpaceDE/>
        <w:autoSpaceDN/>
        <w:adjustRightInd/>
        <w:spacing w:line="360" w:lineRule="auto"/>
        <w:rPr>
          <w:rFonts w:ascii="Arial" w:hAnsi="Arial" w:cs="Arial"/>
          <w:sz w:val="24"/>
          <w:szCs w:val="24"/>
        </w:rPr>
      </w:pPr>
      <w:r w:rsidRPr="00B61FF1">
        <w:rPr>
          <w:rFonts w:ascii="Arial" w:hAnsi="Arial" w:cs="Arial"/>
          <w:sz w:val="24"/>
          <w:szCs w:val="24"/>
        </w:rPr>
        <w:t>In the compliance account of an electrical generating facility operated by a publicly owned electric utility</w:t>
      </w:r>
      <w:r w:rsidR="0068028F" w:rsidRPr="00B61FF1">
        <w:rPr>
          <w:rFonts w:ascii="Arial" w:hAnsi="Arial" w:cs="Arial"/>
          <w:sz w:val="24"/>
          <w:szCs w:val="24"/>
        </w:rPr>
        <w:t>,</w:t>
      </w:r>
      <w:r w:rsidR="00905CB2" w:rsidRPr="00B61FF1">
        <w:rPr>
          <w:rFonts w:ascii="Arial" w:hAnsi="Arial" w:cs="Arial"/>
          <w:sz w:val="24"/>
          <w:szCs w:val="24"/>
        </w:rPr>
        <w:t xml:space="preserve"> </w:t>
      </w:r>
      <w:r w:rsidRPr="00B61FF1">
        <w:rPr>
          <w:rFonts w:ascii="Arial" w:hAnsi="Arial" w:cs="Arial"/>
          <w:sz w:val="24"/>
          <w:szCs w:val="24"/>
        </w:rPr>
        <w:t>an electrical cooperative</w:t>
      </w:r>
      <w:r w:rsidR="0068028F" w:rsidRPr="00B61FF1">
        <w:rPr>
          <w:rFonts w:ascii="Arial" w:hAnsi="Arial" w:cs="Arial"/>
          <w:sz w:val="24"/>
          <w:szCs w:val="24"/>
        </w:rPr>
        <w:t>,</w:t>
      </w:r>
      <w:r w:rsidR="00905CB2" w:rsidRPr="00B61FF1">
        <w:rPr>
          <w:rFonts w:ascii="Arial" w:hAnsi="Arial" w:cs="Arial"/>
          <w:sz w:val="24"/>
          <w:szCs w:val="24"/>
        </w:rPr>
        <w:t xml:space="preserve"> </w:t>
      </w:r>
      <w:r w:rsidRPr="00B61FF1">
        <w:rPr>
          <w:rFonts w:ascii="Arial" w:hAnsi="Arial" w:cs="Arial"/>
          <w:sz w:val="24"/>
          <w:szCs w:val="24"/>
        </w:rPr>
        <w:t>or a Joint Powers Agency in which the electrical distribution utility or electrical cooperative is a member and with which it has a power purchase agreement; or</w:t>
      </w:r>
    </w:p>
    <w:p w14:paraId="57791AD5" w14:textId="77777777" w:rsidR="00413FD0" w:rsidRPr="00B61FF1" w:rsidRDefault="00413FD0" w:rsidP="00FE6A4C">
      <w:pPr>
        <w:numPr>
          <w:ilvl w:val="2"/>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In the publicly owned electric utility’s or electrical cooperative’s limited use holding account. </w:t>
      </w:r>
    </w:p>
    <w:p w14:paraId="5C073CB0" w14:textId="77777777" w:rsidR="004C0416" w:rsidRPr="00B61FF1" w:rsidRDefault="004C0416" w:rsidP="00FE6A4C">
      <w:pPr>
        <w:pStyle w:val="ListParagraph"/>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Publicly owned electric utilities or electrical cooperatives receiving a direct allocation must inform the Executive Officer of the accounts in which the allocations are to be placed by September 1, or the first business day thereafter.</w:t>
      </w:r>
    </w:p>
    <w:p w14:paraId="1CB00794" w14:textId="77777777" w:rsidR="004E6B7E" w:rsidRPr="00B61FF1" w:rsidRDefault="00905CB2" w:rsidP="00FE6A4C">
      <w:pPr>
        <w:keepNext/>
        <w:numPr>
          <w:ilvl w:val="0"/>
          <w:numId w:val="18"/>
        </w:numPr>
        <w:autoSpaceDE/>
        <w:autoSpaceDN/>
        <w:adjustRightInd/>
        <w:spacing w:line="360" w:lineRule="auto"/>
        <w:rPr>
          <w:rFonts w:ascii="Arial" w:hAnsi="Arial" w:cs="Arial"/>
          <w:sz w:val="24"/>
          <w:szCs w:val="24"/>
        </w:rPr>
      </w:pPr>
      <w:r w:rsidRPr="00B61FF1">
        <w:rPr>
          <w:rFonts w:ascii="Arial" w:hAnsi="Arial" w:cs="Arial"/>
          <w:sz w:val="24"/>
          <w:szCs w:val="24"/>
        </w:rPr>
        <w:lastRenderedPageBreak/>
        <w:t>Monetization Requirement.</w:t>
      </w:r>
      <w:r w:rsidR="004E6B7E" w:rsidRPr="00B61FF1">
        <w:rPr>
          <w:rFonts w:ascii="Arial" w:hAnsi="Arial" w:cs="Arial"/>
          <w:sz w:val="24"/>
          <w:szCs w:val="24"/>
        </w:rPr>
        <w:t xml:space="preserve">  </w:t>
      </w:r>
    </w:p>
    <w:p w14:paraId="281F71DD" w14:textId="77777777" w:rsidR="004E6B7E" w:rsidRPr="00B61FF1" w:rsidRDefault="004E6B7E" w:rsidP="004E6B7E">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413FD0" w:rsidRPr="00B61FF1">
        <w:rPr>
          <w:rFonts w:ascii="Arial" w:hAnsi="Arial" w:cs="Arial"/>
          <w:sz w:val="24"/>
          <w:szCs w:val="24"/>
        </w:rPr>
        <w:t>In 2012 an electrical dist</w:t>
      </w:r>
      <w:r w:rsidR="005C2B26" w:rsidRPr="00B61FF1">
        <w:rPr>
          <w:rFonts w:ascii="Arial" w:hAnsi="Arial" w:cs="Arial"/>
          <w:sz w:val="24"/>
          <w:szCs w:val="24"/>
        </w:rPr>
        <w:t>ribution utility must offer one</w:t>
      </w:r>
      <w:r w:rsidR="004C0416" w:rsidRPr="00B61FF1">
        <w:rPr>
          <w:rFonts w:ascii="Arial" w:hAnsi="Arial" w:cs="Arial"/>
          <w:sz w:val="24"/>
          <w:szCs w:val="24"/>
        </w:rPr>
        <w:t xml:space="preserve"> third</w:t>
      </w:r>
      <w:r w:rsidR="00413FD0" w:rsidRPr="00B61FF1">
        <w:rPr>
          <w:rFonts w:ascii="Arial" w:hAnsi="Arial" w:cs="Arial"/>
          <w:sz w:val="24"/>
          <w:szCs w:val="24"/>
        </w:rPr>
        <w:t xml:space="preserve"> of the allowances placed in its limited use holding account in 2012 for sale at </w:t>
      </w:r>
      <w:r w:rsidR="004C0416" w:rsidRPr="00B61FF1">
        <w:rPr>
          <w:rFonts w:ascii="Arial" w:hAnsi="Arial" w:cs="Arial"/>
          <w:sz w:val="24"/>
          <w:szCs w:val="24"/>
        </w:rPr>
        <w:t>the auction</w:t>
      </w:r>
      <w:r w:rsidR="00413FD0" w:rsidRPr="00B61FF1">
        <w:rPr>
          <w:rFonts w:ascii="Arial" w:hAnsi="Arial" w:cs="Arial"/>
          <w:sz w:val="24"/>
          <w:szCs w:val="24"/>
        </w:rPr>
        <w:t xml:space="preserve"> scheduled for 2012.  </w:t>
      </w:r>
    </w:p>
    <w:p w14:paraId="595FEE7F" w14:textId="77777777" w:rsidR="004E6B7E" w:rsidRPr="00B61FF1" w:rsidRDefault="004E6B7E" w:rsidP="004E6B7E">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Within each calendar year after 2012, an electrical distribution utility must offer for sale at auction all allowances in </w:t>
      </w:r>
      <w:r w:rsidR="004C0416" w:rsidRPr="00B61FF1">
        <w:rPr>
          <w:rFonts w:ascii="Arial" w:hAnsi="Arial" w:cs="Arial"/>
          <w:sz w:val="24"/>
          <w:szCs w:val="24"/>
        </w:rPr>
        <w:t>its</w:t>
      </w:r>
      <w:r w:rsidRPr="00B61FF1">
        <w:rPr>
          <w:rFonts w:ascii="Arial" w:hAnsi="Arial" w:cs="Arial"/>
          <w:sz w:val="24"/>
          <w:szCs w:val="24"/>
        </w:rPr>
        <w:t xml:space="preserve"> limited use holding account that were issued:</w:t>
      </w:r>
    </w:p>
    <w:p w14:paraId="504D555A" w14:textId="77777777" w:rsidR="004E6B7E" w:rsidRPr="00B61FF1" w:rsidRDefault="004E6B7E" w:rsidP="004E6B7E">
      <w:pPr>
        <w:autoSpaceDE/>
        <w:autoSpaceDN/>
        <w:adjustRightInd/>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From budget years that correspond to the current calendar year; and</w:t>
      </w:r>
    </w:p>
    <w:p w14:paraId="41D04805" w14:textId="77777777" w:rsidR="004E6B7E" w:rsidRPr="00B61FF1" w:rsidRDefault="004E6B7E" w:rsidP="004E6B7E">
      <w:pPr>
        <w:autoSpaceDE/>
        <w:autoSpaceDN/>
        <w:adjustRightInd/>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From budget years prior to the current calendar year.</w:t>
      </w:r>
    </w:p>
    <w:p w14:paraId="6E67B7FD" w14:textId="77777777" w:rsidR="004E6B7E" w:rsidRPr="00B61FF1" w:rsidRDefault="004E6B7E" w:rsidP="00FE6A4C">
      <w:pPr>
        <w:keepNext/>
        <w:numPr>
          <w:ilvl w:val="0"/>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Limitations on the Use of Auction Proceeds and </w:t>
      </w:r>
      <w:r w:rsidR="00413FD0" w:rsidRPr="00B61FF1">
        <w:rPr>
          <w:rFonts w:ascii="Arial" w:hAnsi="Arial" w:cs="Arial"/>
          <w:sz w:val="24"/>
          <w:szCs w:val="24"/>
        </w:rPr>
        <w:t xml:space="preserve">Allowance Value.  </w:t>
      </w:r>
    </w:p>
    <w:p w14:paraId="1C0A4C63" w14:textId="77777777" w:rsidR="004E6B7E" w:rsidRPr="00B61FF1" w:rsidRDefault="004E6B7E"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Proceeds obtained from the monetization of allowances directly allocated to a publicly owned electric utility shall be subject to any limitations imposed by the governing body of the utility and to the additional </w:t>
      </w:r>
      <w:r w:rsidR="00277C8E" w:rsidRPr="00B61FF1">
        <w:rPr>
          <w:rFonts w:ascii="Arial" w:hAnsi="Arial" w:cs="Arial"/>
          <w:sz w:val="24"/>
          <w:szCs w:val="24"/>
        </w:rPr>
        <w:t>requirements</w:t>
      </w:r>
      <w:r w:rsidRPr="00B61FF1">
        <w:rPr>
          <w:rFonts w:ascii="Arial" w:hAnsi="Arial" w:cs="Arial"/>
          <w:sz w:val="24"/>
          <w:szCs w:val="24"/>
        </w:rPr>
        <w:t xml:space="preserve"> set forth in sections </w:t>
      </w:r>
      <w:r w:rsidR="00413FD0" w:rsidRPr="00B61FF1">
        <w:rPr>
          <w:rFonts w:ascii="Arial" w:hAnsi="Arial" w:cs="Arial"/>
          <w:sz w:val="24"/>
          <w:szCs w:val="24"/>
        </w:rPr>
        <w:t>95892(d)(3-</w:t>
      </w:r>
      <w:r w:rsidR="00583089" w:rsidRPr="00B61FF1">
        <w:rPr>
          <w:rFonts w:ascii="Arial" w:hAnsi="Arial" w:cs="Arial"/>
          <w:sz w:val="24"/>
          <w:szCs w:val="24"/>
        </w:rPr>
        <w:t>5</w:t>
      </w:r>
      <w:r w:rsidR="00413FD0" w:rsidRPr="00B61FF1">
        <w:rPr>
          <w:rFonts w:ascii="Arial" w:hAnsi="Arial" w:cs="Arial"/>
          <w:sz w:val="24"/>
          <w:szCs w:val="24"/>
        </w:rPr>
        <w:t>) and 95892(e)</w:t>
      </w:r>
      <w:r w:rsidRPr="00B61FF1">
        <w:rPr>
          <w:rFonts w:ascii="Arial" w:hAnsi="Arial" w:cs="Arial"/>
          <w:sz w:val="24"/>
          <w:szCs w:val="24"/>
        </w:rPr>
        <w:t xml:space="preserve">.  </w:t>
      </w:r>
    </w:p>
    <w:p w14:paraId="522145F5" w14:textId="77777777" w:rsidR="004E6B7E" w:rsidRPr="00B61FF1" w:rsidRDefault="004E6B7E"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Proceeds obtained from the monetization of allowances directly allocated to investor owned utilities shall be subject to any limitations imposed by the California Public Utilities Commission and to the additional </w:t>
      </w:r>
      <w:r w:rsidR="00000FFC" w:rsidRPr="00B61FF1">
        <w:rPr>
          <w:rFonts w:ascii="Arial" w:hAnsi="Arial" w:cs="Arial"/>
          <w:sz w:val="24"/>
          <w:szCs w:val="24"/>
        </w:rPr>
        <w:t xml:space="preserve">requirements </w:t>
      </w:r>
      <w:r w:rsidRPr="00B61FF1">
        <w:rPr>
          <w:rFonts w:ascii="Arial" w:hAnsi="Arial" w:cs="Arial"/>
          <w:sz w:val="24"/>
          <w:szCs w:val="24"/>
        </w:rPr>
        <w:t>set forth in sections 95892(d)(3</w:t>
      </w:r>
      <w:r w:rsidR="00FD7183" w:rsidRPr="00B61FF1">
        <w:rPr>
          <w:rFonts w:ascii="Arial" w:hAnsi="Arial" w:cs="Arial"/>
          <w:sz w:val="24"/>
          <w:szCs w:val="24"/>
        </w:rPr>
        <w:t>-</w:t>
      </w:r>
      <w:r w:rsidR="00583089" w:rsidRPr="00B61FF1">
        <w:rPr>
          <w:rFonts w:ascii="Arial" w:hAnsi="Arial" w:cs="Arial"/>
          <w:sz w:val="24"/>
          <w:szCs w:val="24"/>
        </w:rPr>
        <w:t>5</w:t>
      </w:r>
      <w:r w:rsidRPr="00B61FF1">
        <w:rPr>
          <w:rFonts w:ascii="Arial" w:hAnsi="Arial" w:cs="Arial"/>
          <w:sz w:val="24"/>
          <w:szCs w:val="24"/>
        </w:rPr>
        <w:t>) and 95892(e).</w:t>
      </w:r>
    </w:p>
    <w:p w14:paraId="6185B998" w14:textId="77777777" w:rsidR="004E6B7E" w:rsidRPr="00B61FF1" w:rsidRDefault="00413FD0"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 xml:space="preserve">Auction proceeds and allowance value </w:t>
      </w:r>
      <w:r w:rsidR="004E6B7E" w:rsidRPr="00B61FF1">
        <w:rPr>
          <w:rFonts w:ascii="Arial" w:hAnsi="Arial" w:cs="Arial"/>
          <w:sz w:val="24"/>
          <w:szCs w:val="24"/>
        </w:rPr>
        <w:t xml:space="preserve">obtained by an electrical distribution utility shall be used exclusively for the benefit of retail ratepayers of each electrical distribution utility, consistent with the goals of AB 32, and may not be used for the benefit of entities or persons other than such ratepayers.  </w:t>
      </w:r>
    </w:p>
    <w:p w14:paraId="622DE424" w14:textId="77777777" w:rsidR="004E6B7E" w:rsidRPr="00B61FF1" w:rsidRDefault="00413FD0" w:rsidP="00905CB2">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55232D" w:rsidRPr="00B61FF1">
        <w:rPr>
          <w:rFonts w:ascii="Arial" w:hAnsi="Arial" w:cs="Arial"/>
          <w:sz w:val="24"/>
          <w:szCs w:val="24"/>
        </w:rPr>
        <w:t>Investor owned utilities shall ensure equal treatment of their own customers and customers of electricity service providers and community choice aggregators</w:t>
      </w:r>
      <w:r w:rsidRPr="00B61FF1">
        <w:rPr>
          <w:rFonts w:ascii="Arial" w:hAnsi="Arial" w:cs="Arial"/>
          <w:sz w:val="24"/>
          <w:szCs w:val="24"/>
        </w:rPr>
        <w:t>.</w:t>
      </w:r>
    </w:p>
    <w:p w14:paraId="159636D0" w14:textId="77777777" w:rsidR="00277C8E" w:rsidRPr="00B61FF1" w:rsidRDefault="0055232D" w:rsidP="0055232D">
      <w:pPr>
        <w:autoSpaceDE/>
        <w:autoSpaceDN/>
        <w:adjustRightInd/>
        <w:spacing w:line="360" w:lineRule="auto"/>
        <w:ind w:left="1170" w:hanging="81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 xml:space="preserve">Prohibited Use of Allocated Allowance Value. Use of the value of any allowance allocated to an electrical distribution utility, other than for </w:t>
      </w:r>
      <w:r w:rsidRPr="00B61FF1">
        <w:rPr>
          <w:rFonts w:ascii="Arial" w:hAnsi="Arial" w:cs="Arial"/>
          <w:sz w:val="24"/>
          <w:szCs w:val="24"/>
        </w:rPr>
        <w:lastRenderedPageBreak/>
        <w:t>the benefit of retail ratepayers consistent with the goals of AB</w:t>
      </w:r>
      <w:r w:rsidR="005A2447" w:rsidRPr="00B61FF1">
        <w:rPr>
          <w:rFonts w:ascii="Arial" w:hAnsi="Arial" w:cs="Arial"/>
          <w:sz w:val="24"/>
          <w:szCs w:val="24"/>
        </w:rPr>
        <w:t xml:space="preserve"> </w:t>
      </w:r>
      <w:r w:rsidRPr="00B61FF1">
        <w:rPr>
          <w:rFonts w:ascii="Arial" w:hAnsi="Arial" w:cs="Arial"/>
          <w:sz w:val="24"/>
          <w:szCs w:val="24"/>
        </w:rPr>
        <w:t>32 is prohibited, including use of such allowances to meet compliance obligations for electricity sold into the California Independent System Operator markets</w:t>
      </w:r>
      <w:r w:rsidR="00277C8E" w:rsidRPr="00B61FF1">
        <w:rPr>
          <w:rFonts w:ascii="Arial" w:hAnsi="Arial" w:cs="Arial"/>
          <w:sz w:val="24"/>
          <w:szCs w:val="24"/>
        </w:rPr>
        <w:t xml:space="preserve">. </w:t>
      </w:r>
    </w:p>
    <w:p w14:paraId="3EC17519" w14:textId="77777777" w:rsidR="004E6B7E" w:rsidRPr="00B61FF1" w:rsidRDefault="004E6B7E" w:rsidP="00FE6A4C">
      <w:pPr>
        <w:numPr>
          <w:ilvl w:val="0"/>
          <w:numId w:val="18"/>
        </w:numPr>
        <w:autoSpaceDE/>
        <w:autoSpaceDN/>
        <w:adjustRightInd/>
        <w:spacing w:line="360" w:lineRule="auto"/>
        <w:rPr>
          <w:rFonts w:ascii="Arial" w:hAnsi="Arial" w:cs="Arial"/>
          <w:sz w:val="24"/>
          <w:szCs w:val="24"/>
        </w:rPr>
      </w:pPr>
      <w:r w:rsidRPr="00B61FF1">
        <w:rPr>
          <w:rFonts w:ascii="Arial" w:hAnsi="Arial" w:cs="Arial"/>
          <w:sz w:val="24"/>
          <w:szCs w:val="24"/>
        </w:rPr>
        <w:t>Reporting on the Use of Auction Proceeds and Allowance Value.  No later than June 30, 201</w:t>
      </w:r>
      <w:r w:rsidR="004C0416" w:rsidRPr="00B61FF1">
        <w:rPr>
          <w:rFonts w:ascii="Arial" w:hAnsi="Arial" w:cs="Arial"/>
          <w:sz w:val="24"/>
          <w:szCs w:val="24"/>
        </w:rPr>
        <w:t>4</w:t>
      </w:r>
      <w:r w:rsidRPr="00B61FF1">
        <w:rPr>
          <w:rFonts w:ascii="Arial" w:hAnsi="Arial" w:cs="Arial"/>
          <w:sz w:val="24"/>
          <w:szCs w:val="24"/>
        </w:rPr>
        <w:t>, and each calendar year thereafter, each electrical distribution utility shall submit a report to the Executive Officer describing the disposition of any auction proceeds and allowance value received in the prior calendar year.  This report shall include:</w:t>
      </w:r>
    </w:p>
    <w:p w14:paraId="1EB60804" w14:textId="77777777" w:rsidR="004E6B7E" w:rsidRPr="00B61FF1" w:rsidRDefault="004E6B7E"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The monetary value of auction proceeds received by the electrical distribution utility</w:t>
      </w:r>
      <w:r w:rsidR="00DA31DF" w:rsidRPr="00B61FF1">
        <w:rPr>
          <w:rFonts w:ascii="Arial" w:hAnsi="Arial" w:cs="Arial"/>
          <w:sz w:val="24"/>
          <w:szCs w:val="24"/>
        </w:rPr>
        <w:t>;</w:t>
      </w:r>
    </w:p>
    <w:p w14:paraId="485E4351" w14:textId="77777777" w:rsidR="004E6B7E" w:rsidRPr="00B61FF1" w:rsidRDefault="004E6B7E" w:rsidP="00FE6A4C">
      <w:pPr>
        <w:numPr>
          <w:ilvl w:val="1"/>
          <w:numId w:val="18"/>
        </w:numPr>
        <w:autoSpaceDE/>
        <w:autoSpaceDN/>
        <w:adjustRightInd/>
        <w:spacing w:line="360" w:lineRule="auto"/>
        <w:rPr>
          <w:rFonts w:ascii="Arial" w:hAnsi="Arial" w:cs="Arial"/>
          <w:sz w:val="24"/>
          <w:szCs w:val="24"/>
        </w:rPr>
      </w:pPr>
      <w:r w:rsidRPr="00B61FF1">
        <w:rPr>
          <w:rFonts w:ascii="Arial" w:hAnsi="Arial" w:cs="Arial"/>
          <w:sz w:val="24"/>
          <w:szCs w:val="24"/>
        </w:rPr>
        <w:t>How the electrical distribution utility’s disposition of such auction proceeds complies with the requirements of this section and the requirements of California Health and Safety Code sections 38500 et seq.</w:t>
      </w:r>
      <w:r w:rsidR="000242BB" w:rsidRPr="00B61FF1">
        <w:rPr>
          <w:rFonts w:ascii="Arial" w:hAnsi="Arial" w:cs="Arial"/>
          <w:sz w:val="24"/>
          <w:szCs w:val="24"/>
        </w:rPr>
        <w:t>;</w:t>
      </w:r>
    </w:p>
    <w:p w14:paraId="6349474D" w14:textId="77777777" w:rsidR="004E6B7E" w:rsidRPr="00B61FF1" w:rsidRDefault="004E6B7E" w:rsidP="004E6B7E">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413FD0" w:rsidRPr="00B61FF1">
        <w:rPr>
          <w:rFonts w:ascii="Arial" w:hAnsi="Arial" w:cs="Arial"/>
          <w:sz w:val="24"/>
          <w:szCs w:val="24"/>
        </w:rPr>
        <w:t xml:space="preserve">The monetary value of allowances received by the electrical distribution utility which were deposited directly into electrical generating facility compliance accounts.  The </w:t>
      </w:r>
      <w:r w:rsidR="00413FD0" w:rsidRPr="00B61FF1">
        <w:rPr>
          <w:rFonts w:ascii="Arial" w:eastAsia="MS Mincho" w:hAnsi="Arial" w:cs="Arial"/>
          <w:sz w:val="24"/>
          <w:szCs w:val="24"/>
        </w:rPr>
        <w:t>electrical distribution utility shall calculate the</w:t>
      </w:r>
      <w:r w:rsidR="00413FD0" w:rsidRPr="00B61FF1">
        <w:rPr>
          <w:rFonts w:ascii="Arial" w:eastAsia="MS Mincho" w:hAnsi="Arial" w:cs="Arial"/>
          <w:color w:val="CD1020"/>
          <w:sz w:val="24"/>
          <w:szCs w:val="24"/>
        </w:rPr>
        <w:t xml:space="preserve"> </w:t>
      </w:r>
      <w:r w:rsidR="00413FD0" w:rsidRPr="00B61FF1">
        <w:rPr>
          <w:rFonts w:ascii="Arial" w:hAnsi="Arial" w:cs="Arial"/>
          <w:sz w:val="24"/>
          <w:szCs w:val="24"/>
        </w:rPr>
        <w:t>value of these allowances based on the average market clearing price of the four quarterly auctions held in the same calendar year that the allowances are allocated; and</w:t>
      </w:r>
    </w:p>
    <w:p w14:paraId="0D413CC0" w14:textId="77777777" w:rsidR="004E6B7E" w:rsidRPr="00B61FF1" w:rsidRDefault="004E6B7E" w:rsidP="004E6B7E">
      <w:pPr>
        <w:autoSpaceDE/>
        <w:autoSpaceDN/>
        <w:adjustRightInd/>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413FD0" w:rsidRPr="00B61FF1">
        <w:rPr>
          <w:rFonts w:ascii="Arial" w:hAnsi="Arial" w:cs="Arial"/>
          <w:sz w:val="24"/>
          <w:szCs w:val="24"/>
        </w:rPr>
        <w:t>How the electrical distribution utility’s disposition of the monetary value of allowances, deposited directly into compliance accounts, complies with the requirements of this section and the requirements of California Health and Safety Code sections 38500 et seq.</w:t>
      </w:r>
    </w:p>
    <w:p w14:paraId="1AC45B2F" w14:textId="77777777" w:rsidR="004E6B7E" w:rsidRPr="00B61FF1" w:rsidRDefault="004E6B7E" w:rsidP="00DF6551">
      <w:pPr>
        <w:autoSpaceDE/>
        <w:autoSpaceDN/>
        <w:adjustRightInd/>
        <w:spacing w:line="360" w:lineRule="auto"/>
        <w:ind w:left="720" w:hanging="720"/>
        <w:rPr>
          <w:rFonts w:ascii="Arial" w:hAnsi="Arial" w:cs="Arial"/>
          <w:sz w:val="24"/>
          <w:szCs w:val="24"/>
        </w:rPr>
        <w:sectPr w:rsidR="004E6B7E" w:rsidRPr="00B61FF1" w:rsidSect="00A853B2">
          <w:footnotePr>
            <w:numRestart w:val="eachSect"/>
          </w:footnotePr>
          <w:pgSz w:w="12240" w:h="15840"/>
          <w:pgMar w:top="1440" w:right="1800" w:bottom="1440" w:left="1800" w:header="720" w:footer="720" w:gutter="0"/>
          <w:cols w:space="720"/>
          <w:docGrid w:linePitch="360"/>
        </w:sectPr>
      </w:pPr>
    </w:p>
    <w:p w14:paraId="79EACDD9" w14:textId="77777777" w:rsidR="000A7861" w:rsidRPr="00B61FF1" w:rsidRDefault="000A7861" w:rsidP="000A7861">
      <w:pPr>
        <w:pStyle w:val="Heading2"/>
        <w:rPr>
          <w:szCs w:val="24"/>
        </w:rPr>
      </w:pPr>
      <w:bookmarkStart w:id="321" w:name="_Toc302746804"/>
      <w:bookmarkStart w:id="322" w:name="_Toc352146264"/>
      <w:bookmarkStart w:id="323" w:name="_Toc361659865"/>
      <w:r w:rsidRPr="00B61FF1">
        <w:rPr>
          <w:szCs w:val="24"/>
        </w:rPr>
        <w:lastRenderedPageBreak/>
        <w:t>Table 9-3: Percentage of Electric Sector Allocation Allocated to Each Utility</w:t>
      </w:r>
      <w:bookmarkEnd w:id="321"/>
      <w:bookmarkEnd w:id="322"/>
      <w:bookmarkEnd w:id="323"/>
    </w:p>
    <w:tbl>
      <w:tblPr>
        <w:tblStyle w:val="TableGrid"/>
        <w:tblW w:w="0" w:type="auto"/>
        <w:tblLook w:val="04A0" w:firstRow="1" w:lastRow="0" w:firstColumn="1" w:lastColumn="0" w:noHBand="0" w:noVBand="1"/>
      </w:tblPr>
      <w:tblGrid>
        <w:gridCol w:w="1653"/>
        <w:gridCol w:w="883"/>
        <w:gridCol w:w="101"/>
        <w:gridCol w:w="883"/>
        <w:gridCol w:w="346"/>
        <w:gridCol w:w="861"/>
        <w:gridCol w:w="469"/>
        <w:gridCol w:w="738"/>
        <w:gridCol w:w="592"/>
        <w:gridCol w:w="615"/>
        <w:gridCol w:w="715"/>
        <w:gridCol w:w="492"/>
        <w:gridCol w:w="838"/>
        <w:gridCol w:w="369"/>
        <w:gridCol w:w="961"/>
        <w:gridCol w:w="246"/>
        <w:gridCol w:w="1084"/>
        <w:gridCol w:w="123"/>
        <w:gridCol w:w="1207"/>
      </w:tblGrid>
      <w:tr w:rsidR="009E5ADE" w:rsidRPr="00B61FF1" w14:paraId="48EA0B11" w14:textId="77777777" w:rsidTr="009E5ADE">
        <w:trPr>
          <w:trHeight w:val="315"/>
        </w:trPr>
        <w:tc>
          <w:tcPr>
            <w:tcW w:w="1653" w:type="dxa"/>
            <w:vMerge w:val="restart"/>
            <w:hideMark/>
          </w:tcPr>
          <w:p w14:paraId="3FE7EB61"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Name</w:t>
            </w:r>
          </w:p>
        </w:tc>
        <w:tc>
          <w:tcPr>
            <w:tcW w:w="883" w:type="dxa"/>
            <w:vMerge w:val="restart"/>
            <w:hideMark/>
          </w:tcPr>
          <w:p w14:paraId="3F3DB14B"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Type (1)</w:t>
            </w:r>
          </w:p>
        </w:tc>
        <w:tc>
          <w:tcPr>
            <w:tcW w:w="10640" w:type="dxa"/>
            <w:gridSpan w:val="17"/>
            <w:hideMark/>
          </w:tcPr>
          <w:p w14:paraId="3CC767E8"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Annual % of Total Electric Sector Allocation to Utility</w:t>
            </w:r>
          </w:p>
        </w:tc>
      </w:tr>
      <w:tr w:rsidR="009E5ADE" w:rsidRPr="00B61FF1" w14:paraId="7D979DEC" w14:textId="77777777" w:rsidTr="009E5ADE">
        <w:trPr>
          <w:trHeight w:val="300"/>
        </w:trPr>
        <w:tc>
          <w:tcPr>
            <w:tcW w:w="1653" w:type="dxa"/>
            <w:vMerge/>
            <w:hideMark/>
          </w:tcPr>
          <w:p w14:paraId="55B77892" w14:textId="77777777" w:rsidR="009E5ADE" w:rsidRPr="00B61FF1" w:rsidRDefault="009E5ADE" w:rsidP="009E5ADE">
            <w:pPr>
              <w:rPr>
                <w:rFonts w:ascii="Arial" w:hAnsi="Arial" w:cs="Arial"/>
                <w:b/>
                <w:bCs/>
                <w:sz w:val="24"/>
                <w:szCs w:val="24"/>
              </w:rPr>
            </w:pPr>
          </w:p>
        </w:tc>
        <w:tc>
          <w:tcPr>
            <w:tcW w:w="883" w:type="dxa"/>
            <w:vMerge/>
            <w:hideMark/>
          </w:tcPr>
          <w:p w14:paraId="7A995A5E" w14:textId="77777777" w:rsidR="009E5ADE" w:rsidRPr="00B61FF1" w:rsidRDefault="009E5ADE" w:rsidP="009E5ADE">
            <w:pPr>
              <w:rPr>
                <w:rFonts w:ascii="Arial" w:hAnsi="Arial" w:cs="Arial"/>
                <w:b/>
                <w:bCs/>
                <w:sz w:val="24"/>
                <w:szCs w:val="24"/>
              </w:rPr>
            </w:pPr>
          </w:p>
        </w:tc>
        <w:tc>
          <w:tcPr>
            <w:tcW w:w="1330" w:type="dxa"/>
            <w:gridSpan w:val="3"/>
            <w:hideMark/>
          </w:tcPr>
          <w:p w14:paraId="682CC67A"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2013</w:t>
            </w:r>
          </w:p>
        </w:tc>
        <w:tc>
          <w:tcPr>
            <w:tcW w:w="1330" w:type="dxa"/>
            <w:gridSpan w:val="2"/>
            <w:hideMark/>
          </w:tcPr>
          <w:p w14:paraId="18C719C1"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2014</w:t>
            </w:r>
          </w:p>
        </w:tc>
        <w:tc>
          <w:tcPr>
            <w:tcW w:w="1330" w:type="dxa"/>
            <w:gridSpan w:val="2"/>
            <w:hideMark/>
          </w:tcPr>
          <w:p w14:paraId="2933B604"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2015</w:t>
            </w:r>
          </w:p>
        </w:tc>
        <w:tc>
          <w:tcPr>
            <w:tcW w:w="1330" w:type="dxa"/>
            <w:gridSpan w:val="2"/>
            <w:hideMark/>
          </w:tcPr>
          <w:p w14:paraId="3FDA7412"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2016</w:t>
            </w:r>
          </w:p>
        </w:tc>
        <w:tc>
          <w:tcPr>
            <w:tcW w:w="1330" w:type="dxa"/>
            <w:gridSpan w:val="2"/>
            <w:hideMark/>
          </w:tcPr>
          <w:p w14:paraId="3AA3AE5B"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2017</w:t>
            </w:r>
          </w:p>
        </w:tc>
        <w:tc>
          <w:tcPr>
            <w:tcW w:w="1330" w:type="dxa"/>
            <w:gridSpan w:val="2"/>
            <w:hideMark/>
          </w:tcPr>
          <w:p w14:paraId="3464AE67"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2018</w:t>
            </w:r>
          </w:p>
        </w:tc>
        <w:tc>
          <w:tcPr>
            <w:tcW w:w="1330" w:type="dxa"/>
            <w:gridSpan w:val="2"/>
            <w:hideMark/>
          </w:tcPr>
          <w:p w14:paraId="15837AFD"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2019</w:t>
            </w:r>
          </w:p>
        </w:tc>
        <w:tc>
          <w:tcPr>
            <w:tcW w:w="1330" w:type="dxa"/>
            <w:gridSpan w:val="2"/>
            <w:hideMark/>
          </w:tcPr>
          <w:p w14:paraId="70120004"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2020</w:t>
            </w:r>
          </w:p>
        </w:tc>
      </w:tr>
      <w:tr w:rsidR="003779C8" w:rsidRPr="00B61FF1" w14:paraId="0046FF5A" w14:textId="77777777" w:rsidTr="009E5ADE">
        <w:trPr>
          <w:trHeight w:val="300"/>
        </w:trPr>
        <w:tc>
          <w:tcPr>
            <w:tcW w:w="1653" w:type="dxa"/>
            <w:vAlign w:val="center"/>
            <w:hideMark/>
          </w:tcPr>
          <w:p w14:paraId="3C926C55" w14:textId="77777777" w:rsidR="003779C8" w:rsidRPr="00B61FF1" w:rsidRDefault="003779C8">
            <w:pPr>
              <w:rPr>
                <w:rFonts w:ascii="Arial" w:hAnsi="Arial" w:cs="Arial"/>
                <w:color w:val="000000"/>
              </w:rPr>
            </w:pPr>
            <w:r w:rsidRPr="00B61FF1">
              <w:rPr>
                <w:rFonts w:ascii="Arial" w:hAnsi="Arial" w:cs="Arial"/>
                <w:color w:val="000000"/>
              </w:rPr>
              <w:t>PG&amp;E</w:t>
            </w:r>
          </w:p>
        </w:tc>
        <w:tc>
          <w:tcPr>
            <w:tcW w:w="883" w:type="dxa"/>
            <w:vAlign w:val="center"/>
            <w:hideMark/>
          </w:tcPr>
          <w:p w14:paraId="5852CD9F" w14:textId="77777777" w:rsidR="003779C8" w:rsidRPr="00B61FF1" w:rsidRDefault="003779C8">
            <w:pPr>
              <w:rPr>
                <w:rFonts w:ascii="Arial" w:hAnsi="Arial" w:cs="Arial"/>
                <w:color w:val="000000"/>
              </w:rPr>
            </w:pPr>
            <w:r w:rsidRPr="00B61FF1">
              <w:rPr>
                <w:rFonts w:ascii="Arial" w:hAnsi="Arial" w:cs="Arial"/>
                <w:color w:val="000000"/>
              </w:rPr>
              <w:t>IOU</w:t>
            </w:r>
          </w:p>
        </w:tc>
        <w:tc>
          <w:tcPr>
            <w:tcW w:w="1330" w:type="dxa"/>
            <w:gridSpan w:val="3"/>
            <w:vAlign w:val="bottom"/>
            <w:hideMark/>
          </w:tcPr>
          <w:p w14:paraId="7BA7374E" w14:textId="77777777" w:rsidR="003779C8" w:rsidRPr="00B61FF1" w:rsidRDefault="003779C8">
            <w:pPr>
              <w:jc w:val="right"/>
              <w:rPr>
                <w:rFonts w:ascii="Arial" w:hAnsi="Arial" w:cs="Arial"/>
                <w:color w:val="000000"/>
              </w:rPr>
            </w:pPr>
            <w:r w:rsidRPr="00B61FF1">
              <w:rPr>
                <w:rFonts w:ascii="Arial" w:hAnsi="Arial" w:cs="Arial"/>
                <w:color w:val="000000"/>
              </w:rPr>
              <w:t>26.02909%</w:t>
            </w:r>
          </w:p>
        </w:tc>
        <w:tc>
          <w:tcPr>
            <w:tcW w:w="1330" w:type="dxa"/>
            <w:gridSpan w:val="2"/>
            <w:vAlign w:val="bottom"/>
            <w:hideMark/>
          </w:tcPr>
          <w:p w14:paraId="5901B6C7" w14:textId="77777777" w:rsidR="003779C8" w:rsidRPr="00B61FF1" w:rsidRDefault="003779C8">
            <w:pPr>
              <w:jc w:val="right"/>
              <w:rPr>
                <w:rFonts w:ascii="Arial" w:hAnsi="Arial" w:cs="Arial"/>
                <w:color w:val="000000"/>
              </w:rPr>
            </w:pPr>
            <w:r w:rsidRPr="00B61FF1">
              <w:rPr>
                <w:rFonts w:ascii="Arial" w:hAnsi="Arial" w:cs="Arial"/>
                <w:color w:val="000000"/>
              </w:rPr>
              <w:t>26.34522%</w:t>
            </w:r>
          </w:p>
        </w:tc>
        <w:tc>
          <w:tcPr>
            <w:tcW w:w="1330" w:type="dxa"/>
            <w:gridSpan w:val="2"/>
            <w:vAlign w:val="bottom"/>
            <w:hideMark/>
          </w:tcPr>
          <w:p w14:paraId="31CDCB7B" w14:textId="77777777" w:rsidR="003779C8" w:rsidRPr="00B61FF1" w:rsidRDefault="003779C8">
            <w:pPr>
              <w:jc w:val="right"/>
              <w:rPr>
                <w:rFonts w:ascii="Arial" w:hAnsi="Arial" w:cs="Arial"/>
                <w:color w:val="000000"/>
              </w:rPr>
            </w:pPr>
            <w:r w:rsidRPr="00B61FF1">
              <w:rPr>
                <w:rFonts w:ascii="Arial" w:hAnsi="Arial" w:cs="Arial"/>
                <w:color w:val="000000"/>
              </w:rPr>
              <w:t>26.01510%</w:t>
            </w:r>
          </w:p>
        </w:tc>
        <w:tc>
          <w:tcPr>
            <w:tcW w:w="1330" w:type="dxa"/>
            <w:gridSpan w:val="2"/>
            <w:vAlign w:val="bottom"/>
            <w:hideMark/>
          </w:tcPr>
          <w:p w14:paraId="3F0409B2" w14:textId="77777777" w:rsidR="003779C8" w:rsidRPr="00B61FF1" w:rsidRDefault="003779C8">
            <w:pPr>
              <w:jc w:val="right"/>
              <w:rPr>
                <w:rFonts w:ascii="Arial" w:hAnsi="Arial" w:cs="Arial"/>
                <w:color w:val="000000"/>
              </w:rPr>
            </w:pPr>
            <w:r w:rsidRPr="00B61FF1">
              <w:rPr>
                <w:rFonts w:ascii="Arial" w:hAnsi="Arial" w:cs="Arial"/>
                <w:color w:val="000000"/>
              </w:rPr>
              <w:t>26.21500%</w:t>
            </w:r>
          </w:p>
        </w:tc>
        <w:tc>
          <w:tcPr>
            <w:tcW w:w="1330" w:type="dxa"/>
            <w:gridSpan w:val="2"/>
            <w:vAlign w:val="bottom"/>
            <w:hideMark/>
          </w:tcPr>
          <w:p w14:paraId="18F4CD9B" w14:textId="77777777" w:rsidR="003779C8" w:rsidRPr="00B61FF1" w:rsidRDefault="003779C8">
            <w:pPr>
              <w:jc w:val="right"/>
              <w:rPr>
                <w:rFonts w:ascii="Arial" w:hAnsi="Arial" w:cs="Arial"/>
                <w:color w:val="000000"/>
              </w:rPr>
            </w:pPr>
            <w:r w:rsidRPr="00B61FF1">
              <w:rPr>
                <w:rFonts w:ascii="Arial" w:hAnsi="Arial" w:cs="Arial"/>
                <w:color w:val="000000"/>
              </w:rPr>
              <w:t>27.21147%</w:t>
            </w:r>
          </w:p>
        </w:tc>
        <w:tc>
          <w:tcPr>
            <w:tcW w:w="1330" w:type="dxa"/>
            <w:gridSpan w:val="2"/>
            <w:vAlign w:val="bottom"/>
            <w:hideMark/>
          </w:tcPr>
          <w:p w14:paraId="028061EB" w14:textId="77777777" w:rsidR="003779C8" w:rsidRPr="00B61FF1" w:rsidRDefault="003779C8">
            <w:pPr>
              <w:jc w:val="right"/>
              <w:rPr>
                <w:rFonts w:ascii="Arial" w:hAnsi="Arial" w:cs="Arial"/>
                <w:color w:val="000000"/>
              </w:rPr>
            </w:pPr>
            <w:r w:rsidRPr="00B61FF1">
              <w:rPr>
                <w:rFonts w:ascii="Arial" w:hAnsi="Arial" w:cs="Arial"/>
                <w:color w:val="000000"/>
              </w:rPr>
              <w:t>26.91164%</w:t>
            </w:r>
          </w:p>
        </w:tc>
        <w:tc>
          <w:tcPr>
            <w:tcW w:w="1330" w:type="dxa"/>
            <w:gridSpan w:val="2"/>
            <w:vAlign w:val="bottom"/>
            <w:hideMark/>
          </w:tcPr>
          <w:p w14:paraId="1239271A" w14:textId="77777777" w:rsidR="003779C8" w:rsidRPr="00B61FF1" w:rsidRDefault="003779C8">
            <w:pPr>
              <w:jc w:val="right"/>
              <w:rPr>
                <w:rFonts w:ascii="Arial" w:hAnsi="Arial" w:cs="Arial"/>
                <w:color w:val="000000"/>
              </w:rPr>
            </w:pPr>
            <w:r w:rsidRPr="00B61FF1">
              <w:rPr>
                <w:rFonts w:ascii="Arial" w:hAnsi="Arial" w:cs="Arial"/>
                <w:color w:val="000000"/>
              </w:rPr>
              <w:t>27.21091%</w:t>
            </w:r>
          </w:p>
        </w:tc>
        <w:tc>
          <w:tcPr>
            <w:tcW w:w="1330" w:type="dxa"/>
            <w:gridSpan w:val="2"/>
            <w:vAlign w:val="bottom"/>
            <w:hideMark/>
          </w:tcPr>
          <w:p w14:paraId="359DC2CD" w14:textId="77777777" w:rsidR="003779C8" w:rsidRPr="00B61FF1" w:rsidRDefault="003779C8">
            <w:pPr>
              <w:jc w:val="right"/>
              <w:rPr>
                <w:rFonts w:ascii="Arial" w:hAnsi="Arial" w:cs="Arial"/>
                <w:color w:val="000000"/>
              </w:rPr>
            </w:pPr>
            <w:r w:rsidRPr="00B61FF1">
              <w:rPr>
                <w:rFonts w:ascii="Arial" w:hAnsi="Arial" w:cs="Arial"/>
                <w:color w:val="000000"/>
              </w:rPr>
              <w:t>27.22981%</w:t>
            </w:r>
          </w:p>
        </w:tc>
      </w:tr>
      <w:tr w:rsidR="003779C8" w:rsidRPr="00B61FF1" w14:paraId="5275B035" w14:textId="77777777" w:rsidTr="009E5ADE">
        <w:trPr>
          <w:trHeight w:val="300"/>
        </w:trPr>
        <w:tc>
          <w:tcPr>
            <w:tcW w:w="1653" w:type="dxa"/>
            <w:vAlign w:val="center"/>
            <w:hideMark/>
          </w:tcPr>
          <w:p w14:paraId="3EBEE11C" w14:textId="77777777" w:rsidR="003779C8" w:rsidRPr="00B61FF1" w:rsidRDefault="003779C8">
            <w:pPr>
              <w:rPr>
                <w:rFonts w:ascii="Arial" w:hAnsi="Arial" w:cs="Arial"/>
                <w:color w:val="000000"/>
              </w:rPr>
            </w:pPr>
            <w:r w:rsidRPr="00B61FF1">
              <w:rPr>
                <w:rFonts w:ascii="Arial" w:hAnsi="Arial" w:cs="Arial"/>
                <w:color w:val="000000"/>
              </w:rPr>
              <w:t>LADWP</w:t>
            </w:r>
          </w:p>
        </w:tc>
        <w:tc>
          <w:tcPr>
            <w:tcW w:w="883" w:type="dxa"/>
            <w:vAlign w:val="center"/>
            <w:hideMark/>
          </w:tcPr>
          <w:p w14:paraId="3BCEB89B"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vAlign w:val="bottom"/>
            <w:hideMark/>
          </w:tcPr>
          <w:p w14:paraId="048CD479" w14:textId="77777777" w:rsidR="003779C8" w:rsidRPr="00B61FF1" w:rsidRDefault="003779C8">
            <w:pPr>
              <w:jc w:val="right"/>
              <w:rPr>
                <w:rFonts w:ascii="Arial" w:hAnsi="Arial" w:cs="Arial"/>
                <w:color w:val="000000"/>
              </w:rPr>
            </w:pPr>
            <w:r w:rsidRPr="00B61FF1">
              <w:rPr>
                <w:rFonts w:ascii="Arial" w:hAnsi="Arial" w:cs="Arial"/>
                <w:color w:val="000000"/>
              </w:rPr>
              <w:t>14.18332%</w:t>
            </w:r>
          </w:p>
        </w:tc>
        <w:tc>
          <w:tcPr>
            <w:tcW w:w="1330" w:type="dxa"/>
            <w:gridSpan w:val="2"/>
            <w:vAlign w:val="bottom"/>
            <w:hideMark/>
          </w:tcPr>
          <w:p w14:paraId="29BFE858" w14:textId="77777777" w:rsidR="003779C8" w:rsidRPr="00B61FF1" w:rsidRDefault="003779C8">
            <w:pPr>
              <w:jc w:val="right"/>
              <w:rPr>
                <w:rFonts w:ascii="Arial" w:hAnsi="Arial" w:cs="Arial"/>
                <w:color w:val="000000"/>
              </w:rPr>
            </w:pPr>
            <w:r w:rsidRPr="00B61FF1">
              <w:rPr>
                <w:rFonts w:ascii="Arial" w:hAnsi="Arial" w:cs="Arial"/>
                <w:color w:val="000000"/>
              </w:rPr>
              <w:t>14.18925%</w:t>
            </w:r>
          </w:p>
        </w:tc>
        <w:tc>
          <w:tcPr>
            <w:tcW w:w="1330" w:type="dxa"/>
            <w:gridSpan w:val="2"/>
            <w:vAlign w:val="bottom"/>
            <w:hideMark/>
          </w:tcPr>
          <w:p w14:paraId="42414F43" w14:textId="77777777" w:rsidR="003779C8" w:rsidRPr="00B61FF1" w:rsidRDefault="003779C8">
            <w:pPr>
              <w:jc w:val="right"/>
              <w:rPr>
                <w:rFonts w:ascii="Arial" w:hAnsi="Arial" w:cs="Arial"/>
                <w:color w:val="000000"/>
              </w:rPr>
            </w:pPr>
            <w:r w:rsidRPr="00B61FF1">
              <w:rPr>
                <w:rFonts w:ascii="Arial" w:hAnsi="Arial" w:cs="Arial"/>
                <w:color w:val="000000"/>
              </w:rPr>
              <w:t>14.00829%</w:t>
            </w:r>
          </w:p>
        </w:tc>
        <w:tc>
          <w:tcPr>
            <w:tcW w:w="1330" w:type="dxa"/>
            <w:gridSpan w:val="2"/>
            <w:vAlign w:val="bottom"/>
            <w:hideMark/>
          </w:tcPr>
          <w:p w14:paraId="5E8A8844" w14:textId="77777777" w:rsidR="003779C8" w:rsidRPr="00B61FF1" w:rsidRDefault="003779C8">
            <w:pPr>
              <w:jc w:val="right"/>
              <w:rPr>
                <w:rFonts w:ascii="Arial" w:hAnsi="Arial" w:cs="Arial"/>
                <w:color w:val="000000"/>
              </w:rPr>
            </w:pPr>
            <w:r w:rsidRPr="00B61FF1">
              <w:rPr>
                <w:rFonts w:ascii="Arial" w:hAnsi="Arial" w:cs="Arial"/>
                <w:color w:val="000000"/>
              </w:rPr>
              <w:t>14.43473%</w:t>
            </w:r>
          </w:p>
        </w:tc>
        <w:tc>
          <w:tcPr>
            <w:tcW w:w="1330" w:type="dxa"/>
            <w:gridSpan w:val="2"/>
            <w:vAlign w:val="bottom"/>
            <w:hideMark/>
          </w:tcPr>
          <w:p w14:paraId="039A8B1F" w14:textId="77777777" w:rsidR="003779C8" w:rsidRPr="00B61FF1" w:rsidRDefault="003779C8">
            <w:pPr>
              <w:jc w:val="right"/>
              <w:rPr>
                <w:rFonts w:ascii="Arial" w:hAnsi="Arial" w:cs="Arial"/>
                <w:color w:val="000000"/>
              </w:rPr>
            </w:pPr>
            <w:r w:rsidRPr="00B61FF1">
              <w:rPr>
                <w:rFonts w:ascii="Arial" w:hAnsi="Arial" w:cs="Arial"/>
                <w:color w:val="000000"/>
              </w:rPr>
              <w:t>14.91438%</w:t>
            </w:r>
          </w:p>
        </w:tc>
        <w:tc>
          <w:tcPr>
            <w:tcW w:w="1330" w:type="dxa"/>
            <w:gridSpan w:val="2"/>
            <w:vAlign w:val="bottom"/>
            <w:hideMark/>
          </w:tcPr>
          <w:p w14:paraId="5AD7E5BF" w14:textId="77777777" w:rsidR="003779C8" w:rsidRPr="00B61FF1" w:rsidRDefault="003779C8">
            <w:pPr>
              <w:jc w:val="right"/>
              <w:rPr>
                <w:rFonts w:ascii="Arial" w:hAnsi="Arial" w:cs="Arial"/>
                <w:color w:val="000000"/>
              </w:rPr>
            </w:pPr>
            <w:r w:rsidRPr="00B61FF1">
              <w:rPr>
                <w:rFonts w:ascii="Arial" w:hAnsi="Arial" w:cs="Arial"/>
                <w:color w:val="000000"/>
              </w:rPr>
              <w:t>15.28169%</w:t>
            </w:r>
          </w:p>
        </w:tc>
        <w:tc>
          <w:tcPr>
            <w:tcW w:w="1330" w:type="dxa"/>
            <w:gridSpan w:val="2"/>
            <w:vAlign w:val="bottom"/>
            <w:hideMark/>
          </w:tcPr>
          <w:p w14:paraId="2795C726" w14:textId="77777777" w:rsidR="003779C8" w:rsidRPr="00B61FF1" w:rsidRDefault="003779C8">
            <w:pPr>
              <w:jc w:val="right"/>
              <w:rPr>
                <w:rFonts w:ascii="Arial" w:hAnsi="Arial" w:cs="Arial"/>
                <w:color w:val="000000"/>
              </w:rPr>
            </w:pPr>
            <w:r w:rsidRPr="00B61FF1">
              <w:rPr>
                <w:rFonts w:ascii="Arial" w:hAnsi="Arial" w:cs="Arial"/>
                <w:color w:val="000000"/>
              </w:rPr>
              <w:t>14.96326%</w:t>
            </w:r>
          </w:p>
        </w:tc>
        <w:tc>
          <w:tcPr>
            <w:tcW w:w="1330" w:type="dxa"/>
            <w:gridSpan w:val="2"/>
            <w:vAlign w:val="bottom"/>
            <w:hideMark/>
          </w:tcPr>
          <w:p w14:paraId="3805D2D3" w14:textId="77777777" w:rsidR="003779C8" w:rsidRPr="00B61FF1" w:rsidRDefault="003779C8">
            <w:pPr>
              <w:jc w:val="right"/>
              <w:rPr>
                <w:rFonts w:ascii="Arial" w:hAnsi="Arial" w:cs="Arial"/>
                <w:color w:val="000000"/>
              </w:rPr>
            </w:pPr>
            <w:r w:rsidRPr="00B61FF1">
              <w:rPr>
                <w:rFonts w:ascii="Arial" w:hAnsi="Arial" w:cs="Arial"/>
                <w:color w:val="000000"/>
              </w:rPr>
              <w:t>14.04837%</w:t>
            </w:r>
          </w:p>
        </w:tc>
      </w:tr>
      <w:tr w:rsidR="003779C8" w:rsidRPr="00B61FF1" w14:paraId="3834E839" w14:textId="77777777" w:rsidTr="009E5ADE">
        <w:trPr>
          <w:trHeight w:val="300"/>
        </w:trPr>
        <w:tc>
          <w:tcPr>
            <w:tcW w:w="1653" w:type="dxa"/>
            <w:vAlign w:val="center"/>
            <w:hideMark/>
          </w:tcPr>
          <w:p w14:paraId="07F5CD01" w14:textId="77777777" w:rsidR="003779C8" w:rsidRPr="00B61FF1" w:rsidRDefault="003779C8">
            <w:pPr>
              <w:rPr>
                <w:rFonts w:ascii="Arial" w:hAnsi="Arial" w:cs="Arial"/>
                <w:color w:val="000000"/>
              </w:rPr>
            </w:pPr>
            <w:r w:rsidRPr="00B61FF1">
              <w:rPr>
                <w:rFonts w:ascii="Arial" w:hAnsi="Arial" w:cs="Arial"/>
                <w:color w:val="000000"/>
              </w:rPr>
              <w:t>SCE</w:t>
            </w:r>
          </w:p>
        </w:tc>
        <w:tc>
          <w:tcPr>
            <w:tcW w:w="883" w:type="dxa"/>
            <w:vAlign w:val="center"/>
            <w:hideMark/>
          </w:tcPr>
          <w:p w14:paraId="7BC65A7A" w14:textId="77777777" w:rsidR="003779C8" w:rsidRPr="00B61FF1" w:rsidRDefault="003779C8">
            <w:pPr>
              <w:rPr>
                <w:rFonts w:ascii="Arial" w:hAnsi="Arial" w:cs="Arial"/>
                <w:color w:val="000000"/>
              </w:rPr>
            </w:pPr>
            <w:r w:rsidRPr="00B61FF1">
              <w:rPr>
                <w:rFonts w:ascii="Arial" w:hAnsi="Arial" w:cs="Arial"/>
                <w:color w:val="000000"/>
              </w:rPr>
              <w:t>IOU</w:t>
            </w:r>
          </w:p>
        </w:tc>
        <w:tc>
          <w:tcPr>
            <w:tcW w:w="1330" w:type="dxa"/>
            <w:gridSpan w:val="3"/>
            <w:vAlign w:val="bottom"/>
            <w:hideMark/>
          </w:tcPr>
          <w:p w14:paraId="038A0697" w14:textId="77777777" w:rsidR="003779C8" w:rsidRPr="00B61FF1" w:rsidRDefault="003779C8">
            <w:pPr>
              <w:jc w:val="right"/>
              <w:rPr>
                <w:rFonts w:ascii="Arial" w:hAnsi="Arial" w:cs="Arial"/>
                <w:color w:val="000000"/>
              </w:rPr>
            </w:pPr>
            <w:r w:rsidRPr="00B61FF1">
              <w:rPr>
                <w:rFonts w:ascii="Arial" w:hAnsi="Arial" w:cs="Arial"/>
                <w:color w:val="000000"/>
              </w:rPr>
              <w:t>34.01733%</w:t>
            </w:r>
          </w:p>
        </w:tc>
        <w:tc>
          <w:tcPr>
            <w:tcW w:w="1330" w:type="dxa"/>
            <w:gridSpan w:val="2"/>
            <w:vAlign w:val="bottom"/>
            <w:hideMark/>
          </w:tcPr>
          <w:p w14:paraId="612B8387" w14:textId="77777777" w:rsidR="003779C8" w:rsidRPr="00B61FF1" w:rsidRDefault="003779C8">
            <w:pPr>
              <w:jc w:val="right"/>
              <w:rPr>
                <w:rFonts w:ascii="Arial" w:hAnsi="Arial" w:cs="Arial"/>
                <w:color w:val="000000"/>
              </w:rPr>
            </w:pPr>
            <w:r w:rsidRPr="00B61FF1">
              <w:rPr>
                <w:rFonts w:ascii="Arial" w:hAnsi="Arial" w:cs="Arial"/>
                <w:color w:val="000000"/>
              </w:rPr>
              <w:t>33.58115%</w:t>
            </w:r>
          </w:p>
        </w:tc>
        <w:tc>
          <w:tcPr>
            <w:tcW w:w="1330" w:type="dxa"/>
            <w:gridSpan w:val="2"/>
            <w:vAlign w:val="bottom"/>
            <w:hideMark/>
          </w:tcPr>
          <w:p w14:paraId="5D61C67B" w14:textId="77777777" w:rsidR="003779C8" w:rsidRPr="00B61FF1" w:rsidRDefault="003779C8">
            <w:pPr>
              <w:jc w:val="right"/>
              <w:rPr>
                <w:rFonts w:ascii="Arial" w:hAnsi="Arial" w:cs="Arial"/>
                <w:color w:val="000000"/>
              </w:rPr>
            </w:pPr>
            <w:r w:rsidRPr="00B61FF1">
              <w:rPr>
                <w:rFonts w:ascii="Arial" w:hAnsi="Arial" w:cs="Arial"/>
                <w:color w:val="000000"/>
              </w:rPr>
              <w:t>34.04480%</w:t>
            </w:r>
          </w:p>
        </w:tc>
        <w:tc>
          <w:tcPr>
            <w:tcW w:w="1330" w:type="dxa"/>
            <w:gridSpan w:val="2"/>
            <w:vAlign w:val="bottom"/>
            <w:hideMark/>
          </w:tcPr>
          <w:p w14:paraId="0B0840DE" w14:textId="77777777" w:rsidR="003779C8" w:rsidRPr="00B61FF1" w:rsidRDefault="003779C8">
            <w:pPr>
              <w:jc w:val="right"/>
              <w:rPr>
                <w:rFonts w:ascii="Arial" w:hAnsi="Arial" w:cs="Arial"/>
                <w:color w:val="000000"/>
              </w:rPr>
            </w:pPr>
            <w:r w:rsidRPr="00B61FF1">
              <w:rPr>
                <w:rFonts w:ascii="Arial" w:hAnsi="Arial" w:cs="Arial"/>
                <w:color w:val="000000"/>
              </w:rPr>
              <w:t>32.69831%</w:t>
            </w:r>
          </w:p>
        </w:tc>
        <w:tc>
          <w:tcPr>
            <w:tcW w:w="1330" w:type="dxa"/>
            <w:gridSpan w:val="2"/>
            <w:vAlign w:val="bottom"/>
            <w:hideMark/>
          </w:tcPr>
          <w:p w14:paraId="56AD3281" w14:textId="77777777" w:rsidR="003779C8" w:rsidRPr="00B61FF1" w:rsidRDefault="003779C8">
            <w:pPr>
              <w:jc w:val="right"/>
              <w:rPr>
                <w:rFonts w:ascii="Arial" w:hAnsi="Arial" w:cs="Arial"/>
                <w:color w:val="000000"/>
              </w:rPr>
            </w:pPr>
            <w:r w:rsidRPr="00B61FF1">
              <w:rPr>
                <w:rFonts w:ascii="Arial" w:hAnsi="Arial" w:cs="Arial"/>
                <w:color w:val="000000"/>
              </w:rPr>
              <w:t>30.32124%</w:t>
            </w:r>
          </w:p>
        </w:tc>
        <w:tc>
          <w:tcPr>
            <w:tcW w:w="1330" w:type="dxa"/>
            <w:gridSpan w:val="2"/>
            <w:vAlign w:val="bottom"/>
            <w:hideMark/>
          </w:tcPr>
          <w:p w14:paraId="4D775EFF" w14:textId="77777777" w:rsidR="003779C8" w:rsidRPr="00B61FF1" w:rsidRDefault="003779C8">
            <w:pPr>
              <w:jc w:val="right"/>
              <w:rPr>
                <w:rFonts w:ascii="Arial" w:hAnsi="Arial" w:cs="Arial"/>
                <w:color w:val="000000"/>
              </w:rPr>
            </w:pPr>
            <w:r w:rsidRPr="00B61FF1">
              <w:rPr>
                <w:rFonts w:ascii="Arial" w:hAnsi="Arial" w:cs="Arial"/>
                <w:color w:val="000000"/>
              </w:rPr>
              <w:t>29.84140%</w:t>
            </w:r>
          </w:p>
        </w:tc>
        <w:tc>
          <w:tcPr>
            <w:tcW w:w="1330" w:type="dxa"/>
            <w:gridSpan w:val="2"/>
            <w:vAlign w:val="bottom"/>
            <w:hideMark/>
          </w:tcPr>
          <w:p w14:paraId="77843832" w14:textId="77777777" w:rsidR="003779C8" w:rsidRPr="00B61FF1" w:rsidRDefault="003779C8">
            <w:pPr>
              <w:jc w:val="right"/>
              <w:rPr>
                <w:rFonts w:ascii="Arial" w:hAnsi="Arial" w:cs="Arial"/>
                <w:color w:val="000000"/>
              </w:rPr>
            </w:pPr>
            <w:r w:rsidRPr="00B61FF1">
              <w:rPr>
                <w:rFonts w:ascii="Arial" w:hAnsi="Arial" w:cs="Arial"/>
                <w:color w:val="000000"/>
              </w:rPr>
              <w:t>29.46661%</w:t>
            </w:r>
          </w:p>
        </w:tc>
        <w:tc>
          <w:tcPr>
            <w:tcW w:w="1330" w:type="dxa"/>
            <w:gridSpan w:val="2"/>
            <w:vAlign w:val="bottom"/>
            <w:hideMark/>
          </w:tcPr>
          <w:p w14:paraId="266CD505" w14:textId="77777777" w:rsidR="003779C8" w:rsidRPr="00B61FF1" w:rsidRDefault="003779C8">
            <w:pPr>
              <w:jc w:val="right"/>
              <w:rPr>
                <w:rFonts w:ascii="Arial" w:hAnsi="Arial" w:cs="Arial"/>
                <w:color w:val="000000"/>
              </w:rPr>
            </w:pPr>
            <w:r w:rsidRPr="00B61FF1">
              <w:rPr>
                <w:rFonts w:ascii="Arial" w:hAnsi="Arial" w:cs="Arial"/>
                <w:color w:val="000000"/>
              </w:rPr>
              <w:t>29.71342%</w:t>
            </w:r>
          </w:p>
        </w:tc>
      </w:tr>
      <w:tr w:rsidR="003779C8" w:rsidRPr="00B61FF1" w14:paraId="39F96196" w14:textId="77777777" w:rsidTr="009E5ADE">
        <w:trPr>
          <w:trHeight w:val="300"/>
        </w:trPr>
        <w:tc>
          <w:tcPr>
            <w:tcW w:w="1653" w:type="dxa"/>
            <w:vAlign w:val="center"/>
            <w:hideMark/>
          </w:tcPr>
          <w:p w14:paraId="60BDB084" w14:textId="77777777" w:rsidR="003779C8" w:rsidRPr="00B61FF1" w:rsidRDefault="003779C8">
            <w:pPr>
              <w:rPr>
                <w:rFonts w:ascii="Arial" w:hAnsi="Arial" w:cs="Arial"/>
                <w:color w:val="000000"/>
              </w:rPr>
            </w:pPr>
            <w:r w:rsidRPr="00B61FF1">
              <w:rPr>
                <w:rFonts w:ascii="Arial" w:hAnsi="Arial" w:cs="Arial"/>
                <w:color w:val="000000"/>
              </w:rPr>
              <w:t>SDG&amp;E</w:t>
            </w:r>
          </w:p>
        </w:tc>
        <w:tc>
          <w:tcPr>
            <w:tcW w:w="883" w:type="dxa"/>
            <w:vAlign w:val="center"/>
            <w:hideMark/>
          </w:tcPr>
          <w:p w14:paraId="6829A1AD" w14:textId="77777777" w:rsidR="003779C8" w:rsidRPr="00B61FF1" w:rsidRDefault="003779C8">
            <w:pPr>
              <w:rPr>
                <w:rFonts w:ascii="Arial" w:hAnsi="Arial" w:cs="Arial"/>
                <w:color w:val="000000"/>
              </w:rPr>
            </w:pPr>
            <w:r w:rsidRPr="00B61FF1">
              <w:rPr>
                <w:rFonts w:ascii="Arial" w:hAnsi="Arial" w:cs="Arial"/>
                <w:color w:val="000000"/>
              </w:rPr>
              <w:t>IOU</w:t>
            </w:r>
          </w:p>
        </w:tc>
        <w:tc>
          <w:tcPr>
            <w:tcW w:w="1330" w:type="dxa"/>
            <w:gridSpan w:val="3"/>
            <w:vAlign w:val="bottom"/>
            <w:hideMark/>
          </w:tcPr>
          <w:p w14:paraId="202C4F01" w14:textId="77777777" w:rsidR="003779C8" w:rsidRPr="00B61FF1" w:rsidRDefault="003779C8">
            <w:pPr>
              <w:jc w:val="right"/>
              <w:rPr>
                <w:rFonts w:ascii="Arial" w:hAnsi="Arial" w:cs="Arial"/>
                <w:color w:val="000000"/>
              </w:rPr>
            </w:pPr>
            <w:r w:rsidRPr="00B61FF1">
              <w:rPr>
                <w:rFonts w:ascii="Arial" w:hAnsi="Arial" w:cs="Arial"/>
                <w:color w:val="000000"/>
              </w:rPr>
              <w:t>7.21940%</w:t>
            </w:r>
          </w:p>
        </w:tc>
        <w:tc>
          <w:tcPr>
            <w:tcW w:w="1330" w:type="dxa"/>
            <w:gridSpan w:val="2"/>
            <w:vAlign w:val="bottom"/>
            <w:hideMark/>
          </w:tcPr>
          <w:p w14:paraId="5EDF9514" w14:textId="77777777" w:rsidR="003779C8" w:rsidRPr="00B61FF1" w:rsidRDefault="003779C8">
            <w:pPr>
              <w:jc w:val="right"/>
              <w:rPr>
                <w:rFonts w:ascii="Arial" w:hAnsi="Arial" w:cs="Arial"/>
                <w:color w:val="000000"/>
              </w:rPr>
            </w:pPr>
            <w:r w:rsidRPr="00B61FF1">
              <w:rPr>
                <w:rFonts w:ascii="Arial" w:hAnsi="Arial" w:cs="Arial"/>
                <w:color w:val="000000"/>
              </w:rPr>
              <w:t>6.96087%</w:t>
            </w:r>
          </w:p>
        </w:tc>
        <w:tc>
          <w:tcPr>
            <w:tcW w:w="1330" w:type="dxa"/>
            <w:gridSpan w:val="2"/>
            <w:vAlign w:val="bottom"/>
            <w:hideMark/>
          </w:tcPr>
          <w:p w14:paraId="4267178D" w14:textId="77777777" w:rsidR="003779C8" w:rsidRPr="00B61FF1" w:rsidRDefault="003779C8">
            <w:pPr>
              <w:jc w:val="right"/>
              <w:rPr>
                <w:rFonts w:ascii="Arial" w:hAnsi="Arial" w:cs="Arial"/>
                <w:color w:val="000000"/>
              </w:rPr>
            </w:pPr>
            <w:r w:rsidRPr="00B61FF1">
              <w:rPr>
                <w:rFonts w:ascii="Arial" w:hAnsi="Arial" w:cs="Arial"/>
                <w:color w:val="000000"/>
              </w:rPr>
              <w:t>6.96792%</w:t>
            </w:r>
          </w:p>
        </w:tc>
        <w:tc>
          <w:tcPr>
            <w:tcW w:w="1330" w:type="dxa"/>
            <w:gridSpan w:val="2"/>
            <w:vAlign w:val="bottom"/>
            <w:hideMark/>
          </w:tcPr>
          <w:p w14:paraId="07FF5CA9" w14:textId="77777777" w:rsidR="003779C8" w:rsidRPr="00B61FF1" w:rsidRDefault="003779C8">
            <w:pPr>
              <w:jc w:val="right"/>
              <w:rPr>
                <w:rFonts w:ascii="Arial" w:hAnsi="Arial" w:cs="Arial"/>
                <w:color w:val="000000"/>
              </w:rPr>
            </w:pPr>
            <w:r w:rsidRPr="00B61FF1">
              <w:rPr>
                <w:rFonts w:ascii="Arial" w:hAnsi="Arial" w:cs="Arial"/>
                <w:color w:val="000000"/>
              </w:rPr>
              <w:t>7.08933%</w:t>
            </w:r>
          </w:p>
        </w:tc>
        <w:tc>
          <w:tcPr>
            <w:tcW w:w="1330" w:type="dxa"/>
            <w:gridSpan w:val="2"/>
            <w:vAlign w:val="bottom"/>
            <w:hideMark/>
          </w:tcPr>
          <w:p w14:paraId="6A926A1A" w14:textId="77777777" w:rsidR="003779C8" w:rsidRPr="00B61FF1" w:rsidRDefault="003779C8">
            <w:pPr>
              <w:jc w:val="right"/>
              <w:rPr>
                <w:rFonts w:ascii="Arial" w:hAnsi="Arial" w:cs="Arial"/>
                <w:color w:val="000000"/>
              </w:rPr>
            </w:pPr>
            <w:r w:rsidRPr="00B61FF1">
              <w:rPr>
                <w:rFonts w:ascii="Arial" w:hAnsi="Arial" w:cs="Arial"/>
                <w:color w:val="000000"/>
              </w:rPr>
              <w:t>7.29010%</w:t>
            </w:r>
          </w:p>
        </w:tc>
        <w:tc>
          <w:tcPr>
            <w:tcW w:w="1330" w:type="dxa"/>
            <w:gridSpan w:val="2"/>
            <w:vAlign w:val="bottom"/>
            <w:hideMark/>
          </w:tcPr>
          <w:p w14:paraId="0DFD55D1" w14:textId="77777777" w:rsidR="003779C8" w:rsidRPr="00B61FF1" w:rsidRDefault="003779C8">
            <w:pPr>
              <w:jc w:val="right"/>
              <w:rPr>
                <w:rFonts w:ascii="Arial" w:hAnsi="Arial" w:cs="Arial"/>
                <w:color w:val="000000"/>
              </w:rPr>
            </w:pPr>
            <w:r w:rsidRPr="00B61FF1">
              <w:rPr>
                <w:rFonts w:ascii="Arial" w:hAnsi="Arial" w:cs="Arial"/>
                <w:color w:val="000000"/>
              </w:rPr>
              <w:t>7.24815%</w:t>
            </w:r>
          </w:p>
        </w:tc>
        <w:tc>
          <w:tcPr>
            <w:tcW w:w="1330" w:type="dxa"/>
            <w:gridSpan w:val="2"/>
            <w:vAlign w:val="bottom"/>
            <w:hideMark/>
          </w:tcPr>
          <w:p w14:paraId="4AD1FBC1" w14:textId="77777777" w:rsidR="003779C8" w:rsidRPr="00B61FF1" w:rsidRDefault="003779C8">
            <w:pPr>
              <w:jc w:val="right"/>
              <w:rPr>
                <w:rFonts w:ascii="Arial" w:hAnsi="Arial" w:cs="Arial"/>
                <w:color w:val="000000"/>
              </w:rPr>
            </w:pPr>
            <w:r w:rsidRPr="00B61FF1">
              <w:rPr>
                <w:rFonts w:ascii="Arial" w:hAnsi="Arial" w:cs="Arial"/>
                <w:color w:val="000000"/>
              </w:rPr>
              <w:t>7.28721%</w:t>
            </w:r>
          </w:p>
        </w:tc>
        <w:tc>
          <w:tcPr>
            <w:tcW w:w="1330" w:type="dxa"/>
            <w:gridSpan w:val="2"/>
            <w:vAlign w:val="bottom"/>
            <w:hideMark/>
          </w:tcPr>
          <w:p w14:paraId="74B40A3B" w14:textId="77777777" w:rsidR="003779C8" w:rsidRPr="00B61FF1" w:rsidRDefault="003779C8">
            <w:pPr>
              <w:jc w:val="right"/>
              <w:rPr>
                <w:rFonts w:ascii="Arial" w:hAnsi="Arial" w:cs="Arial"/>
                <w:color w:val="000000"/>
              </w:rPr>
            </w:pPr>
            <w:r w:rsidRPr="00B61FF1">
              <w:rPr>
                <w:rFonts w:ascii="Arial" w:hAnsi="Arial" w:cs="Arial"/>
                <w:color w:val="000000"/>
              </w:rPr>
              <w:t>7.38964%</w:t>
            </w:r>
          </w:p>
        </w:tc>
      </w:tr>
      <w:tr w:rsidR="003779C8" w:rsidRPr="00B61FF1" w14:paraId="2EE2ABF3" w14:textId="77777777" w:rsidTr="009E5ADE">
        <w:trPr>
          <w:trHeight w:val="300"/>
        </w:trPr>
        <w:tc>
          <w:tcPr>
            <w:tcW w:w="1653" w:type="dxa"/>
            <w:vAlign w:val="center"/>
            <w:hideMark/>
          </w:tcPr>
          <w:p w14:paraId="2F217D8D" w14:textId="77777777" w:rsidR="003779C8" w:rsidRPr="00B61FF1" w:rsidRDefault="003779C8">
            <w:pPr>
              <w:rPr>
                <w:rFonts w:ascii="Arial" w:hAnsi="Arial" w:cs="Arial"/>
                <w:color w:val="000000"/>
              </w:rPr>
            </w:pPr>
            <w:r w:rsidRPr="00B61FF1">
              <w:rPr>
                <w:rFonts w:ascii="Arial" w:hAnsi="Arial" w:cs="Arial"/>
                <w:color w:val="000000"/>
              </w:rPr>
              <w:t>SMUD</w:t>
            </w:r>
          </w:p>
        </w:tc>
        <w:tc>
          <w:tcPr>
            <w:tcW w:w="883" w:type="dxa"/>
            <w:vAlign w:val="center"/>
            <w:hideMark/>
          </w:tcPr>
          <w:p w14:paraId="32DA5DB2"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vAlign w:val="bottom"/>
            <w:hideMark/>
          </w:tcPr>
          <w:p w14:paraId="7E493679" w14:textId="77777777" w:rsidR="003779C8" w:rsidRPr="00B61FF1" w:rsidRDefault="003779C8">
            <w:pPr>
              <w:jc w:val="right"/>
              <w:rPr>
                <w:rFonts w:ascii="Arial" w:hAnsi="Arial" w:cs="Arial"/>
                <w:color w:val="000000"/>
              </w:rPr>
            </w:pPr>
            <w:r w:rsidRPr="00B61FF1">
              <w:rPr>
                <w:rFonts w:ascii="Arial" w:hAnsi="Arial" w:cs="Arial"/>
                <w:color w:val="000000"/>
              </w:rPr>
              <w:t>3.28172%</w:t>
            </w:r>
          </w:p>
        </w:tc>
        <w:tc>
          <w:tcPr>
            <w:tcW w:w="1330" w:type="dxa"/>
            <w:gridSpan w:val="2"/>
            <w:vAlign w:val="bottom"/>
            <w:hideMark/>
          </w:tcPr>
          <w:p w14:paraId="59BBC4BB" w14:textId="77777777" w:rsidR="003779C8" w:rsidRPr="00B61FF1" w:rsidRDefault="003779C8">
            <w:pPr>
              <w:jc w:val="right"/>
              <w:rPr>
                <w:rFonts w:ascii="Arial" w:hAnsi="Arial" w:cs="Arial"/>
                <w:color w:val="000000"/>
              </w:rPr>
            </w:pPr>
            <w:r w:rsidRPr="00B61FF1">
              <w:rPr>
                <w:rFonts w:ascii="Arial" w:hAnsi="Arial" w:cs="Arial"/>
                <w:color w:val="000000"/>
              </w:rPr>
              <w:t>3.28283%</w:t>
            </w:r>
          </w:p>
        </w:tc>
        <w:tc>
          <w:tcPr>
            <w:tcW w:w="1330" w:type="dxa"/>
            <w:gridSpan w:val="2"/>
            <w:vAlign w:val="bottom"/>
            <w:hideMark/>
          </w:tcPr>
          <w:p w14:paraId="13770EAE" w14:textId="77777777" w:rsidR="003779C8" w:rsidRPr="00B61FF1" w:rsidRDefault="003779C8">
            <w:pPr>
              <w:jc w:val="right"/>
              <w:rPr>
                <w:rFonts w:ascii="Arial" w:hAnsi="Arial" w:cs="Arial"/>
                <w:color w:val="000000"/>
              </w:rPr>
            </w:pPr>
            <w:r w:rsidRPr="00B61FF1">
              <w:rPr>
                <w:rFonts w:ascii="Arial" w:hAnsi="Arial" w:cs="Arial"/>
                <w:color w:val="000000"/>
              </w:rPr>
              <w:t>3.21338%</w:t>
            </w:r>
          </w:p>
        </w:tc>
        <w:tc>
          <w:tcPr>
            <w:tcW w:w="1330" w:type="dxa"/>
            <w:gridSpan w:val="2"/>
            <w:vAlign w:val="bottom"/>
            <w:hideMark/>
          </w:tcPr>
          <w:p w14:paraId="597AED65" w14:textId="77777777" w:rsidR="003779C8" w:rsidRPr="00B61FF1" w:rsidRDefault="003779C8">
            <w:pPr>
              <w:jc w:val="right"/>
              <w:rPr>
                <w:rFonts w:ascii="Arial" w:hAnsi="Arial" w:cs="Arial"/>
                <w:color w:val="000000"/>
              </w:rPr>
            </w:pPr>
            <w:r w:rsidRPr="00B61FF1">
              <w:rPr>
                <w:rFonts w:ascii="Arial" w:hAnsi="Arial" w:cs="Arial"/>
                <w:color w:val="000000"/>
              </w:rPr>
              <w:t>3.30147%</w:t>
            </w:r>
          </w:p>
        </w:tc>
        <w:tc>
          <w:tcPr>
            <w:tcW w:w="1330" w:type="dxa"/>
            <w:gridSpan w:val="2"/>
            <w:vAlign w:val="bottom"/>
            <w:hideMark/>
          </w:tcPr>
          <w:p w14:paraId="5BF220C5" w14:textId="77777777" w:rsidR="003779C8" w:rsidRPr="00B61FF1" w:rsidRDefault="003779C8">
            <w:pPr>
              <w:jc w:val="right"/>
              <w:rPr>
                <w:rFonts w:ascii="Arial" w:hAnsi="Arial" w:cs="Arial"/>
                <w:color w:val="000000"/>
              </w:rPr>
            </w:pPr>
            <w:r w:rsidRPr="00B61FF1">
              <w:rPr>
                <w:rFonts w:ascii="Arial" w:hAnsi="Arial" w:cs="Arial"/>
                <w:color w:val="000000"/>
              </w:rPr>
              <w:t>3.44817%</w:t>
            </w:r>
          </w:p>
        </w:tc>
        <w:tc>
          <w:tcPr>
            <w:tcW w:w="1330" w:type="dxa"/>
            <w:gridSpan w:val="2"/>
            <w:vAlign w:val="bottom"/>
            <w:hideMark/>
          </w:tcPr>
          <w:p w14:paraId="72E000AD" w14:textId="77777777" w:rsidR="003779C8" w:rsidRPr="00B61FF1" w:rsidRDefault="003779C8">
            <w:pPr>
              <w:jc w:val="right"/>
              <w:rPr>
                <w:rFonts w:ascii="Arial" w:hAnsi="Arial" w:cs="Arial"/>
                <w:color w:val="000000"/>
              </w:rPr>
            </w:pPr>
            <w:r w:rsidRPr="00B61FF1">
              <w:rPr>
                <w:rFonts w:ascii="Arial" w:hAnsi="Arial" w:cs="Arial"/>
                <w:color w:val="000000"/>
              </w:rPr>
              <w:t>3.57259%</w:t>
            </w:r>
          </w:p>
        </w:tc>
        <w:tc>
          <w:tcPr>
            <w:tcW w:w="1330" w:type="dxa"/>
            <w:gridSpan w:val="2"/>
            <w:vAlign w:val="bottom"/>
            <w:hideMark/>
          </w:tcPr>
          <w:p w14:paraId="1686E842" w14:textId="77777777" w:rsidR="003779C8" w:rsidRPr="00B61FF1" w:rsidRDefault="003779C8">
            <w:pPr>
              <w:jc w:val="right"/>
              <w:rPr>
                <w:rFonts w:ascii="Arial" w:hAnsi="Arial" w:cs="Arial"/>
                <w:color w:val="000000"/>
              </w:rPr>
            </w:pPr>
            <w:r w:rsidRPr="00B61FF1">
              <w:rPr>
                <w:rFonts w:ascii="Arial" w:hAnsi="Arial" w:cs="Arial"/>
                <w:color w:val="000000"/>
              </w:rPr>
              <w:t>3.70519%</w:t>
            </w:r>
          </w:p>
        </w:tc>
        <w:tc>
          <w:tcPr>
            <w:tcW w:w="1330" w:type="dxa"/>
            <w:gridSpan w:val="2"/>
            <w:vAlign w:val="bottom"/>
            <w:hideMark/>
          </w:tcPr>
          <w:p w14:paraId="5088E5BF" w14:textId="77777777" w:rsidR="003779C8" w:rsidRPr="00B61FF1" w:rsidRDefault="003779C8">
            <w:pPr>
              <w:jc w:val="right"/>
              <w:rPr>
                <w:rFonts w:ascii="Arial" w:hAnsi="Arial" w:cs="Arial"/>
                <w:color w:val="000000"/>
              </w:rPr>
            </w:pPr>
            <w:r w:rsidRPr="00B61FF1">
              <w:rPr>
                <w:rFonts w:ascii="Arial" w:hAnsi="Arial" w:cs="Arial"/>
                <w:color w:val="000000"/>
              </w:rPr>
              <w:t>3.83415%</w:t>
            </w:r>
          </w:p>
        </w:tc>
      </w:tr>
      <w:tr w:rsidR="003779C8" w:rsidRPr="00B61FF1" w14:paraId="3E782A08" w14:textId="77777777" w:rsidTr="009E5ADE">
        <w:trPr>
          <w:trHeight w:val="300"/>
        </w:trPr>
        <w:tc>
          <w:tcPr>
            <w:tcW w:w="1653" w:type="dxa"/>
            <w:vAlign w:val="center"/>
            <w:hideMark/>
          </w:tcPr>
          <w:p w14:paraId="48EB61C4" w14:textId="77777777" w:rsidR="003779C8" w:rsidRPr="00B61FF1" w:rsidRDefault="003779C8">
            <w:pPr>
              <w:rPr>
                <w:rFonts w:ascii="Arial" w:hAnsi="Arial" w:cs="Arial"/>
                <w:color w:val="000000"/>
              </w:rPr>
            </w:pPr>
            <w:r w:rsidRPr="00B61FF1">
              <w:rPr>
                <w:rFonts w:ascii="Arial" w:hAnsi="Arial" w:cs="Arial"/>
                <w:color w:val="000000"/>
              </w:rPr>
              <w:t>City of Anaheim</w:t>
            </w:r>
          </w:p>
        </w:tc>
        <w:tc>
          <w:tcPr>
            <w:tcW w:w="883" w:type="dxa"/>
            <w:vAlign w:val="center"/>
            <w:hideMark/>
          </w:tcPr>
          <w:p w14:paraId="091289E7"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vAlign w:val="bottom"/>
            <w:hideMark/>
          </w:tcPr>
          <w:p w14:paraId="27411366" w14:textId="77777777" w:rsidR="003779C8" w:rsidRPr="00B61FF1" w:rsidRDefault="003779C8">
            <w:pPr>
              <w:jc w:val="right"/>
              <w:rPr>
                <w:rFonts w:ascii="Arial" w:hAnsi="Arial" w:cs="Arial"/>
                <w:color w:val="000000"/>
              </w:rPr>
            </w:pPr>
            <w:r w:rsidRPr="00B61FF1">
              <w:rPr>
                <w:rFonts w:ascii="Arial" w:hAnsi="Arial" w:cs="Arial"/>
                <w:color w:val="000000"/>
              </w:rPr>
              <w:t>2.07532%</w:t>
            </w:r>
          </w:p>
        </w:tc>
        <w:tc>
          <w:tcPr>
            <w:tcW w:w="1330" w:type="dxa"/>
            <w:gridSpan w:val="2"/>
            <w:vAlign w:val="bottom"/>
            <w:hideMark/>
          </w:tcPr>
          <w:p w14:paraId="0691F78A" w14:textId="77777777" w:rsidR="003779C8" w:rsidRPr="00B61FF1" w:rsidRDefault="003779C8">
            <w:pPr>
              <w:jc w:val="right"/>
              <w:rPr>
                <w:rFonts w:ascii="Arial" w:hAnsi="Arial" w:cs="Arial"/>
                <w:color w:val="000000"/>
              </w:rPr>
            </w:pPr>
            <w:r w:rsidRPr="00B61FF1">
              <w:rPr>
                <w:rFonts w:ascii="Arial" w:hAnsi="Arial" w:cs="Arial"/>
                <w:color w:val="000000"/>
              </w:rPr>
              <w:t>2.12074%</w:t>
            </w:r>
          </w:p>
        </w:tc>
        <w:tc>
          <w:tcPr>
            <w:tcW w:w="1330" w:type="dxa"/>
            <w:gridSpan w:val="2"/>
            <w:vAlign w:val="bottom"/>
            <w:hideMark/>
          </w:tcPr>
          <w:p w14:paraId="28D2278D" w14:textId="77777777" w:rsidR="003779C8" w:rsidRPr="00B61FF1" w:rsidRDefault="003779C8">
            <w:pPr>
              <w:jc w:val="right"/>
              <w:rPr>
                <w:rFonts w:ascii="Arial" w:hAnsi="Arial" w:cs="Arial"/>
                <w:color w:val="000000"/>
              </w:rPr>
            </w:pPr>
            <w:r w:rsidRPr="00B61FF1">
              <w:rPr>
                <w:rFonts w:ascii="Arial" w:hAnsi="Arial" w:cs="Arial"/>
                <w:color w:val="000000"/>
              </w:rPr>
              <w:t>2.11355%</w:t>
            </w:r>
          </w:p>
        </w:tc>
        <w:tc>
          <w:tcPr>
            <w:tcW w:w="1330" w:type="dxa"/>
            <w:gridSpan w:val="2"/>
            <w:vAlign w:val="bottom"/>
            <w:hideMark/>
          </w:tcPr>
          <w:p w14:paraId="21440B77" w14:textId="77777777" w:rsidR="003779C8" w:rsidRPr="00B61FF1" w:rsidRDefault="003779C8">
            <w:pPr>
              <w:jc w:val="right"/>
              <w:rPr>
                <w:rFonts w:ascii="Arial" w:hAnsi="Arial" w:cs="Arial"/>
                <w:color w:val="000000"/>
              </w:rPr>
            </w:pPr>
            <w:r w:rsidRPr="00B61FF1">
              <w:rPr>
                <w:rFonts w:ascii="Arial" w:hAnsi="Arial" w:cs="Arial"/>
                <w:color w:val="000000"/>
              </w:rPr>
              <w:t>2.19270%</w:t>
            </w:r>
          </w:p>
        </w:tc>
        <w:tc>
          <w:tcPr>
            <w:tcW w:w="1330" w:type="dxa"/>
            <w:gridSpan w:val="2"/>
            <w:vAlign w:val="bottom"/>
            <w:hideMark/>
          </w:tcPr>
          <w:p w14:paraId="4A789365" w14:textId="77777777" w:rsidR="003779C8" w:rsidRPr="00B61FF1" w:rsidRDefault="003779C8">
            <w:pPr>
              <w:jc w:val="right"/>
              <w:rPr>
                <w:rFonts w:ascii="Arial" w:hAnsi="Arial" w:cs="Arial"/>
                <w:color w:val="000000"/>
              </w:rPr>
            </w:pPr>
            <w:r w:rsidRPr="00B61FF1">
              <w:rPr>
                <w:rFonts w:ascii="Arial" w:hAnsi="Arial" w:cs="Arial"/>
                <w:color w:val="000000"/>
              </w:rPr>
              <w:t>2.20963%</w:t>
            </w:r>
          </w:p>
        </w:tc>
        <w:tc>
          <w:tcPr>
            <w:tcW w:w="1330" w:type="dxa"/>
            <w:gridSpan w:val="2"/>
            <w:vAlign w:val="bottom"/>
            <w:hideMark/>
          </w:tcPr>
          <w:p w14:paraId="0EBB6841" w14:textId="77777777" w:rsidR="003779C8" w:rsidRPr="00B61FF1" w:rsidRDefault="003779C8">
            <w:pPr>
              <w:jc w:val="right"/>
              <w:rPr>
                <w:rFonts w:ascii="Arial" w:hAnsi="Arial" w:cs="Arial"/>
                <w:color w:val="000000"/>
              </w:rPr>
            </w:pPr>
            <w:r w:rsidRPr="00B61FF1">
              <w:rPr>
                <w:rFonts w:ascii="Arial" w:hAnsi="Arial" w:cs="Arial"/>
                <w:color w:val="000000"/>
              </w:rPr>
              <w:t>2.27089%</w:t>
            </w:r>
          </w:p>
        </w:tc>
        <w:tc>
          <w:tcPr>
            <w:tcW w:w="1330" w:type="dxa"/>
            <w:gridSpan w:val="2"/>
            <w:vAlign w:val="bottom"/>
            <w:hideMark/>
          </w:tcPr>
          <w:p w14:paraId="469B41EE" w14:textId="77777777" w:rsidR="003779C8" w:rsidRPr="00B61FF1" w:rsidRDefault="003779C8">
            <w:pPr>
              <w:jc w:val="right"/>
              <w:rPr>
                <w:rFonts w:ascii="Arial" w:hAnsi="Arial" w:cs="Arial"/>
                <w:color w:val="000000"/>
              </w:rPr>
            </w:pPr>
            <w:r w:rsidRPr="00B61FF1">
              <w:rPr>
                <w:rFonts w:ascii="Arial" w:hAnsi="Arial" w:cs="Arial"/>
                <w:color w:val="000000"/>
              </w:rPr>
              <w:t>2.30639%</w:t>
            </w:r>
          </w:p>
        </w:tc>
        <w:tc>
          <w:tcPr>
            <w:tcW w:w="1330" w:type="dxa"/>
            <w:gridSpan w:val="2"/>
            <w:vAlign w:val="bottom"/>
            <w:hideMark/>
          </w:tcPr>
          <w:p w14:paraId="4D3D29C4" w14:textId="77777777" w:rsidR="003779C8" w:rsidRPr="00B61FF1" w:rsidRDefault="003779C8">
            <w:pPr>
              <w:jc w:val="right"/>
              <w:rPr>
                <w:rFonts w:ascii="Arial" w:hAnsi="Arial" w:cs="Arial"/>
                <w:color w:val="000000"/>
              </w:rPr>
            </w:pPr>
            <w:r w:rsidRPr="00B61FF1">
              <w:rPr>
                <w:rFonts w:ascii="Arial" w:hAnsi="Arial" w:cs="Arial"/>
                <w:color w:val="000000"/>
              </w:rPr>
              <w:t>2.35434%</w:t>
            </w:r>
          </w:p>
        </w:tc>
      </w:tr>
      <w:tr w:rsidR="003779C8" w:rsidRPr="00B61FF1" w14:paraId="3F521EB4" w14:textId="77777777" w:rsidTr="009E5ADE">
        <w:trPr>
          <w:trHeight w:val="300"/>
        </w:trPr>
        <w:tc>
          <w:tcPr>
            <w:tcW w:w="1653" w:type="dxa"/>
            <w:vAlign w:val="center"/>
            <w:hideMark/>
          </w:tcPr>
          <w:p w14:paraId="22F148FA" w14:textId="77777777" w:rsidR="003779C8" w:rsidRPr="00B61FF1" w:rsidRDefault="003779C8">
            <w:pPr>
              <w:rPr>
                <w:rFonts w:ascii="Arial" w:hAnsi="Arial" w:cs="Arial"/>
                <w:color w:val="000000"/>
              </w:rPr>
            </w:pPr>
            <w:r w:rsidRPr="00B61FF1">
              <w:rPr>
                <w:rFonts w:ascii="Arial" w:hAnsi="Arial" w:cs="Arial"/>
                <w:color w:val="000000"/>
              </w:rPr>
              <w:t>City of Azusa (Azusa Light &amp; Water)</w:t>
            </w:r>
          </w:p>
        </w:tc>
        <w:tc>
          <w:tcPr>
            <w:tcW w:w="883" w:type="dxa"/>
            <w:vAlign w:val="center"/>
            <w:hideMark/>
          </w:tcPr>
          <w:p w14:paraId="1D897105"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vAlign w:val="bottom"/>
            <w:hideMark/>
          </w:tcPr>
          <w:p w14:paraId="3CC18A42" w14:textId="77777777" w:rsidR="003779C8" w:rsidRPr="00B61FF1" w:rsidRDefault="003779C8">
            <w:pPr>
              <w:jc w:val="right"/>
              <w:rPr>
                <w:rFonts w:ascii="Arial" w:hAnsi="Arial" w:cs="Arial"/>
                <w:color w:val="000000"/>
              </w:rPr>
            </w:pPr>
            <w:r w:rsidRPr="00B61FF1">
              <w:rPr>
                <w:rFonts w:ascii="Arial" w:hAnsi="Arial" w:cs="Arial"/>
                <w:color w:val="000000"/>
              </w:rPr>
              <w:t>0.18055%</w:t>
            </w:r>
          </w:p>
        </w:tc>
        <w:tc>
          <w:tcPr>
            <w:tcW w:w="1330" w:type="dxa"/>
            <w:gridSpan w:val="2"/>
            <w:vAlign w:val="bottom"/>
            <w:hideMark/>
          </w:tcPr>
          <w:p w14:paraId="67E1DDB7" w14:textId="77777777" w:rsidR="003779C8" w:rsidRPr="00B61FF1" w:rsidRDefault="003779C8">
            <w:pPr>
              <w:jc w:val="right"/>
              <w:rPr>
                <w:rFonts w:ascii="Arial" w:hAnsi="Arial" w:cs="Arial"/>
                <w:color w:val="000000"/>
              </w:rPr>
            </w:pPr>
            <w:r w:rsidRPr="00B61FF1">
              <w:rPr>
                <w:rFonts w:ascii="Arial" w:hAnsi="Arial" w:cs="Arial"/>
                <w:color w:val="000000"/>
              </w:rPr>
              <w:t>0.18489%</w:t>
            </w:r>
          </w:p>
        </w:tc>
        <w:tc>
          <w:tcPr>
            <w:tcW w:w="1330" w:type="dxa"/>
            <w:gridSpan w:val="2"/>
            <w:vAlign w:val="bottom"/>
            <w:hideMark/>
          </w:tcPr>
          <w:p w14:paraId="5F03AA38" w14:textId="77777777" w:rsidR="003779C8" w:rsidRPr="00B61FF1" w:rsidRDefault="003779C8">
            <w:pPr>
              <w:jc w:val="right"/>
              <w:rPr>
                <w:rFonts w:ascii="Arial" w:hAnsi="Arial" w:cs="Arial"/>
                <w:color w:val="000000"/>
              </w:rPr>
            </w:pPr>
            <w:r w:rsidRPr="00B61FF1">
              <w:rPr>
                <w:rFonts w:ascii="Arial" w:hAnsi="Arial" w:cs="Arial"/>
                <w:color w:val="000000"/>
              </w:rPr>
              <w:t>0.18858%</w:t>
            </w:r>
          </w:p>
        </w:tc>
        <w:tc>
          <w:tcPr>
            <w:tcW w:w="1330" w:type="dxa"/>
            <w:gridSpan w:val="2"/>
            <w:vAlign w:val="bottom"/>
            <w:hideMark/>
          </w:tcPr>
          <w:p w14:paraId="2AA60009" w14:textId="77777777" w:rsidR="003779C8" w:rsidRPr="00B61FF1" w:rsidRDefault="003779C8">
            <w:pPr>
              <w:jc w:val="right"/>
              <w:rPr>
                <w:rFonts w:ascii="Arial" w:hAnsi="Arial" w:cs="Arial"/>
                <w:color w:val="000000"/>
              </w:rPr>
            </w:pPr>
            <w:r w:rsidRPr="00B61FF1">
              <w:rPr>
                <w:rFonts w:ascii="Arial" w:hAnsi="Arial" w:cs="Arial"/>
                <w:color w:val="000000"/>
              </w:rPr>
              <w:t>0.19402%</w:t>
            </w:r>
          </w:p>
        </w:tc>
        <w:tc>
          <w:tcPr>
            <w:tcW w:w="1330" w:type="dxa"/>
            <w:gridSpan w:val="2"/>
            <w:vAlign w:val="bottom"/>
            <w:hideMark/>
          </w:tcPr>
          <w:p w14:paraId="3D5C1D01" w14:textId="77777777" w:rsidR="003779C8" w:rsidRPr="00B61FF1" w:rsidRDefault="003779C8">
            <w:pPr>
              <w:jc w:val="right"/>
              <w:rPr>
                <w:rFonts w:ascii="Arial" w:hAnsi="Arial" w:cs="Arial"/>
                <w:color w:val="000000"/>
              </w:rPr>
            </w:pPr>
            <w:r w:rsidRPr="00B61FF1">
              <w:rPr>
                <w:rFonts w:ascii="Arial" w:hAnsi="Arial" w:cs="Arial"/>
                <w:color w:val="000000"/>
              </w:rPr>
              <w:t>0.20119%</w:t>
            </w:r>
          </w:p>
        </w:tc>
        <w:tc>
          <w:tcPr>
            <w:tcW w:w="1330" w:type="dxa"/>
            <w:gridSpan w:val="2"/>
            <w:vAlign w:val="bottom"/>
            <w:hideMark/>
          </w:tcPr>
          <w:p w14:paraId="11D190FF" w14:textId="77777777" w:rsidR="003779C8" w:rsidRPr="00B61FF1" w:rsidRDefault="003779C8">
            <w:pPr>
              <w:jc w:val="right"/>
              <w:rPr>
                <w:rFonts w:ascii="Arial" w:hAnsi="Arial" w:cs="Arial"/>
                <w:color w:val="000000"/>
              </w:rPr>
            </w:pPr>
            <w:r w:rsidRPr="00B61FF1">
              <w:rPr>
                <w:rFonts w:ascii="Arial" w:hAnsi="Arial" w:cs="Arial"/>
                <w:color w:val="000000"/>
              </w:rPr>
              <w:t>0.20555%</w:t>
            </w:r>
          </w:p>
        </w:tc>
        <w:tc>
          <w:tcPr>
            <w:tcW w:w="1330" w:type="dxa"/>
            <w:gridSpan w:val="2"/>
            <w:vAlign w:val="bottom"/>
            <w:hideMark/>
          </w:tcPr>
          <w:p w14:paraId="2FB4541D" w14:textId="77777777" w:rsidR="003779C8" w:rsidRPr="00B61FF1" w:rsidRDefault="003779C8">
            <w:pPr>
              <w:jc w:val="right"/>
              <w:rPr>
                <w:rFonts w:ascii="Arial" w:hAnsi="Arial" w:cs="Arial"/>
                <w:color w:val="000000"/>
              </w:rPr>
            </w:pPr>
            <w:r w:rsidRPr="00B61FF1">
              <w:rPr>
                <w:rFonts w:ascii="Arial" w:hAnsi="Arial" w:cs="Arial"/>
                <w:color w:val="000000"/>
              </w:rPr>
              <w:t>0.21082%</w:t>
            </w:r>
          </w:p>
        </w:tc>
        <w:tc>
          <w:tcPr>
            <w:tcW w:w="1330" w:type="dxa"/>
            <w:gridSpan w:val="2"/>
            <w:vAlign w:val="bottom"/>
            <w:hideMark/>
          </w:tcPr>
          <w:p w14:paraId="340BAF55" w14:textId="77777777" w:rsidR="003779C8" w:rsidRPr="00B61FF1" w:rsidRDefault="003779C8">
            <w:pPr>
              <w:jc w:val="right"/>
              <w:rPr>
                <w:rFonts w:ascii="Arial" w:hAnsi="Arial" w:cs="Arial"/>
                <w:color w:val="000000"/>
              </w:rPr>
            </w:pPr>
            <w:r w:rsidRPr="00B61FF1">
              <w:rPr>
                <w:rFonts w:ascii="Arial" w:hAnsi="Arial" w:cs="Arial"/>
                <w:color w:val="000000"/>
              </w:rPr>
              <w:t>0.21761%</w:t>
            </w:r>
          </w:p>
        </w:tc>
      </w:tr>
      <w:tr w:rsidR="003779C8" w:rsidRPr="00B61FF1" w14:paraId="1B8D914F" w14:textId="77777777" w:rsidTr="009E5ADE">
        <w:trPr>
          <w:trHeight w:val="300"/>
        </w:trPr>
        <w:tc>
          <w:tcPr>
            <w:tcW w:w="1653" w:type="dxa"/>
            <w:vAlign w:val="center"/>
            <w:hideMark/>
          </w:tcPr>
          <w:p w14:paraId="4C70BC87" w14:textId="77777777" w:rsidR="003779C8" w:rsidRPr="00B61FF1" w:rsidRDefault="003779C8">
            <w:pPr>
              <w:rPr>
                <w:rFonts w:ascii="Arial" w:hAnsi="Arial" w:cs="Arial"/>
                <w:color w:val="000000"/>
              </w:rPr>
            </w:pPr>
            <w:r w:rsidRPr="00B61FF1">
              <w:rPr>
                <w:rFonts w:ascii="Arial" w:hAnsi="Arial" w:cs="Arial"/>
                <w:color w:val="000000"/>
              </w:rPr>
              <w:t>City of Banning</w:t>
            </w:r>
          </w:p>
        </w:tc>
        <w:tc>
          <w:tcPr>
            <w:tcW w:w="883" w:type="dxa"/>
            <w:vAlign w:val="center"/>
            <w:hideMark/>
          </w:tcPr>
          <w:p w14:paraId="1BFD586B"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vAlign w:val="bottom"/>
            <w:hideMark/>
          </w:tcPr>
          <w:p w14:paraId="6135BE63" w14:textId="77777777" w:rsidR="003779C8" w:rsidRPr="00B61FF1" w:rsidRDefault="003779C8">
            <w:pPr>
              <w:jc w:val="right"/>
              <w:rPr>
                <w:rFonts w:ascii="Arial" w:hAnsi="Arial" w:cs="Arial"/>
                <w:color w:val="000000"/>
              </w:rPr>
            </w:pPr>
            <w:r w:rsidRPr="00B61FF1">
              <w:rPr>
                <w:rFonts w:ascii="Arial" w:hAnsi="Arial" w:cs="Arial"/>
                <w:color w:val="000000"/>
              </w:rPr>
              <w:t>0.09772%</w:t>
            </w:r>
          </w:p>
        </w:tc>
        <w:tc>
          <w:tcPr>
            <w:tcW w:w="1330" w:type="dxa"/>
            <w:gridSpan w:val="2"/>
            <w:vAlign w:val="bottom"/>
            <w:hideMark/>
          </w:tcPr>
          <w:p w14:paraId="65D5BAAC" w14:textId="77777777" w:rsidR="003779C8" w:rsidRPr="00B61FF1" w:rsidRDefault="003779C8">
            <w:pPr>
              <w:jc w:val="right"/>
              <w:rPr>
                <w:rFonts w:ascii="Arial" w:hAnsi="Arial" w:cs="Arial"/>
                <w:color w:val="000000"/>
              </w:rPr>
            </w:pPr>
            <w:r w:rsidRPr="00B61FF1">
              <w:rPr>
                <w:rFonts w:ascii="Arial" w:hAnsi="Arial" w:cs="Arial"/>
                <w:color w:val="000000"/>
              </w:rPr>
              <w:t>0.10169%</w:t>
            </w:r>
          </w:p>
        </w:tc>
        <w:tc>
          <w:tcPr>
            <w:tcW w:w="1330" w:type="dxa"/>
            <w:gridSpan w:val="2"/>
            <w:vAlign w:val="bottom"/>
            <w:hideMark/>
          </w:tcPr>
          <w:p w14:paraId="5367491A" w14:textId="77777777" w:rsidR="003779C8" w:rsidRPr="00B61FF1" w:rsidRDefault="003779C8">
            <w:pPr>
              <w:jc w:val="right"/>
              <w:rPr>
                <w:rFonts w:ascii="Arial" w:hAnsi="Arial" w:cs="Arial"/>
                <w:color w:val="000000"/>
              </w:rPr>
            </w:pPr>
            <w:r w:rsidRPr="00B61FF1">
              <w:rPr>
                <w:rFonts w:ascii="Arial" w:hAnsi="Arial" w:cs="Arial"/>
                <w:color w:val="000000"/>
              </w:rPr>
              <w:t>0.10327%</w:t>
            </w:r>
          </w:p>
        </w:tc>
        <w:tc>
          <w:tcPr>
            <w:tcW w:w="1330" w:type="dxa"/>
            <w:gridSpan w:val="2"/>
            <w:vAlign w:val="bottom"/>
            <w:hideMark/>
          </w:tcPr>
          <w:p w14:paraId="3C6C4482" w14:textId="77777777" w:rsidR="003779C8" w:rsidRPr="00B61FF1" w:rsidRDefault="003779C8">
            <w:pPr>
              <w:jc w:val="right"/>
              <w:rPr>
                <w:rFonts w:ascii="Arial" w:hAnsi="Arial" w:cs="Arial"/>
                <w:color w:val="000000"/>
              </w:rPr>
            </w:pPr>
            <w:r w:rsidRPr="00B61FF1">
              <w:rPr>
                <w:rFonts w:ascii="Arial" w:hAnsi="Arial" w:cs="Arial"/>
                <w:color w:val="000000"/>
              </w:rPr>
              <w:t>0.10646%</w:t>
            </w:r>
          </w:p>
        </w:tc>
        <w:tc>
          <w:tcPr>
            <w:tcW w:w="1330" w:type="dxa"/>
            <w:gridSpan w:val="2"/>
            <w:vAlign w:val="bottom"/>
            <w:hideMark/>
          </w:tcPr>
          <w:p w14:paraId="208D15CE" w14:textId="77777777" w:rsidR="003779C8" w:rsidRPr="00B61FF1" w:rsidRDefault="003779C8">
            <w:pPr>
              <w:jc w:val="right"/>
              <w:rPr>
                <w:rFonts w:ascii="Arial" w:hAnsi="Arial" w:cs="Arial"/>
                <w:color w:val="000000"/>
              </w:rPr>
            </w:pPr>
            <w:r w:rsidRPr="00B61FF1">
              <w:rPr>
                <w:rFonts w:ascii="Arial" w:hAnsi="Arial" w:cs="Arial"/>
                <w:color w:val="000000"/>
              </w:rPr>
              <w:t>0.11074%</w:t>
            </w:r>
          </w:p>
        </w:tc>
        <w:tc>
          <w:tcPr>
            <w:tcW w:w="1330" w:type="dxa"/>
            <w:gridSpan w:val="2"/>
            <w:vAlign w:val="bottom"/>
            <w:hideMark/>
          </w:tcPr>
          <w:p w14:paraId="5F8A4CDC" w14:textId="77777777" w:rsidR="003779C8" w:rsidRPr="00B61FF1" w:rsidRDefault="003779C8">
            <w:pPr>
              <w:jc w:val="right"/>
              <w:rPr>
                <w:rFonts w:ascii="Arial" w:hAnsi="Arial" w:cs="Arial"/>
                <w:color w:val="000000"/>
              </w:rPr>
            </w:pPr>
            <w:r w:rsidRPr="00B61FF1">
              <w:rPr>
                <w:rFonts w:ascii="Arial" w:hAnsi="Arial" w:cs="Arial"/>
                <w:color w:val="000000"/>
              </w:rPr>
              <w:t>0.11334%</w:t>
            </w:r>
          </w:p>
        </w:tc>
        <w:tc>
          <w:tcPr>
            <w:tcW w:w="1330" w:type="dxa"/>
            <w:gridSpan w:val="2"/>
            <w:vAlign w:val="bottom"/>
            <w:hideMark/>
          </w:tcPr>
          <w:p w14:paraId="57B389A2" w14:textId="77777777" w:rsidR="003779C8" w:rsidRPr="00B61FF1" w:rsidRDefault="003779C8">
            <w:pPr>
              <w:jc w:val="right"/>
              <w:rPr>
                <w:rFonts w:ascii="Arial" w:hAnsi="Arial" w:cs="Arial"/>
                <w:color w:val="000000"/>
              </w:rPr>
            </w:pPr>
            <w:r w:rsidRPr="00B61FF1">
              <w:rPr>
                <w:rFonts w:ascii="Arial" w:hAnsi="Arial" w:cs="Arial"/>
                <w:color w:val="000000"/>
              </w:rPr>
              <w:t>0.11631%</w:t>
            </w:r>
          </w:p>
        </w:tc>
        <w:tc>
          <w:tcPr>
            <w:tcW w:w="1330" w:type="dxa"/>
            <w:gridSpan w:val="2"/>
            <w:vAlign w:val="bottom"/>
            <w:hideMark/>
          </w:tcPr>
          <w:p w14:paraId="1DB3F368" w14:textId="77777777" w:rsidR="003779C8" w:rsidRPr="00B61FF1" w:rsidRDefault="003779C8">
            <w:pPr>
              <w:jc w:val="right"/>
              <w:rPr>
                <w:rFonts w:ascii="Arial" w:hAnsi="Arial" w:cs="Arial"/>
                <w:color w:val="000000"/>
              </w:rPr>
            </w:pPr>
            <w:r w:rsidRPr="00B61FF1">
              <w:rPr>
                <w:rFonts w:ascii="Arial" w:hAnsi="Arial" w:cs="Arial"/>
                <w:color w:val="000000"/>
              </w:rPr>
              <w:t>0.12050%</w:t>
            </w:r>
          </w:p>
        </w:tc>
      </w:tr>
      <w:tr w:rsidR="003779C8" w:rsidRPr="00B61FF1" w14:paraId="67C2BF2D" w14:textId="77777777" w:rsidTr="009E5ADE">
        <w:trPr>
          <w:trHeight w:val="300"/>
        </w:trPr>
        <w:tc>
          <w:tcPr>
            <w:tcW w:w="1653" w:type="dxa"/>
            <w:vAlign w:val="center"/>
            <w:hideMark/>
          </w:tcPr>
          <w:p w14:paraId="210C43D7" w14:textId="77777777" w:rsidR="003779C8" w:rsidRPr="00B61FF1" w:rsidRDefault="003779C8">
            <w:pPr>
              <w:rPr>
                <w:rFonts w:ascii="Arial" w:hAnsi="Arial" w:cs="Arial"/>
                <w:color w:val="000000"/>
              </w:rPr>
            </w:pPr>
            <w:r w:rsidRPr="00B61FF1">
              <w:rPr>
                <w:rFonts w:ascii="Arial" w:hAnsi="Arial" w:cs="Arial"/>
                <w:color w:val="000000"/>
              </w:rPr>
              <w:t>City of Burbank</w:t>
            </w:r>
          </w:p>
        </w:tc>
        <w:tc>
          <w:tcPr>
            <w:tcW w:w="883" w:type="dxa"/>
            <w:vAlign w:val="center"/>
            <w:hideMark/>
          </w:tcPr>
          <w:p w14:paraId="6E935529"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vAlign w:val="bottom"/>
            <w:hideMark/>
          </w:tcPr>
          <w:p w14:paraId="2536FFBB" w14:textId="77777777" w:rsidR="003779C8" w:rsidRPr="00B61FF1" w:rsidRDefault="003779C8">
            <w:pPr>
              <w:jc w:val="right"/>
              <w:rPr>
                <w:rFonts w:ascii="Arial" w:hAnsi="Arial" w:cs="Arial"/>
                <w:color w:val="000000"/>
              </w:rPr>
            </w:pPr>
            <w:r w:rsidRPr="00B61FF1">
              <w:rPr>
                <w:rFonts w:ascii="Arial" w:hAnsi="Arial" w:cs="Arial"/>
                <w:color w:val="000000"/>
              </w:rPr>
              <w:t>0.65354%</w:t>
            </w:r>
          </w:p>
        </w:tc>
        <w:tc>
          <w:tcPr>
            <w:tcW w:w="1330" w:type="dxa"/>
            <w:gridSpan w:val="2"/>
            <w:vAlign w:val="bottom"/>
            <w:hideMark/>
          </w:tcPr>
          <w:p w14:paraId="49FD69E5" w14:textId="77777777" w:rsidR="003779C8" w:rsidRPr="00B61FF1" w:rsidRDefault="003779C8">
            <w:pPr>
              <w:jc w:val="right"/>
              <w:rPr>
                <w:rFonts w:ascii="Arial" w:hAnsi="Arial" w:cs="Arial"/>
                <w:color w:val="000000"/>
              </w:rPr>
            </w:pPr>
            <w:r w:rsidRPr="00B61FF1">
              <w:rPr>
                <w:rFonts w:ascii="Arial" w:hAnsi="Arial" w:cs="Arial"/>
                <w:color w:val="000000"/>
              </w:rPr>
              <w:t>0.66027%</w:t>
            </w:r>
          </w:p>
        </w:tc>
        <w:tc>
          <w:tcPr>
            <w:tcW w:w="1330" w:type="dxa"/>
            <w:gridSpan w:val="2"/>
            <w:vAlign w:val="bottom"/>
            <w:hideMark/>
          </w:tcPr>
          <w:p w14:paraId="19D4628A" w14:textId="77777777" w:rsidR="003779C8" w:rsidRPr="00B61FF1" w:rsidRDefault="003779C8">
            <w:pPr>
              <w:jc w:val="right"/>
              <w:rPr>
                <w:rFonts w:ascii="Arial" w:hAnsi="Arial" w:cs="Arial"/>
                <w:color w:val="000000"/>
              </w:rPr>
            </w:pPr>
            <w:r w:rsidRPr="00B61FF1">
              <w:rPr>
                <w:rFonts w:ascii="Arial" w:hAnsi="Arial" w:cs="Arial"/>
                <w:color w:val="000000"/>
              </w:rPr>
              <w:t>0.66532%</w:t>
            </w:r>
          </w:p>
        </w:tc>
        <w:tc>
          <w:tcPr>
            <w:tcW w:w="1330" w:type="dxa"/>
            <w:gridSpan w:val="2"/>
            <w:vAlign w:val="bottom"/>
            <w:hideMark/>
          </w:tcPr>
          <w:p w14:paraId="03D514A3" w14:textId="77777777" w:rsidR="003779C8" w:rsidRPr="00B61FF1" w:rsidRDefault="003779C8">
            <w:pPr>
              <w:jc w:val="right"/>
              <w:rPr>
                <w:rFonts w:ascii="Arial" w:hAnsi="Arial" w:cs="Arial"/>
                <w:color w:val="000000"/>
              </w:rPr>
            </w:pPr>
            <w:r w:rsidRPr="00B61FF1">
              <w:rPr>
                <w:rFonts w:ascii="Arial" w:hAnsi="Arial" w:cs="Arial"/>
                <w:color w:val="000000"/>
              </w:rPr>
              <w:t>0.67128%</w:t>
            </w:r>
          </w:p>
        </w:tc>
        <w:tc>
          <w:tcPr>
            <w:tcW w:w="1330" w:type="dxa"/>
            <w:gridSpan w:val="2"/>
            <w:vAlign w:val="bottom"/>
            <w:hideMark/>
          </w:tcPr>
          <w:p w14:paraId="20857627" w14:textId="77777777" w:rsidR="003779C8" w:rsidRPr="00B61FF1" w:rsidRDefault="003779C8">
            <w:pPr>
              <w:jc w:val="right"/>
              <w:rPr>
                <w:rFonts w:ascii="Arial" w:hAnsi="Arial" w:cs="Arial"/>
                <w:color w:val="000000"/>
              </w:rPr>
            </w:pPr>
            <w:r w:rsidRPr="00B61FF1">
              <w:rPr>
                <w:rFonts w:ascii="Arial" w:hAnsi="Arial" w:cs="Arial"/>
                <w:color w:val="000000"/>
              </w:rPr>
              <w:t>0.68296%</w:t>
            </w:r>
          </w:p>
        </w:tc>
        <w:tc>
          <w:tcPr>
            <w:tcW w:w="1330" w:type="dxa"/>
            <w:gridSpan w:val="2"/>
            <w:vAlign w:val="bottom"/>
            <w:hideMark/>
          </w:tcPr>
          <w:p w14:paraId="3B126DD7" w14:textId="77777777" w:rsidR="003779C8" w:rsidRPr="00B61FF1" w:rsidRDefault="003779C8">
            <w:pPr>
              <w:jc w:val="right"/>
              <w:rPr>
                <w:rFonts w:ascii="Arial" w:hAnsi="Arial" w:cs="Arial"/>
                <w:color w:val="000000"/>
              </w:rPr>
            </w:pPr>
            <w:r w:rsidRPr="00B61FF1">
              <w:rPr>
                <w:rFonts w:ascii="Arial" w:hAnsi="Arial" w:cs="Arial"/>
                <w:color w:val="000000"/>
              </w:rPr>
              <w:t>0.68319%</w:t>
            </w:r>
          </w:p>
        </w:tc>
        <w:tc>
          <w:tcPr>
            <w:tcW w:w="1330" w:type="dxa"/>
            <w:gridSpan w:val="2"/>
            <w:vAlign w:val="bottom"/>
            <w:hideMark/>
          </w:tcPr>
          <w:p w14:paraId="4D0CA95F" w14:textId="77777777" w:rsidR="003779C8" w:rsidRPr="00B61FF1" w:rsidRDefault="003779C8">
            <w:pPr>
              <w:jc w:val="right"/>
              <w:rPr>
                <w:rFonts w:ascii="Arial" w:hAnsi="Arial" w:cs="Arial"/>
                <w:color w:val="000000"/>
              </w:rPr>
            </w:pPr>
            <w:r w:rsidRPr="00B61FF1">
              <w:rPr>
                <w:rFonts w:ascii="Arial" w:hAnsi="Arial" w:cs="Arial"/>
                <w:color w:val="000000"/>
              </w:rPr>
              <w:t>0.68787%</w:t>
            </w:r>
          </w:p>
        </w:tc>
        <w:tc>
          <w:tcPr>
            <w:tcW w:w="1330" w:type="dxa"/>
            <w:gridSpan w:val="2"/>
            <w:vAlign w:val="bottom"/>
            <w:hideMark/>
          </w:tcPr>
          <w:p w14:paraId="79CA7A4C" w14:textId="77777777" w:rsidR="003779C8" w:rsidRPr="00B61FF1" w:rsidRDefault="003779C8">
            <w:pPr>
              <w:jc w:val="right"/>
              <w:rPr>
                <w:rFonts w:ascii="Arial" w:hAnsi="Arial" w:cs="Arial"/>
                <w:color w:val="000000"/>
              </w:rPr>
            </w:pPr>
            <w:r w:rsidRPr="00B61FF1">
              <w:rPr>
                <w:rFonts w:ascii="Arial" w:hAnsi="Arial" w:cs="Arial"/>
                <w:color w:val="000000"/>
              </w:rPr>
              <w:t>0.69354%</w:t>
            </w:r>
          </w:p>
        </w:tc>
      </w:tr>
      <w:tr w:rsidR="003779C8" w:rsidRPr="00B61FF1" w14:paraId="69907F38" w14:textId="77777777" w:rsidTr="009E5ADE">
        <w:trPr>
          <w:trHeight w:val="300"/>
        </w:trPr>
        <w:tc>
          <w:tcPr>
            <w:tcW w:w="1653" w:type="dxa"/>
            <w:tcBorders>
              <w:bottom w:val="single" w:sz="4" w:space="0" w:color="auto"/>
            </w:tcBorders>
            <w:vAlign w:val="center"/>
            <w:hideMark/>
          </w:tcPr>
          <w:p w14:paraId="352D0E12" w14:textId="77777777" w:rsidR="003779C8" w:rsidRPr="00B61FF1" w:rsidRDefault="003779C8">
            <w:pPr>
              <w:rPr>
                <w:rFonts w:ascii="Arial" w:hAnsi="Arial" w:cs="Arial"/>
                <w:color w:val="000000"/>
              </w:rPr>
            </w:pPr>
            <w:r w:rsidRPr="00B61FF1">
              <w:rPr>
                <w:rFonts w:ascii="Arial" w:hAnsi="Arial" w:cs="Arial"/>
                <w:color w:val="000000"/>
              </w:rPr>
              <w:t>City of Cerritos</w:t>
            </w:r>
          </w:p>
        </w:tc>
        <w:tc>
          <w:tcPr>
            <w:tcW w:w="883" w:type="dxa"/>
            <w:tcBorders>
              <w:bottom w:val="single" w:sz="4" w:space="0" w:color="auto"/>
            </w:tcBorders>
            <w:vAlign w:val="center"/>
            <w:hideMark/>
          </w:tcPr>
          <w:p w14:paraId="1C819186"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tcBorders>
              <w:bottom w:val="single" w:sz="4" w:space="0" w:color="auto"/>
            </w:tcBorders>
            <w:vAlign w:val="bottom"/>
            <w:hideMark/>
          </w:tcPr>
          <w:p w14:paraId="31B87202" w14:textId="77777777" w:rsidR="003779C8" w:rsidRPr="00B61FF1" w:rsidRDefault="003779C8">
            <w:pPr>
              <w:jc w:val="right"/>
              <w:rPr>
                <w:rFonts w:ascii="Arial" w:hAnsi="Arial" w:cs="Arial"/>
                <w:color w:val="000000"/>
              </w:rPr>
            </w:pPr>
            <w:r w:rsidRPr="00B61FF1">
              <w:rPr>
                <w:rFonts w:ascii="Arial" w:hAnsi="Arial" w:cs="Arial"/>
                <w:color w:val="000000"/>
              </w:rPr>
              <w:t>0.01827%</w:t>
            </w:r>
          </w:p>
        </w:tc>
        <w:tc>
          <w:tcPr>
            <w:tcW w:w="1330" w:type="dxa"/>
            <w:gridSpan w:val="2"/>
            <w:tcBorders>
              <w:bottom w:val="single" w:sz="4" w:space="0" w:color="auto"/>
            </w:tcBorders>
            <w:vAlign w:val="bottom"/>
            <w:hideMark/>
          </w:tcPr>
          <w:p w14:paraId="0BFA96A3" w14:textId="77777777" w:rsidR="003779C8" w:rsidRPr="00B61FF1" w:rsidRDefault="003779C8">
            <w:pPr>
              <w:jc w:val="right"/>
              <w:rPr>
                <w:rFonts w:ascii="Arial" w:hAnsi="Arial" w:cs="Arial"/>
                <w:color w:val="000000"/>
              </w:rPr>
            </w:pPr>
            <w:r w:rsidRPr="00B61FF1">
              <w:rPr>
                <w:rFonts w:ascii="Arial" w:hAnsi="Arial" w:cs="Arial"/>
                <w:color w:val="000000"/>
              </w:rPr>
              <w:t>0.01887%</w:t>
            </w:r>
          </w:p>
        </w:tc>
        <w:tc>
          <w:tcPr>
            <w:tcW w:w="1330" w:type="dxa"/>
            <w:gridSpan w:val="2"/>
            <w:tcBorders>
              <w:bottom w:val="single" w:sz="4" w:space="0" w:color="auto"/>
            </w:tcBorders>
            <w:vAlign w:val="bottom"/>
            <w:hideMark/>
          </w:tcPr>
          <w:p w14:paraId="2771B1E0" w14:textId="77777777" w:rsidR="003779C8" w:rsidRPr="00B61FF1" w:rsidRDefault="003779C8">
            <w:pPr>
              <w:jc w:val="right"/>
              <w:rPr>
                <w:rFonts w:ascii="Arial" w:hAnsi="Arial" w:cs="Arial"/>
                <w:color w:val="000000"/>
              </w:rPr>
            </w:pPr>
            <w:r w:rsidRPr="00B61FF1">
              <w:rPr>
                <w:rFonts w:ascii="Arial" w:hAnsi="Arial" w:cs="Arial"/>
                <w:color w:val="000000"/>
              </w:rPr>
              <w:t>0.01945%</w:t>
            </w:r>
          </w:p>
        </w:tc>
        <w:tc>
          <w:tcPr>
            <w:tcW w:w="1330" w:type="dxa"/>
            <w:gridSpan w:val="2"/>
            <w:tcBorders>
              <w:bottom w:val="single" w:sz="4" w:space="0" w:color="auto"/>
            </w:tcBorders>
            <w:vAlign w:val="bottom"/>
            <w:hideMark/>
          </w:tcPr>
          <w:p w14:paraId="4FC19CDD" w14:textId="77777777" w:rsidR="003779C8" w:rsidRPr="00B61FF1" w:rsidRDefault="003779C8">
            <w:pPr>
              <w:jc w:val="right"/>
              <w:rPr>
                <w:rFonts w:ascii="Arial" w:hAnsi="Arial" w:cs="Arial"/>
                <w:color w:val="000000"/>
              </w:rPr>
            </w:pPr>
            <w:r w:rsidRPr="00B61FF1">
              <w:rPr>
                <w:rFonts w:ascii="Arial" w:hAnsi="Arial" w:cs="Arial"/>
                <w:color w:val="000000"/>
              </w:rPr>
              <w:t>0.02004%</w:t>
            </w:r>
          </w:p>
        </w:tc>
        <w:tc>
          <w:tcPr>
            <w:tcW w:w="1330" w:type="dxa"/>
            <w:gridSpan w:val="2"/>
            <w:tcBorders>
              <w:bottom w:val="single" w:sz="4" w:space="0" w:color="auto"/>
            </w:tcBorders>
            <w:vAlign w:val="bottom"/>
            <w:hideMark/>
          </w:tcPr>
          <w:p w14:paraId="51ABB6DB" w14:textId="77777777" w:rsidR="003779C8" w:rsidRPr="00B61FF1" w:rsidRDefault="003779C8">
            <w:pPr>
              <w:jc w:val="right"/>
              <w:rPr>
                <w:rFonts w:ascii="Arial" w:hAnsi="Arial" w:cs="Arial"/>
                <w:color w:val="000000"/>
              </w:rPr>
            </w:pPr>
            <w:r w:rsidRPr="00B61FF1">
              <w:rPr>
                <w:rFonts w:ascii="Arial" w:hAnsi="Arial" w:cs="Arial"/>
                <w:color w:val="000000"/>
              </w:rPr>
              <w:t>0.02090%</w:t>
            </w:r>
          </w:p>
        </w:tc>
        <w:tc>
          <w:tcPr>
            <w:tcW w:w="1330" w:type="dxa"/>
            <w:gridSpan w:val="2"/>
            <w:tcBorders>
              <w:bottom w:val="single" w:sz="4" w:space="0" w:color="auto"/>
            </w:tcBorders>
            <w:vAlign w:val="bottom"/>
            <w:hideMark/>
          </w:tcPr>
          <w:p w14:paraId="4392D0F7" w14:textId="77777777" w:rsidR="003779C8" w:rsidRPr="00B61FF1" w:rsidRDefault="003779C8">
            <w:pPr>
              <w:jc w:val="right"/>
              <w:rPr>
                <w:rFonts w:ascii="Arial" w:hAnsi="Arial" w:cs="Arial"/>
                <w:color w:val="000000"/>
              </w:rPr>
            </w:pPr>
            <w:r w:rsidRPr="00B61FF1">
              <w:rPr>
                <w:rFonts w:ascii="Arial" w:hAnsi="Arial" w:cs="Arial"/>
                <w:color w:val="000000"/>
              </w:rPr>
              <w:t>0.02128%</w:t>
            </w:r>
          </w:p>
        </w:tc>
        <w:tc>
          <w:tcPr>
            <w:tcW w:w="1330" w:type="dxa"/>
            <w:gridSpan w:val="2"/>
            <w:tcBorders>
              <w:bottom w:val="single" w:sz="4" w:space="0" w:color="auto"/>
            </w:tcBorders>
            <w:vAlign w:val="bottom"/>
            <w:hideMark/>
          </w:tcPr>
          <w:p w14:paraId="726772A9" w14:textId="77777777" w:rsidR="003779C8" w:rsidRPr="00B61FF1" w:rsidRDefault="003779C8">
            <w:pPr>
              <w:jc w:val="right"/>
              <w:rPr>
                <w:rFonts w:ascii="Arial" w:hAnsi="Arial" w:cs="Arial"/>
                <w:color w:val="000000"/>
              </w:rPr>
            </w:pPr>
            <w:r w:rsidRPr="00B61FF1">
              <w:rPr>
                <w:rFonts w:ascii="Arial" w:hAnsi="Arial" w:cs="Arial"/>
                <w:color w:val="000000"/>
              </w:rPr>
              <w:t>0.02186%</w:t>
            </w:r>
          </w:p>
        </w:tc>
        <w:tc>
          <w:tcPr>
            <w:tcW w:w="1330" w:type="dxa"/>
            <w:gridSpan w:val="2"/>
            <w:tcBorders>
              <w:bottom w:val="single" w:sz="4" w:space="0" w:color="auto"/>
            </w:tcBorders>
            <w:vAlign w:val="bottom"/>
            <w:hideMark/>
          </w:tcPr>
          <w:p w14:paraId="05A6C2EC" w14:textId="77777777" w:rsidR="003779C8" w:rsidRPr="00B61FF1" w:rsidRDefault="003779C8">
            <w:pPr>
              <w:jc w:val="right"/>
              <w:rPr>
                <w:rFonts w:ascii="Arial" w:hAnsi="Arial" w:cs="Arial"/>
                <w:color w:val="000000"/>
              </w:rPr>
            </w:pPr>
            <w:r w:rsidRPr="00B61FF1">
              <w:rPr>
                <w:rFonts w:ascii="Arial" w:hAnsi="Arial" w:cs="Arial"/>
                <w:color w:val="000000"/>
              </w:rPr>
              <w:t>0.02240%</w:t>
            </w:r>
          </w:p>
        </w:tc>
      </w:tr>
      <w:tr w:rsidR="003779C8" w:rsidRPr="00B61FF1" w14:paraId="265B0B28" w14:textId="77777777" w:rsidTr="009E5ADE">
        <w:trPr>
          <w:trHeight w:val="300"/>
        </w:trPr>
        <w:tc>
          <w:tcPr>
            <w:tcW w:w="1653" w:type="dxa"/>
            <w:tcBorders>
              <w:bottom w:val="single" w:sz="4" w:space="0" w:color="auto"/>
            </w:tcBorders>
            <w:vAlign w:val="center"/>
          </w:tcPr>
          <w:p w14:paraId="676D7CFB" w14:textId="77777777" w:rsidR="003779C8" w:rsidRPr="00B61FF1" w:rsidRDefault="003779C8">
            <w:pPr>
              <w:rPr>
                <w:rFonts w:ascii="Arial" w:hAnsi="Arial" w:cs="Arial"/>
                <w:color w:val="000000"/>
              </w:rPr>
            </w:pPr>
            <w:r w:rsidRPr="00B61FF1">
              <w:rPr>
                <w:rFonts w:ascii="Arial" w:hAnsi="Arial" w:cs="Arial"/>
                <w:color w:val="000000"/>
              </w:rPr>
              <w:t>City of Colton</w:t>
            </w:r>
          </w:p>
        </w:tc>
        <w:tc>
          <w:tcPr>
            <w:tcW w:w="883" w:type="dxa"/>
            <w:tcBorders>
              <w:bottom w:val="single" w:sz="4" w:space="0" w:color="auto"/>
            </w:tcBorders>
            <w:vAlign w:val="center"/>
          </w:tcPr>
          <w:p w14:paraId="6E6089C3"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tcBorders>
              <w:bottom w:val="single" w:sz="4" w:space="0" w:color="auto"/>
            </w:tcBorders>
            <w:vAlign w:val="bottom"/>
          </w:tcPr>
          <w:p w14:paraId="08920337" w14:textId="77777777" w:rsidR="003779C8" w:rsidRPr="00B61FF1" w:rsidRDefault="003779C8">
            <w:pPr>
              <w:jc w:val="right"/>
              <w:rPr>
                <w:rFonts w:ascii="Arial" w:hAnsi="Arial" w:cs="Arial"/>
                <w:color w:val="000000"/>
              </w:rPr>
            </w:pPr>
            <w:r w:rsidRPr="00B61FF1">
              <w:rPr>
                <w:rFonts w:ascii="Arial" w:hAnsi="Arial" w:cs="Arial"/>
                <w:color w:val="000000"/>
              </w:rPr>
              <w:t>0.24485%</w:t>
            </w:r>
          </w:p>
        </w:tc>
        <w:tc>
          <w:tcPr>
            <w:tcW w:w="1330" w:type="dxa"/>
            <w:gridSpan w:val="2"/>
            <w:tcBorders>
              <w:bottom w:val="single" w:sz="4" w:space="0" w:color="auto"/>
            </w:tcBorders>
            <w:vAlign w:val="bottom"/>
          </w:tcPr>
          <w:p w14:paraId="649214BE" w14:textId="77777777" w:rsidR="003779C8" w:rsidRPr="00B61FF1" w:rsidRDefault="003779C8">
            <w:pPr>
              <w:jc w:val="right"/>
              <w:rPr>
                <w:rFonts w:ascii="Arial" w:hAnsi="Arial" w:cs="Arial"/>
                <w:color w:val="000000"/>
              </w:rPr>
            </w:pPr>
            <w:r w:rsidRPr="00B61FF1">
              <w:rPr>
                <w:rFonts w:ascii="Arial" w:hAnsi="Arial" w:cs="Arial"/>
                <w:color w:val="000000"/>
              </w:rPr>
              <w:t>0.25185%</w:t>
            </w:r>
          </w:p>
        </w:tc>
        <w:tc>
          <w:tcPr>
            <w:tcW w:w="1330" w:type="dxa"/>
            <w:gridSpan w:val="2"/>
            <w:tcBorders>
              <w:bottom w:val="single" w:sz="4" w:space="0" w:color="auto"/>
            </w:tcBorders>
            <w:vAlign w:val="bottom"/>
          </w:tcPr>
          <w:p w14:paraId="5332ACF7" w14:textId="77777777" w:rsidR="003779C8" w:rsidRPr="00B61FF1" w:rsidRDefault="003779C8">
            <w:pPr>
              <w:jc w:val="right"/>
              <w:rPr>
                <w:rFonts w:ascii="Arial" w:hAnsi="Arial" w:cs="Arial"/>
                <w:color w:val="000000"/>
              </w:rPr>
            </w:pPr>
            <w:r w:rsidRPr="00B61FF1">
              <w:rPr>
                <w:rFonts w:ascii="Arial" w:hAnsi="Arial" w:cs="Arial"/>
                <w:color w:val="000000"/>
              </w:rPr>
              <w:t>0.25876%</w:t>
            </w:r>
          </w:p>
        </w:tc>
        <w:tc>
          <w:tcPr>
            <w:tcW w:w="1330" w:type="dxa"/>
            <w:gridSpan w:val="2"/>
            <w:tcBorders>
              <w:bottom w:val="single" w:sz="4" w:space="0" w:color="auto"/>
            </w:tcBorders>
            <w:vAlign w:val="bottom"/>
          </w:tcPr>
          <w:p w14:paraId="5A2267CE" w14:textId="77777777" w:rsidR="003779C8" w:rsidRPr="00B61FF1" w:rsidRDefault="003779C8">
            <w:pPr>
              <w:jc w:val="right"/>
              <w:rPr>
                <w:rFonts w:ascii="Arial" w:hAnsi="Arial" w:cs="Arial"/>
                <w:color w:val="000000"/>
              </w:rPr>
            </w:pPr>
            <w:r w:rsidRPr="00B61FF1">
              <w:rPr>
                <w:rFonts w:ascii="Arial" w:hAnsi="Arial" w:cs="Arial"/>
                <w:color w:val="000000"/>
              </w:rPr>
              <w:t>0.26535%</w:t>
            </w:r>
          </w:p>
        </w:tc>
        <w:tc>
          <w:tcPr>
            <w:tcW w:w="1330" w:type="dxa"/>
            <w:gridSpan w:val="2"/>
            <w:tcBorders>
              <w:bottom w:val="single" w:sz="4" w:space="0" w:color="auto"/>
            </w:tcBorders>
            <w:vAlign w:val="bottom"/>
          </w:tcPr>
          <w:p w14:paraId="74F52F23" w14:textId="77777777" w:rsidR="003779C8" w:rsidRPr="00B61FF1" w:rsidRDefault="003779C8">
            <w:pPr>
              <w:jc w:val="right"/>
              <w:rPr>
                <w:rFonts w:ascii="Arial" w:hAnsi="Arial" w:cs="Arial"/>
                <w:color w:val="000000"/>
              </w:rPr>
            </w:pPr>
            <w:r w:rsidRPr="00B61FF1">
              <w:rPr>
                <w:rFonts w:ascii="Arial" w:hAnsi="Arial" w:cs="Arial"/>
                <w:color w:val="000000"/>
              </w:rPr>
              <w:t>0.27437%</w:t>
            </w:r>
          </w:p>
        </w:tc>
        <w:tc>
          <w:tcPr>
            <w:tcW w:w="1330" w:type="dxa"/>
            <w:gridSpan w:val="2"/>
            <w:tcBorders>
              <w:bottom w:val="single" w:sz="4" w:space="0" w:color="auto"/>
            </w:tcBorders>
            <w:vAlign w:val="bottom"/>
          </w:tcPr>
          <w:p w14:paraId="7D1E41BB" w14:textId="77777777" w:rsidR="003779C8" w:rsidRPr="00B61FF1" w:rsidRDefault="003779C8">
            <w:pPr>
              <w:jc w:val="right"/>
              <w:rPr>
                <w:rFonts w:ascii="Arial" w:hAnsi="Arial" w:cs="Arial"/>
                <w:color w:val="000000"/>
              </w:rPr>
            </w:pPr>
            <w:r w:rsidRPr="00B61FF1">
              <w:rPr>
                <w:rFonts w:ascii="Arial" w:hAnsi="Arial" w:cs="Arial"/>
                <w:color w:val="000000"/>
              </w:rPr>
              <w:t>0.27891%</w:t>
            </w:r>
          </w:p>
        </w:tc>
        <w:tc>
          <w:tcPr>
            <w:tcW w:w="1330" w:type="dxa"/>
            <w:gridSpan w:val="2"/>
            <w:tcBorders>
              <w:bottom w:val="single" w:sz="4" w:space="0" w:color="auto"/>
            </w:tcBorders>
            <w:vAlign w:val="bottom"/>
          </w:tcPr>
          <w:p w14:paraId="0CCC920E" w14:textId="77777777" w:rsidR="003779C8" w:rsidRPr="00B61FF1" w:rsidRDefault="003779C8">
            <w:pPr>
              <w:jc w:val="right"/>
              <w:rPr>
                <w:rFonts w:ascii="Arial" w:hAnsi="Arial" w:cs="Arial"/>
                <w:color w:val="000000"/>
              </w:rPr>
            </w:pPr>
            <w:r w:rsidRPr="00B61FF1">
              <w:rPr>
                <w:rFonts w:ascii="Arial" w:hAnsi="Arial" w:cs="Arial"/>
                <w:color w:val="000000"/>
              </w:rPr>
              <w:t>0.28559%</w:t>
            </w:r>
          </w:p>
        </w:tc>
        <w:tc>
          <w:tcPr>
            <w:tcW w:w="1330" w:type="dxa"/>
            <w:gridSpan w:val="2"/>
            <w:tcBorders>
              <w:bottom w:val="single" w:sz="4" w:space="0" w:color="auto"/>
            </w:tcBorders>
            <w:vAlign w:val="bottom"/>
          </w:tcPr>
          <w:p w14:paraId="1F0BE4F3" w14:textId="77777777" w:rsidR="003779C8" w:rsidRPr="00B61FF1" w:rsidRDefault="003779C8">
            <w:pPr>
              <w:jc w:val="right"/>
              <w:rPr>
                <w:rFonts w:ascii="Arial" w:hAnsi="Arial" w:cs="Arial"/>
                <w:color w:val="000000"/>
              </w:rPr>
            </w:pPr>
            <w:r w:rsidRPr="00B61FF1">
              <w:rPr>
                <w:rFonts w:ascii="Arial" w:hAnsi="Arial" w:cs="Arial"/>
                <w:color w:val="000000"/>
              </w:rPr>
              <w:t>0.29302%</w:t>
            </w:r>
          </w:p>
        </w:tc>
      </w:tr>
      <w:tr w:rsidR="003779C8" w:rsidRPr="00B61FF1" w14:paraId="5B74B8B4" w14:textId="77777777" w:rsidTr="009E5ADE">
        <w:trPr>
          <w:trHeight w:val="300"/>
        </w:trPr>
        <w:tc>
          <w:tcPr>
            <w:tcW w:w="1653" w:type="dxa"/>
            <w:tcBorders>
              <w:bottom w:val="single" w:sz="4" w:space="0" w:color="auto"/>
            </w:tcBorders>
            <w:vAlign w:val="center"/>
          </w:tcPr>
          <w:p w14:paraId="0DC7BEF2" w14:textId="77777777" w:rsidR="003779C8" w:rsidRPr="00B61FF1" w:rsidRDefault="003779C8">
            <w:pPr>
              <w:rPr>
                <w:rFonts w:ascii="Arial" w:hAnsi="Arial" w:cs="Arial"/>
                <w:color w:val="000000"/>
                <w:sz w:val="16"/>
                <w:szCs w:val="16"/>
              </w:rPr>
            </w:pPr>
            <w:r w:rsidRPr="00B61FF1">
              <w:rPr>
                <w:rFonts w:ascii="Arial" w:hAnsi="Arial" w:cs="Arial"/>
                <w:color w:val="000000"/>
              </w:rPr>
              <w:t>C</w:t>
            </w:r>
            <w:r w:rsidR="007C2F50" w:rsidRPr="00B61FF1">
              <w:rPr>
                <w:rFonts w:ascii="Arial" w:hAnsi="Arial" w:cs="Arial"/>
                <w:color w:val="000000"/>
              </w:rPr>
              <w:t xml:space="preserve">ity of Glendale (Water and </w:t>
            </w:r>
            <w:r w:rsidRPr="00B61FF1">
              <w:rPr>
                <w:rFonts w:ascii="Arial" w:hAnsi="Arial" w:cs="Arial"/>
                <w:color w:val="000000"/>
              </w:rPr>
              <w:t>Power)</w:t>
            </w:r>
          </w:p>
        </w:tc>
        <w:tc>
          <w:tcPr>
            <w:tcW w:w="883" w:type="dxa"/>
            <w:tcBorders>
              <w:bottom w:val="single" w:sz="4" w:space="0" w:color="auto"/>
            </w:tcBorders>
            <w:vAlign w:val="center"/>
          </w:tcPr>
          <w:p w14:paraId="42F51358" w14:textId="77777777" w:rsidR="003779C8" w:rsidRPr="00B61FF1" w:rsidRDefault="003779C8">
            <w:pPr>
              <w:rPr>
                <w:rFonts w:ascii="Arial" w:hAnsi="Arial" w:cs="Arial"/>
                <w:color w:val="000000"/>
              </w:rPr>
            </w:pPr>
            <w:r w:rsidRPr="00B61FF1">
              <w:rPr>
                <w:rFonts w:ascii="Arial" w:hAnsi="Arial" w:cs="Arial"/>
                <w:color w:val="000000"/>
              </w:rPr>
              <w:t>POU</w:t>
            </w:r>
          </w:p>
        </w:tc>
        <w:tc>
          <w:tcPr>
            <w:tcW w:w="1330" w:type="dxa"/>
            <w:gridSpan w:val="3"/>
            <w:tcBorders>
              <w:bottom w:val="single" w:sz="4" w:space="0" w:color="auto"/>
            </w:tcBorders>
            <w:vAlign w:val="bottom"/>
          </w:tcPr>
          <w:p w14:paraId="4EF3F11B" w14:textId="77777777" w:rsidR="003779C8" w:rsidRPr="00B61FF1" w:rsidRDefault="003779C8">
            <w:pPr>
              <w:jc w:val="right"/>
              <w:rPr>
                <w:rFonts w:ascii="Arial" w:hAnsi="Arial" w:cs="Arial"/>
                <w:color w:val="000000"/>
              </w:rPr>
            </w:pPr>
            <w:r w:rsidRPr="00B61FF1">
              <w:rPr>
                <w:rFonts w:ascii="Arial" w:hAnsi="Arial" w:cs="Arial"/>
                <w:color w:val="000000"/>
              </w:rPr>
              <w:t>0.65850%</w:t>
            </w:r>
          </w:p>
        </w:tc>
        <w:tc>
          <w:tcPr>
            <w:tcW w:w="1330" w:type="dxa"/>
            <w:gridSpan w:val="2"/>
            <w:tcBorders>
              <w:bottom w:val="single" w:sz="4" w:space="0" w:color="auto"/>
            </w:tcBorders>
            <w:vAlign w:val="bottom"/>
          </w:tcPr>
          <w:p w14:paraId="7F75865A" w14:textId="77777777" w:rsidR="003779C8" w:rsidRPr="00B61FF1" w:rsidRDefault="003779C8">
            <w:pPr>
              <w:jc w:val="right"/>
              <w:rPr>
                <w:rFonts w:ascii="Arial" w:hAnsi="Arial" w:cs="Arial"/>
                <w:color w:val="000000"/>
              </w:rPr>
            </w:pPr>
            <w:r w:rsidRPr="00B61FF1">
              <w:rPr>
                <w:rFonts w:ascii="Arial" w:hAnsi="Arial" w:cs="Arial"/>
                <w:color w:val="000000"/>
              </w:rPr>
              <w:t>0.66238%</w:t>
            </w:r>
          </w:p>
        </w:tc>
        <w:tc>
          <w:tcPr>
            <w:tcW w:w="1330" w:type="dxa"/>
            <w:gridSpan w:val="2"/>
            <w:tcBorders>
              <w:bottom w:val="single" w:sz="4" w:space="0" w:color="auto"/>
            </w:tcBorders>
            <w:vAlign w:val="bottom"/>
          </w:tcPr>
          <w:p w14:paraId="5AB019F6" w14:textId="77777777" w:rsidR="003779C8" w:rsidRPr="00B61FF1" w:rsidRDefault="003779C8">
            <w:pPr>
              <w:jc w:val="right"/>
              <w:rPr>
                <w:rFonts w:ascii="Arial" w:hAnsi="Arial" w:cs="Arial"/>
                <w:color w:val="000000"/>
              </w:rPr>
            </w:pPr>
            <w:r w:rsidRPr="00B61FF1">
              <w:rPr>
                <w:rFonts w:ascii="Arial" w:hAnsi="Arial" w:cs="Arial"/>
                <w:color w:val="000000"/>
              </w:rPr>
              <w:t>0.66100%</w:t>
            </w:r>
          </w:p>
        </w:tc>
        <w:tc>
          <w:tcPr>
            <w:tcW w:w="1330" w:type="dxa"/>
            <w:gridSpan w:val="2"/>
            <w:tcBorders>
              <w:bottom w:val="single" w:sz="4" w:space="0" w:color="auto"/>
            </w:tcBorders>
            <w:vAlign w:val="bottom"/>
          </w:tcPr>
          <w:p w14:paraId="30E0E888" w14:textId="77777777" w:rsidR="003779C8" w:rsidRPr="00B61FF1" w:rsidRDefault="003779C8">
            <w:pPr>
              <w:jc w:val="right"/>
              <w:rPr>
                <w:rFonts w:ascii="Arial" w:hAnsi="Arial" w:cs="Arial"/>
                <w:color w:val="000000"/>
              </w:rPr>
            </w:pPr>
            <w:r w:rsidRPr="00B61FF1">
              <w:rPr>
                <w:rFonts w:ascii="Arial" w:hAnsi="Arial" w:cs="Arial"/>
                <w:color w:val="000000"/>
              </w:rPr>
              <w:t>0.67150%</w:t>
            </w:r>
          </w:p>
        </w:tc>
        <w:tc>
          <w:tcPr>
            <w:tcW w:w="1330" w:type="dxa"/>
            <w:gridSpan w:val="2"/>
            <w:tcBorders>
              <w:bottom w:val="single" w:sz="4" w:space="0" w:color="auto"/>
            </w:tcBorders>
            <w:vAlign w:val="bottom"/>
          </w:tcPr>
          <w:p w14:paraId="3F456E0A" w14:textId="77777777" w:rsidR="003779C8" w:rsidRPr="00B61FF1" w:rsidRDefault="003779C8">
            <w:pPr>
              <w:jc w:val="right"/>
              <w:rPr>
                <w:rFonts w:ascii="Arial" w:hAnsi="Arial" w:cs="Arial"/>
                <w:color w:val="000000"/>
              </w:rPr>
            </w:pPr>
            <w:r w:rsidRPr="00B61FF1">
              <w:rPr>
                <w:rFonts w:ascii="Arial" w:hAnsi="Arial" w:cs="Arial"/>
                <w:color w:val="000000"/>
              </w:rPr>
              <w:t>0.69049%</w:t>
            </w:r>
          </w:p>
        </w:tc>
        <w:tc>
          <w:tcPr>
            <w:tcW w:w="1330" w:type="dxa"/>
            <w:gridSpan w:val="2"/>
            <w:tcBorders>
              <w:bottom w:val="single" w:sz="4" w:space="0" w:color="auto"/>
            </w:tcBorders>
            <w:vAlign w:val="bottom"/>
          </w:tcPr>
          <w:p w14:paraId="659B5E28" w14:textId="77777777" w:rsidR="003779C8" w:rsidRPr="00B61FF1" w:rsidRDefault="003779C8">
            <w:pPr>
              <w:jc w:val="right"/>
              <w:rPr>
                <w:rFonts w:ascii="Arial" w:hAnsi="Arial" w:cs="Arial"/>
                <w:color w:val="000000"/>
              </w:rPr>
            </w:pPr>
            <w:r w:rsidRPr="00B61FF1">
              <w:rPr>
                <w:rFonts w:ascii="Arial" w:hAnsi="Arial" w:cs="Arial"/>
                <w:color w:val="000000"/>
              </w:rPr>
              <w:t>0.69592%</w:t>
            </w:r>
          </w:p>
        </w:tc>
        <w:tc>
          <w:tcPr>
            <w:tcW w:w="1330" w:type="dxa"/>
            <w:gridSpan w:val="2"/>
            <w:tcBorders>
              <w:bottom w:val="single" w:sz="4" w:space="0" w:color="auto"/>
            </w:tcBorders>
            <w:vAlign w:val="bottom"/>
          </w:tcPr>
          <w:p w14:paraId="14780D49" w14:textId="77777777" w:rsidR="003779C8" w:rsidRPr="00B61FF1" w:rsidRDefault="003779C8">
            <w:pPr>
              <w:jc w:val="right"/>
              <w:rPr>
                <w:rFonts w:ascii="Arial" w:hAnsi="Arial" w:cs="Arial"/>
                <w:color w:val="000000"/>
              </w:rPr>
            </w:pPr>
            <w:r w:rsidRPr="00B61FF1">
              <w:rPr>
                <w:rFonts w:ascii="Arial" w:hAnsi="Arial" w:cs="Arial"/>
                <w:color w:val="000000"/>
              </w:rPr>
              <w:t>0.68391%</w:t>
            </w:r>
          </w:p>
        </w:tc>
        <w:tc>
          <w:tcPr>
            <w:tcW w:w="1330" w:type="dxa"/>
            <w:gridSpan w:val="2"/>
            <w:tcBorders>
              <w:bottom w:val="single" w:sz="4" w:space="0" w:color="auto"/>
            </w:tcBorders>
            <w:vAlign w:val="bottom"/>
          </w:tcPr>
          <w:p w14:paraId="5CA25A72" w14:textId="77777777" w:rsidR="003779C8" w:rsidRPr="00B61FF1" w:rsidRDefault="003779C8">
            <w:pPr>
              <w:jc w:val="right"/>
              <w:rPr>
                <w:rFonts w:ascii="Arial" w:hAnsi="Arial" w:cs="Arial"/>
                <w:color w:val="000000"/>
              </w:rPr>
            </w:pPr>
            <w:r w:rsidRPr="00B61FF1">
              <w:rPr>
                <w:rFonts w:ascii="Arial" w:hAnsi="Arial" w:cs="Arial"/>
                <w:color w:val="000000"/>
              </w:rPr>
              <w:t>0.70039%</w:t>
            </w:r>
          </w:p>
        </w:tc>
      </w:tr>
      <w:tr w:rsidR="009E5ADE" w:rsidRPr="00B61FF1" w14:paraId="32B46E43" w14:textId="77777777" w:rsidTr="009E5ADE">
        <w:trPr>
          <w:trHeight w:val="315"/>
        </w:trPr>
        <w:tc>
          <w:tcPr>
            <w:tcW w:w="2637" w:type="dxa"/>
            <w:gridSpan w:val="3"/>
            <w:vMerge w:val="restart"/>
            <w:hideMark/>
          </w:tcPr>
          <w:p w14:paraId="27DEC3CF"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lastRenderedPageBreak/>
              <w:t>Utility Name</w:t>
            </w:r>
          </w:p>
        </w:tc>
        <w:tc>
          <w:tcPr>
            <w:tcW w:w="883" w:type="dxa"/>
            <w:vMerge w:val="restart"/>
            <w:hideMark/>
          </w:tcPr>
          <w:p w14:paraId="280A9DB0"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Type (1)</w:t>
            </w:r>
          </w:p>
        </w:tc>
        <w:tc>
          <w:tcPr>
            <w:tcW w:w="9656" w:type="dxa"/>
            <w:gridSpan w:val="15"/>
            <w:hideMark/>
          </w:tcPr>
          <w:p w14:paraId="3A503956"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Annual % of Total Electric Sector Allocation to Utility</w:t>
            </w:r>
          </w:p>
        </w:tc>
      </w:tr>
      <w:tr w:rsidR="009E5ADE" w:rsidRPr="00B61FF1" w14:paraId="6C6B4920" w14:textId="77777777" w:rsidTr="009E5ADE">
        <w:trPr>
          <w:trHeight w:val="300"/>
        </w:trPr>
        <w:tc>
          <w:tcPr>
            <w:tcW w:w="2637" w:type="dxa"/>
            <w:gridSpan w:val="3"/>
            <w:vMerge/>
            <w:hideMark/>
          </w:tcPr>
          <w:p w14:paraId="4EF6C7E5" w14:textId="77777777" w:rsidR="009E5ADE" w:rsidRPr="00B61FF1" w:rsidRDefault="009E5ADE" w:rsidP="009E5ADE">
            <w:pPr>
              <w:rPr>
                <w:rFonts w:ascii="Arial" w:hAnsi="Arial" w:cs="Arial"/>
                <w:b/>
                <w:bCs/>
                <w:sz w:val="24"/>
                <w:szCs w:val="24"/>
              </w:rPr>
            </w:pPr>
          </w:p>
        </w:tc>
        <w:tc>
          <w:tcPr>
            <w:tcW w:w="883" w:type="dxa"/>
            <w:vMerge/>
            <w:hideMark/>
          </w:tcPr>
          <w:p w14:paraId="6C5F87F0" w14:textId="77777777" w:rsidR="009E5ADE" w:rsidRPr="00B61FF1" w:rsidRDefault="009E5ADE" w:rsidP="009E5ADE">
            <w:pPr>
              <w:rPr>
                <w:rFonts w:ascii="Arial" w:hAnsi="Arial" w:cs="Arial"/>
                <w:b/>
                <w:bCs/>
                <w:sz w:val="24"/>
                <w:szCs w:val="24"/>
              </w:rPr>
            </w:pPr>
          </w:p>
        </w:tc>
        <w:tc>
          <w:tcPr>
            <w:tcW w:w="1207" w:type="dxa"/>
            <w:gridSpan w:val="2"/>
            <w:hideMark/>
          </w:tcPr>
          <w:p w14:paraId="27EEE3A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2013</w:t>
            </w:r>
          </w:p>
        </w:tc>
        <w:tc>
          <w:tcPr>
            <w:tcW w:w="1207" w:type="dxa"/>
            <w:gridSpan w:val="2"/>
            <w:hideMark/>
          </w:tcPr>
          <w:p w14:paraId="12A0FD1A"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2014</w:t>
            </w:r>
          </w:p>
        </w:tc>
        <w:tc>
          <w:tcPr>
            <w:tcW w:w="1207" w:type="dxa"/>
            <w:gridSpan w:val="2"/>
            <w:hideMark/>
          </w:tcPr>
          <w:p w14:paraId="451A8A17"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2015</w:t>
            </w:r>
          </w:p>
        </w:tc>
        <w:tc>
          <w:tcPr>
            <w:tcW w:w="1207" w:type="dxa"/>
            <w:gridSpan w:val="2"/>
            <w:hideMark/>
          </w:tcPr>
          <w:p w14:paraId="26305E50"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2016</w:t>
            </w:r>
          </w:p>
        </w:tc>
        <w:tc>
          <w:tcPr>
            <w:tcW w:w="1207" w:type="dxa"/>
            <w:gridSpan w:val="2"/>
            <w:hideMark/>
          </w:tcPr>
          <w:p w14:paraId="289EE141"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2017</w:t>
            </w:r>
          </w:p>
        </w:tc>
        <w:tc>
          <w:tcPr>
            <w:tcW w:w="1207" w:type="dxa"/>
            <w:gridSpan w:val="2"/>
            <w:hideMark/>
          </w:tcPr>
          <w:p w14:paraId="72344B4F"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2018</w:t>
            </w:r>
          </w:p>
        </w:tc>
        <w:tc>
          <w:tcPr>
            <w:tcW w:w="1207" w:type="dxa"/>
            <w:gridSpan w:val="2"/>
            <w:hideMark/>
          </w:tcPr>
          <w:p w14:paraId="5B3A0797"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2019</w:t>
            </w:r>
          </w:p>
        </w:tc>
        <w:tc>
          <w:tcPr>
            <w:tcW w:w="1207" w:type="dxa"/>
            <w:hideMark/>
          </w:tcPr>
          <w:p w14:paraId="5C42094A"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2020</w:t>
            </w:r>
          </w:p>
        </w:tc>
      </w:tr>
      <w:tr w:rsidR="003779C8" w:rsidRPr="00B61FF1" w14:paraId="2D9F7989" w14:textId="77777777" w:rsidTr="009E5ADE">
        <w:trPr>
          <w:trHeight w:val="450"/>
        </w:trPr>
        <w:tc>
          <w:tcPr>
            <w:tcW w:w="2637" w:type="dxa"/>
            <w:gridSpan w:val="3"/>
            <w:vAlign w:val="center"/>
          </w:tcPr>
          <w:p w14:paraId="6AE14A62" w14:textId="77777777" w:rsidR="003779C8" w:rsidRPr="00B61FF1" w:rsidRDefault="003779C8">
            <w:pPr>
              <w:rPr>
                <w:rFonts w:ascii="Arial" w:hAnsi="Arial" w:cs="Arial"/>
                <w:color w:val="000000"/>
              </w:rPr>
            </w:pPr>
            <w:r w:rsidRPr="00B61FF1">
              <w:rPr>
                <w:rFonts w:ascii="Arial" w:hAnsi="Arial" w:cs="Arial"/>
                <w:color w:val="000000"/>
              </w:rPr>
              <w:t>City of Pasadena (Pasadena Water and Power)</w:t>
            </w:r>
          </w:p>
        </w:tc>
        <w:tc>
          <w:tcPr>
            <w:tcW w:w="883" w:type="dxa"/>
            <w:vAlign w:val="center"/>
          </w:tcPr>
          <w:p w14:paraId="5FEF71E2"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tcPr>
          <w:p w14:paraId="7FF0D4AC" w14:textId="77777777" w:rsidR="003779C8" w:rsidRPr="00B61FF1" w:rsidRDefault="003779C8">
            <w:pPr>
              <w:jc w:val="right"/>
              <w:rPr>
                <w:rFonts w:ascii="Arial" w:hAnsi="Arial" w:cs="Arial"/>
                <w:color w:val="000000"/>
              </w:rPr>
            </w:pPr>
            <w:r w:rsidRPr="00B61FF1">
              <w:rPr>
                <w:rFonts w:ascii="Arial" w:hAnsi="Arial" w:cs="Arial"/>
                <w:color w:val="000000"/>
              </w:rPr>
              <w:t>0.80141%</w:t>
            </w:r>
          </w:p>
        </w:tc>
        <w:tc>
          <w:tcPr>
            <w:tcW w:w="1207" w:type="dxa"/>
            <w:gridSpan w:val="2"/>
            <w:vAlign w:val="bottom"/>
          </w:tcPr>
          <w:p w14:paraId="551BC810" w14:textId="77777777" w:rsidR="003779C8" w:rsidRPr="00B61FF1" w:rsidRDefault="003779C8">
            <w:pPr>
              <w:jc w:val="right"/>
              <w:rPr>
                <w:rFonts w:ascii="Arial" w:hAnsi="Arial" w:cs="Arial"/>
                <w:color w:val="000000"/>
              </w:rPr>
            </w:pPr>
            <w:r w:rsidRPr="00B61FF1">
              <w:rPr>
                <w:rFonts w:ascii="Arial" w:hAnsi="Arial" w:cs="Arial"/>
                <w:color w:val="000000"/>
              </w:rPr>
              <w:t>0.80710%</w:t>
            </w:r>
          </w:p>
        </w:tc>
        <w:tc>
          <w:tcPr>
            <w:tcW w:w="1207" w:type="dxa"/>
            <w:gridSpan w:val="2"/>
            <w:vAlign w:val="bottom"/>
          </w:tcPr>
          <w:p w14:paraId="25D6F823" w14:textId="77777777" w:rsidR="003779C8" w:rsidRPr="00B61FF1" w:rsidRDefault="003779C8">
            <w:pPr>
              <w:jc w:val="right"/>
              <w:rPr>
                <w:rFonts w:ascii="Arial" w:hAnsi="Arial" w:cs="Arial"/>
                <w:color w:val="000000"/>
              </w:rPr>
            </w:pPr>
            <w:r w:rsidRPr="00B61FF1">
              <w:rPr>
                <w:rFonts w:ascii="Arial" w:hAnsi="Arial" w:cs="Arial"/>
                <w:color w:val="000000"/>
              </w:rPr>
              <w:t>0.80920%</w:t>
            </w:r>
          </w:p>
        </w:tc>
        <w:tc>
          <w:tcPr>
            <w:tcW w:w="1207" w:type="dxa"/>
            <w:gridSpan w:val="2"/>
            <w:vAlign w:val="bottom"/>
          </w:tcPr>
          <w:p w14:paraId="42FA26E3" w14:textId="77777777" w:rsidR="003779C8" w:rsidRPr="00B61FF1" w:rsidRDefault="003779C8">
            <w:pPr>
              <w:jc w:val="right"/>
              <w:rPr>
                <w:rFonts w:ascii="Arial" w:hAnsi="Arial" w:cs="Arial"/>
                <w:color w:val="000000"/>
              </w:rPr>
            </w:pPr>
            <w:r w:rsidRPr="00B61FF1">
              <w:rPr>
                <w:rFonts w:ascii="Arial" w:hAnsi="Arial" w:cs="Arial"/>
                <w:color w:val="000000"/>
              </w:rPr>
              <w:t>0.82057%</w:t>
            </w:r>
          </w:p>
        </w:tc>
        <w:tc>
          <w:tcPr>
            <w:tcW w:w="1207" w:type="dxa"/>
            <w:gridSpan w:val="2"/>
            <w:vAlign w:val="bottom"/>
          </w:tcPr>
          <w:p w14:paraId="11B2B9F2" w14:textId="77777777" w:rsidR="003779C8" w:rsidRPr="00B61FF1" w:rsidRDefault="003779C8">
            <w:pPr>
              <w:jc w:val="right"/>
              <w:rPr>
                <w:rFonts w:ascii="Arial" w:hAnsi="Arial" w:cs="Arial"/>
                <w:color w:val="000000"/>
              </w:rPr>
            </w:pPr>
            <w:r w:rsidRPr="00B61FF1">
              <w:rPr>
                <w:rFonts w:ascii="Arial" w:hAnsi="Arial" w:cs="Arial"/>
                <w:color w:val="000000"/>
              </w:rPr>
              <w:t>0.83784%</w:t>
            </w:r>
          </w:p>
        </w:tc>
        <w:tc>
          <w:tcPr>
            <w:tcW w:w="1207" w:type="dxa"/>
            <w:gridSpan w:val="2"/>
            <w:vAlign w:val="bottom"/>
          </w:tcPr>
          <w:p w14:paraId="10942679" w14:textId="77777777" w:rsidR="003779C8" w:rsidRPr="00B61FF1" w:rsidRDefault="003779C8">
            <w:pPr>
              <w:jc w:val="right"/>
              <w:rPr>
                <w:rFonts w:ascii="Arial" w:hAnsi="Arial" w:cs="Arial"/>
                <w:color w:val="000000"/>
              </w:rPr>
            </w:pPr>
            <w:r w:rsidRPr="00B61FF1">
              <w:rPr>
                <w:rFonts w:ascii="Arial" w:hAnsi="Arial" w:cs="Arial"/>
                <w:color w:val="000000"/>
              </w:rPr>
              <w:t>0.86949%</w:t>
            </w:r>
          </w:p>
        </w:tc>
        <w:tc>
          <w:tcPr>
            <w:tcW w:w="1207" w:type="dxa"/>
            <w:gridSpan w:val="2"/>
            <w:vAlign w:val="bottom"/>
          </w:tcPr>
          <w:p w14:paraId="1E94B438" w14:textId="77777777" w:rsidR="003779C8" w:rsidRPr="00B61FF1" w:rsidRDefault="003779C8">
            <w:pPr>
              <w:jc w:val="right"/>
              <w:rPr>
                <w:rFonts w:ascii="Arial" w:hAnsi="Arial" w:cs="Arial"/>
                <w:color w:val="000000"/>
              </w:rPr>
            </w:pPr>
            <w:r w:rsidRPr="00B61FF1">
              <w:rPr>
                <w:rFonts w:ascii="Arial" w:hAnsi="Arial" w:cs="Arial"/>
                <w:color w:val="000000"/>
              </w:rPr>
              <w:t>0.87876%</w:t>
            </w:r>
          </w:p>
        </w:tc>
        <w:tc>
          <w:tcPr>
            <w:tcW w:w="1207" w:type="dxa"/>
            <w:vAlign w:val="bottom"/>
          </w:tcPr>
          <w:p w14:paraId="49D28E07" w14:textId="77777777" w:rsidR="003779C8" w:rsidRPr="00B61FF1" w:rsidRDefault="003779C8">
            <w:pPr>
              <w:jc w:val="right"/>
              <w:rPr>
                <w:rFonts w:ascii="Arial" w:hAnsi="Arial" w:cs="Arial"/>
                <w:color w:val="000000"/>
              </w:rPr>
            </w:pPr>
            <w:r w:rsidRPr="00B61FF1">
              <w:rPr>
                <w:rFonts w:ascii="Arial" w:hAnsi="Arial" w:cs="Arial"/>
                <w:color w:val="000000"/>
              </w:rPr>
              <w:t>0.89190%</w:t>
            </w:r>
          </w:p>
        </w:tc>
      </w:tr>
      <w:tr w:rsidR="003779C8" w:rsidRPr="00B61FF1" w14:paraId="66FECE68" w14:textId="77777777" w:rsidTr="009E5ADE">
        <w:trPr>
          <w:trHeight w:val="450"/>
        </w:trPr>
        <w:tc>
          <w:tcPr>
            <w:tcW w:w="2637" w:type="dxa"/>
            <w:gridSpan w:val="3"/>
            <w:vAlign w:val="center"/>
            <w:hideMark/>
          </w:tcPr>
          <w:p w14:paraId="5A065230" w14:textId="77777777" w:rsidR="003779C8" w:rsidRPr="00B61FF1" w:rsidRDefault="003779C8">
            <w:pPr>
              <w:rPr>
                <w:rFonts w:ascii="Arial" w:hAnsi="Arial" w:cs="Arial"/>
                <w:color w:val="000000"/>
              </w:rPr>
            </w:pPr>
            <w:r w:rsidRPr="00B61FF1">
              <w:rPr>
                <w:rFonts w:ascii="Arial" w:hAnsi="Arial" w:cs="Arial"/>
                <w:color w:val="000000"/>
              </w:rPr>
              <w:t>City of Riverside</w:t>
            </w:r>
          </w:p>
        </w:tc>
        <w:tc>
          <w:tcPr>
            <w:tcW w:w="883" w:type="dxa"/>
            <w:vAlign w:val="center"/>
            <w:hideMark/>
          </w:tcPr>
          <w:p w14:paraId="3F8BD7F9"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72E951CE" w14:textId="77777777" w:rsidR="003779C8" w:rsidRPr="00B61FF1" w:rsidRDefault="003779C8">
            <w:pPr>
              <w:jc w:val="right"/>
              <w:rPr>
                <w:rFonts w:ascii="Arial" w:hAnsi="Arial" w:cs="Arial"/>
                <w:color w:val="000000"/>
              </w:rPr>
            </w:pPr>
            <w:r w:rsidRPr="00B61FF1">
              <w:rPr>
                <w:rFonts w:ascii="Arial" w:hAnsi="Arial" w:cs="Arial"/>
                <w:color w:val="000000"/>
              </w:rPr>
              <w:t>1.12865%</w:t>
            </w:r>
          </w:p>
        </w:tc>
        <w:tc>
          <w:tcPr>
            <w:tcW w:w="1207" w:type="dxa"/>
            <w:gridSpan w:val="2"/>
            <w:vAlign w:val="bottom"/>
            <w:hideMark/>
          </w:tcPr>
          <w:p w14:paraId="7BF450AE" w14:textId="77777777" w:rsidR="003779C8" w:rsidRPr="00B61FF1" w:rsidRDefault="003779C8">
            <w:pPr>
              <w:jc w:val="right"/>
              <w:rPr>
                <w:rFonts w:ascii="Arial" w:hAnsi="Arial" w:cs="Arial"/>
                <w:color w:val="000000"/>
              </w:rPr>
            </w:pPr>
            <w:r w:rsidRPr="00B61FF1">
              <w:rPr>
                <w:rFonts w:ascii="Arial" w:hAnsi="Arial" w:cs="Arial"/>
                <w:color w:val="000000"/>
              </w:rPr>
              <w:t>1.13669%</w:t>
            </w:r>
          </w:p>
        </w:tc>
        <w:tc>
          <w:tcPr>
            <w:tcW w:w="1207" w:type="dxa"/>
            <w:gridSpan w:val="2"/>
            <w:vAlign w:val="bottom"/>
            <w:hideMark/>
          </w:tcPr>
          <w:p w14:paraId="66C8255C" w14:textId="77777777" w:rsidR="003779C8" w:rsidRPr="00B61FF1" w:rsidRDefault="003779C8">
            <w:pPr>
              <w:jc w:val="right"/>
              <w:rPr>
                <w:rFonts w:ascii="Arial" w:hAnsi="Arial" w:cs="Arial"/>
                <w:color w:val="000000"/>
              </w:rPr>
            </w:pPr>
            <w:r w:rsidRPr="00B61FF1">
              <w:rPr>
                <w:rFonts w:ascii="Arial" w:hAnsi="Arial" w:cs="Arial"/>
                <w:color w:val="000000"/>
              </w:rPr>
              <w:t>1.13121%</w:t>
            </w:r>
          </w:p>
        </w:tc>
        <w:tc>
          <w:tcPr>
            <w:tcW w:w="1207" w:type="dxa"/>
            <w:gridSpan w:val="2"/>
            <w:vAlign w:val="bottom"/>
            <w:hideMark/>
          </w:tcPr>
          <w:p w14:paraId="274E27E5" w14:textId="77777777" w:rsidR="003779C8" w:rsidRPr="00B61FF1" w:rsidRDefault="003779C8">
            <w:pPr>
              <w:jc w:val="right"/>
              <w:rPr>
                <w:rFonts w:ascii="Arial" w:hAnsi="Arial" w:cs="Arial"/>
                <w:color w:val="000000"/>
              </w:rPr>
            </w:pPr>
            <w:r w:rsidRPr="00B61FF1">
              <w:rPr>
                <w:rFonts w:ascii="Arial" w:hAnsi="Arial" w:cs="Arial"/>
                <w:color w:val="000000"/>
              </w:rPr>
              <w:t>1.17999%</w:t>
            </w:r>
          </w:p>
        </w:tc>
        <w:tc>
          <w:tcPr>
            <w:tcW w:w="1207" w:type="dxa"/>
            <w:gridSpan w:val="2"/>
            <w:vAlign w:val="bottom"/>
            <w:hideMark/>
          </w:tcPr>
          <w:p w14:paraId="7C5D3E20" w14:textId="77777777" w:rsidR="003779C8" w:rsidRPr="00B61FF1" w:rsidRDefault="003779C8">
            <w:pPr>
              <w:jc w:val="right"/>
              <w:rPr>
                <w:rFonts w:ascii="Arial" w:hAnsi="Arial" w:cs="Arial"/>
                <w:color w:val="000000"/>
              </w:rPr>
            </w:pPr>
            <w:r w:rsidRPr="00B61FF1">
              <w:rPr>
                <w:rFonts w:ascii="Arial" w:hAnsi="Arial" w:cs="Arial"/>
                <w:color w:val="000000"/>
              </w:rPr>
              <w:t>1.20482%</w:t>
            </w:r>
          </w:p>
        </w:tc>
        <w:tc>
          <w:tcPr>
            <w:tcW w:w="1207" w:type="dxa"/>
            <w:gridSpan w:val="2"/>
            <w:vAlign w:val="bottom"/>
            <w:hideMark/>
          </w:tcPr>
          <w:p w14:paraId="20254BD6" w14:textId="77777777" w:rsidR="003779C8" w:rsidRPr="00B61FF1" w:rsidRDefault="003779C8">
            <w:pPr>
              <w:jc w:val="right"/>
              <w:rPr>
                <w:rFonts w:ascii="Arial" w:hAnsi="Arial" w:cs="Arial"/>
                <w:color w:val="000000"/>
              </w:rPr>
            </w:pPr>
            <w:r w:rsidRPr="00B61FF1">
              <w:rPr>
                <w:rFonts w:ascii="Arial" w:hAnsi="Arial" w:cs="Arial"/>
                <w:color w:val="000000"/>
              </w:rPr>
              <w:t>1.24829%</w:t>
            </w:r>
          </w:p>
        </w:tc>
        <w:tc>
          <w:tcPr>
            <w:tcW w:w="1207" w:type="dxa"/>
            <w:gridSpan w:val="2"/>
            <w:vAlign w:val="bottom"/>
            <w:hideMark/>
          </w:tcPr>
          <w:p w14:paraId="51DB0E1C" w14:textId="77777777" w:rsidR="003779C8" w:rsidRPr="00B61FF1" w:rsidRDefault="003779C8">
            <w:pPr>
              <w:jc w:val="right"/>
              <w:rPr>
                <w:rFonts w:ascii="Arial" w:hAnsi="Arial" w:cs="Arial"/>
                <w:color w:val="000000"/>
              </w:rPr>
            </w:pPr>
            <w:r w:rsidRPr="00B61FF1">
              <w:rPr>
                <w:rFonts w:ascii="Arial" w:hAnsi="Arial" w:cs="Arial"/>
                <w:color w:val="000000"/>
              </w:rPr>
              <w:t>1.27103%</w:t>
            </w:r>
          </w:p>
        </w:tc>
        <w:tc>
          <w:tcPr>
            <w:tcW w:w="1207" w:type="dxa"/>
            <w:vAlign w:val="bottom"/>
            <w:hideMark/>
          </w:tcPr>
          <w:p w14:paraId="5BB918F1" w14:textId="77777777" w:rsidR="003779C8" w:rsidRPr="00B61FF1" w:rsidRDefault="003779C8">
            <w:pPr>
              <w:jc w:val="right"/>
              <w:rPr>
                <w:rFonts w:ascii="Arial" w:hAnsi="Arial" w:cs="Arial"/>
                <w:color w:val="000000"/>
              </w:rPr>
            </w:pPr>
            <w:r w:rsidRPr="00B61FF1">
              <w:rPr>
                <w:rFonts w:ascii="Arial" w:hAnsi="Arial" w:cs="Arial"/>
                <w:color w:val="000000"/>
              </w:rPr>
              <w:t>1.30954%</w:t>
            </w:r>
          </w:p>
        </w:tc>
      </w:tr>
      <w:tr w:rsidR="003779C8" w:rsidRPr="00B61FF1" w14:paraId="3B5F0574" w14:textId="77777777" w:rsidTr="009E5ADE">
        <w:trPr>
          <w:trHeight w:val="450"/>
        </w:trPr>
        <w:tc>
          <w:tcPr>
            <w:tcW w:w="2637" w:type="dxa"/>
            <w:gridSpan w:val="3"/>
            <w:vAlign w:val="center"/>
            <w:hideMark/>
          </w:tcPr>
          <w:p w14:paraId="58416B75" w14:textId="77777777" w:rsidR="003779C8" w:rsidRPr="00B61FF1" w:rsidRDefault="003779C8">
            <w:pPr>
              <w:rPr>
                <w:rFonts w:ascii="Arial" w:hAnsi="Arial" w:cs="Arial"/>
                <w:color w:val="000000"/>
              </w:rPr>
            </w:pPr>
            <w:r w:rsidRPr="00B61FF1">
              <w:rPr>
                <w:rFonts w:ascii="Arial" w:hAnsi="Arial" w:cs="Arial"/>
                <w:color w:val="000000"/>
              </w:rPr>
              <w:t>City of Vernon</w:t>
            </w:r>
          </w:p>
        </w:tc>
        <w:tc>
          <w:tcPr>
            <w:tcW w:w="883" w:type="dxa"/>
            <w:vAlign w:val="center"/>
            <w:hideMark/>
          </w:tcPr>
          <w:p w14:paraId="60C4551F"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67027C7F" w14:textId="77777777" w:rsidR="003779C8" w:rsidRPr="00B61FF1" w:rsidRDefault="003779C8">
            <w:pPr>
              <w:jc w:val="right"/>
              <w:rPr>
                <w:rFonts w:ascii="Arial" w:hAnsi="Arial" w:cs="Arial"/>
                <w:color w:val="000000"/>
              </w:rPr>
            </w:pPr>
            <w:r w:rsidRPr="00B61FF1">
              <w:rPr>
                <w:rFonts w:ascii="Arial" w:hAnsi="Arial" w:cs="Arial"/>
                <w:color w:val="000000"/>
              </w:rPr>
              <w:t>0.41385%</w:t>
            </w:r>
          </w:p>
        </w:tc>
        <w:tc>
          <w:tcPr>
            <w:tcW w:w="1207" w:type="dxa"/>
            <w:gridSpan w:val="2"/>
            <w:vAlign w:val="bottom"/>
            <w:hideMark/>
          </w:tcPr>
          <w:p w14:paraId="656F061A" w14:textId="77777777" w:rsidR="003779C8" w:rsidRPr="00B61FF1" w:rsidRDefault="003779C8">
            <w:pPr>
              <w:jc w:val="right"/>
              <w:rPr>
                <w:rFonts w:ascii="Arial" w:hAnsi="Arial" w:cs="Arial"/>
                <w:color w:val="000000"/>
              </w:rPr>
            </w:pPr>
            <w:r w:rsidRPr="00B61FF1">
              <w:rPr>
                <w:rFonts w:ascii="Arial" w:hAnsi="Arial" w:cs="Arial"/>
                <w:color w:val="000000"/>
              </w:rPr>
              <w:t>0.42014%</w:t>
            </w:r>
          </w:p>
        </w:tc>
        <w:tc>
          <w:tcPr>
            <w:tcW w:w="1207" w:type="dxa"/>
            <w:gridSpan w:val="2"/>
            <w:vAlign w:val="bottom"/>
            <w:hideMark/>
          </w:tcPr>
          <w:p w14:paraId="6F49F7D9" w14:textId="77777777" w:rsidR="003779C8" w:rsidRPr="00B61FF1" w:rsidRDefault="003779C8">
            <w:pPr>
              <w:jc w:val="right"/>
              <w:rPr>
                <w:rFonts w:ascii="Arial" w:hAnsi="Arial" w:cs="Arial"/>
                <w:color w:val="000000"/>
              </w:rPr>
            </w:pPr>
            <w:r w:rsidRPr="00B61FF1">
              <w:rPr>
                <w:rFonts w:ascii="Arial" w:hAnsi="Arial" w:cs="Arial"/>
                <w:color w:val="000000"/>
              </w:rPr>
              <w:t>0.42987%</w:t>
            </w:r>
          </w:p>
        </w:tc>
        <w:tc>
          <w:tcPr>
            <w:tcW w:w="1207" w:type="dxa"/>
            <w:gridSpan w:val="2"/>
            <w:vAlign w:val="bottom"/>
            <w:hideMark/>
          </w:tcPr>
          <w:p w14:paraId="03B628F6" w14:textId="77777777" w:rsidR="003779C8" w:rsidRPr="00B61FF1" w:rsidRDefault="003779C8">
            <w:pPr>
              <w:jc w:val="right"/>
              <w:rPr>
                <w:rFonts w:ascii="Arial" w:hAnsi="Arial" w:cs="Arial"/>
                <w:color w:val="000000"/>
              </w:rPr>
            </w:pPr>
            <w:r w:rsidRPr="00B61FF1">
              <w:rPr>
                <w:rFonts w:ascii="Arial" w:hAnsi="Arial" w:cs="Arial"/>
                <w:color w:val="000000"/>
              </w:rPr>
              <w:t>0.43256%</w:t>
            </w:r>
          </w:p>
        </w:tc>
        <w:tc>
          <w:tcPr>
            <w:tcW w:w="1207" w:type="dxa"/>
            <w:gridSpan w:val="2"/>
            <w:vAlign w:val="bottom"/>
            <w:hideMark/>
          </w:tcPr>
          <w:p w14:paraId="7E4E12D8" w14:textId="77777777" w:rsidR="003779C8" w:rsidRPr="00B61FF1" w:rsidRDefault="003779C8">
            <w:pPr>
              <w:jc w:val="right"/>
              <w:rPr>
                <w:rFonts w:ascii="Arial" w:hAnsi="Arial" w:cs="Arial"/>
                <w:color w:val="000000"/>
              </w:rPr>
            </w:pPr>
            <w:r w:rsidRPr="00B61FF1">
              <w:rPr>
                <w:rFonts w:ascii="Arial" w:hAnsi="Arial" w:cs="Arial"/>
                <w:color w:val="000000"/>
              </w:rPr>
              <w:t>0.44276%</w:t>
            </w:r>
          </w:p>
        </w:tc>
        <w:tc>
          <w:tcPr>
            <w:tcW w:w="1207" w:type="dxa"/>
            <w:gridSpan w:val="2"/>
            <w:vAlign w:val="bottom"/>
            <w:hideMark/>
          </w:tcPr>
          <w:p w14:paraId="1435F27D" w14:textId="77777777" w:rsidR="003779C8" w:rsidRPr="00B61FF1" w:rsidRDefault="003779C8">
            <w:pPr>
              <w:jc w:val="right"/>
              <w:rPr>
                <w:rFonts w:ascii="Arial" w:hAnsi="Arial" w:cs="Arial"/>
                <w:color w:val="000000"/>
              </w:rPr>
            </w:pPr>
            <w:r w:rsidRPr="00B61FF1">
              <w:rPr>
                <w:rFonts w:ascii="Arial" w:hAnsi="Arial" w:cs="Arial"/>
                <w:color w:val="000000"/>
              </w:rPr>
              <w:t>0.44174%</w:t>
            </w:r>
          </w:p>
        </w:tc>
        <w:tc>
          <w:tcPr>
            <w:tcW w:w="1207" w:type="dxa"/>
            <w:gridSpan w:val="2"/>
            <w:vAlign w:val="bottom"/>
            <w:hideMark/>
          </w:tcPr>
          <w:p w14:paraId="74A46F5D" w14:textId="77777777" w:rsidR="003779C8" w:rsidRPr="00B61FF1" w:rsidRDefault="003779C8">
            <w:pPr>
              <w:jc w:val="right"/>
              <w:rPr>
                <w:rFonts w:ascii="Arial" w:hAnsi="Arial" w:cs="Arial"/>
                <w:color w:val="000000"/>
              </w:rPr>
            </w:pPr>
            <w:r w:rsidRPr="00B61FF1">
              <w:rPr>
                <w:rFonts w:ascii="Arial" w:hAnsi="Arial" w:cs="Arial"/>
                <w:color w:val="000000"/>
              </w:rPr>
              <w:t>0.42961%</w:t>
            </w:r>
          </w:p>
        </w:tc>
        <w:tc>
          <w:tcPr>
            <w:tcW w:w="1207" w:type="dxa"/>
            <w:vAlign w:val="bottom"/>
            <w:hideMark/>
          </w:tcPr>
          <w:p w14:paraId="63512756" w14:textId="77777777" w:rsidR="003779C8" w:rsidRPr="00B61FF1" w:rsidRDefault="003779C8">
            <w:pPr>
              <w:jc w:val="right"/>
              <w:rPr>
                <w:rFonts w:ascii="Arial" w:hAnsi="Arial" w:cs="Arial"/>
                <w:color w:val="000000"/>
              </w:rPr>
            </w:pPr>
            <w:r w:rsidRPr="00B61FF1">
              <w:rPr>
                <w:rFonts w:ascii="Arial" w:hAnsi="Arial" w:cs="Arial"/>
                <w:color w:val="000000"/>
              </w:rPr>
              <w:t>0.42477%</w:t>
            </w:r>
          </w:p>
        </w:tc>
      </w:tr>
      <w:tr w:rsidR="003779C8" w:rsidRPr="00B61FF1" w14:paraId="6AE6FC2F" w14:textId="77777777" w:rsidTr="009E5ADE">
        <w:trPr>
          <w:trHeight w:val="300"/>
        </w:trPr>
        <w:tc>
          <w:tcPr>
            <w:tcW w:w="2637" w:type="dxa"/>
            <w:gridSpan w:val="3"/>
            <w:vAlign w:val="center"/>
            <w:hideMark/>
          </w:tcPr>
          <w:p w14:paraId="47610C9B" w14:textId="77777777" w:rsidR="003779C8" w:rsidRPr="00B61FF1" w:rsidRDefault="003779C8">
            <w:pPr>
              <w:rPr>
                <w:rFonts w:ascii="Arial" w:hAnsi="Arial" w:cs="Arial"/>
                <w:color w:val="000000"/>
              </w:rPr>
            </w:pPr>
            <w:r w:rsidRPr="00B61FF1">
              <w:rPr>
                <w:rFonts w:ascii="Arial" w:hAnsi="Arial" w:cs="Arial"/>
                <w:color w:val="000000"/>
              </w:rPr>
              <w:t>Imperial Irrigation District</w:t>
            </w:r>
          </w:p>
        </w:tc>
        <w:tc>
          <w:tcPr>
            <w:tcW w:w="883" w:type="dxa"/>
            <w:vAlign w:val="center"/>
            <w:hideMark/>
          </w:tcPr>
          <w:p w14:paraId="712D6B80"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7681FB7E" w14:textId="77777777" w:rsidR="003779C8" w:rsidRPr="00B61FF1" w:rsidRDefault="003779C8">
            <w:pPr>
              <w:jc w:val="right"/>
              <w:rPr>
                <w:rFonts w:ascii="Arial" w:hAnsi="Arial" w:cs="Arial"/>
                <w:color w:val="000000"/>
              </w:rPr>
            </w:pPr>
            <w:r w:rsidRPr="00B61FF1">
              <w:rPr>
                <w:rFonts w:ascii="Arial" w:hAnsi="Arial" w:cs="Arial"/>
                <w:color w:val="000000"/>
              </w:rPr>
              <w:t>1.77241%</w:t>
            </w:r>
          </w:p>
        </w:tc>
        <w:tc>
          <w:tcPr>
            <w:tcW w:w="1207" w:type="dxa"/>
            <w:gridSpan w:val="2"/>
            <w:vAlign w:val="bottom"/>
            <w:hideMark/>
          </w:tcPr>
          <w:p w14:paraId="739A037C" w14:textId="77777777" w:rsidR="003779C8" w:rsidRPr="00B61FF1" w:rsidRDefault="003779C8">
            <w:pPr>
              <w:jc w:val="right"/>
              <w:rPr>
                <w:rFonts w:ascii="Arial" w:hAnsi="Arial" w:cs="Arial"/>
                <w:color w:val="000000"/>
              </w:rPr>
            </w:pPr>
            <w:r w:rsidRPr="00B61FF1">
              <w:rPr>
                <w:rFonts w:ascii="Arial" w:hAnsi="Arial" w:cs="Arial"/>
                <w:color w:val="000000"/>
              </w:rPr>
              <w:t>1.81456%</w:t>
            </w:r>
          </w:p>
        </w:tc>
        <w:tc>
          <w:tcPr>
            <w:tcW w:w="1207" w:type="dxa"/>
            <w:gridSpan w:val="2"/>
            <w:vAlign w:val="bottom"/>
            <w:hideMark/>
          </w:tcPr>
          <w:p w14:paraId="7684AFD8" w14:textId="77777777" w:rsidR="003779C8" w:rsidRPr="00B61FF1" w:rsidRDefault="003779C8">
            <w:pPr>
              <w:jc w:val="right"/>
              <w:rPr>
                <w:rFonts w:ascii="Arial" w:hAnsi="Arial" w:cs="Arial"/>
                <w:color w:val="000000"/>
              </w:rPr>
            </w:pPr>
            <w:r w:rsidRPr="00B61FF1">
              <w:rPr>
                <w:rFonts w:ascii="Arial" w:hAnsi="Arial" w:cs="Arial"/>
                <w:color w:val="000000"/>
              </w:rPr>
              <w:t>1.82936%</w:t>
            </w:r>
          </w:p>
        </w:tc>
        <w:tc>
          <w:tcPr>
            <w:tcW w:w="1207" w:type="dxa"/>
            <w:gridSpan w:val="2"/>
            <w:vAlign w:val="bottom"/>
            <w:hideMark/>
          </w:tcPr>
          <w:p w14:paraId="5B5ADECA" w14:textId="77777777" w:rsidR="003779C8" w:rsidRPr="00B61FF1" w:rsidRDefault="003779C8">
            <w:pPr>
              <w:jc w:val="right"/>
              <w:rPr>
                <w:rFonts w:ascii="Arial" w:hAnsi="Arial" w:cs="Arial"/>
                <w:color w:val="000000"/>
              </w:rPr>
            </w:pPr>
            <w:r w:rsidRPr="00B61FF1">
              <w:rPr>
                <w:rFonts w:ascii="Arial" w:hAnsi="Arial" w:cs="Arial"/>
                <w:color w:val="000000"/>
              </w:rPr>
              <w:t>1.90056%</w:t>
            </w:r>
          </w:p>
        </w:tc>
        <w:tc>
          <w:tcPr>
            <w:tcW w:w="1207" w:type="dxa"/>
            <w:gridSpan w:val="2"/>
            <w:vAlign w:val="bottom"/>
            <w:hideMark/>
          </w:tcPr>
          <w:p w14:paraId="4821C5D2" w14:textId="77777777" w:rsidR="003779C8" w:rsidRPr="00B61FF1" w:rsidRDefault="003779C8">
            <w:pPr>
              <w:jc w:val="right"/>
              <w:rPr>
                <w:rFonts w:ascii="Arial" w:hAnsi="Arial" w:cs="Arial"/>
                <w:color w:val="000000"/>
              </w:rPr>
            </w:pPr>
            <w:r w:rsidRPr="00B61FF1">
              <w:rPr>
                <w:rFonts w:ascii="Arial" w:hAnsi="Arial" w:cs="Arial"/>
                <w:color w:val="000000"/>
              </w:rPr>
              <w:t>1.97281%</w:t>
            </w:r>
          </w:p>
        </w:tc>
        <w:tc>
          <w:tcPr>
            <w:tcW w:w="1207" w:type="dxa"/>
            <w:gridSpan w:val="2"/>
            <w:vAlign w:val="bottom"/>
            <w:hideMark/>
          </w:tcPr>
          <w:p w14:paraId="52AEEC58" w14:textId="77777777" w:rsidR="003779C8" w:rsidRPr="00B61FF1" w:rsidRDefault="003779C8">
            <w:pPr>
              <w:jc w:val="right"/>
              <w:rPr>
                <w:rFonts w:ascii="Arial" w:hAnsi="Arial" w:cs="Arial"/>
                <w:color w:val="000000"/>
              </w:rPr>
            </w:pPr>
            <w:r w:rsidRPr="00B61FF1">
              <w:rPr>
                <w:rFonts w:ascii="Arial" w:hAnsi="Arial" w:cs="Arial"/>
                <w:color w:val="000000"/>
              </w:rPr>
              <w:t>2.00476%</w:t>
            </w:r>
          </w:p>
        </w:tc>
        <w:tc>
          <w:tcPr>
            <w:tcW w:w="1207" w:type="dxa"/>
            <w:gridSpan w:val="2"/>
            <w:vAlign w:val="bottom"/>
            <w:hideMark/>
          </w:tcPr>
          <w:p w14:paraId="1BADCAC1" w14:textId="77777777" w:rsidR="003779C8" w:rsidRPr="00B61FF1" w:rsidRDefault="003779C8">
            <w:pPr>
              <w:jc w:val="right"/>
              <w:rPr>
                <w:rFonts w:ascii="Arial" w:hAnsi="Arial" w:cs="Arial"/>
                <w:color w:val="000000"/>
              </w:rPr>
            </w:pPr>
            <w:r w:rsidRPr="00B61FF1">
              <w:rPr>
                <w:rFonts w:ascii="Arial" w:hAnsi="Arial" w:cs="Arial"/>
                <w:color w:val="000000"/>
              </w:rPr>
              <w:t>2.05350%</w:t>
            </w:r>
          </w:p>
        </w:tc>
        <w:tc>
          <w:tcPr>
            <w:tcW w:w="1207" w:type="dxa"/>
            <w:vAlign w:val="bottom"/>
            <w:hideMark/>
          </w:tcPr>
          <w:p w14:paraId="75481F55" w14:textId="77777777" w:rsidR="003779C8" w:rsidRPr="00B61FF1" w:rsidRDefault="003779C8">
            <w:pPr>
              <w:jc w:val="right"/>
              <w:rPr>
                <w:rFonts w:ascii="Arial" w:hAnsi="Arial" w:cs="Arial"/>
                <w:color w:val="000000"/>
              </w:rPr>
            </w:pPr>
            <w:r w:rsidRPr="00B61FF1">
              <w:rPr>
                <w:rFonts w:ascii="Arial" w:hAnsi="Arial" w:cs="Arial"/>
                <w:color w:val="000000"/>
              </w:rPr>
              <w:t>2.11597%</w:t>
            </w:r>
          </w:p>
        </w:tc>
      </w:tr>
      <w:tr w:rsidR="003779C8" w:rsidRPr="00B61FF1" w14:paraId="0285B660" w14:textId="77777777" w:rsidTr="009E5ADE">
        <w:trPr>
          <w:trHeight w:val="300"/>
        </w:trPr>
        <w:tc>
          <w:tcPr>
            <w:tcW w:w="2637" w:type="dxa"/>
            <w:gridSpan w:val="3"/>
            <w:vAlign w:val="center"/>
            <w:hideMark/>
          </w:tcPr>
          <w:p w14:paraId="3A657E1A" w14:textId="77777777" w:rsidR="003779C8" w:rsidRPr="00B61FF1" w:rsidRDefault="003779C8">
            <w:pPr>
              <w:rPr>
                <w:rFonts w:ascii="Arial" w:hAnsi="Arial" w:cs="Arial"/>
                <w:color w:val="000000"/>
              </w:rPr>
            </w:pPr>
            <w:r w:rsidRPr="00B61FF1">
              <w:rPr>
                <w:rFonts w:ascii="Arial" w:hAnsi="Arial" w:cs="Arial"/>
                <w:color w:val="000000"/>
              </w:rPr>
              <w:t>Modesto ID</w:t>
            </w:r>
          </w:p>
        </w:tc>
        <w:tc>
          <w:tcPr>
            <w:tcW w:w="883" w:type="dxa"/>
            <w:vAlign w:val="center"/>
            <w:hideMark/>
          </w:tcPr>
          <w:p w14:paraId="62A37BFE"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34D8A33B" w14:textId="77777777" w:rsidR="003779C8" w:rsidRPr="00B61FF1" w:rsidRDefault="003779C8">
            <w:pPr>
              <w:jc w:val="right"/>
              <w:rPr>
                <w:rFonts w:ascii="Arial" w:hAnsi="Arial" w:cs="Arial"/>
                <w:color w:val="000000"/>
              </w:rPr>
            </w:pPr>
            <w:r w:rsidRPr="00B61FF1">
              <w:rPr>
                <w:rFonts w:ascii="Arial" w:hAnsi="Arial" w:cs="Arial"/>
                <w:color w:val="000000"/>
              </w:rPr>
              <w:t>1.26426%</w:t>
            </w:r>
          </w:p>
        </w:tc>
        <w:tc>
          <w:tcPr>
            <w:tcW w:w="1207" w:type="dxa"/>
            <w:gridSpan w:val="2"/>
            <w:vAlign w:val="bottom"/>
            <w:hideMark/>
          </w:tcPr>
          <w:p w14:paraId="75FACDBF" w14:textId="77777777" w:rsidR="003779C8" w:rsidRPr="00B61FF1" w:rsidRDefault="003779C8">
            <w:pPr>
              <w:jc w:val="right"/>
              <w:rPr>
                <w:rFonts w:ascii="Arial" w:hAnsi="Arial" w:cs="Arial"/>
                <w:color w:val="000000"/>
              </w:rPr>
            </w:pPr>
            <w:r w:rsidRPr="00B61FF1">
              <w:rPr>
                <w:rFonts w:ascii="Arial" w:hAnsi="Arial" w:cs="Arial"/>
                <w:color w:val="000000"/>
              </w:rPr>
              <w:t>1.28335%</w:t>
            </w:r>
          </w:p>
        </w:tc>
        <w:tc>
          <w:tcPr>
            <w:tcW w:w="1207" w:type="dxa"/>
            <w:gridSpan w:val="2"/>
            <w:vAlign w:val="bottom"/>
            <w:hideMark/>
          </w:tcPr>
          <w:p w14:paraId="31B404E2" w14:textId="77777777" w:rsidR="003779C8" w:rsidRPr="00B61FF1" w:rsidRDefault="003779C8">
            <w:pPr>
              <w:jc w:val="right"/>
              <w:rPr>
                <w:rFonts w:ascii="Arial" w:hAnsi="Arial" w:cs="Arial"/>
                <w:color w:val="000000"/>
              </w:rPr>
            </w:pPr>
            <w:r w:rsidRPr="00B61FF1">
              <w:rPr>
                <w:rFonts w:ascii="Arial" w:hAnsi="Arial" w:cs="Arial"/>
                <w:color w:val="000000"/>
              </w:rPr>
              <w:t>1.27289%</w:t>
            </w:r>
          </w:p>
        </w:tc>
        <w:tc>
          <w:tcPr>
            <w:tcW w:w="1207" w:type="dxa"/>
            <w:gridSpan w:val="2"/>
            <w:vAlign w:val="bottom"/>
            <w:hideMark/>
          </w:tcPr>
          <w:p w14:paraId="622C2C8A" w14:textId="77777777" w:rsidR="003779C8" w:rsidRPr="00B61FF1" w:rsidRDefault="003779C8">
            <w:pPr>
              <w:jc w:val="right"/>
              <w:rPr>
                <w:rFonts w:ascii="Arial" w:hAnsi="Arial" w:cs="Arial"/>
                <w:color w:val="000000"/>
              </w:rPr>
            </w:pPr>
            <w:r w:rsidRPr="00B61FF1">
              <w:rPr>
                <w:rFonts w:ascii="Arial" w:hAnsi="Arial" w:cs="Arial"/>
                <w:color w:val="000000"/>
              </w:rPr>
              <w:t>1.30523%</w:t>
            </w:r>
          </w:p>
        </w:tc>
        <w:tc>
          <w:tcPr>
            <w:tcW w:w="1207" w:type="dxa"/>
            <w:gridSpan w:val="2"/>
            <w:vAlign w:val="bottom"/>
            <w:hideMark/>
          </w:tcPr>
          <w:p w14:paraId="53B58D30" w14:textId="77777777" w:rsidR="003779C8" w:rsidRPr="00B61FF1" w:rsidRDefault="003779C8">
            <w:pPr>
              <w:jc w:val="right"/>
              <w:rPr>
                <w:rFonts w:ascii="Arial" w:hAnsi="Arial" w:cs="Arial"/>
                <w:color w:val="000000"/>
              </w:rPr>
            </w:pPr>
            <w:r w:rsidRPr="00B61FF1">
              <w:rPr>
                <w:rFonts w:ascii="Arial" w:hAnsi="Arial" w:cs="Arial"/>
                <w:color w:val="000000"/>
              </w:rPr>
              <w:t>1.34388%</w:t>
            </w:r>
          </w:p>
        </w:tc>
        <w:tc>
          <w:tcPr>
            <w:tcW w:w="1207" w:type="dxa"/>
            <w:gridSpan w:val="2"/>
            <w:vAlign w:val="bottom"/>
            <w:hideMark/>
          </w:tcPr>
          <w:p w14:paraId="76F64938" w14:textId="77777777" w:rsidR="003779C8" w:rsidRPr="00B61FF1" w:rsidRDefault="003779C8">
            <w:pPr>
              <w:jc w:val="right"/>
              <w:rPr>
                <w:rFonts w:ascii="Arial" w:hAnsi="Arial" w:cs="Arial"/>
                <w:color w:val="000000"/>
              </w:rPr>
            </w:pPr>
            <w:r w:rsidRPr="00B61FF1">
              <w:rPr>
                <w:rFonts w:ascii="Arial" w:hAnsi="Arial" w:cs="Arial"/>
                <w:color w:val="000000"/>
              </w:rPr>
              <w:t>1.35267%</w:t>
            </w:r>
          </w:p>
        </w:tc>
        <w:tc>
          <w:tcPr>
            <w:tcW w:w="1207" w:type="dxa"/>
            <w:gridSpan w:val="2"/>
            <w:vAlign w:val="bottom"/>
            <w:hideMark/>
          </w:tcPr>
          <w:p w14:paraId="6163E0ED" w14:textId="77777777" w:rsidR="003779C8" w:rsidRPr="00B61FF1" w:rsidRDefault="003779C8">
            <w:pPr>
              <w:jc w:val="right"/>
              <w:rPr>
                <w:rFonts w:ascii="Arial" w:hAnsi="Arial" w:cs="Arial"/>
                <w:color w:val="000000"/>
              </w:rPr>
            </w:pPr>
            <w:r w:rsidRPr="00B61FF1">
              <w:rPr>
                <w:rFonts w:ascii="Arial" w:hAnsi="Arial" w:cs="Arial"/>
                <w:color w:val="000000"/>
              </w:rPr>
              <w:t>1.36746%</w:t>
            </w:r>
          </w:p>
        </w:tc>
        <w:tc>
          <w:tcPr>
            <w:tcW w:w="1207" w:type="dxa"/>
            <w:vAlign w:val="bottom"/>
            <w:hideMark/>
          </w:tcPr>
          <w:p w14:paraId="4FB8E067" w14:textId="77777777" w:rsidR="003779C8" w:rsidRPr="00B61FF1" w:rsidRDefault="003779C8">
            <w:pPr>
              <w:jc w:val="right"/>
              <w:rPr>
                <w:rFonts w:ascii="Arial" w:hAnsi="Arial" w:cs="Arial"/>
                <w:color w:val="000000"/>
              </w:rPr>
            </w:pPr>
            <w:r w:rsidRPr="00B61FF1">
              <w:rPr>
                <w:rFonts w:ascii="Arial" w:hAnsi="Arial" w:cs="Arial"/>
                <w:color w:val="000000"/>
              </w:rPr>
              <w:t>1.40098%</w:t>
            </w:r>
          </w:p>
        </w:tc>
      </w:tr>
      <w:tr w:rsidR="003779C8" w:rsidRPr="00B61FF1" w14:paraId="4A0E7A69" w14:textId="77777777" w:rsidTr="009E5ADE">
        <w:trPr>
          <w:trHeight w:val="300"/>
        </w:trPr>
        <w:tc>
          <w:tcPr>
            <w:tcW w:w="2637" w:type="dxa"/>
            <w:gridSpan w:val="3"/>
            <w:vAlign w:val="center"/>
            <w:hideMark/>
          </w:tcPr>
          <w:p w14:paraId="5EB22404" w14:textId="77777777" w:rsidR="003779C8" w:rsidRPr="00B61FF1" w:rsidRDefault="003779C8">
            <w:pPr>
              <w:rPr>
                <w:rFonts w:ascii="Arial" w:hAnsi="Arial" w:cs="Arial"/>
                <w:color w:val="000000"/>
              </w:rPr>
            </w:pPr>
            <w:r w:rsidRPr="00B61FF1">
              <w:rPr>
                <w:rFonts w:ascii="Arial" w:hAnsi="Arial" w:cs="Arial"/>
                <w:color w:val="000000"/>
              </w:rPr>
              <w:t>City of Alameda</w:t>
            </w:r>
          </w:p>
        </w:tc>
        <w:tc>
          <w:tcPr>
            <w:tcW w:w="883" w:type="dxa"/>
            <w:vAlign w:val="center"/>
            <w:hideMark/>
          </w:tcPr>
          <w:p w14:paraId="731C8E8F"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29960461" w14:textId="77777777" w:rsidR="003779C8" w:rsidRPr="00B61FF1" w:rsidRDefault="003779C8">
            <w:pPr>
              <w:jc w:val="right"/>
              <w:rPr>
                <w:rFonts w:ascii="Arial" w:hAnsi="Arial" w:cs="Arial"/>
                <w:color w:val="000000"/>
              </w:rPr>
            </w:pPr>
            <w:r w:rsidRPr="00B61FF1">
              <w:rPr>
                <w:rFonts w:ascii="Arial" w:hAnsi="Arial" w:cs="Arial"/>
                <w:color w:val="000000"/>
              </w:rPr>
              <w:t>0.05321%</w:t>
            </w:r>
          </w:p>
        </w:tc>
        <w:tc>
          <w:tcPr>
            <w:tcW w:w="1207" w:type="dxa"/>
            <w:gridSpan w:val="2"/>
            <w:vAlign w:val="bottom"/>
            <w:hideMark/>
          </w:tcPr>
          <w:p w14:paraId="7B32BD99" w14:textId="77777777" w:rsidR="003779C8" w:rsidRPr="00B61FF1" w:rsidRDefault="003779C8">
            <w:pPr>
              <w:jc w:val="right"/>
              <w:rPr>
                <w:rFonts w:ascii="Arial" w:hAnsi="Arial" w:cs="Arial"/>
                <w:color w:val="000000"/>
              </w:rPr>
            </w:pPr>
            <w:r w:rsidRPr="00B61FF1">
              <w:rPr>
                <w:rFonts w:ascii="Arial" w:hAnsi="Arial" w:cs="Arial"/>
                <w:color w:val="000000"/>
              </w:rPr>
              <w:t>0.05746%</w:t>
            </w:r>
          </w:p>
        </w:tc>
        <w:tc>
          <w:tcPr>
            <w:tcW w:w="1207" w:type="dxa"/>
            <w:gridSpan w:val="2"/>
            <w:vAlign w:val="bottom"/>
            <w:hideMark/>
          </w:tcPr>
          <w:p w14:paraId="64A097E8" w14:textId="77777777" w:rsidR="003779C8" w:rsidRPr="00B61FF1" w:rsidRDefault="003779C8">
            <w:pPr>
              <w:jc w:val="right"/>
              <w:rPr>
                <w:rFonts w:ascii="Arial" w:hAnsi="Arial" w:cs="Arial"/>
                <w:color w:val="000000"/>
              </w:rPr>
            </w:pPr>
            <w:r w:rsidRPr="00B61FF1">
              <w:rPr>
                <w:rFonts w:ascii="Arial" w:hAnsi="Arial" w:cs="Arial"/>
                <w:color w:val="000000"/>
              </w:rPr>
              <w:t>0.05675%</w:t>
            </w:r>
          </w:p>
        </w:tc>
        <w:tc>
          <w:tcPr>
            <w:tcW w:w="1207" w:type="dxa"/>
            <w:gridSpan w:val="2"/>
            <w:vAlign w:val="bottom"/>
            <w:hideMark/>
          </w:tcPr>
          <w:p w14:paraId="7FF08CE6" w14:textId="77777777" w:rsidR="003779C8" w:rsidRPr="00B61FF1" w:rsidRDefault="003779C8">
            <w:pPr>
              <w:jc w:val="right"/>
              <w:rPr>
                <w:rFonts w:ascii="Arial" w:hAnsi="Arial" w:cs="Arial"/>
                <w:color w:val="000000"/>
              </w:rPr>
            </w:pPr>
            <w:r w:rsidRPr="00B61FF1">
              <w:rPr>
                <w:rFonts w:ascii="Arial" w:hAnsi="Arial" w:cs="Arial"/>
                <w:color w:val="000000"/>
              </w:rPr>
              <w:t>0.06140%</w:t>
            </w:r>
          </w:p>
        </w:tc>
        <w:tc>
          <w:tcPr>
            <w:tcW w:w="1207" w:type="dxa"/>
            <w:gridSpan w:val="2"/>
            <w:vAlign w:val="bottom"/>
            <w:hideMark/>
          </w:tcPr>
          <w:p w14:paraId="4A5A49CB" w14:textId="77777777" w:rsidR="003779C8" w:rsidRPr="00B61FF1" w:rsidRDefault="003779C8">
            <w:pPr>
              <w:jc w:val="right"/>
              <w:rPr>
                <w:rFonts w:ascii="Arial" w:hAnsi="Arial" w:cs="Arial"/>
                <w:color w:val="000000"/>
              </w:rPr>
            </w:pPr>
            <w:r w:rsidRPr="00B61FF1">
              <w:rPr>
                <w:rFonts w:ascii="Arial" w:hAnsi="Arial" w:cs="Arial"/>
                <w:color w:val="000000"/>
              </w:rPr>
              <w:t>0.06253%</w:t>
            </w:r>
          </w:p>
        </w:tc>
        <w:tc>
          <w:tcPr>
            <w:tcW w:w="1207" w:type="dxa"/>
            <w:gridSpan w:val="2"/>
            <w:vAlign w:val="bottom"/>
            <w:hideMark/>
          </w:tcPr>
          <w:p w14:paraId="04CDBC81" w14:textId="77777777" w:rsidR="003779C8" w:rsidRPr="00B61FF1" w:rsidRDefault="003779C8">
            <w:pPr>
              <w:jc w:val="right"/>
              <w:rPr>
                <w:rFonts w:ascii="Arial" w:hAnsi="Arial" w:cs="Arial"/>
                <w:color w:val="000000"/>
              </w:rPr>
            </w:pPr>
            <w:r w:rsidRPr="00B61FF1">
              <w:rPr>
                <w:rFonts w:ascii="Arial" w:hAnsi="Arial" w:cs="Arial"/>
                <w:color w:val="000000"/>
              </w:rPr>
              <w:t>0.07244%</w:t>
            </w:r>
          </w:p>
        </w:tc>
        <w:tc>
          <w:tcPr>
            <w:tcW w:w="1207" w:type="dxa"/>
            <w:gridSpan w:val="2"/>
            <w:vAlign w:val="bottom"/>
            <w:hideMark/>
          </w:tcPr>
          <w:p w14:paraId="63C5467A" w14:textId="77777777" w:rsidR="003779C8" w:rsidRPr="00B61FF1" w:rsidRDefault="003779C8">
            <w:pPr>
              <w:jc w:val="right"/>
              <w:rPr>
                <w:rFonts w:ascii="Arial" w:hAnsi="Arial" w:cs="Arial"/>
                <w:color w:val="000000"/>
              </w:rPr>
            </w:pPr>
            <w:r w:rsidRPr="00B61FF1">
              <w:rPr>
                <w:rFonts w:ascii="Arial" w:hAnsi="Arial" w:cs="Arial"/>
                <w:color w:val="000000"/>
              </w:rPr>
              <w:t>0.07403%</w:t>
            </w:r>
          </w:p>
        </w:tc>
        <w:tc>
          <w:tcPr>
            <w:tcW w:w="1207" w:type="dxa"/>
            <w:vAlign w:val="bottom"/>
            <w:hideMark/>
          </w:tcPr>
          <w:p w14:paraId="222D9734" w14:textId="77777777" w:rsidR="003779C8" w:rsidRPr="00B61FF1" w:rsidRDefault="003779C8">
            <w:pPr>
              <w:jc w:val="right"/>
              <w:rPr>
                <w:rFonts w:ascii="Arial" w:hAnsi="Arial" w:cs="Arial"/>
                <w:color w:val="000000"/>
              </w:rPr>
            </w:pPr>
            <w:r w:rsidRPr="00B61FF1">
              <w:rPr>
                <w:rFonts w:ascii="Arial" w:hAnsi="Arial" w:cs="Arial"/>
                <w:color w:val="000000"/>
              </w:rPr>
              <w:t>0.07561%</w:t>
            </w:r>
          </w:p>
        </w:tc>
      </w:tr>
      <w:tr w:rsidR="003779C8" w:rsidRPr="00B61FF1" w14:paraId="3EA9CFFB" w14:textId="77777777" w:rsidTr="009E5ADE">
        <w:trPr>
          <w:trHeight w:val="300"/>
        </w:trPr>
        <w:tc>
          <w:tcPr>
            <w:tcW w:w="2637" w:type="dxa"/>
            <w:gridSpan w:val="3"/>
            <w:vAlign w:val="center"/>
            <w:hideMark/>
          </w:tcPr>
          <w:p w14:paraId="287AE3CA" w14:textId="77777777" w:rsidR="003779C8" w:rsidRPr="00B61FF1" w:rsidRDefault="003779C8">
            <w:pPr>
              <w:rPr>
                <w:rFonts w:ascii="Arial" w:hAnsi="Arial" w:cs="Arial"/>
                <w:color w:val="000000"/>
              </w:rPr>
            </w:pPr>
            <w:r w:rsidRPr="00B61FF1">
              <w:rPr>
                <w:rFonts w:ascii="Arial" w:hAnsi="Arial" w:cs="Arial"/>
                <w:color w:val="000000"/>
              </w:rPr>
              <w:t>City of Biggs</w:t>
            </w:r>
          </w:p>
        </w:tc>
        <w:tc>
          <w:tcPr>
            <w:tcW w:w="883" w:type="dxa"/>
            <w:vAlign w:val="center"/>
            <w:hideMark/>
          </w:tcPr>
          <w:p w14:paraId="0D818777"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3D3693DB" w14:textId="77777777" w:rsidR="003779C8" w:rsidRPr="00B61FF1" w:rsidRDefault="003779C8">
            <w:pPr>
              <w:jc w:val="right"/>
              <w:rPr>
                <w:rFonts w:ascii="Arial" w:hAnsi="Arial" w:cs="Arial"/>
                <w:color w:val="000000"/>
              </w:rPr>
            </w:pPr>
            <w:r w:rsidRPr="00B61FF1">
              <w:rPr>
                <w:rFonts w:ascii="Arial" w:hAnsi="Arial" w:cs="Arial"/>
                <w:color w:val="000000"/>
              </w:rPr>
              <w:t>0.00680%</w:t>
            </w:r>
          </w:p>
        </w:tc>
        <w:tc>
          <w:tcPr>
            <w:tcW w:w="1207" w:type="dxa"/>
            <w:gridSpan w:val="2"/>
            <w:vAlign w:val="bottom"/>
            <w:hideMark/>
          </w:tcPr>
          <w:p w14:paraId="71D3182A" w14:textId="77777777" w:rsidR="003779C8" w:rsidRPr="00B61FF1" w:rsidRDefault="003779C8">
            <w:pPr>
              <w:jc w:val="right"/>
              <w:rPr>
                <w:rFonts w:ascii="Arial" w:hAnsi="Arial" w:cs="Arial"/>
                <w:color w:val="000000"/>
              </w:rPr>
            </w:pPr>
            <w:r w:rsidRPr="00B61FF1">
              <w:rPr>
                <w:rFonts w:ascii="Arial" w:hAnsi="Arial" w:cs="Arial"/>
                <w:color w:val="000000"/>
              </w:rPr>
              <w:t>0.00729%</w:t>
            </w:r>
          </w:p>
        </w:tc>
        <w:tc>
          <w:tcPr>
            <w:tcW w:w="1207" w:type="dxa"/>
            <w:gridSpan w:val="2"/>
            <w:vAlign w:val="bottom"/>
            <w:hideMark/>
          </w:tcPr>
          <w:p w14:paraId="4A52FAC5" w14:textId="77777777" w:rsidR="003779C8" w:rsidRPr="00B61FF1" w:rsidRDefault="003779C8">
            <w:pPr>
              <w:jc w:val="right"/>
              <w:rPr>
                <w:rFonts w:ascii="Arial" w:hAnsi="Arial" w:cs="Arial"/>
                <w:color w:val="000000"/>
              </w:rPr>
            </w:pPr>
            <w:r w:rsidRPr="00B61FF1">
              <w:rPr>
                <w:rFonts w:ascii="Arial" w:hAnsi="Arial" w:cs="Arial"/>
                <w:color w:val="000000"/>
              </w:rPr>
              <w:t>0.00674%</w:t>
            </w:r>
          </w:p>
        </w:tc>
        <w:tc>
          <w:tcPr>
            <w:tcW w:w="1207" w:type="dxa"/>
            <w:gridSpan w:val="2"/>
            <w:vAlign w:val="bottom"/>
            <w:hideMark/>
          </w:tcPr>
          <w:p w14:paraId="6C6B269D" w14:textId="77777777" w:rsidR="003779C8" w:rsidRPr="00B61FF1" w:rsidRDefault="003779C8">
            <w:pPr>
              <w:jc w:val="right"/>
              <w:rPr>
                <w:rFonts w:ascii="Arial" w:hAnsi="Arial" w:cs="Arial"/>
                <w:color w:val="000000"/>
              </w:rPr>
            </w:pPr>
            <w:r w:rsidRPr="00B61FF1">
              <w:rPr>
                <w:rFonts w:ascii="Arial" w:hAnsi="Arial" w:cs="Arial"/>
                <w:color w:val="000000"/>
              </w:rPr>
              <w:t>0.00681%</w:t>
            </w:r>
          </w:p>
        </w:tc>
        <w:tc>
          <w:tcPr>
            <w:tcW w:w="1207" w:type="dxa"/>
            <w:gridSpan w:val="2"/>
            <w:vAlign w:val="bottom"/>
            <w:hideMark/>
          </w:tcPr>
          <w:p w14:paraId="65B54713" w14:textId="77777777" w:rsidR="003779C8" w:rsidRPr="00B61FF1" w:rsidRDefault="003779C8">
            <w:pPr>
              <w:jc w:val="right"/>
              <w:rPr>
                <w:rFonts w:ascii="Arial" w:hAnsi="Arial" w:cs="Arial"/>
                <w:color w:val="000000"/>
              </w:rPr>
            </w:pPr>
            <w:r w:rsidRPr="00B61FF1">
              <w:rPr>
                <w:rFonts w:ascii="Arial" w:hAnsi="Arial" w:cs="Arial"/>
                <w:color w:val="000000"/>
              </w:rPr>
              <w:t>0.00733%</w:t>
            </w:r>
          </w:p>
        </w:tc>
        <w:tc>
          <w:tcPr>
            <w:tcW w:w="1207" w:type="dxa"/>
            <w:gridSpan w:val="2"/>
            <w:vAlign w:val="bottom"/>
            <w:hideMark/>
          </w:tcPr>
          <w:p w14:paraId="76748F6C" w14:textId="77777777" w:rsidR="003779C8" w:rsidRPr="00B61FF1" w:rsidRDefault="003779C8">
            <w:pPr>
              <w:jc w:val="right"/>
              <w:rPr>
                <w:rFonts w:ascii="Arial" w:hAnsi="Arial" w:cs="Arial"/>
                <w:color w:val="000000"/>
              </w:rPr>
            </w:pPr>
            <w:r w:rsidRPr="00B61FF1">
              <w:rPr>
                <w:rFonts w:ascii="Arial" w:hAnsi="Arial" w:cs="Arial"/>
                <w:color w:val="000000"/>
              </w:rPr>
              <w:t>0.00711%</w:t>
            </w:r>
          </w:p>
        </w:tc>
        <w:tc>
          <w:tcPr>
            <w:tcW w:w="1207" w:type="dxa"/>
            <w:gridSpan w:val="2"/>
            <w:vAlign w:val="bottom"/>
            <w:hideMark/>
          </w:tcPr>
          <w:p w14:paraId="70AF152C" w14:textId="77777777" w:rsidR="003779C8" w:rsidRPr="00B61FF1" w:rsidRDefault="003779C8">
            <w:pPr>
              <w:jc w:val="right"/>
              <w:rPr>
                <w:rFonts w:ascii="Arial" w:hAnsi="Arial" w:cs="Arial"/>
                <w:color w:val="000000"/>
              </w:rPr>
            </w:pPr>
            <w:r w:rsidRPr="00B61FF1">
              <w:rPr>
                <w:rFonts w:ascii="Arial" w:hAnsi="Arial" w:cs="Arial"/>
                <w:color w:val="000000"/>
              </w:rPr>
              <w:t>0.00710%</w:t>
            </w:r>
          </w:p>
        </w:tc>
        <w:tc>
          <w:tcPr>
            <w:tcW w:w="1207" w:type="dxa"/>
            <w:vAlign w:val="bottom"/>
            <w:hideMark/>
          </w:tcPr>
          <w:p w14:paraId="07CC2B67" w14:textId="77777777" w:rsidR="003779C8" w:rsidRPr="00B61FF1" w:rsidRDefault="003779C8">
            <w:pPr>
              <w:jc w:val="right"/>
              <w:rPr>
                <w:rFonts w:ascii="Arial" w:hAnsi="Arial" w:cs="Arial"/>
                <w:color w:val="000000"/>
              </w:rPr>
            </w:pPr>
            <w:r w:rsidRPr="00B61FF1">
              <w:rPr>
                <w:rFonts w:ascii="Arial" w:hAnsi="Arial" w:cs="Arial"/>
                <w:color w:val="000000"/>
              </w:rPr>
              <w:t>0.00721%</w:t>
            </w:r>
          </w:p>
        </w:tc>
      </w:tr>
      <w:tr w:rsidR="003779C8" w:rsidRPr="00B61FF1" w14:paraId="4D3A4018" w14:textId="77777777" w:rsidTr="009E5ADE">
        <w:trPr>
          <w:trHeight w:val="300"/>
        </w:trPr>
        <w:tc>
          <w:tcPr>
            <w:tcW w:w="2637" w:type="dxa"/>
            <w:gridSpan w:val="3"/>
            <w:vAlign w:val="center"/>
            <w:hideMark/>
          </w:tcPr>
          <w:p w14:paraId="139CA78E" w14:textId="77777777" w:rsidR="003779C8" w:rsidRPr="00B61FF1" w:rsidRDefault="003779C8">
            <w:pPr>
              <w:rPr>
                <w:rFonts w:ascii="Arial" w:hAnsi="Arial" w:cs="Arial"/>
                <w:color w:val="000000"/>
              </w:rPr>
            </w:pPr>
            <w:r w:rsidRPr="00B61FF1">
              <w:rPr>
                <w:rFonts w:ascii="Arial" w:hAnsi="Arial" w:cs="Arial"/>
                <w:color w:val="000000"/>
              </w:rPr>
              <w:t>City of Gridley</w:t>
            </w:r>
          </w:p>
        </w:tc>
        <w:tc>
          <w:tcPr>
            <w:tcW w:w="883" w:type="dxa"/>
            <w:vAlign w:val="center"/>
            <w:hideMark/>
          </w:tcPr>
          <w:p w14:paraId="7BD49E1E"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26C2D332" w14:textId="77777777" w:rsidR="003779C8" w:rsidRPr="00B61FF1" w:rsidRDefault="003779C8">
            <w:pPr>
              <w:jc w:val="right"/>
              <w:rPr>
                <w:rFonts w:ascii="Arial" w:hAnsi="Arial" w:cs="Arial"/>
                <w:color w:val="000000"/>
              </w:rPr>
            </w:pPr>
            <w:r w:rsidRPr="00B61FF1">
              <w:rPr>
                <w:rFonts w:ascii="Arial" w:hAnsi="Arial" w:cs="Arial"/>
                <w:color w:val="000000"/>
              </w:rPr>
              <w:t>0.01517%</w:t>
            </w:r>
          </w:p>
        </w:tc>
        <w:tc>
          <w:tcPr>
            <w:tcW w:w="1207" w:type="dxa"/>
            <w:gridSpan w:val="2"/>
            <w:vAlign w:val="bottom"/>
            <w:hideMark/>
          </w:tcPr>
          <w:p w14:paraId="1B2CE707" w14:textId="77777777" w:rsidR="003779C8" w:rsidRPr="00B61FF1" w:rsidRDefault="003779C8">
            <w:pPr>
              <w:jc w:val="right"/>
              <w:rPr>
                <w:rFonts w:ascii="Arial" w:hAnsi="Arial" w:cs="Arial"/>
                <w:color w:val="000000"/>
              </w:rPr>
            </w:pPr>
            <w:r w:rsidRPr="00B61FF1">
              <w:rPr>
                <w:rFonts w:ascii="Arial" w:hAnsi="Arial" w:cs="Arial"/>
                <w:color w:val="000000"/>
              </w:rPr>
              <w:t>0.01551%</w:t>
            </w:r>
          </w:p>
        </w:tc>
        <w:tc>
          <w:tcPr>
            <w:tcW w:w="1207" w:type="dxa"/>
            <w:gridSpan w:val="2"/>
            <w:vAlign w:val="bottom"/>
            <w:hideMark/>
          </w:tcPr>
          <w:p w14:paraId="24A7C46C" w14:textId="77777777" w:rsidR="003779C8" w:rsidRPr="00B61FF1" w:rsidRDefault="003779C8">
            <w:pPr>
              <w:jc w:val="right"/>
              <w:rPr>
                <w:rFonts w:ascii="Arial" w:hAnsi="Arial" w:cs="Arial"/>
                <w:color w:val="000000"/>
              </w:rPr>
            </w:pPr>
            <w:r w:rsidRPr="00B61FF1">
              <w:rPr>
                <w:rFonts w:ascii="Arial" w:hAnsi="Arial" w:cs="Arial"/>
                <w:color w:val="000000"/>
              </w:rPr>
              <w:t>0.01571%</w:t>
            </w:r>
          </w:p>
        </w:tc>
        <w:tc>
          <w:tcPr>
            <w:tcW w:w="1207" w:type="dxa"/>
            <w:gridSpan w:val="2"/>
            <w:vAlign w:val="bottom"/>
            <w:hideMark/>
          </w:tcPr>
          <w:p w14:paraId="532724A5" w14:textId="77777777" w:rsidR="003779C8" w:rsidRPr="00B61FF1" w:rsidRDefault="003779C8">
            <w:pPr>
              <w:jc w:val="right"/>
              <w:rPr>
                <w:rFonts w:ascii="Arial" w:hAnsi="Arial" w:cs="Arial"/>
                <w:color w:val="000000"/>
              </w:rPr>
            </w:pPr>
            <w:r w:rsidRPr="00B61FF1">
              <w:rPr>
                <w:rFonts w:ascii="Arial" w:hAnsi="Arial" w:cs="Arial"/>
                <w:color w:val="000000"/>
              </w:rPr>
              <w:t>0.01601%</w:t>
            </w:r>
          </w:p>
        </w:tc>
        <w:tc>
          <w:tcPr>
            <w:tcW w:w="1207" w:type="dxa"/>
            <w:gridSpan w:val="2"/>
            <w:vAlign w:val="bottom"/>
            <w:hideMark/>
          </w:tcPr>
          <w:p w14:paraId="1FB5BDBD" w14:textId="77777777" w:rsidR="003779C8" w:rsidRPr="00B61FF1" w:rsidRDefault="003779C8">
            <w:pPr>
              <w:jc w:val="right"/>
              <w:rPr>
                <w:rFonts w:ascii="Arial" w:hAnsi="Arial" w:cs="Arial"/>
                <w:color w:val="000000"/>
              </w:rPr>
            </w:pPr>
            <w:r w:rsidRPr="00B61FF1">
              <w:rPr>
                <w:rFonts w:ascii="Arial" w:hAnsi="Arial" w:cs="Arial"/>
                <w:color w:val="000000"/>
              </w:rPr>
              <w:t>0.01650%</w:t>
            </w:r>
          </w:p>
        </w:tc>
        <w:tc>
          <w:tcPr>
            <w:tcW w:w="1207" w:type="dxa"/>
            <w:gridSpan w:val="2"/>
            <w:vAlign w:val="bottom"/>
            <w:hideMark/>
          </w:tcPr>
          <w:p w14:paraId="1A3CAF70" w14:textId="77777777" w:rsidR="003779C8" w:rsidRPr="00B61FF1" w:rsidRDefault="003779C8">
            <w:pPr>
              <w:jc w:val="right"/>
              <w:rPr>
                <w:rFonts w:ascii="Arial" w:hAnsi="Arial" w:cs="Arial"/>
                <w:color w:val="000000"/>
              </w:rPr>
            </w:pPr>
            <w:r w:rsidRPr="00B61FF1">
              <w:rPr>
                <w:rFonts w:ascii="Arial" w:hAnsi="Arial" w:cs="Arial"/>
                <w:color w:val="000000"/>
              </w:rPr>
              <w:t>0.01657%</w:t>
            </w:r>
          </w:p>
        </w:tc>
        <w:tc>
          <w:tcPr>
            <w:tcW w:w="1207" w:type="dxa"/>
            <w:gridSpan w:val="2"/>
            <w:vAlign w:val="bottom"/>
            <w:hideMark/>
          </w:tcPr>
          <w:p w14:paraId="252322DF" w14:textId="77777777" w:rsidR="003779C8" w:rsidRPr="00B61FF1" w:rsidRDefault="003779C8">
            <w:pPr>
              <w:jc w:val="right"/>
              <w:rPr>
                <w:rFonts w:ascii="Arial" w:hAnsi="Arial" w:cs="Arial"/>
                <w:color w:val="000000"/>
              </w:rPr>
            </w:pPr>
            <w:r w:rsidRPr="00B61FF1">
              <w:rPr>
                <w:rFonts w:ascii="Arial" w:hAnsi="Arial" w:cs="Arial"/>
                <w:color w:val="000000"/>
              </w:rPr>
              <w:t>0.01654%</w:t>
            </w:r>
          </w:p>
        </w:tc>
        <w:tc>
          <w:tcPr>
            <w:tcW w:w="1207" w:type="dxa"/>
            <w:vAlign w:val="bottom"/>
            <w:hideMark/>
          </w:tcPr>
          <w:p w14:paraId="4FFD8DEB" w14:textId="77777777" w:rsidR="003779C8" w:rsidRPr="00B61FF1" w:rsidRDefault="003779C8">
            <w:pPr>
              <w:jc w:val="right"/>
              <w:rPr>
                <w:rFonts w:ascii="Arial" w:hAnsi="Arial" w:cs="Arial"/>
                <w:color w:val="000000"/>
              </w:rPr>
            </w:pPr>
            <w:r w:rsidRPr="00B61FF1">
              <w:rPr>
                <w:rFonts w:ascii="Arial" w:hAnsi="Arial" w:cs="Arial"/>
                <w:color w:val="000000"/>
              </w:rPr>
              <w:t>0.01666%</w:t>
            </w:r>
          </w:p>
        </w:tc>
      </w:tr>
      <w:tr w:rsidR="003779C8" w:rsidRPr="00B61FF1" w14:paraId="7C7A8D78" w14:textId="77777777" w:rsidTr="009E5ADE">
        <w:trPr>
          <w:trHeight w:val="300"/>
        </w:trPr>
        <w:tc>
          <w:tcPr>
            <w:tcW w:w="2637" w:type="dxa"/>
            <w:gridSpan w:val="3"/>
            <w:vAlign w:val="center"/>
            <w:hideMark/>
          </w:tcPr>
          <w:p w14:paraId="4EB9BCBF" w14:textId="77777777" w:rsidR="003779C8" w:rsidRPr="00B61FF1" w:rsidRDefault="003779C8">
            <w:pPr>
              <w:rPr>
                <w:rFonts w:ascii="Arial" w:hAnsi="Arial" w:cs="Arial"/>
                <w:color w:val="000000"/>
              </w:rPr>
            </w:pPr>
            <w:r w:rsidRPr="00B61FF1">
              <w:rPr>
                <w:rFonts w:ascii="Arial" w:hAnsi="Arial" w:cs="Arial"/>
                <w:color w:val="000000"/>
              </w:rPr>
              <w:t>City of Healdsburg</w:t>
            </w:r>
          </w:p>
        </w:tc>
        <w:tc>
          <w:tcPr>
            <w:tcW w:w="883" w:type="dxa"/>
            <w:vAlign w:val="center"/>
            <w:hideMark/>
          </w:tcPr>
          <w:p w14:paraId="468AD808"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578E9348" w14:textId="77777777" w:rsidR="003779C8" w:rsidRPr="00B61FF1" w:rsidRDefault="003779C8">
            <w:pPr>
              <w:jc w:val="right"/>
              <w:rPr>
                <w:rFonts w:ascii="Arial" w:hAnsi="Arial" w:cs="Arial"/>
                <w:color w:val="000000"/>
              </w:rPr>
            </w:pPr>
            <w:r w:rsidRPr="00B61FF1">
              <w:rPr>
                <w:rFonts w:ascii="Arial" w:hAnsi="Arial" w:cs="Arial"/>
                <w:color w:val="000000"/>
              </w:rPr>
              <w:t>0.03290%</w:t>
            </w:r>
          </w:p>
        </w:tc>
        <w:tc>
          <w:tcPr>
            <w:tcW w:w="1207" w:type="dxa"/>
            <w:gridSpan w:val="2"/>
            <w:vAlign w:val="bottom"/>
            <w:hideMark/>
          </w:tcPr>
          <w:p w14:paraId="13B50BF9" w14:textId="77777777" w:rsidR="003779C8" w:rsidRPr="00B61FF1" w:rsidRDefault="003779C8">
            <w:pPr>
              <w:jc w:val="right"/>
              <w:rPr>
                <w:rFonts w:ascii="Arial" w:hAnsi="Arial" w:cs="Arial"/>
                <w:color w:val="000000"/>
              </w:rPr>
            </w:pPr>
            <w:r w:rsidRPr="00B61FF1">
              <w:rPr>
                <w:rFonts w:ascii="Arial" w:hAnsi="Arial" w:cs="Arial"/>
                <w:color w:val="000000"/>
              </w:rPr>
              <w:t>0.03271%</w:t>
            </w:r>
          </w:p>
        </w:tc>
        <w:tc>
          <w:tcPr>
            <w:tcW w:w="1207" w:type="dxa"/>
            <w:gridSpan w:val="2"/>
            <w:vAlign w:val="bottom"/>
            <w:hideMark/>
          </w:tcPr>
          <w:p w14:paraId="239908A1" w14:textId="77777777" w:rsidR="003779C8" w:rsidRPr="00B61FF1" w:rsidRDefault="003779C8">
            <w:pPr>
              <w:jc w:val="right"/>
              <w:rPr>
                <w:rFonts w:ascii="Arial" w:hAnsi="Arial" w:cs="Arial"/>
                <w:color w:val="000000"/>
              </w:rPr>
            </w:pPr>
            <w:r w:rsidRPr="00B61FF1">
              <w:rPr>
                <w:rFonts w:ascii="Arial" w:hAnsi="Arial" w:cs="Arial"/>
                <w:color w:val="000000"/>
              </w:rPr>
              <w:t>0.03126%</w:t>
            </w:r>
          </w:p>
        </w:tc>
        <w:tc>
          <w:tcPr>
            <w:tcW w:w="1207" w:type="dxa"/>
            <w:gridSpan w:val="2"/>
            <w:vAlign w:val="bottom"/>
            <w:hideMark/>
          </w:tcPr>
          <w:p w14:paraId="40ECD2AB" w14:textId="77777777" w:rsidR="003779C8" w:rsidRPr="00B61FF1" w:rsidRDefault="003779C8">
            <w:pPr>
              <w:jc w:val="right"/>
              <w:rPr>
                <w:rFonts w:ascii="Arial" w:hAnsi="Arial" w:cs="Arial"/>
                <w:color w:val="000000"/>
              </w:rPr>
            </w:pPr>
            <w:r w:rsidRPr="00B61FF1">
              <w:rPr>
                <w:rFonts w:ascii="Arial" w:hAnsi="Arial" w:cs="Arial"/>
                <w:color w:val="000000"/>
              </w:rPr>
              <w:t>0.03325%</w:t>
            </w:r>
          </w:p>
        </w:tc>
        <w:tc>
          <w:tcPr>
            <w:tcW w:w="1207" w:type="dxa"/>
            <w:gridSpan w:val="2"/>
            <w:vAlign w:val="bottom"/>
            <w:hideMark/>
          </w:tcPr>
          <w:p w14:paraId="585ABD37" w14:textId="77777777" w:rsidR="003779C8" w:rsidRPr="00B61FF1" w:rsidRDefault="003779C8">
            <w:pPr>
              <w:jc w:val="right"/>
              <w:rPr>
                <w:rFonts w:ascii="Arial" w:hAnsi="Arial" w:cs="Arial"/>
                <w:color w:val="000000"/>
              </w:rPr>
            </w:pPr>
            <w:r w:rsidRPr="00B61FF1">
              <w:rPr>
                <w:rFonts w:ascii="Arial" w:hAnsi="Arial" w:cs="Arial"/>
                <w:color w:val="000000"/>
              </w:rPr>
              <w:t>0.03567%</w:t>
            </w:r>
          </w:p>
        </w:tc>
        <w:tc>
          <w:tcPr>
            <w:tcW w:w="1207" w:type="dxa"/>
            <w:gridSpan w:val="2"/>
            <w:vAlign w:val="bottom"/>
            <w:hideMark/>
          </w:tcPr>
          <w:p w14:paraId="2C19D1AE" w14:textId="77777777" w:rsidR="003779C8" w:rsidRPr="00B61FF1" w:rsidRDefault="003779C8">
            <w:pPr>
              <w:jc w:val="right"/>
              <w:rPr>
                <w:rFonts w:ascii="Arial" w:hAnsi="Arial" w:cs="Arial"/>
                <w:color w:val="000000"/>
              </w:rPr>
            </w:pPr>
            <w:r w:rsidRPr="00B61FF1">
              <w:rPr>
                <w:rFonts w:ascii="Arial" w:hAnsi="Arial" w:cs="Arial"/>
                <w:color w:val="000000"/>
              </w:rPr>
              <w:t>0.03777%</w:t>
            </w:r>
          </w:p>
        </w:tc>
        <w:tc>
          <w:tcPr>
            <w:tcW w:w="1207" w:type="dxa"/>
            <w:gridSpan w:val="2"/>
            <w:vAlign w:val="bottom"/>
            <w:hideMark/>
          </w:tcPr>
          <w:p w14:paraId="758DCCDC" w14:textId="77777777" w:rsidR="003779C8" w:rsidRPr="00B61FF1" w:rsidRDefault="003779C8">
            <w:pPr>
              <w:jc w:val="right"/>
              <w:rPr>
                <w:rFonts w:ascii="Arial" w:hAnsi="Arial" w:cs="Arial"/>
                <w:color w:val="000000"/>
              </w:rPr>
            </w:pPr>
            <w:r w:rsidRPr="00B61FF1">
              <w:rPr>
                <w:rFonts w:ascii="Arial" w:hAnsi="Arial" w:cs="Arial"/>
                <w:color w:val="000000"/>
              </w:rPr>
              <w:t>0.03889%</w:t>
            </w:r>
          </w:p>
        </w:tc>
        <w:tc>
          <w:tcPr>
            <w:tcW w:w="1207" w:type="dxa"/>
            <w:vAlign w:val="bottom"/>
            <w:hideMark/>
          </w:tcPr>
          <w:p w14:paraId="5BF90D28" w14:textId="77777777" w:rsidR="003779C8" w:rsidRPr="00B61FF1" w:rsidRDefault="003779C8">
            <w:pPr>
              <w:jc w:val="right"/>
              <w:rPr>
                <w:rFonts w:ascii="Arial" w:hAnsi="Arial" w:cs="Arial"/>
                <w:color w:val="000000"/>
              </w:rPr>
            </w:pPr>
            <w:r w:rsidRPr="00B61FF1">
              <w:rPr>
                <w:rFonts w:ascii="Arial" w:hAnsi="Arial" w:cs="Arial"/>
                <w:color w:val="000000"/>
              </w:rPr>
              <w:t>0.04195%</w:t>
            </w:r>
          </w:p>
        </w:tc>
      </w:tr>
      <w:tr w:rsidR="003779C8" w:rsidRPr="00B61FF1" w14:paraId="5BC96161" w14:textId="77777777" w:rsidTr="009E5ADE">
        <w:trPr>
          <w:trHeight w:val="300"/>
        </w:trPr>
        <w:tc>
          <w:tcPr>
            <w:tcW w:w="2637" w:type="dxa"/>
            <w:gridSpan w:val="3"/>
            <w:vAlign w:val="center"/>
            <w:hideMark/>
          </w:tcPr>
          <w:p w14:paraId="049241EA" w14:textId="77777777" w:rsidR="003779C8" w:rsidRPr="00B61FF1" w:rsidRDefault="003779C8">
            <w:pPr>
              <w:rPr>
                <w:rFonts w:ascii="Arial" w:hAnsi="Arial" w:cs="Arial"/>
                <w:color w:val="000000"/>
              </w:rPr>
            </w:pPr>
            <w:r w:rsidRPr="00B61FF1">
              <w:rPr>
                <w:rFonts w:ascii="Arial" w:hAnsi="Arial" w:cs="Arial"/>
                <w:color w:val="000000"/>
              </w:rPr>
              <w:t>City of Lodi</w:t>
            </w:r>
          </w:p>
        </w:tc>
        <w:tc>
          <w:tcPr>
            <w:tcW w:w="883" w:type="dxa"/>
            <w:vAlign w:val="center"/>
            <w:hideMark/>
          </w:tcPr>
          <w:p w14:paraId="79F7514C"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1FF6BFA8" w14:textId="77777777" w:rsidR="003779C8" w:rsidRPr="00B61FF1" w:rsidRDefault="003779C8">
            <w:pPr>
              <w:jc w:val="right"/>
              <w:rPr>
                <w:rFonts w:ascii="Arial" w:hAnsi="Arial" w:cs="Arial"/>
                <w:color w:val="000000"/>
              </w:rPr>
            </w:pPr>
            <w:r w:rsidRPr="00B61FF1">
              <w:rPr>
                <w:rFonts w:ascii="Arial" w:hAnsi="Arial" w:cs="Arial"/>
                <w:color w:val="000000"/>
              </w:rPr>
              <w:t>0.16616%</w:t>
            </w:r>
          </w:p>
        </w:tc>
        <w:tc>
          <w:tcPr>
            <w:tcW w:w="1207" w:type="dxa"/>
            <w:gridSpan w:val="2"/>
            <w:vAlign w:val="bottom"/>
            <w:hideMark/>
          </w:tcPr>
          <w:p w14:paraId="58234B00" w14:textId="77777777" w:rsidR="003779C8" w:rsidRPr="00B61FF1" w:rsidRDefault="003779C8">
            <w:pPr>
              <w:jc w:val="right"/>
              <w:rPr>
                <w:rFonts w:ascii="Arial" w:hAnsi="Arial" w:cs="Arial"/>
                <w:color w:val="000000"/>
              </w:rPr>
            </w:pPr>
            <w:r w:rsidRPr="00B61FF1">
              <w:rPr>
                <w:rFonts w:ascii="Arial" w:hAnsi="Arial" w:cs="Arial"/>
                <w:color w:val="000000"/>
              </w:rPr>
              <w:t>0.16780%</w:t>
            </w:r>
          </w:p>
        </w:tc>
        <w:tc>
          <w:tcPr>
            <w:tcW w:w="1207" w:type="dxa"/>
            <w:gridSpan w:val="2"/>
            <w:vAlign w:val="bottom"/>
            <w:hideMark/>
          </w:tcPr>
          <w:p w14:paraId="5D0116F7" w14:textId="77777777" w:rsidR="003779C8" w:rsidRPr="00B61FF1" w:rsidRDefault="003779C8">
            <w:pPr>
              <w:jc w:val="right"/>
              <w:rPr>
                <w:rFonts w:ascii="Arial" w:hAnsi="Arial" w:cs="Arial"/>
                <w:color w:val="000000"/>
              </w:rPr>
            </w:pPr>
            <w:r w:rsidRPr="00B61FF1">
              <w:rPr>
                <w:rFonts w:ascii="Arial" w:hAnsi="Arial" w:cs="Arial"/>
                <w:color w:val="000000"/>
              </w:rPr>
              <w:t>0.16385%</w:t>
            </w:r>
          </w:p>
        </w:tc>
        <w:tc>
          <w:tcPr>
            <w:tcW w:w="1207" w:type="dxa"/>
            <w:gridSpan w:val="2"/>
            <w:vAlign w:val="bottom"/>
            <w:hideMark/>
          </w:tcPr>
          <w:p w14:paraId="0DDAE504" w14:textId="77777777" w:rsidR="003779C8" w:rsidRPr="00B61FF1" w:rsidRDefault="003779C8">
            <w:pPr>
              <w:jc w:val="right"/>
              <w:rPr>
                <w:rFonts w:ascii="Arial" w:hAnsi="Arial" w:cs="Arial"/>
                <w:color w:val="000000"/>
              </w:rPr>
            </w:pPr>
            <w:r w:rsidRPr="00B61FF1">
              <w:rPr>
                <w:rFonts w:ascii="Arial" w:hAnsi="Arial" w:cs="Arial"/>
                <w:color w:val="000000"/>
              </w:rPr>
              <w:t>0.16740%</w:t>
            </w:r>
          </w:p>
        </w:tc>
        <w:tc>
          <w:tcPr>
            <w:tcW w:w="1207" w:type="dxa"/>
            <w:gridSpan w:val="2"/>
            <w:vAlign w:val="bottom"/>
            <w:hideMark/>
          </w:tcPr>
          <w:p w14:paraId="2190716B" w14:textId="77777777" w:rsidR="003779C8" w:rsidRPr="00B61FF1" w:rsidRDefault="003779C8">
            <w:pPr>
              <w:jc w:val="right"/>
              <w:rPr>
                <w:rFonts w:ascii="Arial" w:hAnsi="Arial" w:cs="Arial"/>
                <w:color w:val="000000"/>
              </w:rPr>
            </w:pPr>
            <w:r w:rsidRPr="00B61FF1">
              <w:rPr>
                <w:rFonts w:ascii="Arial" w:hAnsi="Arial" w:cs="Arial"/>
                <w:color w:val="000000"/>
              </w:rPr>
              <w:t>0.17419%</w:t>
            </w:r>
          </w:p>
        </w:tc>
        <w:tc>
          <w:tcPr>
            <w:tcW w:w="1207" w:type="dxa"/>
            <w:gridSpan w:val="2"/>
            <w:vAlign w:val="bottom"/>
            <w:hideMark/>
          </w:tcPr>
          <w:p w14:paraId="3D5BDABB" w14:textId="77777777" w:rsidR="003779C8" w:rsidRPr="00B61FF1" w:rsidRDefault="003779C8">
            <w:pPr>
              <w:jc w:val="right"/>
              <w:rPr>
                <w:rFonts w:ascii="Arial" w:hAnsi="Arial" w:cs="Arial"/>
                <w:color w:val="000000"/>
              </w:rPr>
            </w:pPr>
            <w:r w:rsidRPr="00B61FF1">
              <w:rPr>
                <w:rFonts w:ascii="Arial" w:hAnsi="Arial" w:cs="Arial"/>
                <w:color w:val="000000"/>
              </w:rPr>
              <w:t>0.17518%</w:t>
            </w:r>
          </w:p>
        </w:tc>
        <w:tc>
          <w:tcPr>
            <w:tcW w:w="1207" w:type="dxa"/>
            <w:gridSpan w:val="2"/>
            <w:vAlign w:val="bottom"/>
            <w:hideMark/>
          </w:tcPr>
          <w:p w14:paraId="07E30F01" w14:textId="77777777" w:rsidR="003779C8" w:rsidRPr="00B61FF1" w:rsidRDefault="003779C8">
            <w:pPr>
              <w:jc w:val="right"/>
              <w:rPr>
                <w:rFonts w:ascii="Arial" w:hAnsi="Arial" w:cs="Arial"/>
                <w:color w:val="000000"/>
              </w:rPr>
            </w:pPr>
            <w:r w:rsidRPr="00B61FF1">
              <w:rPr>
                <w:rFonts w:ascii="Arial" w:hAnsi="Arial" w:cs="Arial"/>
                <w:color w:val="000000"/>
              </w:rPr>
              <w:t>0.17494%</w:t>
            </w:r>
          </w:p>
        </w:tc>
        <w:tc>
          <w:tcPr>
            <w:tcW w:w="1207" w:type="dxa"/>
            <w:vAlign w:val="bottom"/>
            <w:hideMark/>
          </w:tcPr>
          <w:p w14:paraId="2CC34F63" w14:textId="77777777" w:rsidR="003779C8" w:rsidRPr="00B61FF1" w:rsidRDefault="003779C8">
            <w:pPr>
              <w:jc w:val="right"/>
              <w:rPr>
                <w:rFonts w:ascii="Arial" w:hAnsi="Arial" w:cs="Arial"/>
                <w:color w:val="000000"/>
              </w:rPr>
            </w:pPr>
            <w:r w:rsidRPr="00B61FF1">
              <w:rPr>
                <w:rFonts w:ascii="Arial" w:hAnsi="Arial" w:cs="Arial"/>
                <w:color w:val="000000"/>
              </w:rPr>
              <w:t>0.17995%</w:t>
            </w:r>
          </w:p>
        </w:tc>
      </w:tr>
      <w:tr w:rsidR="003779C8" w:rsidRPr="00B61FF1" w14:paraId="0288BC1A" w14:textId="77777777" w:rsidTr="009E5ADE">
        <w:trPr>
          <w:trHeight w:val="300"/>
        </w:trPr>
        <w:tc>
          <w:tcPr>
            <w:tcW w:w="2637" w:type="dxa"/>
            <w:gridSpan w:val="3"/>
            <w:vAlign w:val="center"/>
            <w:hideMark/>
          </w:tcPr>
          <w:p w14:paraId="57A9ACF7" w14:textId="77777777" w:rsidR="003779C8" w:rsidRPr="00B61FF1" w:rsidRDefault="003779C8">
            <w:pPr>
              <w:rPr>
                <w:rFonts w:ascii="Arial" w:hAnsi="Arial" w:cs="Arial"/>
                <w:color w:val="000000"/>
              </w:rPr>
            </w:pPr>
            <w:r w:rsidRPr="00B61FF1">
              <w:rPr>
                <w:rFonts w:ascii="Arial" w:hAnsi="Arial" w:cs="Arial"/>
                <w:color w:val="000000"/>
              </w:rPr>
              <w:t>City of Lompoc</w:t>
            </w:r>
          </w:p>
        </w:tc>
        <w:tc>
          <w:tcPr>
            <w:tcW w:w="883" w:type="dxa"/>
            <w:vAlign w:val="center"/>
            <w:hideMark/>
          </w:tcPr>
          <w:p w14:paraId="235D5AB2"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gridSpan w:val="2"/>
            <w:vAlign w:val="bottom"/>
            <w:hideMark/>
          </w:tcPr>
          <w:p w14:paraId="4F6D25C5" w14:textId="77777777" w:rsidR="003779C8" w:rsidRPr="00B61FF1" w:rsidRDefault="003779C8">
            <w:pPr>
              <w:jc w:val="right"/>
              <w:rPr>
                <w:rFonts w:ascii="Arial" w:hAnsi="Arial" w:cs="Arial"/>
                <w:color w:val="000000"/>
              </w:rPr>
            </w:pPr>
            <w:r w:rsidRPr="00B61FF1">
              <w:rPr>
                <w:rFonts w:ascii="Arial" w:hAnsi="Arial" w:cs="Arial"/>
                <w:color w:val="000000"/>
              </w:rPr>
              <w:t>0.04956%</w:t>
            </w:r>
          </w:p>
        </w:tc>
        <w:tc>
          <w:tcPr>
            <w:tcW w:w="1207" w:type="dxa"/>
            <w:gridSpan w:val="2"/>
            <w:vAlign w:val="bottom"/>
            <w:hideMark/>
          </w:tcPr>
          <w:p w14:paraId="294EDEDE" w14:textId="77777777" w:rsidR="003779C8" w:rsidRPr="00B61FF1" w:rsidRDefault="003779C8">
            <w:pPr>
              <w:jc w:val="right"/>
              <w:rPr>
                <w:rFonts w:ascii="Arial" w:hAnsi="Arial" w:cs="Arial"/>
                <w:color w:val="000000"/>
              </w:rPr>
            </w:pPr>
            <w:r w:rsidRPr="00B61FF1">
              <w:rPr>
                <w:rFonts w:ascii="Arial" w:hAnsi="Arial" w:cs="Arial"/>
                <w:color w:val="000000"/>
              </w:rPr>
              <w:t>0.04985%</w:t>
            </w:r>
          </w:p>
        </w:tc>
        <w:tc>
          <w:tcPr>
            <w:tcW w:w="1207" w:type="dxa"/>
            <w:gridSpan w:val="2"/>
            <w:vAlign w:val="bottom"/>
            <w:hideMark/>
          </w:tcPr>
          <w:p w14:paraId="51C8BE7E" w14:textId="77777777" w:rsidR="003779C8" w:rsidRPr="00B61FF1" w:rsidRDefault="003779C8">
            <w:pPr>
              <w:jc w:val="right"/>
              <w:rPr>
                <w:rFonts w:ascii="Arial" w:hAnsi="Arial" w:cs="Arial"/>
                <w:color w:val="000000"/>
              </w:rPr>
            </w:pPr>
            <w:r w:rsidRPr="00B61FF1">
              <w:rPr>
                <w:rFonts w:ascii="Arial" w:hAnsi="Arial" w:cs="Arial"/>
                <w:color w:val="000000"/>
              </w:rPr>
              <w:t>0.04887%</w:t>
            </w:r>
          </w:p>
        </w:tc>
        <w:tc>
          <w:tcPr>
            <w:tcW w:w="1207" w:type="dxa"/>
            <w:gridSpan w:val="2"/>
            <w:vAlign w:val="bottom"/>
            <w:hideMark/>
          </w:tcPr>
          <w:p w14:paraId="1D40CB6E" w14:textId="77777777" w:rsidR="003779C8" w:rsidRPr="00B61FF1" w:rsidRDefault="003779C8">
            <w:pPr>
              <w:jc w:val="right"/>
              <w:rPr>
                <w:rFonts w:ascii="Arial" w:hAnsi="Arial" w:cs="Arial"/>
                <w:color w:val="000000"/>
              </w:rPr>
            </w:pPr>
            <w:r w:rsidRPr="00B61FF1">
              <w:rPr>
                <w:rFonts w:ascii="Arial" w:hAnsi="Arial" w:cs="Arial"/>
                <w:color w:val="000000"/>
              </w:rPr>
              <w:t>0.05136%</w:t>
            </w:r>
          </w:p>
        </w:tc>
        <w:tc>
          <w:tcPr>
            <w:tcW w:w="1207" w:type="dxa"/>
            <w:gridSpan w:val="2"/>
            <w:vAlign w:val="bottom"/>
            <w:hideMark/>
          </w:tcPr>
          <w:p w14:paraId="59C904C4" w14:textId="77777777" w:rsidR="003779C8" w:rsidRPr="00B61FF1" w:rsidRDefault="003779C8">
            <w:pPr>
              <w:jc w:val="right"/>
              <w:rPr>
                <w:rFonts w:ascii="Arial" w:hAnsi="Arial" w:cs="Arial"/>
                <w:color w:val="000000"/>
              </w:rPr>
            </w:pPr>
            <w:r w:rsidRPr="00B61FF1">
              <w:rPr>
                <w:rFonts w:ascii="Arial" w:hAnsi="Arial" w:cs="Arial"/>
                <w:color w:val="000000"/>
              </w:rPr>
              <w:t>0.05400%</w:t>
            </w:r>
          </w:p>
        </w:tc>
        <w:tc>
          <w:tcPr>
            <w:tcW w:w="1207" w:type="dxa"/>
            <w:gridSpan w:val="2"/>
            <w:vAlign w:val="bottom"/>
            <w:hideMark/>
          </w:tcPr>
          <w:p w14:paraId="0FC8A9D3" w14:textId="77777777" w:rsidR="003779C8" w:rsidRPr="00B61FF1" w:rsidRDefault="003779C8">
            <w:pPr>
              <w:jc w:val="right"/>
              <w:rPr>
                <w:rFonts w:ascii="Arial" w:hAnsi="Arial" w:cs="Arial"/>
                <w:color w:val="000000"/>
              </w:rPr>
            </w:pPr>
            <w:r w:rsidRPr="00B61FF1">
              <w:rPr>
                <w:rFonts w:ascii="Arial" w:hAnsi="Arial" w:cs="Arial"/>
                <w:color w:val="000000"/>
              </w:rPr>
              <w:t>0.05438%</w:t>
            </w:r>
          </w:p>
        </w:tc>
        <w:tc>
          <w:tcPr>
            <w:tcW w:w="1207" w:type="dxa"/>
            <w:gridSpan w:val="2"/>
            <w:vAlign w:val="bottom"/>
            <w:hideMark/>
          </w:tcPr>
          <w:p w14:paraId="2027B63B" w14:textId="77777777" w:rsidR="003779C8" w:rsidRPr="00B61FF1" w:rsidRDefault="003779C8">
            <w:pPr>
              <w:jc w:val="right"/>
              <w:rPr>
                <w:rFonts w:ascii="Arial" w:hAnsi="Arial" w:cs="Arial"/>
                <w:color w:val="000000"/>
              </w:rPr>
            </w:pPr>
            <w:r w:rsidRPr="00B61FF1">
              <w:rPr>
                <w:rFonts w:ascii="Arial" w:hAnsi="Arial" w:cs="Arial"/>
                <w:color w:val="000000"/>
              </w:rPr>
              <w:t>0.05442%</w:t>
            </w:r>
          </w:p>
        </w:tc>
        <w:tc>
          <w:tcPr>
            <w:tcW w:w="1207" w:type="dxa"/>
            <w:vAlign w:val="bottom"/>
            <w:hideMark/>
          </w:tcPr>
          <w:p w14:paraId="2E86C037" w14:textId="77777777" w:rsidR="003779C8" w:rsidRPr="00B61FF1" w:rsidRDefault="003779C8">
            <w:pPr>
              <w:jc w:val="right"/>
              <w:rPr>
                <w:rFonts w:ascii="Arial" w:hAnsi="Arial" w:cs="Arial"/>
                <w:color w:val="000000"/>
              </w:rPr>
            </w:pPr>
            <w:r w:rsidRPr="00B61FF1">
              <w:rPr>
                <w:rFonts w:ascii="Arial" w:hAnsi="Arial" w:cs="Arial"/>
                <w:color w:val="000000"/>
              </w:rPr>
              <w:t>0.05635%</w:t>
            </w:r>
          </w:p>
        </w:tc>
      </w:tr>
    </w:tbl>
    <w:p w14:paraId="52A4D4D0" w14:textId="77777777" w:rsidR="009E5ADE" w:rsidRPr="00B61FF1" w:rsidRDefault="009E5ADE" w:rsidP="009E5ADE">
      <w:pPr>
        <w:rPr>
          <w:rFonts w:ascii="Arial" w:hAnsi="Arial" w:cs="Arial"/>
        </w:rPr>
      </w:pPr>
    </w:p>
    <w:p w14:paraId="1884FF37" w14:textId="77777777" w:rsidR="003F5ECD" w:rsidRPr="00B61FF1" w:rsidRDefault="003F5ECD" w:rsidP="003F5ECD">
      <w:pPr>
        <w:rPr>
          <w:rFonts w:ascii="Arial" w:hAnsi="Arial" w:cs="Arial"/>
        </w:rPr>
      </w:pPr>
    </w:p>
    <w:p w14:paraId="413FAEAE" w14:textId="77777777" w:rsidR="003F5ECD" w:rsidRPr="00B61FF1" w:rsidRDefault="003F5ECD" w:rsidP="003F5ECD">
      <w:pPr>
        <w:rPr>
          <w:rFonts w:ascii="Arial" w:hAnsi="Arial" w:cs="Arial"/>
        </w:rPr>
      </w:pPr>
    </w:p>
    <w:p w14:paraId="431D30E9" w14:textId="77777777" w:rsidR="003F5ECD" w:rsidRPr="00B61FF1" w:rsidRDefault="003F5ECD" w:rsidP="003F5ECD">
      <w:pPr>
        <w:rPr>
          <w:rFonts w:ascii="Arial" w:hAnsi="Arial" w:cs="Arial"/>
        </w:rPr>
      </w:pPr>
    </w:p>
    <w:p w14:paraId="51EA4378" w14:textId="77777777" w:rsidR="0030651C" w:rsidRPr="00B61FF1" w:rsidRDefault="0030651C" w:rsidP="0030651C">
      <w:pPr>
        <w:rPr>
          <w:rFonts w:ascii="Arial" w:hAnsi="Arial" w:cs="Arial"/>
        </w:rPr>
      </w:pPr>
    </w:p>
    <w:p w14:paraId="232B30DB" w14:textId="77777777" w:rsidR="0030651C" w:rsidRPr="00B61FF1" w:rsidRDefault="0030651C" w:rsidP="0030651C">
      <w:pPr>
        <w:rPr>
          <w:rFonts w:ascii="Arial" w:hAnsi="Arial" w:cs="Arial"/>
        </w:rPr>
      </w:pPr>
    </w:p>
    <w:p w14:paraId="4AFE085E" w14:textId="77777777" w:rsidR="0030651C" w:rsidRPr="00B61FF1" w:rsidRDefault="0030651C" w:rsidP="0030651C">
      <w:pPr>
        <w:rPr>
          <w:rFonts w:ascii="Arial" w:hAnsi="Arial" w:cs="Arial"/>
        </w:rPr>
      </w:pPr>
    </w:p>
    <w:p w14:paraId="0E93CA94" w14:textId="77777777" w:rsidR="00702171" w:rsidRPr="00B61FF1" w:rsidRDefault="00702171" w:rsidP="00702171">
      <w:pPr>
        <w:rPr>
          <w:rFonts w:ascii="Arial" w:hAnsi="Arial" w:cs="Arial"/>
        </w:rPr>
      </w:pPr>
    </w:p>
    <w:p w14:paraId="56CF4DBB" w14:textId="77777777" w:rsidR="00702171" w:rsidRPr="00B61FF1" w:rsidRDefault="00702171" w:rsidP="00702171">
      <w:pPr>
        <w:rPr>
          <w:rFonts w:ascii="Arial" w:hAnsi="Arial" w:cs="Arial"/>
        </w:rPr>
      </w:pPr>
    </w:p>
    <w:p w14:paraId="69E5E116" w14:textId="77777777" w:rsidR="004E6B7E" w:rsidRPr="00B61FF1" w:rsidRDefault="004E6B7E" w:rsidP="004E6B7E">
      <w:pPr>
        <w:rPr>
          <w:rFonts w:ascii="Arial" w:hAnsi="Arial" w:cs="Arial"/>
        </w:rPr>
      </w:pPr>
    </w:p>
    <w:tbl>
      <w:tblPr>
        <w:tblStyle w:val="TableGrid"/>
        <w:tblW w:w="0" w:type="auto"/>
        <w:tblLook w:val="04A0" w:firstRow="1" w:lastRow="0" w:firstColumn="1" w:lastColumn="0" w:noHBand="0" w:noVBand="1"/>
      </w:tblPr>
      <w:tblGrid>
        <w:gridCol w:w="2637"/>
        <w:gridCol w:w="883"/>
        <w:gridCol w:w="1207"/>
        <w:gridCol w:w="1207"/>
        <w:gridCol w:w="1207"/>
        <w:gridCol w:w="1207"/>
        <w:gridCol w:w="1207"/>
        <w:gridCol w:w="1207"/>
        <w:gridCol w:w="1207"/>
        <w:gridCol w:w="1207"/>
      </w:tblGrid>
      <w:tr w:rsidR="009E5ADE" w:rsidRPr="00B61FF1" w14:paraId="7AAF544D" w14:textId="77777777" w:rsidTr="009E5ADE">
        <w:trPr>
          <w:trHeight w:val="315"/>
        </w:trPr>
        <w:tc>
          <w:tcPr>
            <w:tcW w:w="2637" w:type="dxa"/>
            <w:vMerge w:val="restart"/>
            <w:hideMark/>
          </w:tcPr>
          <w:p w14:paraId="32F9073F"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Name</w:t>
            </w:r>
          </w:p>
        </w:tc>
        <w:tc>
          <w:tcPr>
            <w:tcW w:w="883" w:type="dxa"/>
            <w:vMerge w:val="restart"/>
            <w:hideMark/>
          </w:tcPr>
          <w:p w14:paraId="1697D834"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Type (1)</w:t>
            </w:r>
          </w:p>
        </w:tc>
        <w:tc>
          <w:tcPr>
            <w:tcW w:w="9656" w:type="dxa"/>
            <w:gridSpan w:val="8"/>
            <w:hideMark/>
          </w:tcPr>
          <w:p w14:paraId="5A4DEDF9"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Annual % of Total Electric Sector Allocation to Utility</w:t>
            </w:r>
          </w:p>
        </w:tc>
      </w:tr>
      <w:tr w:rsidR="009E5ADE" w:rsidRPr="00B61FF1" w14:paraId="57C518D4" w14:textId="77777777" w:rsidTr="009E5ADE">
        <w:trPr>
          <w:trHeight w:val="300"/>
        </w:trPr>
        <w:tc>
          <w:tcPr>
            <w:tcW w:w="2637" w:type="dxa"/>
            <w:vMerge/>
            <w:hideMark/>
          </w:tcPr>
          <w:p w14:paraId="33420EED" w14:textId="77777777" w:rsidR="009E5ADE" w:rsidRPr="00B61FF1" w:rsidRDefault="009E5ADE" w:rsidP="009E5ADE">
            <w:pPr>
              <w:rPr>
                <w:rFonts w:ascii="Arial" w:hAnsi="Arial" w:cs="Arial"/>
                <w:b/>
                <w:bCs/>
                <w:sz w:val="24"/>
                <w:szCs w:val="24"/>
              </w:rPr>
            </w:pPr>
          </w:p>
        </w:tc>
        <w:tc>
          <w:tcPr>
            <w:tcW w:w="883" w:type="dxa"/>
            <w:vMerge/>
            <w:hideMark/>
          </w:tcPr>
          <w:p w14:paraId="084364CE" w14:textId="77777777" w:rsidR="009E5ADE" w:rsidRPr="00B61FF1" w:rsidRDefault="009E5ADE" w:rsidP="009E5ADE">
            <w:pPr>
              <w:rPr>
                <w:rFonts w:ascii="Arial" w:hAnsi="Arial" w:cs="Arial"/>
                <w:b/>
                <w:bCs/>
                <w:sz w:val="24"/>
                <w:szCs w:val="24"/>
              </w:rPr>
            </w:pPr>
          </w:p>
        </w:tc>
        <w:tc>
          <w:tcPr>
            <w:tcW w:w="1207" w:type="dxa"/>
            <w:hideMark/>
          </w:tcPr>
          <w:p w14:paraId="1C7EE9F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2013</w:t>
            </w:r>
          </w:p>
        </w:tc>
        <w:tc>
          <w:tcPr>
            <w:tcW w:w="1207" w:type="dxa"/>
            <w:hideMark/>
          </w:tcPr>
          <w:p w14:paraId="4BE33666"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2014</w:t>
            </w:r>
          </w:p>
        </w:tc>
        <w:tc>
          <w:tcPr>
            <w:tcW w:w="1207" w:type="dxa"/>
            <w:hideMark/>
          </w:tcPr>
          <w:p w14:paraId="66AAB654"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2015</w:t>
            </w:r>
          </w:p>
        </w:tc>
        <w:tc>
          <w:tcPr>
            <w:tcW w:w="1207" w:type="dxa"/>
            <w:hideMark/>
          </w:tcPr>
          <w:p w14:paraId="3E219519"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2016</w:t>
            </w:r>
          </w:p>
        </w:tc>
        <w:tc>
          <w:tcPr>
            <w:tcW w:w="1207" w:type="dxa"/>
            <w:hideMark/>
          </w:tcPr>
          <w:p w14:paraId="2961BF18"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2017</w:t>
            </w:r>
          </w:p>
        </w:tc>
        <w:tc>
          <w:tcPr>
            <w:tcW w:w="1207" w:type="dxa"/>
            <w:hideMark/>
          </w:tcPr>
          <w:p w14:paraId="25ECBB7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2018</w:t>
            </w:r>
          </w:p>
        </w:tc>
        <w:tc>
          <w:tcPr>
            <w:tcW w:w="1207" w:type="dxa"/>
            <w:hideMark/>
          </w:tcPr>
          <w:p w14:paraId="05E14DA1"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2019</w:t>
            </w:r>
          </w:p>
        </w:tc>
        <w:tc>
          <w:tcPr>
            <w:tcW w:w="1207" w:type="dxa"/>
            <w:hideMark/>
          </w:tcPr>
          <w:p w14:paraId="2F6BDB34"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2020</w:t>
            </w:r>
          </w:p>
        </w:tc>
      </w:tr>
      <w:tr w:rsidR="003779C8" w:rsidRPr="00B61FF1" w14:paraId="773BE34B" w14:textId="77777777" w:rsidTr="009E5ADE">
        <w:trPr>
          <w:trHeight w:val="300"/>
        </w:trPr>
        <w:tc>
          <w:tcPr>
            <w:tcW w:w="2637" w:type="dxa"/>
            <w:vAlign w:val="center"/>
            <w:hideMark/>
          </w:tcPr>
          <w:p w14:paraId="3F566D09" w14:textId="77777777" w:rsidR="003779C8" w:rsidRPr="00B61FF1" w:rsidRDefault="003779C8">
            <w:pPr>
              <w:rPr>
                <w:rFonts w:ascii="Arial" w:hAnsi="Arial" w:cs="Arial"/>
                <w:color w:val="000000"/>
              </w:rPr>
            </w:pPr>
            <w:r w:rsidRPr="00B61FF1">
              <w:rPr>
                <w:rFonts w:ascii="Arial" w:hAnsi="Arial" w:cs="Arial"/>
                <w:color w:val="000000"/>
              </w:rPr>
              <w:t>City of Palo Alto</w:t>
            </w:r>
          </w:p>
        </w:tc>
        <w:tc>
          <w:tcPr>
            <w:tcW w:w="883" w:type="dxa"/>
            <w:vAlign w:val="center"/>
            <w:hideMark/>
          </w:tcPr>
          <w:p w14:paraId="71A1BAF3"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648DDD75" w14:textId="77777777" w:rsidR="003779C8" w:rsidRPr="00B61FF1" w:rsidRDefault="003779C8">
            <w:pPr>
              <w:jc w:val="right"/>
              <w:rPr>
                <w:rFonts w:ascii="Arial" w:hAnsi="Arial" w:cs="Arial"/>
                <w:color w:val="000000"/>
              </w:rPr>
            </w:pPr>
            <w:r w:rsidRPr="00B61FF1">
              <w:rPr>
                <w:rFonts w:ascii="Arial" w:hAnsi="Arial" w:cs="Arial"/>
                <w:color w:val="000000"/>
              </w:rPr>
              <w:t>0.35530%</w:t>
            </w:r>
          </w:p>
        </w:tc>
        <w:tc>
          <w:tcPr>
            <w:tcW w:w="1207" w:type="dxa"/>
            <w:vAlign w:val="bottom"/>
            <w:hideMark/>
          </w:tcPr>
          <w:p w14:paraId="3175C1F9" w14:textId="77777777" w:rsidR="003779C8" w:rsidRPr="00B61FF1" w:rsidRDefault="003779C8">
            <w:pPr>
              <w:jc w:val="right"/>
              <w:rPr>
                <w:rFonts w:ascii="Arial" w:hAnsi="Arial" w:cs="Arial"/>
                <w:color w:val="000000"/>
              </w:rPr>
            </w:pPr>
            <w:r w:rsidRPr="00B61FF1">
              <w:rPr>
                <w:rFonts w:ascii="Arial" w:hAnsi="Arial" w:cs="Arial"/>
                <w:color w:val="000000"/>
              </w:rPr>
              <w:t>0.35717%</w:t>
            </w:r>
          </w:p>
        </w:tc>
        <w:tc>
          <w:tcPr>
            <w:tcW w:w="1207" w:type="dxa"/>
            <w:vAlign w:val="bottom"/>
            <w:hideMark/>
          </w:tcPr>
          <w:p w14:paraId="0D9F3996" w14:textId="77777777" w:rsidR="003779C8" w:rsidRPr="00B61FF1" w:rsidRDefault="003779C8">
            <w:pPr>
              <w:jc w:val="right"/>
              <w:rPr>
                <w:rFonts w:ascii="Arial" w:hAnsi="Arial" w:cs="Arial"/>
                <w:color w:val="000000"/>
              </w:rPr>
            </w:pPr>
            <w:r w:rsidRPr="00B61FF1">
              <w:rPr>
                <w:rFonts w:ascii="Arial" w:hAnsi="Arial" w:cs="Arial"/>
                <w:color w:val="000000"/>
              </w:rPr>
              <w:t>0.34944%</w:t>
            </w:r>
          </w:p>
        </w:tc>
        <w:tc>
          <w:tcPr>
            <w:tcW w:w="1207" w:type="dxa"/>
            <w:vAlign w:val="bottom"/>
            <w:hideMark/>
          </w:tcPr>
          <w:p w14:paraId="3070F7F3" w14:textId="77777777" w:rsidR="003779C8" w:rsidRPr="00B61FF1" w:rsidRDefault="003779C8">
            <w:pPr>
              <w:jc w:val="right"/>
              <w:rPr>
                <w:rFonts w:ascii="Arial" w:hAnsi="Arial" w:cs="Arial"/>
                <w:color w:val="000000"/>
              </w:rPr>
            </w:pPr>
            <w:r w:rsidRPr="00B61FF1">
              <w:rPr>
                <w:rFonts w:ascii="Arial" w:hAnsi="Arial" w:cs="Arial"/>
                <w:color w:val="000000"/>
              </w:rPr>
              <w:t>0.35460%</w:t>
            </w:r>
          </w:p>
        </w:tc>
        <w:tc>
          <w:tcPr>
            <w:tcW w:w="1207" w:type="dxa"/>
            <w:vAlign w:val="bottom"/>
            <w:hideMark/>
          </w:tcPr>
          <w:p w14:paraId="78E4F18D" w14:textId="77777777" w:rsidR="003779C8" w:rsidRPr="00B61FF1" w:rsidRDefault="003779C8">
            <w:pPr>
              <w:jc w:val="right"/>
              <w:rPr>
                <w:rFonts w:ascii="Arial" w:hAnsi="Arial" w:cs="Arial"/>
                <w:color w:val="000000"/>
              </w:rPr>
            </w:pPr>
            <w:r w:rsidRPr="00B61FF1">
              <w:rPr>
                <w:rFonts w:ascii="Arial" w:hAnsi="Arial" w:cs="Arial"/>
                <w:color w:val="000000"/>
              </w:rPr>
              <w:t>0.36639%</w:t>
            </w:r>
          </w:p>
        </w:tc>
        <w:tc>
          <w:tcPr>
            <w:tcW w:w="1207" w:type="dxa"/>
            <w:vAlign w:val="bottom"/>
            <w:hideMark/>
          </w:tcPr>
          <w:p w14:paraId="0213AAFB" w14:textId="77777777" w:rsidR="003779C8" w:rsidRPr="00B61FF1" w:rsidRDefault="003779C8">
            <w:pPr>
              <w:jc w:val="right"/>
              <w:rPr>
                <w:rFonts w:ascii="Arial" w:hAnsi="Arial" w:cs="Arial"/>
                <w:color w:val="000000"/>
              </w:rPr>
            </w:pPr>
            <w:r w:rsidRPr="00B61FF1">
              <w:rPr>
                <w:rFonts w:ascii="Arial" w:hAnsi="Arial" w:cs="Arial"/>
                <w:color w:val="000000"/>
              </w:rPr>
              <w:t>0.36628%</w:t>
            </w:r>
          </w:p>
        </w:tc>
        <w:tc>
          <w:tcPr>
            <w:tcW w:w="1207" w:type="dxa"/>
            <w:vAlign w:val="bottom"/>
            <w:hideMark/>
          </w:tcPr>
          <w:p w14:paraId="4793234B" w14:textId="77777777" w:rsidR="003779C8" w:rsidRPr="00B61FF1" w:rsidRDefault="003779C8">
            <w:pPr>
              <w:jc w:val="right"/>
              <w:rPr>
                <w:rFonts w:ascii="Arial" w:hAnsi="Arial" w:cs="Arial"/>
                <w:color w:val="000000"/>
              </w:rPr>
            </w:pPr>
            <w:r w:rsidRPr="00B61FF1">
              <w:rPr>
                <w:rFonts w:ascii="Arial" w:hAnsi="Arial" w:cs="Arial"/>
                <w:color w:val="000000"/>
              </w:rPr>
              <w:t>0.36537%</w:t>
            </w:r>
          </w:p>
        </w:tc>
        <w:tc>
          <w:tcPr>
            <w:tcW w:w="1207" w:type="dxa"/>
            <w:vAlign w:val="bottom"/>
            <w:hideMark/>
          </w:tcPr>
          <w:p w14:paraId="72BDD25B" w14:textId="77777777" w:rsidR="003779C8" w:rsidRPr="00B61FF1" w:rsidRDefault="003779C8">
            <w:pPr>
              <w:jc w:val="right"/>
              <w:rPr>
                <w:rFonts w:ascii="Arial" w:hAnsi="Arial" w:cs="Arial"/>
                <w:color w:val="000000"/>
              </w:rPr>
            </w:pPr>
            <w:r w:rsidRPr="00B61FF1">
              <w:rPr>
                <w:rFonts w:ascii="Arial" w:hAnsi="Arial" w:cs="Arial"/>
                <w:color w:val="000000"/>
              </w:rPr>
              <w:t>0.37403%</w:t>
            </w:r>
          </w:p>
        </w:tc>
      </w:tr>
      <w:tr w:rsidR="003779C8" w:rsidRPr="00B61FF1" w14:paraId="534B9D90" w14:textId="77777777" w:rsidTr="009E5ADE">
        <w:trPr>
          <w:trHeight w:val="300"/>
        </w:trPr>
        <w:tc>
          <w:tcPr>
            <w:tcW w:w="2637" w:type="dxa"/>
            <w:vAlign w:val="center"/>
            <w:hideMark/>
          </w:tcPr>
          <w:p w14:paraId="4F8BA65C" w14:textId="77777777" w:rsidR="003779C8" w:rsidRPr="00B61FF1" w:rsidRDefault="003779C8">
            <w:pPr>
              <w:rPr>
                <w:rFonts w:ascii="Arial" w:hAnsi="Arial" w:cs="Arial"/>
                <w:color w:val="000000"/>
              </w:rPr>
            </w:pPr>
            <w:r w:rsidRPr="00B61FF1">
              <w:rPr>
                <w:rFonts w:ascii="Arial" w:hAnsi="Arial" w:cs="Arial"/>
                <w:color w:val="000000"/>
              </w:rPr>
              <w:t>City of Redding</w:t>
            </w:r>
          </w:p>
        </w:tc>
        <w:tc>
          <w:tcPr>
            <w:tcW w:w="883" w:type="dxa"/>
            <w:vAlign w:val="center"/>
            <w:hideMark/>
          </w:tcPr>
          <w:p w14:paraId="3B7A09D7"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53D83E98" w14:textId="77777777" w:rsidR="003779C8" w:rsidRPr="00B61FF1" w:rsidRDefault="003779C8">
            <w:pPr>
              <w:jc w:val="right"/>
              <w:rPr>
                <w:rFonts w:ascii="Arial" w:hAnsi="Arial" w:cs="Arial"/>
                <w:color w:val="000000"/>
              </w:rPr>
            </w:pPr>
            <w:r w:rsidRPr="00B61FF1">
              <w:rPr>
                <w:rFonts w:ascii="Arial" w:hAnsi="Arial" w:cs="Arial"/>
                <w:color w:val="000000"/>
              </w:rPr>
              <w:t>0.44750%</w:t>
            </w:r>
          </w:p>
        </w:tc>
        <w:tc>
          <w:tcPr>
            <w:tcW w:w="1207" w:type="dxa"/>
            <w:vAlign w:val="bottom"/>
            <w:hideMark/>
          </w:tcPr>
          <w:p w14:paraId="29E61D9E" w14:textId="77777777" w:rsidR="003779C8" w:rsidRPr="00B61FF1" w:rsidRDefault="003779C8">
            <w:pPr>
              <w:jc w:val="right"/>
              <w:rPr>
                <w:rFonts w:ascii="Arial" w:hAnsi="Arial" w:cs="Arial"/>
                <w:color w:val="000000"/>
              </w:rPr>
            </w:pPr>
            <w:r w:rsidRPr="00B61FF1">
              <w:rPr>
                <w:rFonts w:ascii="Arial" w:hAnsi="Arial" w:cs="Arial"/>
                <w:color w:val="000000"/>
              </w:rPr>
              <w:t>0.50262%</w:t>
            </w:r>
          </w:p>
        </w:tc>
        <w:tc>
          <w:tcPr>
            <w:tcW w:w="1207" w:type="dxa"/>
            <w:vAlign w:val="bottom"/>
            <w:hideMark/>
          </w:tcPr>
          <w:p w14:paraId="7C0B0C6A" w14:textId="77777777" w:rsidR="003779C8" w:rsidRPr="00B61FF1" w:rsidRDefault="003779C8">
            <w:pPr>
              <w:jc w:val="right"/>
              <w:rPr>
                <w:rFonts w:ascii="Arial" w:hAnsi="Arial" w:cs="Arial"/>
                <w:color w:val="000000"/>
              </w:rPr>
            </w:pPr>
            <w:r w:rsidRPr="00B61FF1">
              <w:rPr>
                <w:rFonts w:ascii="Arial" w:hAnsi="Arial" w:cs="Arial"/>
                <w:color w:val="000000"/>
              </w:rPr>
              <w:t>0.50106%</w:t>
            </w:r>
          </w:p>
        </w:tc>
        <w:tc>
          <w:tcPr>
            <w:tcW w:w="1207" w:type="dxa"/>
            <w:vAlign w:val="bottom"/>
            <w:hideMark/>
          </w:tcPr>
          <w:p w14:paraId="4EE82C6D" w14:textId="77777777" w:rsidR="003779C8" w:rsidRPr="00B61FF1" w:rsidRDefault="003779C8">
            <w:pPr>
              <w:jc w:val="right"/>
              <w:rPr>
                <w:rFonts w:ascii="Arial" w:hAnsi="Arial" w:cs="Arial"/>
                <w:color w:val="000000"/>
              </w:rPr>
            </w:pPr>
            <w:r w:rsidRPr="00B61FF1">
              <w:rPr>
                <w:rFonts w:ascii="Arial" w:hAnsi="Arial" w:cs="Arial"/>
                <w:color w:val="000000"/>
              </w:rPr>
              <w:t>0.51053%</w:t>
            </w:r>
          </w:p>
        </w:tc>
        <w:tc>
          <w:tcPr>
            <w:tcW w:w="1207" w:type="dxa"/>
            <w:vAlign w:val="bottom"/>
            <w:hideMark/>
          </w:tcPr>
          <w:p w14:paraId="3BFD3D6C" w14:textId="77777777" w:rsidR="003779C8" w:rsidRPr="00B61FF1" w:rsidRDefault="003779C8">
            <w:pPr>
              <w:jc w:val="right"/>
              <w:rPr>
                <w:rFonts w:ascii="Arial" w:hAnsi="Arial" w:cs="Arial"/>
                <w:color w:val="000000"/>
              </w:rPr>
            </w:pPr>
            <w:r w:rsidRPr="00B61FF1">
              <w:rPr>
                <w:rFonts w:ascii="Arial" w:hAnsi="Arial" w:cs="Arial"/>
                <w:color w:val="000000"/>
              </w:rPr>
              <w:t>0.52983%</w:t>
            </w:r>
          </w:p>
        </w:tc>
        <w:tc>
          <w:tcPr>
            <w:tcW w:w="1207" w:type="dxa"/>
            <w:vAlign w:val="bottom"/>
            <w:hideMark/>
          </w:tcPr>
          <w:p w14:paraId="7D2A1A51" w14:textId="77777777" w:rsidR="003779C8" w:rsidRPr="00B61FF1" w:rsidRDefault="003779C8">
            <w:pPr>
              <w:jc w:val="right"/>
              <w:rPr>
                <w:rFonts w:ascii="Arial" w:hAnsi="Arial" w:cs="Arial"/>
                <w:color w:val="000000"/>
              </w:rPr>
            </w:pPr>
            <w:r w:rsidRPr="00B61FF1">
              <w:rPr>
                <w:rFonts w:ascii="Arial" w:hAnsi="Arial" w:cs="Arial"/>
                <w:color w:val="000000"/>
              </w:rPr>
              <w:t>0.54582%</w:t>
            </w:r>
          </w:p>
        </w:tc>
        <w:tc>
          <w:tcPr>
            <w:tcW w:w="1207" w:type="dxa"/>
            <w:vAlign w:val="bottom"/>
            <w:hideMark/>
          </w:tcPr>
          <w:p w14:paraId="53409D92" w14:textId="77777777" w:rsidR="003779C8" w:rsidRPr="00B61FF1" w:rsidRDefault="003779C8">
            <w:pPr>
              <w:jc w:val="right"/>
              <w:rPr>
                <w:rFonts w:ascii="Arial" w:hAnsi="Arial" w:cs="Arial"/>
                <w:color w:val="000000"/>
              </w:rPr>
            </w:pPr>
            <w:r w:rsidRPr="00B61FF1">
              <w:rPr>
                <w:rFonts w:ascii="Arial" w:hAnsi="Arial" w:cs="Arial"/>
                <w:color w:val="000000"/>
              </w:rPr>
              <w:t>0.54607%</w:t>
            </w:r>
          </w:p>
        </w:tc>
        <w:tc>
          <w:tcPr>
            <w:tcW w:w="1207" w:type="dxa"/>
            <w:vAlign w:val="bottom"/>
            <w:hideMark/>
          </w:tcPr>
          <w:p w14:paraId="70E9C586" w14:textId="77777777" w:rsidR="003779C8" w:rsidRPr="00B61FF1" w:rsidRDefault="003779C8">
            <w:pPr>
              <w:jc w:val="right"/>
              <w:rPr>
                <w:rFonts w:ascii="Arial" w:hAnsi="Arial" w:cs="Arial"/>
                <w:color w:val="000000"/>
              </w:rPr>
            </w:pPr>
            <w:r w:rsidRPr="00B61FF1">
              <w:rPr>
                <w:rFonts w:ascii="Arial" w:hAnsi="Arial" w:cs="Arial"/>
                <w:color w:val="000000"/>
              </w:rPr>
              <w:t>0.55913%</w:t>
            </w:r>
          </w:p>
        </w:tc>
      </w:tr>
      <w:tr w:rsidR="003779C8" w:rsidRPr="00B61FF1" w14:paraId="5191DDE0" w14:textId="77777777" w:rsidTr="009E5ADE">
        <w:trPr>
          <w:trHeight w:val="300"/>
        </w:trPr>
        <w:tc>
          <w:tcPr>
            <w:tcW w:w="2637" w:type="dxa"/>
            <w:vAlign w:val="center"/>
            <w:hideMark/>
          </w:tcPr>
          <w:p w14:paraId="16E88F22" w14:textId="77777777" w:rsidR="003779C8" w:rsidRPr="00B61FF1" w:rsidRDefault="003779C8">
            <w:pPr>
              <w:rPr>
                <w:rFonts w:ascii="Arial" w:hAnsi="Arial" w:cs="Arial"/>
                <w:color w:val="000000"/>
              </w:rPr>
            </w:pPr>
            <w:r w:rsidRPr="00B61FF1">
              <w:rPr>
                <w:rFonts w:ascii="Arial" w:hAnsi="Arial" w:cs="Arial"/>
                <w:color w:val="000000"/>
              </w:rPr>
              <w:t>City of Roseville</w:t>
            </w:r>
          </w:p>
        </w:tc>
        <w:tc>
          <w:tcPr>
            <w:tcW w:w="883" w:type="dxa"/>
            <w:vAlign w:val="center"/>
            <w:hideMark/>
          </w:tcPr>
          <w:p w14:paraId="72C7BB74"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736F4281" w14:textId="77777777" w:rsidR="003779C8" w:rsidRPr="00B61FF1" w:rsidRDefault="003779C8">
            <w:pPr>
              <w:jc w:val="right"/>
              <w:rPr>
                <w:rFonts w:ascii="Arial" w:hAnsi="Arial" w:cs="Arial"/>
                <w:color w:val="000000"/>
              </w:rPr>
            </w:pPr>
            <w:r w:rsidRPr="00B61FF1">
              <w:rPr>
                <w:rFonts w:ascii="Arial" w:hAnsi="Arial" w:cs="Arial"/>
                <w:color w:val="000000"/>
              </w:rPr>
              <w:t>0.48831%</w:t>
            </w:r>
          </w:p>
        </w:tc>
        <w:tc>
          <w:tcPr>
            <w:tcW w:w="1207" w:type="dxa"/>
            <w:vAlign w:val="bottom"/>
            <w:hideMark/>
          </w:tcPr>
          <w:p w14:paraId="0E574853" w14:textId="77777777" w:rsidR="003779C8" w:rsidRPr="00B61FF1" w:rsidRDefault="003779C8">
            <w:pPr>
              <w:jc w:val="right"/>
              <w:rPr>
                <w:rFonts w:ascii="Arial" w:hAnsi="Arial" w:cs="Arial"/>
                <w:color w:val="000000"/>
              </w:rPr>
            </w:pPr>
            <w:r w:rsidRPr="00B61FF1">
              <w:rPr>
                <w:rFonts w:ascii="Arial" w:hAnsi="Arial" w:cs="Arial"/>
                <w:color w:val="000000"/>
              </w:rPr>
              <w:t>0.50123%</w:t>
            </w:r>
          </w:p>
        </w:tc>
        <w:tc>
          <w:tcPr>
            <w:tcW w:w="1207" w:type="dxa"/>
            <w:vAlign w:val="bottom"/>
            <w:hideMark/>
          </w:tcPr>
          <w:p w14:paraId="457E5C90" w14:textId="77777777" w:rsidR="003779C8" w:rsidRPr="00B61FF1" w:rsidRDefault="003779C8">
            <w:pPr>
              <w:jc w:val="right"/>
              <w:rPr>
                <w:rFonts w:ascii="Arial" w:hAnsi="Arial" w:cs="Arial"/>
                <w:color w:val="000000"/>
              </w:rPr>
            </w:pPr>
            <w:r w:rsidRPr="00B61FF1">
              <w:rPr>
                <w:rFonts w:ascii="Arial" w:hAnsi="Arial" w:cs="Arial"/>
                <w:color w:val="000000"/>
              </w:rPr>
              <w:t>0.50861%</w:t>
            </w:r>
          </w:p>
        </w:tc>
        <w:tc>
          <w:tcPr>
            <w:tcW w:w="1207" w:type="dxa"/>
            <w:vAlign w:val="bottom"/>
            <w:hideMark/>
          </w:tcPr>
          <w:p w14:paraId="1BB1D3EF" w14:textId="77777777" w:rsidR="003779C8" w:rsidRPr="00B61FF1" w:rsidRDefault="003779C8">
            <w:pPr>
              <w:jc w:val="right"/>
              <w:rPr>
                <w:rFonts w:ascii="Arial" w:hAnsi="Arial" w:cs="Arial"/>
                <w:color w:val="000000"/>
              </w:rPr>
            </w:pPr>
            <w:r w:rsidRPr="00B61FF1">
              <w:rPr>
                <w:rFonts w:ascii="Arial" w:hAnsi="Arial" w:cs="Arial"/>
                <w:color w:val="000000"/>
              </w:rPr>
              <w:t>0.53058%</w:t>
            </w:r>
          </w:p>
        </w:tc>
        <w:tc>
          <w:tcPr>
            <w:tcW w:w="1207" w:type="dxa"/>
            <w:vAlign w:val="bottom"/>
            <w:hideMark/>
          </w:tcPr>
          <w:p w14:paraId="101C4694" w14:textId="77777777" w:rsidR="003779C8" w:rsidRPr="00B61FF1" w:rsidRDefault="003779C8">
            <w:pPr>
              <w:jc w:val="right"/>
              <w:rPr>
                <w:rFonts w:ascii="Arial" w:hAnsi="Arial" w:cs="Arial"/>
                <w:color w:val="000000"/>
              </w:rPr>
            </w:pPr>
            <w:r w:rsidRPr="00B61FF1">
              <w:rPr>
                <w:rFonts w:ascii="Arial" w:hAnsi="Arial" w:cs="Arial"/>
                <w:color w:val="000000"/>
              </w:rPr>
              <w:t>0.55609%</w:t>
            </w:r>
          </w:p>
        </w:tc>
        <w:tc>
          <w:tcPr>
            <w:tcW w:w="1207" w:type="dxa"/>
            <w:vAlign w:val="bottom"/>
            <w:hideMark/>
          </w:tcPr>
          <w:p w14:paraId="27CC4B92" w14:textId="77777777" w:rsidR="003779C8" w:rsidRPr="00B61FF1" w:rsidRDefault="003779C8">
            <w:pPr>
              <w:jc w:val="right"/>
              <w:rPr>
                <w:rFonts w:ascii="Arial" w:hAnsi="Arial" w:cs="Arial"/>
                <w:color w:val="000000"/>
              </w:rPr>
            </w:pPr>
            <w:r w:rsidRPr="00B61FF1">
              <w:rPr>
                <w:rFonts w:ascii="Arial" w:hAnsi="Arial" w:cs="Arial"/>
                <w:color w:val="000000"/>
              </w:rPr>
              <w:t>0.54800%</w:t>
            </w:r>
          </w:p>
        </w:tc>
        <w:tc>
          <w:tcPr>
            <w:tcW w:w="1207" w:type="dxa"/>
            <w:vAlign w:val="bottom"/>
            <w:hideMark/>
          </w:tcPr>
          <w:p w14:paraId="637BF588" w14:textId="77777777" w:rsidR="003779C8" w:rsidRPr="00B61FF1" w:rsidRDefault="003779C8">
            <w:pPr>
              <w:jc w:val="right"/>
              <w:rPr>
                <w:rFonts w:ascii="Arial" w:hAnsi="Arial" w:cs="Arial"/>
                <w:color w:val="000000"/>
              </w:rPr>
            </w:pPr>
            <w:r w:rsidRPr="00B61FF1">
              <w:rPr>
                <w:rFonts w:ascii="Arial" w:hAnsi="Arial" w:cs="Arial"/>
                <w:color w:val="000000"/>
              </w:rPr>
              <w:t>0.54623%</w:t>
            </w:r>
          </w:p>
        </w:tc>
        <w:tc>
          <w:tcPr>
            <w:tcW w:w="1207" w:type="dxa"/>
            <w:vAlign w:val="bottom"/>
            <w:hideMark/>
          </w:tcPr>
          <w:p w14:paraId="258745EA" w14:textId="77777777" w:rsidR="003779C8" w:rsidRPr="00B61FF1" w:rsidRDefault="003779C8">
            <w:pPr>
              <w:jc w:val="right"/>
              <w:rPr>
                <w:rFonts w:ascii="Arial" w:hAnsi="Arial" w:cs="Arial"/>
                <w:color w:val="000000"/>
              </w:rPr>
            </w:pPr>
            <w:r w:rsidRPr="00B61FF1">
              <w:rPr>
                <w:rFonts w:ascii="Arial" w:hAnsi="Arial" w:cs="Arial"/>
                <w:color w:val="000000"/>
              </w:rPr>
              <w:t>0.55111%</w:t>
            </w:r>
          </w:p>
        </w:tc>
      </w:tr>
      <w:tr w:rsidR="003779C8" w:rsidRPr="00B61FF1" w14:paraId="667D1FB2" w14:textId="77777777" w:rsidTr="009E5ADE">
        <w:trPr>
          <w:trHeight w:val="300"/>
        </w:trPr>
        <w:tc>
          <w:tcPr>
            <w:tcW w:w="2637" w:type="dxa"/>
            <w:vAlign w:val="center"/>
            <w:hideMark/>
          </w:tcPr>
          <w:p w14:paraId="63F9B93B" w14:textId="77777777" w:rsidR="003779C8" w:rsidRPr="00B61FF1" w:rsidRDefault="003779C8">
            <w:pPr>
              <w:rPr>
                <w:rFonts w:ascii="Arial" w:hAnsi="Arial" w:cs="Arial"/>
                <w:color w:val="000000"/>
              </w:rPr>
            </w:pPr>
            <w:r w:rsidRPr="00B61FF1">
              <w:rPr>
                <w:rFonts w:ascii="Arial" w:hAnsi="Arial" w:cs="Arial"/>
                <w:color w:val="000000"/>
              </w:rPr>
              <w:t>City of Ukiah</w:t>
            </w:r>
          </w:p>
        </w:tc>
        <w:tc>
          <w:tcPr>
            <w:tcW w:w="883" w:type="dxa"/>
            <w:vAlign w:val="center"/>
            <w:hideMark/>
          </w:tcPr>
          <w:p w14:paraId="7E440AFC"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13665DBC" w14:textId="77777777" w:rsidR="003779C8" w:rsidRPr="00B61FF1" w:rsidRDefault="003779C8">
            <w:pPr>
              <w:jc w:val="right"/>
              <w:rPr>
                <w:rFonts w:ascii="Arial" w:hAnsi="Arial" w:cs="Arial"/>
                <w:color w:val="000000"/>
              </w:rPr>
            </w:pPr>
            <w:r w:rsidRPr="00B61FF1">
              <w:rPr>
                <w:rFonts w:ascii="Arial" w:hAnsi="Arial" w:cs="Arial"/>
                <w:color w:val="000000"/>
              </w:rPr>
              <w:t>0.03536%</w:t>
            </w:r>
          </w:p>
        </w:tc>
        <w:tc>
          <w:tcPr>
            <w:tcW w:w="1207" w:type="dxa"/>
            <w:vAlign w:val="bottom"/>
            <w:hideMark/>
          </w:tcPr>
          <w:p w14:paraId="5926B642" w14:textId="77777777" w:rsidR="003779C8" w:rsidRPr="00B61FF1" w:rsidRDefault="003779C8">
            <w:pPr>
              <w:jc w:val="right"/>
              <w:rPr>
                <w:rFonts w:ascii="Arial" w:hAnsi="Arial" w:cs="Arial"/>
                <w:color w:val="000000"/>
              </w:rPr>
            </w:pPr>
            <w:r w:rsidRPr="00B61FF1">
              <w:rPr>
                <w:rFonts w:ascii="Arial" w:hAnsi="Arial" w:cs="Arial"/>
                <w:color w:val="000000"/>
              </w:rPr>
              <w:t>0.03503%</w:t>
            </w:r>
          </w:p>
        </w:tc>
        <w:tc>
          <w:tcPr>
            <w:tcW w:w="1207" w:type="dxa"/>
            <w:vAlign w:val="bottom"/>
            <w:hideMark/>
          </w:tcPr>
          <w:p w14:paraId="3D2AEE53" w14:textId="77777777" w:rsidR="003779C8" w:rsidRPr="00B61FF1" w:rsidRDefault="003779C8">
            <w:pPr>
              <w:jc w:val="right"/>
              <w:rPr>
                <w:rFonts w:ascii="Arial" w:hAnsi="Arial" w:cs="Arial"/>
                <w:color w:val="000000"/>
              </w:rPr>
            </w:pPr>
            <w:r w:rsidRPr="00B61FF1">
              <w:rPr>
                <w:rFonts w:ascii="Arial" w:hAnsi="Arial" w:cs="Arial"/>
                <w:color w:val="000000"/>
              </w:rPr>
              <w:t>0.03265%</w:t>
            </w:r>
          </w:p>
        </w:tc>
        <w:tc>
          <w:tcPr>
            <w:tcW w:w="1207" w:type="dxa"/>
            <w:vAlign w:val="bottom"/>
            <w:hideMark/>
          </w:tcPr>
          <w:p w14:paraId="3305B2A8" w14:textId="77777777" w:rsidR="003779C8" w:rsidRPr="00B61FF1" w:rsidRDefault="003779C8">
            <w:pPr>
              <w:jc w:val="right"/>
              <w:rPr>
                <w:rFonts w:ascii="Arial" w:hAnsi="Arial" w:cs="Arial"/>
                <w:color w:val="000000"/>
              </w:rPr>
            </w:pPr>
            <w:r w:rsidRPr="00B61FF1">
              <w:rPr>
                <w:rFonts w:ascii="Arial" w:hAnsi="Arial" w:cs="Arial"/>
                <w:color w:val="000000"/>
              </w:rPr>
              <w:t>0.03550%</w:t>
            </w:r>
          </w:p>
        </w:tc>
        <w:tc>
          <w:tcPr>
            <w:tcW w:w="1207" w:type="dxa"/>
            <w:vAlign w:val="bottom"/>
            <w:hideMark/>
          </w:tcPr>
          <w:p w14:paraId="7CA39BF6" w14:textId="77777777" w:rsidR="003779C8" w:rsidRPr="00B61FF1" w:rsidRDefault="003779C8">
            <w:pPr>
              <w:jc w:val="right"/>
              <w:rPr>
                <w:rFonts w:ascii="Arial" w:hAnsi="Arial" w:cs="Arial"/>
                <w:color w:val="000000"/>
              </w:rPr>
            </w:pPr>
            <w:r w:rsidRPr="00B61FF1">
              <w:rPr>
                <w:rFonts w:ascii="Arial" w:hAnsi="Arial" w:cs="Arial"/>
                <w:color w:val="000000"/>
              </w:rPr>
              <w:t>0.03905%</w:t>
            </w:r>
          </w:p>
        </w:tc>
        <w:tc>
          <w:tcPr>
            <w:tcW w:w="1207" w:type="dxa"/>
            <w:vAlign w:val="bottom"/>
            <w:hideMark/>
          </w:tcPr>
          <w:p w14:paraId="2BA330C4" w14:textId="77777777" w:rsidR="003779C8" w:rsidRPr="00B61FF1" w:rsidRDefault="003779C8">
            <w:pPr>
              <w:jc w:val="right"/>
              <w:rPr>
                <w:rFonts w:ascii="Arial" w:hAnsi="Arial" w:cs="Arial"/>
                <w:color w:val="000000"/>
              </w:rPr>
            </w:pPr>
            <w:r w:rsidRPr="00B61FF1">
              <w:rPr>
                <w:rFonts w:ascii="Arial" w:hAnsi="Arial" w:cs="Arial"/>
                <w:color w:val="000000"/>
              </w:rPr>
              <w:t>0.04202%</w:t>
            </w:r>
          </w:p>
        </w:tc>
        <w:tc>
          <w:tcPr>
            <w:tcW w:w="1207" w:type="dxa"/>
            <w:vAlign w:val="bottom"/>
            <w:hideMark/>
          </w:tcPr>
          <w:p w14:paraId="2E92A78C" w14:textId="77777777" w:rsidR="003779C8" w:rsidRPr="00B61FF1" w:rsidRDefault="003779C8">
            <w:pPr>
              <w:jc w:val="right"/>
              <w:rPr>
                <w:rFonts w:ascii="Arial" w:hAnsi="Arial" w:cs="Arial"/>
                <w:color w:val="000000"/>
              </w:rPr>
            </w:pPr>
            <w:r w:rsidRPr="00B61FF1">
              <w:rPr>
                <w:rFonts w:ascii="Arial" w:hAnsi="Arial" w:cs="Arial"/>
                <w:color w:val="000000"/>
              </w:rPr>
              <w:t>0.04340%</w:t>
            </w:r>
          </w:p>
        </w:tc>
        <w:tc>
          <w:tcPr>
            <w:tcW w:w="1207" w:type="dxa"/>
            <w:vAlign w:val="bottom"/>
            <w:hideMark/>
          </w:tcPr>
          <w:p w14:paraId="4B325F41" w14:textId="77777777" w:rsidR="003779C8" w:rsidRPr="00B61FF1" w:rsidRDefault="003779C8">
            <w:pPr>
              <w:jc w:val="right"/>
              <w:rPr>
                <w:rFonts w:ascii="Arial" w:hAnsi="Arial" w:cs="Arial"/>
                <w:color w:val="000000"/>
              </w:rPr>
            </w:pPr>
            <w:r w:rsidRPr="00B61FF1">
              <w:rPr>
                <w:rFonts w:ascii="Arial" w:hAnsi="Arial" w:cs="Arial"/>
                <w:color w:val="000000"/>
              </w:rPr>
              <w:t>0.04460%</w:t>
            </w:r>
          </w:p>
        </w:tc>
      </w:tr>
      <w:tr w:rsidR="003779C8" w:rsidRPr="00B61FF1" w14:paraId="481CBE53" w14:textId="77777777" w:rsidTr="009E5ADE">
        <w:trPr>
          <w:trHeight w:val="300"/>
        </w:trPr>
        <w:tc>
          <w:tcPr>
            <w:tcW w:w="2637" w:type="dxa"/>
            <w:vAlign w:val="center"/>
            <w:hideMark/>
          </w:tcPr>
          <w:p w14:paraId="6935DCC2" w14:textId="77777777" w:rsidR="003779C8" w:rsidRPr="00B61FF1" w:rsidRDefault="003779C8">
            <w:pPr>
              <w:rPr>
                <w:rFonts w:ascii="Arial" w:hAnsi="Arial" w:cs="Arial"/>
                <w:color w:val="000000"/>
              </w:rPr>
            </w:pPr>
            <w:r w:rsidRPr="00B61FF1">
              <w:rPr>
                <w:rFonts w:ascii="Arial" w:hAnsi="Arial" w:cs="Arial"/>
                <w:color w:val="000000"/>
              </w:rPr>
              <w:t>Plumas-Sierra Rural Electric Cooperation</w:t>
            </w:r>
          </w:p>
        </w:tc>
        <w:tc>
          <w:tcPr>
            <w:tcW w:w="883" w:type="dxa"/>
            <w:vAlign w:val="center"/>
            <w:hideMark/>
          </w:tcPr>
          <w:p w14:paraId="5262EA4C" w14:textId="77777777" w:rsidR="003779C8" w:rsidRPr="00B61FF1" w:rsidRDefault="003779C8">
            <w:pPr>
              <w:rPr>
                <w:rFonts w:ascii="Arial" w:hAnsi="Arial" w:cs="Arial"/>
                <w:color w:val="000000"/>
              </w:rPr>
            </w:pPr>
            <w:r w:rsidRPr="00B61FF1">
              <w:rPr>
                <w:rFonts w:ascii="Arial" w:hAnsi="Arial" w:cs="Arial"/>
                <w:color w:val="000000"/>
              </w:rPr>
              <w:t>COOP</w:t>
            </w:r>
          </w:p>
        </w:tc>
        <w:tc>
          <w:tcPr>
            <w:tcW w:w="1207" w:type="dxa"/>
            <w:vAlign w:val="bottom"/>
            <w:hideMark/>
          </w:tcPr>
          <w:p w14:paraId="37C34E0F" w14:textId="77777777" w:rsidR="003779C8" w:rsidRPr="00B61FF1" w:rsidRDefault="003779C8">
            <w:pPr>
              <w:jc w:val="right"/>
              <w:rPr>
                <w:rFonts w:ascii="Arial" w:hAnsi="Arial" w:cs="Arial"/>
                <w:color w:val="000000"/>
              </w:rPr>
            </w:pPr>
            <w:r w:rsidRPr="00B61FF1">
              <w:rPr>
                <w:rFonts w:ascii="Arial" w:hAnsi="Arial" w:cs="Arial"/>
                <w:color w:val="000000"/>
              </w:rPr>
              <w:t>0.06414%</w:t>
            </w:r>
          </w:p>
        </w:tc>
        <w:tc>
          <w:tcPr>
            <w:tcW w:w="1207" w:type="dxa"/>
            <w:vAlign w:val="bottom"/>
            <w:hideMark/>
          </w:tcPr>
          <w:p w14:paraId="5A96773B" w14:textId="77777777" w:rsidR="003779C8" w:rsidRPr="00B61FF1" w:rsidRDefault="003779C8">
            <w:pPr>
              <w:jc w:val="right"/>
              <w:rPr>
                <w:rFonts w:ascii="Arial" w:hAnsi="Arial" w:cs="Arial"/>
                <w:color w:val="000000"/>
              </w:rPr>
            </w:pPr>
            <w:r w:rsidRPr="00B61FF1">
              <w:rPr>
                <w:rFonts w:ascii="Arial" w:hAnsi="Arial" w:cs="Arial"/>
                <w:color w:val="000000"/>
              </w:rPr>
              <w:t>0.06559%</w:t>
            </w:r>
          </w:p>
        </w:tc>
        <w:tc>
          <w:tcPr>
            <w:tcW w:w="1207" w:type="dxa"/>
            <w:vAlign w:val="bottom"/>
            <w:hideMark/>
          </w:tcPr>
          <w:p w14:paraId="5968EDD8" w14:textId="77777777" w:rsidR="003779C8" w:rsidRPr="00B61FF1" w:rsidRDefault="003779C8">
            <w:pPr>
              <w:jc w:val="right"/>
              <w:rPr>
                <w:rFonts w:ascii="Arial" w:hAnsi="Arial" w:cs="Arial"/>
                <w:color w:val="000000"/>
              </w:rPr>
            </w:pPr>
            <w:r w:rsidRPr="00B61FF1">
              <w:rPr>
                <w:rFonts w:ascii="Arial" w:hAnsi="Arial" w:cs="Arial"/>
                <w:color w:val="000000"/>
              </w:rPr>
              <w:t>0.06670%</w:t>
            </w:r>
          </w:p>
        </w:tc>
        <w:tc>
          <w:tcPr>
            <w:tcW w:w="1207" w:type="dxa"/>
            <w:vAlign w:val="bottom"/>
            <w:hideMark/>
          </w:tcPr>
          <w:p w14:paraId="29796863" w14:textId="77777777" w:rsidR="003779C8" w:rsidRPr="00B61FF1" w:rsidRDefault="003779C8">
            <w:pPr>
              <w:jc w:val="right"/>
              <w:rPr>
                <w:rFonts w:ascii="Arial" w:hAnsi="Arial" w:cs="Arial"/>
                <w:color w:val="000000"/>
              </w:rPr>
            </w:pPr>
            <w:r w:rsidRPr="00B61FF1">
              <w:rPr>
                <w:rFonts w:ascii="Arial" w:hAnsi="Arial" w:cs="Arial"/>
                <w:color w:val="000000"/>
              </w:rPr>
              <w:t>0.06763%</w:t>
            </w:r>
          </w:p>
        </w:tc>
        <w:tc>
          <w:tcPr>
            <w:tcW w:w="1207" w:type="dxa"/>
            <w:vAlign w:val="bottom"/>
            <w:hideMark/>
          </w:tcPr>
          <w:p w14:paraId="31A66D8A" w14:textId="77777777" w:rsidR="003779C8" w:rsidRPr="00B61FF1" w:rsidRDefault="003779C8">
            <w:pPr>
              <w:jc w:val="right"/>
              <w:rPr>
                <w:rFonts w:ascii="Arial" w:hAnsi="Arial" w:cs="Arial"/>
                <w:color w:val="000000"/>
              </w:rPr>
            </w:pPr>
            <w:r w:rsidRPr="00B61FF1">
              <w:rPr>
                <w:rFonts w:ascii="Arial" w:hAnsi="Arial" w:cs="Arial"/>
                <w:color w:val="000000"/>
              </w:rPr>
              <w:t>0.06929%</w:t>
            </w:r>
          </w:p>
        </w:tc>
        <w:tc>
          <w:tcPr>
            <w:tcW w:w="1207" w:type="dxa"/>
            <w:vAlign w:val="bottom"/>
            <w:hideMark/>
          </w:tcPr>
          <w:p w14:paraId="58C51D39" w14:textId="77777777" w:rsidR="003779C8" w:rsidRPr="00B61FF1" w:rsidRDefault="003779C8">
            <w:pPr>
              <w:jc w:val="right"/>
              <w:rPr>
                <w:rFonts w:ascii="Arial" w:hAnsi="Arial" w:cs="Arial"/>
                <w:color w:val="000000"/>
              </w:rPr>
            </w:pPr>
            <w:r w:rsidRPr="00B61FF1">
              <w:rPr>
                <w:rFonts w:ascii="Arial" w:hAnsi="Arial" w:cs="Arial"/>
                <w:color w:val="000000"/>
              </w:rPr>
              <w:t>0.06923%</w:t>
            </w:r>
          </w:p>
        </w:tc>
        <w:tc>
          <w:tcPr>
            <w:tcW w:w="1207" w:type="dxa"/>
            <w:vAlign w:val="bottom"/>
            <w:hideMark/>
          </w:tcPr>
          <w:p w14:paraId="1CFF0899" w14:textId="77777777" w:rsidR="003779C8" w:rsidRPr="00B61FF1" w:rsidRDefault="003779C8">
            <w:pPr>
              <w:jc w:val="right"/>
              <w:rPr>
                <w:rFonts w:ascii="Arial" w:hAnsi="Arial" w:cs="Arial"/>
                <w:color w:val="000000"/>
              </w:rPr>
            </w:pPr>
            <w:r w:rsidRPr="00B61FF1">
              <w:rPr>
                <w:rFonts w:ascii="Arial" w:hAnsi="Arial" w:cs="Arial"/>
                <w:color w:val="000000"/>
              </w:rPr>
              <w:t>0.06894%</w:t>
            </w:r>
          </w:p>
        </w:tc>
        <w:tc>
          <w:tcPr>
            <w:tcW w:w="1207" w:type="dxa"/>
            <w:vAlign w:val="bottom"/>
            <w:hideMark/>
          </w:tcPr>
          <w:p w14:paraId="7EF996D7" w14:textId="77777777" w:rsidR="003779C8" w:rsidRPr="00B61FF1" w:rsidRDefault="003779C8">
            <w:pPr>
              <w:jc w:val="right"/>
              <w:rPr>
                <w:rFonts w:ascii="Arial" w:hAnsi="Arial" w:cs="Arial"/>
                <w:color w:val="000000"/>
              </w:rPr>
            </w:pPr>
            <w:r w:rsidRPr="00B61FF1">
              <w:rPr>
                <w:rFonts w:ascii="Arial" w:hAnsi="Arial" w:cs="Arial"/>
                <w:color w:val="000000"/>
              </w:rPr>
              <w:t>0.06892%</w:t>
            </w:r>
          </w:p>
        </w:tc>
      </w:tr>
      <w:tr w:rsidR="003779C8" w:rsidRPr="00B61FF1" w14:paraId="2AF63778" w14:textId="77777777" w:rsidTr="009E5ADE">
        <w:trPr>
          <w:trHeight w:val="300"/>
        </w:trPr>
        <w:tc>
          <w:tcPr>
            <w:tcW w:w="2637" w:type="dxa"/>
            <w:vAlign w:val="center"/>
            <w:hideMark/>
          </w:tcPr>
          <w:p w14:paraId="11BE58B0" w14:textId="77777777" w:rsidR="003779C8" w:rsidRPr="00B61FF1" w:rsidRDefault="003779C8">
            <w:pPr>
              <w:rPr>
                <w:rFonts w:ascii="Arial" w:hAnsi="Arial" w:cs="Arial"/>
                <w:color w:val="000000"/>
              </w:rPr>
            </w:pPr>
            <w:r w:rsidRPr="00B61FF1">
              <w:rPr>
                <w:rFonts w:ascii="Arial" w:hAnsi="Arial" w:cs="Arial"/>
                <w:color w:val="000000"/>
              </w:rPr>
              <w:t>Port of Oakland</w:t>
            </w:r>
          </w:p>
        </w:tc>
        <w:tc>
          <w:tcPr>
            <w:tcW w:w="883" w:type="dxa"/>
            <w:vAlign w:val="center"/>
            <w:hideMark/>
          </w:tcPr>
          <w:p w14:paraId="4E5D05F1"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61B9DC9E" w14:textId="77777777" w:rsidR="003779C8" w:rsidRPr="00B61FF1" w:rsidRDefault="003779C8">
            <w:pPr>
              <w:jc w:val="right"/>
              <w:rPr>
                <w:rFonts w:ascii="Arial" w:hAnsi="Arial" w:cs="Arial"/>
                <w:color w:val="000000"/>
              </w:rPr>
            </w:pPr>
            <w:r w:rsidRPr="00B61FF1">
              <w:rPr>
                <w:rFonts w:ascii="Arial" w:hAnsi="Arial" w:cs="Arial"/>
                <w:color w:val="000000"/>
              </w:rPr>
              <w:t>0.03277%</w:t>
            </w:r>
          </w:p>
        </w:tc>
        <w:tc>
          <w:tcPr>
            <w:tcW w:w="1207" w:type="dxa"/>
            <w:vAlign w:val="bottom"/>
            <w:hideMark/>
          </w:tcPr>
          <w:p w14:paraId="32519315" w14:textId="77777777" w:rsidR="003779C8" w:rsidRPr="00B61FF1" w:rsidRDefault="003779C8">
            <w:pPr>
              <w:jc w:val="right"/>
              <w:rPr>
                <w:rFonts w:ascii="Arial" w:hAnsi="Arial" w:cs="Arial"/>
                <w:color w:val="000000"/>
              </w:rPr>
            </w:pPr>
            <w:r w:rsidRPr="00B61FF1">
              <w:rPr>
                <w:rFonts w:ascii="Arial" w:hAnsi="Arial" w:cs="Arial"/>
                <w:color w:val="000000"/>
              </w:rPr>
              <w:t>0.03345%</w:t>
            </w:r>
          </w:p>
        </w:tc>
        <w:tc>
          <w:tcPr>
            <w:tcW w:w="1207" w:type="dxa"/>
            <w:vAlign w:val="bottom"/>
            <w:hideMark/>
          </w:tcPr>
          <w:p w14:paraId="7E8465DD" w14:textId="77777777" w:rsidR="003779C8" w:rsidRPr="00B61FF1" w:rsidRDefault="003779C8">
            <w:pPr>
              <w:jc w:val="right"/>
              <w:rPr>
                <w:rFonts w:ascii="Arial" w:hAnsi="Arial" w:cs="Arial"/>
                <w:color w:val="000000"/>
              </w:rPr>
            </w:pPr>
            <w:r w:rsidRPr="00B61FF1">
              <w:rPr>
                <w:rFonts w:ascii="Arial" w:hAnsi="Arial" w:cs="Arial"/>
                <w:color w:val="000000"/>
              </w:rPr>
              <w:t>0.03411%</w:t>
            </w:r>
          </w:p>
        </w:tc>
        <w:tc>
          <w:tcPr>
            <w:tcW w:w="1207" w:type="dxa"/>
            <w:vAlign w:val="bottom"/>
            <w:hideMark/>
          </w:tcPr>
          <w:p w14:paraId="3844DC4D" w14:textId="77777777" w:rsidR="003779C8" w:rsidRPr="00B61FF1" w:rsidRDefault="003779C8">
            <w:pPr>
              <w:jc w:val="right"/>
              <w:rPr>
                <w:rFonts w:ascii="Arial" w:hAnsi="Arial" w:cs="Arial"/>
                <w:color w:val="000000"/>
              </w:rPr>
            </w:pPr>
            <w:r w:rsidRPr="00B61FF1">
              <w:rPr>
                <w:rFonts w:ascii="Arial" w:hAnsi="Arial" w:cs="Arial"/>
                <w:color w:val="000000"/>
              </w:rPr>
              <w:t>0.03438%</w:t>
            </w:r>
          </w:p>
        </w:tc>
        <w:tc>
          <w:tcPr>
            <w:tcW w:w="1207" w:type="dxa"/>
            <w:vAlign w:val="bottom"/>
            <w:hideMark/>
          </w:tcPr>
          <w:p w14:paraId="44C44A1E" w14:textId="77777777" w:rsidR="003779C8" w:rsidRPr="00B61FF1" w:rsidRDefault="003779C8">
            <w:pPr>
              <w:jc w:val="right"/>
              <w:rPr>
                <w:rFonts w:ascii="Arial" w:hAnsi="Arial" w:cs="Arial"/>
                <w:color w:val="000000"/>
              </w:rPr>
            </w:pPr>
            <w:r w:rsidRPr="00B61FF1">
              <w:rPr>
                <w:rFonts w:ascii="Arial" w:hAnsi="Arial" w:cs="Arial"/>
                <w:color w:val="000000"/>
              </w:rPr>
              <w:t>0.03491%</w:t>
            </w:r>
          </w:p>
        </w:tc>
        <w:tc>
          <w:tcPr>
            <w:tcW w:w="1207" w:type="dxa"/>
            <w:vAlign w:val="bottom"/>
            <w:hideMark/>
          </w:tcPr>
          <w:p w14:paraId="395C3A10" w14:textId="77777777" w:rsidR="003779C8" w:rsidRPr="00B61FF1" w:rsidRDefault="003779C8">
            <w:pPr>
              <w:jc w:val="right"/>
              <w:rPr>
                <w:rFonts w:ascii="Arial" w:hAnsi="Arial" w:cs="Arial"/>
                <w:color w:val="000000"/>
              </w:rPr>
            </w:pPr>
            <w:r w:rsidRPr="00B61FF1">
              <w:rPr>
                <w:rFonts w:ascii="Arial" w:hAnsi="Arial" w:cs="Arial"/>
                <w:color w:val="000000"/>
              </w:rPr>
              <w:t>0.03467%</w:t>
            </w:r>
          </w:p>
        </w:tc>
        <w:tc>
          <w:tcPr>
            <w:tcW w:w="1207" w:type="dxa"/>
            <w:vAlign w:val="bottom"/>
            <w:hideMark/>
          </w:tcPr>
          <w:p w14:paraId="222C5780" w14:textId="77777777" w:rsidR="003779C8" w:rsidRPr="00B61FF1" w:rsidRDefault="003779C8">
            <w:pPr>
              <w:jc w:val="right"/>
              <w:rPr>
                <w:rFonts w:ascii="Arial" w:hAnsi="Arial" w:cs="Arial"/>
                <w:color w:val="000000"/>
              </w:rPr>
            </w:pPr>
            <w:r w:rsidRPr="00B61FF1">
              <w:rPr>
                <w:rFonts w:ascii="Arial" w:hAnsi="Arial" w:cs="Arial"/>
                <w:color w:val="000000"/>
              </w:rPr>
              <w:t>0.03451%</w:t>
            </w:r>
          </w:p>
        </w:tc>
        <w:tc>
          <w:tcPr>
            <w:tcW w:w="1207" w:type="dxa"/>
            <w:vAlign w:val="bottom"/>
            <w:hideMark/>
          </w:tcPr>
          <w:p w14:paraId="1A257B41" w14:textId="77777777" w:rsidR="003779C8" w:rsidRPr="00B61FF1" w:rsidRDefault="003779C8">
            <w:pPr>
              <w:jc w:val="right"/>
              <w:rPr>
                <w:rFonts w:ascii="Arial" w:hAnsi="Arial" w:cs="Arial"/>
                <w:color w:val="000000"/>
              </w:rPr>
            </w:pPr>
            <w:r w:rsidRPr="00B61FF1">
              <w:rPr>
                <w:rFonts w:ascii="Arial" w:hAnsi="Arial" w:cs="Arial"/>
                <w:color w:val="000000"/>
              </w:rPr>
              <w:t>0.03432%</w:t>
            </w:r>
          </w:p>
        </w:tc>
      </w:tr>
      <w:tr w:rsidR="003779C8" w:rsidRPr="00B61FF1" w14:paraId="4690D9AF" w14:textId="77777777" w:rsidTr="009E5ADE">
        <w:trPr>
          <w:trHeight w:val="450"/>
        </w:trPr>
        <w:tc>
          <w:tcPr>
            <w:tcW w:w="2637" w:type="dxa"/>
            <w:vAlign w:val="center"/>
            <w:hideMark/>
          </w:tcPr>
          <w:p w14:paraId="42BABBAE" w14:textId="77777777" w:rsidR="003779C8" w:rsidRPr="00B61FF1" w:rsidRDefault="003779C8">
            <w:pPr>
              <w:rPr>
                <w:rFonts w:ascii="Arial" w:hAnsi="Arial" w:cs="Arial"/>
                <w:color w:val="000000"/>
              </w:rPr>
            </w:pPr>
            <w:r w:rsidRPr="00B61FF1">
              <w:rPr>
                <w:rFonts w:ascii="Arial" w:hAnsi="Arial" w:cs="Arial"/>
                <w:color w:val="000000"/>
              </w:rPr>
              <w:t>Silicon Valley Power</w:t>
            </w:r>
          </w:p>
        </w:tc>
        <w:tc>
          <w:tcPr>
            <w:tcW w:w="883" w:type="dxa"/>
            <w:vAlign w:val="center"/>
            <w:hideMark/>
          </w:tcPr>
          <w:p w14:paraId="10BEC7D3"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02049351" w14:textId="77777777" w:rsidR="003779C8" w:rsidRPr="00B61FF1" w:rsidRDefault="003779C8">
            <w:pPr>
              <w:jc w:val="right"/>
              <w:rPr>
                <w:rFonts w:ascii="Arial" w:hAnsi="Arial" w:cs="Arial"/>
                <w:color w:val="000000"/>
              </w:rPr>
            </w:pPr>
            <w:r w:rsidRPr="00B61FF1">
              <w:rPr>
                <w:rFonts w:ascii="Arial" w:hAnsi="Arial" w:cs="Arial"/>
                <w:color w:val="000000"/>
              </w:rPr>
              <w:t>1.13125%</w:t>
            </w:r>
          </w:p>
        </w:tc>
        <w:tc>
          <w:tcPr>
            <w:tcW w:w="1207" w:type="dxa"/>
            <w:vAlign w:val="bottom"/>
            <w:hideMark/>
          </w:tcPr>
          <w:p w14:paraId="04943D9B" w14:textId="77777777" w:rsidR="003779C8" w:rsidRPr="00B61FF1" w:rsidRDefault="003779C8">
            <w:pPr>
              <w:jc w:val="right"/>
              <w:rPr>
                <w:rFonts w:ascii="Arial" w:hAnsi="Arial" w:cs="Arial"/>
                <w:color w:val="000000"/>
              </w:rPr>
            </w:pPr>
            <w:r w:rsidRPr="00B61FF1">
              <w:rPr>
                <w:rFonts w:ascii="Arial" w:hAnsi="Arial" w:cs="Arial"/>
                <w:color w:val="000000"/>
              </w:rPr>
              <w:t>1.14819%</w:t>
            </w:r>
          </w:p>
        </w:tc>
        <w:tc>
          <w:tcPr>
            <w:tcW w:w="1207" w:type="dxa"/>
            <w:vAlign w:val="bottom"/>
            <w:hideMark/>
          </w:tcPr>
          <w:p w14:paraId="460C191C" w14:textId="77777777" w:rsidR="003779C8" w:rsidRPr="00B61FF1" w:rsidRDefault="003779C8">
            <w:pPr>
              <w:jc w:val="right"/>
              <w:rPr>
                <w:rFonts w:ascii="Arial" w:hAnsi="Arial" w:cs="Arial"/>
                <w:color w:val="000000"/>
              </w:rPr>
            </w:pPr>
            <w:r w:rsidRPr="00B61FF1">
              <w:rPr>
                <w:rFonts w:ascii="Arial" w:hAnsi="Arial" w:cs="Arial"/>
                <w:color w:val="000000"/>
              </w:rPr>
              <w:t>1.13895%</w:t>
            </w:r>
          </w:p>
        </w:tc>
        <w:tc>
          <w:tcPr>
            <w:tcW w:w="1207" w:type="dxa"/>
            <w:vAlign w:val="bottom"/>
            <w:hideMark/>
          </w:tcPr>
          <w:p w14:paraId="592C21AD" w14:textId="77777777" w:rsidR="003779C8" w:rsidRPr="00B61FF1" w:rsidRDefault="003779C8">
            <w:pPr>
              <w:jc w:val="right"/>
              <w:rPr>
                <w:rFonts w:ascii="Arial" w:hAnsi="Arial" w:cs="Arial"/>
                <w:color w:val="000000"/>
              </w:rPr>
            </w:pPr>
            <w:r w:rsidRPr="00B61FF1">
              <w:rPr>
                <w:rFonts w:ascii="Arial" w:hAnsi="Arial" w:cs="Arial"/>
                <w:color w:val="000000"/>
              </w:rPr>
              <w:t>1.20823%</w:t>
            </w:r>
          </w:p>
        </w:tc>
        <w:tc>
          <w:tcPr>
            <w:tcW w:w="1207" w:type="dxa"/>
            <w:vAlign w:val="bottom"/>
            <w:hideMark/>
          </w:tcPr>
          <w:p w14:paraId="0D14C497" w14:textId="77777777" w:rsidR="003779C8" w:rsidRPr="00B61FF1" w:rsidRDefault="003779C8">
            <w:pPr>
              <w:jc w:val="right"/>
              <w:rPr>
                <w:rFonts w:ascii="Arial" w:hAnsi="Arial" w:cs="Arial"/>
                <w:color w:val="000000"/>
              </w:rPr>
            </w:pPr>
            <w:r w:rsidRPr="00B61FF1">
              <w:rPr>
                <w:rFonts w:ascii="Arial" w:hAnsi="Arial" w:cs="Arial"/>
                <w:color w:val="000000"/>
              </w:rPr>
              <w:t>1.29624%</w:t>
            </w:r>
          </w:p>
        </w:tc>
        <w:tc>
          <w:tcPr>
            <w:tcW w:w="1207" w:type="dxa"/>
            <w:vAlign w:val="bottom"/>
            <w:hideMark/>
          </w:tcPr>
          <w:p w14:paraId="70C6870E" w14:textId="77777777" w:rsidR="003779C8" w:rsidRPr="00B61FF1" w:rsidRDefault="003779C8">
            <w:pPr>
              <w:jc w:val="right"/>
              <w:rPr>
                <w:rFonts w:ascii="Arial" w:hAnsi="Arial" w:cs="Arial"/>
                <w:color w:val="000000"/>
              </w:rPr>
            </w:pPr>
            <w:r w:rsidRPr="00B61FF1">
              <w:rPr>
                <w:rFonts w:ascii="Arial" w:hAnsi="Arial" w:cs="Arial"/>
                <w:color w:val="000000"/>
              </w:rPr>
              <w:t>1.33330%</w:t>
            </w:r>
          </w:p>
        </w:tc>
        <w:tc>
          <w:tcPr>
            <w:tcW w:w="1207" w:type="dxa"/>
            <w:vAlign w:val="bottom"/>
            <w:hideMark/>
          </w:tcPr>
          <w:p w14:paraId="0B3818C1" w14:textId="77777777" w:rsidR="003779C8" w:rsidRPr="00B61FF1" w:rsidRDefault="003779C8">
            <w:pPr>
              <w:jc w:val="right"/>
              <w:rPr>
                <w:rFonts w:ascii="Arial" w:hAnsi="Arial" w:cs="Arial"/>
                <w:color w:val="000000"/>
              </w:rPr>
            </w:pPr>
            <w:r w:rsidRPr="00B61FF1">
              <w:rPr>
                <w:rFonts w:ascii="Arial" w:hAnsi="Arial" w:cs="Arial"/>
                <w:color w:val="000000"/>
              </w:rPr>
              <w:t>1.33645%</w:t>
            </w:r>
          </w:p>
        </w:tc>
        <w:tc>
          <w:tcPr>
            <w:tcW w:w="1207" w:type="dxa"/>
            <w:vAlign w:val="bottom"/>
            <w:hideMark/>
          </w:tcPr>
          <w:p w14:paraId="021A508D" w14:textId="77777777" w:rsidR="003779C8" w:rsidRPr="00B61FF1" w:rsidRDefault="003779C8">
            <w:pPr>
              <w:jc w:val="right"/>
              <w:rPr>
                <w:rFonts w:ascii="Arial" w:hAnsi="Arial" w:cs="Arial"/>
                <w:color w:val="000000"/>
              </w:rPr>
            </w:pPr>
            <w:r w:rsidRPr="00B61FF1">
              <w:rPr>
                <w:rFonts w:ascii="Arial" w:hAnsi="Arial" w:cs="Arial"/>
                <w:color w:val="000000"/>
              </w:rPr>
              <w:t>1.38438%</w:t>
            </w:r>
          </w:p>
        </w:tc>
      </w:tr>
      <w:tr w:rsidR="003779C8" w:rsidRPr="00B61FF1" w14:paraId="64007EB0" w14:textId="77777777" w:rsidTr="009E5ADE">
        <w:trPr>
          <w:trHeight w:val="300"/>
        </w:trPr>
        <w:tc>
          <w:tcPr>
            <w:tcW w:w="2637" w:type="dxa"/>
            <w:vAlign w:val="center"/>
            <w:hideMark/>
          </w:tcPr>
          <w:p w14:paraId="3DFBEBB6" w14:textId="77777777" w:rsidR="003779C8" w:rsidRPr="00B61FF1" w:rsidRDefault="003779C8">
            <w:pPr>
              <w:rPr>
                <w:rFonts w:ascii="Arial" w:hAnsi="Arial" w:cs="Arial"/>
                <w:color w:val="000000"/>
              </w:rPr>
            </w:pPr>
            <w:r w:rsidRPr="00B61FF1">
              <w:rPr>
                <w:rFonts w:ascii="Arial" w:hAnsi="Arial" w:cs="Arial"/>
                <w:color w:val="000000"/>
              </w:rPr>
              <w:t>Truckee-Donner Public Utility District</w:t>
            </w:r>
          </w:p>
        </w:tc>
        <w:tc>
          <w:tcPr>
            <w:tcW w:w="883" w:type="dxa"/>
            <w:vAlign w:val="center"/>
            <w:hideMark/>
          </w:tcPr>
          <w:p w14:paraId="048E8D7F"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6BD6F596" w14:textId="77777777" w:rsidR="003779C8" w:rsidRPr="00B61FF1" w:rsidRDefault="003779C8">
            <w:pPr>
              <w:jc w:val="right"/>
              <w:rPr>
                <w:rFonts w:ascii="Arial" w:hAnsi="Arial" w:cs="Arial"/>
                <w:color w:val="000000"/>
              </w:rPr>
            </w:pPr>
            <w:r w:rsidRPr="00B61FF1">
              <w:rPr>
                <w:rFonts w:ascii="Arial" w:hAnsi="Arial" w:cs="Arial"/>
                <w:color w:val="000000"/>
              </w:rPr>
              <w:t>0.12089%</w:t>
            </w:r>
          </w:p>
        </w:tc>
        <w:tc>
          <w:tcPr>
            <w:tcW w:w="1207" w:type="dxa"/>
            <w:vAlign w:val="bottom"/>
            <w:hideMark/>
          </w:tcPr>
          <w:p w14:paraId="30985B07" w14:textId="77777777" w:rsidR="003779C8" w:rsidRPr="00B61FF1" w:rsidRDefault="003779C8">
            <w:pPr>
              <w:jc w:val="right"/>
              <w:rPr>
                <w:rFonts w:ascii="Arial" w:hAnsi="Arial" w:cs="Arial"/>
                <w:color w:val="000000"/>
              </w:rPr>
            </w:pPr>
            <w:r w:rsidRPr="00B61FF1">
              <w:rPr>
                <w:rFonts w:ascii="Arial" w:hAnsi="Arial" w:cs="Arial"/>
                <w:color w:val="000000"/>
              </w:rPr>
              <w:t>0.12415%</w:t>
            </w:r>
          </w:p>
        </w:tc>
        <w:tc>
          <w:tcPr>
            <w:tcW w:w="1207" w:type="dxa"/>
            <w:vAlign w:val="bottom"/>
            <w:hideMark/>
          </w:tcPr>
          <w:p w14:paraId="5FE8E5CC" w14:textId="77777777" w:rsidR="003779C8" w:rsidRPr="00B61FF1" w:rsidRDefault="003779C8">
            <w:pPr>
              <w:jc w:val="right"/>
              <w:rPr>
                <w:rFonts w:ascii="Arial" w:hAnsi="Arial" w:cs="Arial"/>
                <w:color w:val="000000"/>
              </w:rPr>
            </w:pPr>
            <w:r w:rsidRPr="00B61FF1">
              <w:rPr>
                <w:rFonts w:ascii="Arial" w:hAnsi="Arial" w:cs="Arial"/>
                <w:color w:val="000000"/>
              </w:rPr>
              <w:t>0.12749%</w:t>
            </w:r>
          </w:p>
        </w:tc>
        <w:tc>
          <w:tcPr>
            <w:tcW w:w="1207" w:type="dxa"/>
            <w:vAlign w:val="bottom"/>
            <w:hideMark/>
          </w:tcPr>
          <w:p w14:paraId="04C49D2D" w14:textId="77777777" w:rsidR="003779C8" w:rsidRPr="00B61FF1" w:rsidRDefault="003779C8">
            <w:pPr>
              <w:jc w:val="right"/>
              <w:rPr>
                <w:rFonts w:ascii="Arial" w:hAnsi="Arial" w:cs="Arial"/>
                <w:color w:val="000000"/>
              </w:rPr>
            </w:pPr>
            <w:r w:rsidRPr="00B61FF1">
              <w:rPr>
                <w:rFonts w:ascii="Arial" w:hAnsi="Arial" w:cs="Arial"/>
                <w:color w:val="000000"/>
              </w:rPr>
              <w:t>0.13067%</w:t>
            </w:r>
          </w:p>
        </w:tc>
        <w:tc>
          <w:tcPr>
            <w:tcW w:w="1207" w:type="dxa"/>
            <w:vAlign w:val="bottom"/>
            <w:hideMark/>
          </w:tcPr>
          <w:p w14:paraId="05CE8791" w14:textId="77777777" w:rsidR="003779C8" w:rsidRPr="00B61FF1" w:rsidRDefault="003779C8">
            <w:pPr>
              <w:jc w:val="right"/>
              <w:rPr>
                <w:rFonts w:ascii="Arial" w:hAnsi="Arial" w:cs="Arial"/>
                <w:color w:val="000000"/>
              </w:rPr>
            </w:pPr>
            <w:r w:rsidRPr="00B61FF1">
              <w:rPr>
                <w:rFonts w:ascii="Arial" w:hAnsi="Arial" w:cs="Arial"/>
                <w:color w:val="000000"/>
              </w:rPr>
              <w:t>0.13480%</w:t>
            </w:r>
          </w:p>
        </w:tc>
        <w:tc>
          <w:tcPr>
            <w:tcW w:w="1207" w:type="dxa"/>
            <w:vAlign w:val="bottom"/>
            <w:hideMark/>
          </w:tcPr>
          <w:p w14:paraId="5F336C56" w14:textId="77777777" w:rsidR="003779C8" w:rsidRPr="00B61FF1" w:rsidRDefault="003779C8">
            <w:pPr>
              <w:jc w:val="right"/>
              <w:rPr>
                <w:rFonts w:ascii="Arial" w:hAnsi="Arial" w:cs="Arial"/>
                <w:color w:val="000000"/>
              </w:rPr>
            </w:pPr>
            <w:r w:rsidRPr="00B61FF1">
              <w:rPr>
                <w:rFonts w:ascii="Arial" w:hAnsi="Arial" w:cs="Arial"/>
                <w:color w:val="000000"/>
              </w:rPr>
              <w:t>0.13722%</w:t>
            </w:r>
          </w:p>
        </w:tc>
        <w:tc>
          <w:tcPr>
            <w:tcW w:w="1207" w:type="dxa"/>
            <w:vAlign w:val="bottom"/>
            <w:hideMark/>
          </w:tcPr>
          <w:p w14:paraId="52D014F4" w14:textId="77777777" w:rsidR="003779C8" w:rsidRPr="00B61FF1" w:rsidRDefault="003779C8">
            <w:pPr>
              <w:jc w:val="right"/>
              <w:rPr>
                <w:rFonts w:ascii="Arial" w:hAnsi="Arial" w:cs="Arial"/>
                <w:color w:val="000000"/>
              </w:rPr>
            </w:pPr>
            <w:r w:rsidRPr="00B61FF1">
              <w:rPr>
                <w:rFonts w:ascii="Arial" w:hAnsi="Arial" w:cs="Arial"/>
                <w:color w:val="000000"/>
              </w:rPr>
              <w:t>0.14051%</w:t>
            </w:r>
          </w:p>
        </w:tc>
        <w:tc>
          <w:tcPr>
            <w:tcW w:w="1207" w:type="dxa"/>
            <w:vAlign w:val="bottom"/>
            <w:hideMark/>
          </w:tcPr>
          <w:p w14:paraId="13C0BC32" w14:textId="77777777" w:rsidR="003779C8" w:rsidRPr="00B61FF1" w:rsidRDefault="003779C8">
            <w:pPr>
              <w:jc w:val="right"/>
              <w:rPr>
                <w:rFonts w:ascii="Arial" w:hAnsi="Arial" w:cs="Arial"/>
                <w:color w:val="000000"/>
              </w:rPr>
            </w:pPr>
            <w:r w:rsidRPr="00B61FF1">
              <w:rPr>
                <w:rFonts w:ascii="Arial" w:hAnsi="Arial" w:cs="Arial"/>
                <w:color w:val="000000"/>
              </w:rPr>
              <w:t>0.14406%</w:t>
            </w:r>
          </w:p>
        </w:tc>
      </w:tr>
      <w:tr w:rsidR="003779C8" w:rsidRPr="00B61FF1" w14:paraId="40F839E3" w14:textId="77777777" w:rsidTr="009E5ADE">
        <w:trPr>
          <w:trHeight w:val="300"/>
        </w:trPr>
        <w:tc>
          <w:tcPr>
            <w:tcW w:w="2637" w:type="dxa"/>
            <w:vAlign w:val="center"/>
            <w:hideMark/>
          </w:tcPr>
          <w:p w14:paraId="02090C72" w14:textId="77777777" w:rsidR="003779C8" w:rsidRPr="00B61FF1" w:rsidRDefault="003779C8">
            <w:pPr>
              <w:rPr>
                <w:rFonts w:ascii="Arial" w:hAnsi="Arial" w:cs="Arial"/>
                <w:color w:val="000000"/>
              </w:rPr>
            </w:pPr>
            <w:r w:rsidRPr="00B61FF1">
              <w:rPr>
                <w:rFonts w:ascii="Arial" w:hAnsi="Arial" w:cs="Arial"/>
                <w:color w:val="000000"/>
              </w:rPr>
              <w:t>Turlock Irrigation District</w:t>
            </w:r>
          </w:p>
        </w:tc>
        <w:tc>
          <w:tcPr>
            <w:tcW w:w="883" w:type="dxa"/>
            <w:vAlign w:val="center"/>
            <w:hideMark/>
          </w:tcPr>
          <w:p w14:paraId="302F111C"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18B032A6" w14:textId="77777777" w:rsidR="003779C8" w:rsidRPr="00B61FF1" w:rsidRDefault="003779C8">
            <w:pPr>
              <w:jc w:val="right"/>
              <w:rPr>
                <w:rFonts w:ascii="Arial" w:hAnsi="Arial" w:cs="Arial"/>
                <w:color w:val="000000"/>
              </w:rPr>
            </w:pPr>
            <w:r w:rsidRPr="00B61FF1">
              <w:rPr>
                <w:rFonts w:ascii="Arial" w:hAnsi="Arial" w:cs="Arial"/>
                <w:color w:val="000000"/>
              </w:rPr>
              <w:t>0.94012%</w:t>
            </w:r>
          </w:p>
        </w:tc>
        <w:tc>
          <w:tcPr>
            <w:tcW w:w="1207" w:type="dxa"/>
            <w:vAlign w:val="bottom"/>
            <w:hideMark/>
          </w:tcPr>
          <w:p w14:paraId="3A93BBC2" w14:textId="77777777" w:rsidR="003779C8" w:rsidRPr="00B61FF1" w:rsidRDefault="003779C8">
            <w:pPr>
              <w:jc w:val="right"/>
              <w:rPr>
                <w:rFonts w:ascii="Arial" w:hAnsi="Arial" w:cs="Arial"/>
                <w:color w:val="000000"/>
              </w:rPr>
            </w:pPr>
            <w:r w:rsidRPr="00B61FF1">
              <w:rPr>
                <w:rFonts w:ascii="Arial" w:hAnsi="Arial" w:cs="Arial"/>
                <w:color w:val="000000"/>
              </w:rPr>
              <w:t>0.97157%</w:t>
            </w:r>
          </w:p>
        </w:tc>
        <w:tc>
          <w:tcPr>
            <w:tcW w:w="1207" w:type="dxa"/>
            <w:vAlign w:val="bottom"/>
            <w:hideMark/>
          </w:tcPr>
          <w:p w14:paraId="5096D6D2" w14:textId="77777777" w:rsidR="003779C8" w:rsidRPr="00B61FF1" w:rsidRDefault="003779C8">
            <w:pPr>
              <w:jc w:val="right"/>
              <w:rPr>
                <w:rFonts w:ascii="Arial" w:hAnsi="Arial" w:cs="Arial"/>
                <w:color w:val="000000"/>
              </w:rPr>
            </w:pPr>
            <w:r w:rsidRPr="00B61FF1">
              <w:rPr>
                <w:rFonts w:ascii="Arial" w:hAnsi="Arial" w:cs="Arial"/>
                <w:color w:val="000000"/>
              </w:rPr>
              <w:t>0.98772%</w:t>
            </w:r>
          </w:p>
        </w:tc>
        <w:tc>
          <w:tcPr>
            <w:tcW w:w="1207" w:type="dxa"/>
            <w:vAlign w:val="bottom"/>
            <w:hideMark/>
          </w:tcPr>
          <w:p w14:paraId="45BC0BDB" w14:textId="77777777" w:rsidR="003779C8" w:rsidRPr="00B61FF1" w:rsidRDefault="003779C8">
            <w:pPr>
              <w:jc w:val="right"/>
              <w:rPr>
                <w:rFonts w:ascii="Arial" w:hAnsi="Arial" w:cs="Arial"/>
                <w:color w:val="000000"/>
              </w:rPr>
            </w:pPr>
            <w:r w:rsidRPr="00B61FF1">
              <w:rPr>
                <w:rFonts w:ascii="Arial" w:hAnsi="Arial" w:cs="Arial"/>
                <w:color w:val="000000"/>
              </w:rPr>
              <w:t>1.01291%</w:t>
            </w:r>
          </w:p>
        </w:tc>
        <w:tc>
          <w:tcPr>
            <w:tcW w:w="1207" w:type="dxa"/>
            <w:vAlign w:val="bottom"/>
            <w:hideMark/>
          </w:tcPr>
          <w:p w14:paraId="5A1FBB08" w14:textId="77777777" w:rsidR="003779C8" w:rsidRPr="00B61FF1" w:rsidRDefault="003779C8">
            <w:pPr>
              <w:jc w:val="right"/>
              <w:rPr>
                <w:rFonts w:ascii="Arial" w:hAnsi="Arial" w:cs="Arial"/>
                <w:color w:val="000000"/>
              </w:rPr>
            </w:pPr>
            <w:r w:rsidRPr="00B61FF1">
              <w:rPr>
                <w:rFonts w:ascii="Arial" w:hAnsi="Arial" w:cs="Arial"/>
                <w:color w:val="000000"/>
              </w:rPr>
              <w:t>1.05443%</w:t>
            </w:r>
          </w:p>
        </w:tc>
        <w:tc>
          <w:tcPr>
            <w:tcW w:w="1207" w:type="dxa"/>
            <w:vAlign w:val="bottom"/>
            <w:hideMark/>
          </w:tcPr>
          <w:p w14:paraId="0E570005" w14:textId="77777777" w:rsidR="003779C8" w:rsidRPr="00B61FF1" w:rsidRDefault="003779C8">
            <w:pPr>
              <w:jc w:val="right"/>
              <w:rPr>
                <w:rFonts w:ascii="Arial" w:hAnsi="Arial" w:cs="Arial"/>
                <w:color w:val="000000"/>
              </w:rPr>
            </w:pPr>
            <w:r w:rsidRPr="00B61FF1">
              <w:rPr>
                <w:rFonts w:ascii="Arial" w:hAnsi="Arial" w:cs="Arial"/>
                <w:color w:val="000000"/>
              </w:rPr>
              <w:t>1.06803%</w:t>
            </w:r>
          </w:p>
        </w:tc>
        <w:tc>
          <w:tcPr>
            <w:tcW w:w="1207" w:type="dxa"/>
            <w:vAlign w:val="bottom"/>
            <w:hideMark/>
          </w:tcPr>
          <w:p w14:paraId="3AA878B0" w14:textId="77777777" w:rsidR="003779C8" w:rsidRPr="00B61FF1" w:rsidRDefault="003779C8">
            <w:pPr>
              <w:jc w:val="right"/>
              <w:rPr>
                <w:rFonts w:ascii="Arial" w:hAnsi="Arial" w:cs="Arial"/>
                <w:color w:val="000000"/>
              </w:rPr>
            </w:pPr>
            <w:r w:rsidRPr="00B61FF1">
              <w:rPr>
                <w:rFonts w:ascii="Arial" w:hAnsi="Arial" w:cs="Arial"/>
                <w:color w:val="000000"/>
              </w:rPr>
              <w:t>1.06840%</w:t>
            </w:r>
          </w:p>
        </w:tc>
        <w:tc>
          <w:tcPr>
            <w:tcW w:w="1207" w:type="dxa"/>
            <w:vAlign w:val="bottom"/>
            <w:hideMark/>
          </w:tcPr>
          <w:p w14:paraId="6C2ACC9B" w14:textId="77777777" w:rsidR="003779C8" w:rsidRPr="00B61FF1" w:rsidRDefault="003779C8">
            <w:pPr>
              <w:jc w:val="right"/>
              <w:rPr>
                <w:rFonts w:ascii="Arial" w:hAnsi="Arial" w:cs="Arial"/>
                <w:color w:val="000000"/>
              </w:rPr>
            </w:pPr>
            <w:r w:rsidRPr="00B61FF1">
              <w:rPr>
                <w:rFonts w:ascii="Arial" w:hAnsi="Arial" w:cs="Arial"/>
                <w:color w:val="000000"/>
              </w:rPr>
              <w:t>1.08659%</w:t>
            </w:r>
          </w:p>
        </w:tc>
      </w:tr>
      <w:tr w:rsidR="003779C8" w:rsidRPr="00B61FF1" w14:paraId="3A0D5F18" w14:textId="77777777" w:rsidTr="009E5ADE">
        <w:trPr>
          <w:trHeight w:val="300"/>
        </w:trPr>
        <w:tc>
          <w:tcPr>
            <w:tcW w:w="2637" w:type="dxa"/>
            <w:vAlign w:val="center"/>
            <w:hideMark/>
          </w:tcPr>
          <w:p w14:paraId="0DD1A2BE" w14:textId="77777777" w:rsidR="003779C8" w:rsidRPr="00B61FF1" w:rsidRDefault="003779C8">
            <w:pPr>
              <w:rPr>
                <w:rFonts w:ascii="Arial" w:hAnsi="Arial" w:cs="Arial"/>
                <w:color w:val="000000"/>
              </w:rPr>
            </w:pPr>
            <w:r w:rsidRPr="00B61FF1">
              <w:rPr>
                <w:rFonts w:ascii="Arial" w:hAnsi="Arial" w:cs="Arial"/>
                <w:color w:val="000000"/>
              </w:rPr>
              <w:t>Anza Electric Cooperative, Inc.</w:t>
            </w:r>
          </w:p>
        </w:tc>
        <w:tc>
          <w:tcPr>
            <w:tcW w:w="883" w:type="dxa"/>
            <w:vAlign w:val="center"/>
            <w:hideMark/>
          </w:tcPr>
          <w:p w14:paraId="3E5D0E5E" w14:textId="77777777" w:rsidR="003779C8" w:rsidRPr="00B61FF1" w:rsidRDefault="003779C8">
            <w:pPr>
              <w:rPr>
                <w:rFonts w:ascii="Arial" w:hAnsi="Arial" w:cs="Arial"/>
                <w:color w:val="000000"/>
              </w:rPr>
            </w:pPr>
            <w:r w:rsidRPr="00B61FF1">
              <w:rPr>
                <w:rFonts w:ascii="Arial" w:hAnsi="Arial" w:cs="Arial"/>
                <w:color w:val="000000"/>
              </w:rPr>
              <w:t>COOP</w:t>
            </w:r>
          </w:p>
        </w:tc>
        <w:tc>
          <w:tcPr>
            <w:tcW w:w="1207" w:type="dxa"/>
            <w:vAlign w:val="bottom"/>
            <w:hideMark/>
          </w:tcPr>
          <w:p w14:paraId="12FD0098" w14:textId="77777777" w:rsidR="003779C8" w:rsidRPr="00B61FF1" w:rsidRDefault="003779C8">
            <w:pPr>
              <w:jc w:val="right"/>
              <w:rPr>
                <w:rFonts w:ascii="Arial" w:hAnsi="Arial" w:cs="Arial"/>
                <w:color w:val="000000"/>
              </w:rPr>
            </w:pPr>
            <w:r w:rsidRPr="00B61FF1">
              <w:rPr>
                <w:rFonts w:ascii="Arial" w:hAnsi="Arial" w:cs="Arial"/>
                <w:color w:val="000000"/>
              </w:rPr>
              <w:t>0.02028%</w:t>
            </w:r>
          </w:p>
        </w:tc>
        <w:tc>
          <w:tcPr>
            <w:tcW w:w="1207" w:type="dxa"/>
            <w:vAlign w:val="bottom"/>
            <w:hideMark/>
          </w:tcPr>
          <w:p w14:paraId="0F0C95E6" w14:textId="77777777" w:rsidR="003779C8" w:rsidRPr="00B61FF1" w:rsidRDefault="003779C8">
            <w:pPr>
              <w:jc w:val="right"/>
              <w:rPr>
                <w:rFonts w:ascii="Arial" w:hAnsi="Arial" w:cs="Arial"/>
                <w:color w:val="000000"/>
              </w:rPr>
            </w:pPr>
            <w:r w:rsidRPr="00B61FF1">
              <w:rPr>
                <w:rFonts w:ascii="Arial" w:hAnsi="Arial" w:cs="Arial"/>
                <w:color w:val="000000"/>
              </w:rPr>
              <w:t>0.02102%</w:t>
            </w:r>
          </w:p>
        </w:tc>
        <w:tc>
          <w:tcPr>
            <w:tcW w:w="1207" w:type="dxa"/>
            <w:vAlign w:val="bottom"/>
            <w:hideMark/>
          </w:tcPr>
          <w:p w14:paraId="476C6291" w14:textId="2A4B243C" w:rsidR="00BE4558" w:rsidRPr="00B61FF1" w:rsidRDefault="00BE4558">
            <w:pPr>
              <w:jc w:val="right"/>
              <w:rPr>
                <w:rFonts w:ascii="Arial" w:hAnsi="Arial" w:cs="Arial"/>
                <w:strike/>
                <w:color w:val="000000"/>
              </w:rPr>
            </w:pPr>
            <w:r w:rsidRPr="00B61FF1">
              <w:rPr>
                <w:rFonts w:ascii="Arial" w:hAnsi="Arial" w:cs="Arial"/>
                <w:color w:val="000000"/>
                <w:u w:val="single"/>
              </w:rPr>
              <w:t>0.04803</w:t>
            </w:r>
            <w:r w:rsidR="005D0598" w:rsidRPr="00B61FF1">
              <w:rPr>
                <w:rFonts w:ascii="Arial" w:hAnsi="Arial" w:cs="Arial"/>
                <w:color w:val="000000"/>
                <w:u w:val="single"/>
              </w:rPr>
              <w:t>%</w:t>
            </w:r>
          </w:p>
          <w:p w14:paraId="70DF4163" w14:textId="240E3D0E" w:rsidR="003779C8" w:rsidRPr="00B61FF1" w:rsidRDefault="003779C8">
            <w:pPr>
              <w:jc w:val="right"/>
              <w:rPr>
                <w:rFonts w:ascii="Arial" w:hAnsi="Arial" w:cs="Arial"/>
                <w:strike/>
                <w:color w:val="000000"/>
              </w:rPr>
            </w:pPr>
            <w:r w:rsidRPr="00B61FF1">
              <w:rPr>
                <w:rFonts w:ascii="Arial" w:hAnsi="Arial" w:cs="Arial"/>
                <w:strike/>
                <w:color w:val="000000"/>
              </w:rPr>
              <w:t>0.02181%</w:t>
            </w:r>
          </w:p>
        </w:tc>
        <w:tc>
          <w:tcPr>
            <w:tcW w:w="1207" w:type="dxa"/>
            <w:vAlign w:val="bottom"/>
            <w:hideMark/>
          </w:tcPr>
          <w:p w14:paraId="3D029A0D" w14:textId="1FB9CF77" w:rsidR="00BE4558" w:rsidRPr="00B61FF1" w:rsidRDefault="00BE4558">
            <w:pPr>
              <w:jc w:val="right"/>
              <w:rPr>
                <w:rFonts w:ascii="Arial" w:hAnsi="Arial" w:cs="Arial"/>
                <w:color w:val="000000"/>
                <w:u w:val="single"/>
              </w:rPr>
            </w:pPr>
            <w:r w:rsidRPr="00B61FF1">
              <w:rPr>
                <w:rFonts w:ascii="Arial" w:hAnsi="Arial" w:cs="Arial"/>
                <w:color w:val="000000"/>
                <w:u w:val="single"/>
              </w:rPr>
              <w:t>0.04922</w:t>
            </w:r>
            <w:r w:rsidR="005D0598" w:rsidRPr="00B61FF1">
              <w:rPr>
                <w:rFonts w:ascii="Arial" w:hAnsi="Arial" w:cs="Arial"/>
                <w:color w:val="000000"/>
                <w:u w:val="single"/>
              </w:rPr>
              <w:t>%</w:t>
            </w:r>
          </w:p>
          <w:p w14:paraId="3FDC72F1" w14:textId="77777777" w:rsidR="003779C8" w:rsidRPr="00B61FF1" w:rsidRDefault="003779C8">
            <w:pPr>
              <w:jc w:val="right"/>
              <w:rPr>
                <w:rFonts w:ascii="Arial" w:hAnsi="Arial" w:cs="Arial"/>
                <w:strike/>
                <w:color w:val="000000"/>
              </w:rPr>
            </w:pPr>
            <w:r w:rsidRPr="00B61FF1">
              <w:rPr>
                <w:rFonts w:ascii="Arial" w:hAnsi="Arial" w:cs="Arial"/>
                <w:strike/>
                <w:color w:val="000000"/>
              </w:rPr>
              <w:t>0.02237%</w:t>
            </w:r>
          </w:p>
        </w:tc>
        <w:tc>
          <w:tcPr>
            <w:tcW w:w="1207" w:type="dxa"/>
            <w:vAlign w:val="bottom"/>
            <w:hideMark/>
          </w:tcPr>
          <w:p w14:paraId="574E711A" w14:textId="3658CE84" w:rsidR="00BE4558" w:rsidRPr="00B61FF1" w:rsidRDefault="00BE4558">
            <w:pPr>
              <w:jc w:val="right"/>
              <w:rPr>
                <w:rFonts w:ascii="Arial" w:hAnsi="Arial" w:cs="Arial"/>
                <w:color w:val="000000"/>
                <w:u w:val="single"/>
              </w:rPr>
            </w:pPr>
            <w:r w:rsidRPr="00B61FF1">
              <w:rPr>
                <w:rFonts w:ascii="Arial" w:hAnsi="Arial" w:cs="Arial"/>
                <w:color w:val="000000"/>
                <w:u w:val="single"/>
              </w:rPr>
              <w:t>0.05093</w:t>
            </w:r>
            <w:r w:rsidR="005D0598" w:rsidRPr="00B61FF1">
              <w:rPr>
                <w:rFonts w:ascii="Arial" w:hAnsi="Arial" w:cs="Arial"/>
                <w:color w:val="000000"/>
                <w:u w:val="single"/>
              </w:rPr>
              <w:t>%</w:t>
            </w:r>
          </w:p>
          <w:p w14:paraId="07326AAF" w14:textId="77777777" w:rsidR="003779C8" w:rsidRPr="00B61FF1" w:rsidRDefault="003779C8">
            <w:pPr>
              <w:jc w:val="right"/>
              <w:rPr>
                <w:rFonts w:ascii="Arial" w:hAnsi="Arial" w:cs="Arial"/>
                <w:strike/>
                <w:color w:val="000000"/>
              </w:rPr>
            </w:pPr>
            <w:r w:rsidRPr="00B61FF1">
              <w:rPr>
                <w:rFonts w:ascii="Arial" w:hAnsi="Arial" w:cs="Arial"/>
                <w:strike/>
                <w:color w:val="000000"/>
              </w:rPr>
              <w:t>0.02320%</w:t>
            </w:r>
          </w:p>
        </w:tc>
        <w:tc>
          <w:tcPr>
            <w:tcW w:w="1207" w:type="dxa"/>
            <w:vAlign w:val="bottom"/>
            <w:hideMark/>
          </w:tcPr>
          <w:p w14:paraId="307F8A38" w14:textId="07F75FF8" w:rsidR="00BE4558" w:rsidRPr="00B61FF1" w:rsidRDefault="00BE4558">
            <w:pPr>
              <w:jc w:val="right"/>
              <w:rPr>
                <w:rFonts w:ascii="Arial" w:hAnsi="Arial" w:cs="Arial"/>
                <w:color w:val="000000"/>
                <w:u w:val="single"/>
              </w:rPr>
            </w:pPr>
            <w:r w:rsidRPr="00B61FF1">
              <w:rPr>
                <w:rFonts w:ascii="Arial" w:hAnsi="Arial" w:cs="Arial"/>
                <w:color w:val="000000"/>
                <w:u w:val="single"/>
              </w:rPr>
              <w:t>0.05159</w:t>
            </w:r>
            <w:r w:rsidR="005D0598" w:rsidRPr="00B61FF1">
              <w:rPr>
                <w:rFonts w:ascii="Arial" w:hAnsi="Arial" w:cs="Arial"/>
                <w:color w:val="000000"/>
                <w:u w:val="single"/>
              </w:rPr>
              <w:t>%</w:t>
            </w:r>
          </w:p>
          <w:p w14:paraId="34337AF7" w14:textId="77777777" w:rsidR="003779C8" w:rsidRPr="00B61FF1" w:rsidRDefault="003779C8">
            <w:pPr>
              <w:jc w:val="right"/>
              <w:rPr>
                <w:rFonts w:ascii="Arial" w:hAnsi="Arial" w:cs="Arial"/>
                <w:strike/>
                <w:color w:val="000000"/>
              </w:rPr>
            </w:pPr>
            <w:r w:rsidRPr="00B61FF1">
              <w:rPr>
                <w:rFonts w:ascii="Arial" w:hAnsi="Arial" w:cs="Arial"/>
                <w:strike/>
                <w:color w:val="000000"/>
              </w:rPr>
              <w:t>0.02348%</w:t>
            </w:r>
          </w:p>
        </w:tc>
        <w:tc>
          <w:tcPr>
            <w:tcW w:w="1207" w:type="dxa"/>
            <w:vAlign w:val="bottom"/>
            <w:hideMark/>
          </w:tcPr>
          <w:p w14:paraId="27E65F6F" w14:textId="3829618B" w:rsidR="00BE4558" w:rsidRPr="00B61FF1" w:rsidRDefault="00BE4558">
            <w:pPr>
              <w:jc w:val="right"/>
              <w:rPr>
                <w:rFonts w:ascii="Arial" w:hAnsi="Arial" w:cs="Arial"/>
                <w:color w:val="000000"/>
                <w:u w:val="single"/>
              </w:rPr>
            </w:pPr>
            <w:r w:rsidRPr="00B61FF1">
              <w:rPr>
                <w:rFonts w:ascii="Arial" w:hAnsi="Arial" w:cs="Arial"/>
                <w:color w:val="000000"/>
                <w:u w:val="single"/>
              </w:rPr>
              <w:t>0.05284</w:t>
            </w:r>
            <w:r w:rsidR="005D0598" w:rsidRPr="00B61FF1">
              <w:rPr>
                <w:rFonts w:ascii="Arial" w:hAnsi="Arial" w:cs="Arial"/>
                <w:color w:val="000000"/>
                <w:u w:val="single"/>
              </w:rPr>
              <w:t>%</w:t>
            </w:r>
          </w:p>
          <w:p w14:paraId="360122D5" w14:textId="77777777" w:rsidR="003779C8" w:rsidRPr="00B61FF1" w:rsidRDefault="003779C8">
            <w:pPr>
              <w:jc w:val="right"/>
              <w:rPr>
                <w:rFonts w:ascii="Arial" w:hAnsi="Arial" w:cs="Arial"/>
                <w:strike/>
                <w:color w:val="000000"/>
              </w:rPr>
            </w:pPr>
            <w:r w:rsidRPr="00B61FF1">
              <w:rPr>
                <w:rFonts w:ascii="Arial" w:hAnsi="Arial" w:cs="Arial"/>
                <w:strike/>
                <w:color w:val="000000"/>
              </w:rPr>
              <w:t>0.02405%</w:t>
            </w:r>
          </w:p>
        </w:tc>
        <w:tc>
          <w:tcPr>
            <w:tcW w:w="1207" w:type="dxa"/>
            <w:vAlign w:val="bottom"/>
            <w:hideMark/>
          </w:tcPr>
          <w:p w14:paraId="4BE7FE0A" w14:textId="268FF108" w:rsidR="00BE4558" w:rsidRPr="00B61FF1" w:rsidRDefault="00BE4558">
            <w:pPr>
              <w:jc w:val="right"/>
              <w:rPr>
                <w:rFonts w:ascii="Arial" w:hAnsi="Arial" w:cs="Arial"/>
                <w:color w:val="000000"/>
                <w:u w:val="single"/>
              </w:rPr>
            </w:pPr>
            <w:r w:rsidRPr="00B61FF1">
              <w:rPr>
                <w:rFonts w:ascii="Arial" w:hAnsi="Arial" w:cs="Arial"/>
                <w:color w:val="000000"/>
                <w:u w:val="single"/>
              </w:rPr>
              <w:t>0.05386</w:t>
            </w:r>
            <w:r w:rsidR="005D0598" w:rsidRPr="00B61FF1">
              <w:rPr>
                <w:rFonts w:ascii="Arial" w:hAnsi="Arial" w:cs="Arial"/>
                <w:color w:val="000000"/>
                <w:u w:val="single"/>
              </w:rPr>
              <w:t>%</w:t>
            </w:r>
          </w:p>
          <w:p w14:paraId="64A21BB2" w14:textId="77777777" w:rsidR="003779C8" w:rsidRPr="00B61FF1" w:rsidRDefault="003779C8">
            <w:pPr>
              <w:jc w:val="right"/>
              <w:rPr>
                <w:rFonts w:ascii="Arial" w:hAnsi="Arial" w:cs="Arial"/>
                <w:strike/>
                <w:color w:val="000000"/>
              </w:rPr>
            </w:pPr>
            <w:r w:rsidRPr="00B61FF1">
              <w:rPr>
                <w:rFonts w:ascii="Arial" w:hAnsi="Arial" w:cs="Arial"/>
                <w:strike/>
                <w:color w:val="000000"/>
              </w:rPr>
              <w:t>0.02443%</w:t>
            </w:r>
          </w:p>
        </w:tc>
      </w:tr>
      <w:tr w:rsidR="003779C8" w:rsidRPr="00B61FF1" w14:paraId="5DD0822D" w14:textId="77777777" w:rsidTr="009E5ADE">
        <w:trPr>
          <w:trHeight w:val="300"/>
        </w:trPr>
        <w:tc>
          <w:tcPr>
            <w:tcW w:w="2637" w:type="dxa"/>
            <w:vAlign w:val="center"/>
            <w:hideMark/>
          </w:tcPr>
          <w:p w14:paraId="2E05F6FC" w14:textId="0E60D77A" w:rsidR="003779C8" w:rsidRPr="00B61FF1" w:rsidRDefault="00F31C45">
            <w:pPr>
              <w:rPr>
                <w:rFonts w:ascii="Arial" w:hAnsi="Arial" w:cs="Arial"/>
                <w:color w:val="000000"/>
              </w:rPr>
            </w:pPr>
            <w:r w:rsidRPr="00B61FF1">
              <w:rPr>
                <w:rFonts w:ascii="Arial" w:hAnsi="Arial" w:cs="Arial"/>
                <w:strike/>
                <w:color w:val="000000"/>
              </w:rPr>
              <w:t>Bear Valley Electric Service</w:t>
            </w:r>
            <w:r w:rsidRPr="00B61FF1">
              <w:rPr>
                <w:rFonts w:ascii="Arial" w:hAnsi="Arial" w:cs="Arial"/>
                <w:color w:val="000000"/>
              </w:rPr>
              <w:t xml:space="preserve"> </w:t>
            </w:r>
            <w:r w:rsidRPr="00B61FF1">
              <w:rPr>
                <w:rFonts w:ascii="Arial" w:hAnsi="Arial" w:cs="Arial"/>
                <w:color w:val="000000"/>
                <w:u w:val="single"/>
              </w:rPr>
              <w:t>Golden State Water Company</w:t>
            </w:r>
          </w:p>
        </w:tc>
        <w:tc>
          <w:tcPr>
            <w:tcW w:w="883" w:type="dxa"/>
            <w:vAlign w:val="center"/>
            <w:hideMark/>
          </w:tcPr>
          <w:p w14:paraId="35E0DE2A" w14:textId="77777777" w:rsidR="003779C8" w:rsidRPr="00B61FF1" w:rsidRDefault="003779C8">
            <w:pPr>
              <w:rPr>
                <w:rFonts w:ascii="Arial" w:hAnsi="Arial" w:cs="Arial"/>
                <w:color w:val="000000"/>
              </w:rPr>
            </w:pPr>
            <w:r w:rsidRPr="00B61FF1">
              <w:rPr>
                <w:rFonts w:ascii="Arial" w:hAnsi="Arial" w:cs="Arial"/>
                <w:color w:val="000000"/>
              </w:rPr>
              <w:t>IOU</w:t>
            </w:r>
          </w:p>
        </w:tc>
        <w:tc>
          <w:tcPr>
            <w:tcW w:w="1207" w:type="dxa"/>
            <w:vAlign w:val="bottom"/>
            <w:hideMark/>
          </w:tcPr>
          <w:p w14:paraId="0EB7C914" w14:textId="77777777" w:rsidR="003779C8" w:rsidRPr="00B61FF1" w:rsidRDefault="003779C8">
            <w:pPr>
              <w:jc w:val="right"/>
              <w:rPr>
                <w:rFonts w:ascii="Arial" w:hAnsi="Arial" w:cs="Arial"/>
                <w:color w:val="000000"/>
              </w:rPr>
            </w:pPr>
            <w:r w:rsidRPr="00B61FF1">
              <w:rPr>
                <w:rFonts w:ascii="Arial" w:hAnsi="Arial" w:cs="Arial"/>
                <w:color w:val="000000"/>
              </w:rPr>
              <w:t>0.00006%</w:t>
            </w:r>
          </w:p>
        </w:tc>
        <w:tc>
          <w:tcPr>
            <w:tcW w:w="1207" w:type="dxa"/>
            <w:vAlign w:val="bottom"/>
            <w:hideMark/>
          </w:tcPr>
          <w:p w14:paraId="3BA9B33F" w14:textId="77777777" w:rsidR="003779C8" w:rsidRPr="00B61FF1" w:rsidRDefault="003779C8">
            <w:pPr>
              <w:jc w:val="right"/>
              <w:rPr>
                <w:rFonts w:ascii="Arial" w:hAnsi="Arial" w:cs="Arial"/>
                <w:color w:val="000000"/>
              </w:rPr>
            </w:pPr>
            <w:r w:rsidRPr="00B61FF1">
              <w:rPr>
                <w:rFonts w:ascii="Arial" w:hAnsi="Arial" w:cs="Arial"/>
                <w:color w:val="000000"/>
              </w:rPr>
              <w:t>0.00006%</w:t>
            </w:r>
          </w:p>
        </w:tc>
        <w:tc>
          <w:tcPr>
            <w:tcW w:w="1207" w:type="dxa"/>
            <w:vAlign w:val="bottom"/>
            <w:hideMark/>
          </w:tcPr>
          <w:p w14:paraId="784E4D74" w14:textId="77777777" w:rsidR="003779C8" w:rsidRPr="00B61FF1" w:rsidRDefault="003779C8">
            <w:pPr>
              <w:jc w:val="right"/>
              <w:rPr>
                <w:rFonts w:ascii="Arial" w:hAnsi="Arial" w:cs="Arial"/>
                <w:color w:val="000000"/>
              </w:rPr>
            </w:pPr>
            <w:r w:rsidRPr="00B61FF1">
              <w:rPr>
                <w:rFonts w:ascii="Arial" w:hAnsi="Arial" w:cs="Arial"/>
                <w:color w:val="000000"/>
              </w:rPr>
              <w:t>0.00006%</w:t>
            </w:r>
          </w:p>
        </w:tc>
        <w:tc>
          <w:tcPr>
            <w:tcW w:w="1207" w:type="dxa"/>
            <w:vAlign w:val="bottom"/>
            <w:hideMark/>
          </w:tcPr>
          <w:p w14:paraId="6EFE459C" w14:textId="77777777" w:rsidR="003779C8" w:rsidRPr="00B61FF1" w:rsidRDefault="003779C8">
            <w:pPr>
              <w:jc w:val="right"/>
              <w:rPr>
                <w:rFonts w:ascii="Arial" w:hAnsi="Arial" w:cs="Arial"/>
                <w:color w:val="000000"/>
              </w:rPr>
            </w:pPr>
            <w:r w:rsidRPr="00B61FF1">
              <w:rPr>
                <w:rFonts w:ascii="Arial" w:hAnsi="Arial" w:cs="Arial"/>
                <w:color w:val="000000"/>
              </w:rPr>
              <w:t>0.00007%</w:t>
            </w:r>
          </w:p>
        </w:tc>
        <w:tc>
          <w:tcPr>
            <w:tcW w:w="1207" w:type="dxa"/>
            <w:vAlign w:val="bottom"/>
            <w:hideMark/>
          </w:tcPr>
          <w:p w14:paraId="2BC17639" w14:textId="77777777" w:rsidR="003779C8" w:rsidRPr="00B61FF1" w:rsidRDefault="003779C8">
            <w:pPr>
              <w:jc w:val="right"/>
              <w:rPr>
                <w:rFonts w:ascii="Arial" w:hAnsi="Arial" w:cs="Arial"/>
                <w:color w:val="000000"/>
              </w:rPr>
            </w:pPr>
            <w:r w:rsidRPr="00B61FF1">
              <w:rPr>
                <w:rFonts w:ascii="Arial" w:hAnsi="Arial" w:cs="Arial"/>
                <w:color w:val="000000"/>
              </w:rPr>
              <w:t>0.00007%</w:t>
            </w:r>
          </w:p>
        </w:tc>
        <w:tc>
          <w:tcPr>
            <w:tcW w:w="1207" w:type="dxa"/>
            <w:vAlign w:val="bottom"/>
            <w:hideMark/>
          </w:tcPr>
          <w:p w14:paraId="37E1289F" w14:textId="77777777" w:rsidR="003779C8" w:rsidRPr="00B61FF1" w:rsidRDefault="003779C8">
            <w:pPr>
              <w:jc w:val="right"/>
              <w:rPr>
                <w:rFonts w:ascii="Arial" w:hAnsi="Arial" w:cs="Arial"/>
                <w:color w:val="000000"/>
              </w:rPr>
            </w:pPr>
            <w:r w:rsidRPr="00B61FF1">
              <w:rPr>
                <w:rFonts w:ascii="Arial" w:hAnsi="Arial" w:cs="Arial"/>
                <w:color w:val="000000"/>
              </w:rPr>
              <w:t>0.00007%</w:t>
            </w:r>
          </w:p>
        </w:tc>
        <w:tc>
          <w:tcPr>
            <w:tcW w:w="1207" w:type="dxa"/>
            <w:vAlign w:val="bottom"/>
            <w:hideMark/>
          </w:tcPr>
          <w:p w14:paraId="53E03347" w14:textId="77777777" w:rsidR="003779C8" w:rsidRPr="00B61FF1" w:rsidRDefault="003779C8">
            <w:pPr>
              <w:jc w:val="right"/>
              <w:rPr>
                <w:rFonts w:ascii="Arial" w:hAnsi="Arial" w:cs="Arial"/>
                <w:color w:val="000000"/>
              </w:rPr>
            </w:pPr>
            <w:r w:rsidRPr="00B61FF1">
              <w:rPr>
                <w:rFonts w:ascii="Arial" w:hAnsi="Arial" w:cs="Arial"/>
                <w:color w:val="000000"/>
              </w:rPr>
              <w:t>0.00007%</w:t>
            </w:r>
          </w:p>
        </w:tc>
        <w:tc>
          <w:tcPr>
            <w:tcW w:w="1207" w:type="dxa"/>
            <w:vAlign w:val="bottom"/>
            <w:hideMark/>
          </w:tcPr>
          <w:p w14:paraId="5B1C0AA0" w14:textId="77777777" w:rsidR="003779C8" w:rsidRPr="00B61FF1" w:rsidRDefault="003779C8">
            <w:pPr>
              <w:jc w:val="right"/>
              <w:rPr>
                <w:rFonts w:ascii="Arial" w:hAnsi="Arial" w:cs="Arial"/>
                <w:color w:val="000000"/>
              </w:rPr>
            </w:pPr>
            <w:r w:rsidRPr="00B61FF1">
              <w:rPr>
                <w:rFonts w:ascii="Arial" w:hAnsi="Arial" w:cs="Arial"/>
                <w:color w:val="000000"/>
              </w:rPr>
              <w:t>0.00007%</w:t>
            </w:r>
          </w:p>
        </w:tc>
      </w:tr>
      <w:tr w:rsidR="009E5ADE" w:rsidRPr="00B61FF1" w14:paraId="4BFC085E" w14:textId="77777777" w:rsidTr="009E5ADE">
        <w:trPr>
          <w:trHeight w:val="315"/>
        </w:trPr>
        <w:tc>
          <w:tcPr>
            <w:tcW w:w="2637" w:type="dxa"/>
            <w:vMerge w:val="restart"/>
            <w:hideMark/>
          </w:tcPr>
          <w:p w14:paraId="72B6F2F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lastRenderedPageBreak/>
              <w:t>Utility Name</w:t>
            </w:r>
          </w:p>
        </w:tc>
        <w:tc>
          <w:tcPr>
            <w:tcW w:w="883" w:type="dxa"/>
            <w:vMerge w:val="restart"/>
            <w:hideMark/>
          </w:tcPr>
          <w:p w14:paraId="6F949279"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Type (1)</w:t>
            </w:r>
          </w:p>
        </w:tc>
        <w:tc>
          <w:tcPr>
            <w:tcW w:w="9656" w:type="dxa"/>
            <w:gridSpan w:val="8"/>
            <w:hideMark/>
          </w:tcPr>
          <w:p w14:paraId="31C41F93"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Annual % of Total Electric Sector Allocation to Utility</w:t>
            </w:r>
          </w:p>
        </w:tc>
      </w:tr>
      <w:tr w:rsidR="009E5ADE" w:rsidRPr="00B61FF1" w14:paraId="754A262C" w14:textId="77777777" w:rsidTr="00111CCD">
        <w:trPr>
          <w:trHeight w:val="323"/>
        </w:trPr>
        <w:tc>
          <w:tcPr>
            <w:tcW w:w="2637" w:type="dxa"/>
            <w:vMerge/>
            <w:hideMark/>
          </w:tcPr>
          <w:p w14:paraId="1ED9E04F" w14:textId="77777777" w:rsidR="009E5ADE" w:rsidRPr="00B61FF1" w:rsidRDefault="009E5ADE" w:rsidP="009E5ADE">
            <w:pPr>
              <w:rPr>
                <w:rFonts w:ascii="Arial" w:hAnsi="Arial" w:cs="Arial"/>
                <w:b/>
                <w:bCs/>
                <w:sz w:val="24"/>
                <w:szCs w:val="24"/>
              </w:rPr>
            </w:pPr>
          </w:p>
        </w:tc>
        <w:tc>
          <w:tcPr>
            <w:tcW w:w="883" w:type="dxa"/>
            <w:vMerge/>
            <w:hideMark/>
          </w:tcPr>
          <w:p w14:paraId="277EE83B" w14:textId="77777777" w:rsidR="009E5ADE" w:rsidRPr="00B61FF1" w:rsidRDefault="009E5ADE" w:rsidP="009E5ADE">
            <w:pPr>
              <w:rPr>
                <w:rFonts w:ascii="Arial" w:hAnsi="Arial" w:cs="Arial"/>
                <w:b/>
                <w:bCs/>
                <w:sz w:val="24"/>
                <w:szCs w:val="24"/>
              </w:rPr>
            </w:pPr>
          </w:p>
        </w:tc>
        <w:tc>
          <w:tcPr>
            <w:tcW w:w="1207" w:type="dxa"/>
            <w:hideMark/>
          </w:tcPr>
          <w:p w14:paraId="4A9FD562"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2013</w:t>
            </w:r>
          </w:p>
        </w:tc>
        <w:tc>
          <w:tcPr>
            <w:tcW w:w="1207" w:type="dxa"/>
            <w:hideMark/>
          </w:tcPr>
          <w:p w14:paraId="70C9E20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2014</w:t>
            </w:r>
          </w:p>
        </w:tc>
        <w:tc>
          <w:tcPr>
            <w:tcW w:w="1207" w:type="dxa"/>
            <w:hideMark/>
          </w:tcPr>
          <w:p w14:paraId="0BF1D136"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2015</w:t>
            </w:r>
          </w:p>
        </w:tc>
        <w:tc>
          <w:tcPr>
            <w:tcW w:w="1207" w:type="dxa"/>
            <w:hideMark/>
          </w:tcPr>
          <w:p w14:paraId="56F3B8FE"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2016</w:t>
            </w:r>
          </w:p>
        </w:tc>
        <w:tc>
          <w:tcPr>
            <w:tcW w:w="1207" w:type="dxa"/>
            <w:hideMark/>
          </w:tcPr>
          <w:p w14:paraId="5F0CC0D6"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2017</w:t>
            </w:r>
          </w:p>
        </w:tc>
        <w:tc>
          <w:tcPr>
            <w:tcW w:w="1207" w:type="dxa"/>
            <w:hideMark/>
          </w:tcPr>
          <w:p w14:paraId="074EC669"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2018</w:t>
            </w:r>
          </w:p>
        </w:tc>
        <w:tc>
          <w:tcPr>
            <w:tcW w:w="1207" w:type="dxa"/>
            <w:hideMark/>
          </w:tcPr>
          <w:p w14:paraId="741E5680"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2019</w:t>
            </w:r>
          </w:p>
        </w:tc>
        <w:tc>
          <w:tcPr>
            <w:tcW w:w="1207" w:type="dxa"/>
            <w:hideMark/>
          </w:tcPr>
          <w:p w14:paraId="4AE95AB8"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2020</w:t>
            </w:r>
          </w:p>
        </w:tc>
      </w:tr>
      <w:tr w:rsidR="003779C8" w:rsidRPr="00B61FF1" w14:paraId="762083B0" w14:textId="77777777" w:rsidTr="009E5ADE">
        <w:trPr>
          <w:trHeight w:val="300"/>
        </w:trPr>
        <w:tc>
          <w:tcPr>
            <w:tcW w:w="2637" w:type="dxa"/>
            <w:vAlign w:val="center"/>
            <w:hideMark/>
          </w:tcPr>
          <w:p w14:paraId="38A76450" w14:textId="77777777" w:rsidR="003779C8" w:rsidRPr="00B61FF1" w:rsidRDefault="003779C8">
            <w:pPr>
              <w:rPr>
                <w:rFonts w:ascii="Arial" w:hAnsi="Arial" w:cs="Arial"/>
                <w:color w:val="000000"/>
              </w:rPr>
            </w:pPr>
            <w:r w:rsidRPr="00B61FF1">
              <w:rPr>
                <w:rFonts w:ascii="Arial" w:hAnsi="Arial" w:cs="Arial"/>
                <w:color w:val="000000"/>
              </w:rPr>
              <w:t>City of Needles</w:t>
            </w:r>
          </w:p>
        </w:tc>
        <w:tc>
          <w:tcPr>
            <w:tcW w:w="883" w:type="dxa"/>
            <w:vAlign w:val="center"/>
            <w:hideMark/>
          </w:tcPr>
          <w:p w14:paraId="08C0347F"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50AAA109" w14:textId="77777777" w:rsidR="003779C8" w:rsidRPr="00B61FF1" w:rsidRDefault="003779C8">
            <w:pPr>
              <w:jc w:val="right"/>
              <w:rPr>
                <w:rFonts w:ascii="Arial" w:hAnsi="Arial" w:cs="Arial"/>
                <w:color w:val="000000"/>
              </w:rPr>
            </w:pPr>
            <w:r w:rsidRPr="00B61FF1">
              <w:rPr>
                <w:rFonts w:ascii="Arial" w:hAnsi="Arial" w:cs="Arial"/>
                <w:color w:val="000000"/>
              </w:rPr>
              <w:t>0.01027%</w:t>
            </w:r>
          </w:p>
        </w:tc>
        <w:tc>
          <w:tcPr>
            <w:tcW w:w="1207" w:type="dxa"/>
            <w:vAlign w:val="bottom"/>
            <w:hideMark/>
          </w:tcPr>
          <w:p w14:paraId="3CF0B940" w14:textId="77777777" w:rsidR="003779C8" w:rsidRPr="00B61FF1" w:rsidRDefault="003779C8">
            <w:pPr>
              <w:jc w:val="right"/>
              <w:rPr>
                <w:rFonts w:ascii="Arial" w:hAnsi="Arial" w:cs="Arial"/>
                <w:color w:val="000000"/>
              </w:rPr>
            </w:pPr>
            <w:r w:rsidRPr="00B61FF1">
              <w:rPr>
                <w:rFonts w:ascii="Arial" w:hAnsi="Arial" w:cs="Arial"/>
                <w:color w:val="000000"/>
              </w:rPr>
              <w:t>0.01086%</w:t>
            </w:r>
          </w:p>
        </w:tc>
        <w:tc>
          <w:tcPr>
            <w:tcW w:w="1207" w:type="dxa"/>
            <w:vAlign w:val="bottom"/>
            <w:hideMark/>
          </w:tcPr>
          <w:p w14:paraId="79FFA410" w14:textId="77777777" w:rsidR="003779C8" w:rsidRPr="00B61FF1" w:rsidRDefault="003779C8">
            <w:pPr>
              <w:jc w:val="right"/>
              <w:rPr>
                <w:rFonts w:ascii="Arial" w:hAnsi="Arial" w:cs="Arial"/>
                <w:color w:val="000000"/>
              </w:rPr>
            </w:pPr>
            <w:r w:rsidRPr="00B61FF1">
              <w:rPr>
                <w:rFonts w:ascii="Arial" w:hAnsi="Arial" w:cs="Arial"/>
                <w:color w:val="000000"/>
              </w:rPr>
              <w:t>0.01148%</w:t>
            </w:r>
          </w:p>
        </w:tc>
        <w:tc>
          <w:tcPr>
            <w:tcW w:w="1207" w:type="dxa"/>
            <w:vAlign w:val="bottom"/>
            <w:hideMark/>
          </w:tcPr>
          <w:p w14:paraId="5F45F584" w14:textId="77777777" w:rsidR="003779C8" w:rsidRPr="00B61FF1" w:rsidRDefault="003779C8">
            <w:pPr>
              <w:jc w:val="right"/>
              <w:rPr>
                <w:rFonts w:ascii="Arial" w:hAnsi="Arial" w:cs="Arial"/>
                <w:color w:val="000000"/>
              </w:rPr>
            </w:pPr>
            <w:r w:rsidRPr="00B61FF1">
              <w:rPr>
                <w:rFonts w:ascii="Arial" w:hAnsi="Arial" w:cs="Arial"/>
                <w:color w:val="000000"/>
              </w:rPr>
              <w:t>0.01183%</w:t>
            </w:r>
          </w:p>
        </w:tc>
        <w:tc>
          <w:tcPr>
            <w:tcW w:w="1207" w:type="dxa"/>
            <w:vAlign w:val="bottom"/>
            <w:hideMark/>
          </w:tcPr>
          <w:p w14:paraId="19E8C4F6" w14:textId="77777777" w:rsidR="003779C8" w:rsidRPr="00B61FF1" w:rsidRDefault="003779C8">
            <w:pPr>
              <w:jc w:val="right"/>
              <w:rPr>
                <w:rFonts w:ascii="Arial" w:hAnsi="Arial" w:cs="Arial"/>
                <w:color w:val="000000"/>
              </w:rPr>
            </w:pPr>
            <w:r w:rsidRPr="00B61FF1">
              <w:rPr>
                <w:rFonts w:ascii="Arial" w:hAnsi="Arial" w:cs="Arial"/>
                <w:color w:val="000000"/>
              </w:rPr>
              <w:t>0.01248%</w:t>
            </w:r>
          </w:p>
        </w:tc>
        <w:tc>
          <w:tcPr>
            <w:tcW w:w="1207" w:type="dxa"/>
            <w:vAlign w:val="bottom"/>
            <w:hideMark/>
          </w:tcPr>
          <w:p w14:paraId="11D8DC73" w14:textId="77777777" w:rsidR="003779C8" w:rsidRPr="00B61FF1" w:rsidRDefault="003779C8">
            <w:pPr>
              <w:jc w:val="right"/>
              <w:rPr>
                <w:rFonts w:ascii="Arial" w:hAnsi="Arial" w:cs="Arial"/>
                <w:color w:val="000000"/>
              </w:rPr>
            </w:pPr>
            <w:r w:rsidRPr="00B61FF1">
              <w:rPr>
                <w:rFonts w:ascii="Arial" w:hAnsi="Arial" w:cs="Arial"/>
                <w:color w:val="000000"/>
              </w:rPr>
              <w:t>0.01250%</w:t>
            </w:r>
          </w:p>
        </w:tc>
        <w:tc>
          <w:tcPr>
            <w:tcW w:w="1207" w:type="dxa"/>
            <w:vAlign w:val="bottom"/>
            <w:hideMark/>
          </w:tcPr>
          <w:p w14:paraId="478DDB67" w14:textId="77777777" w:rsidR="003779C8" w:rsidRPr="00B61FF1" w:rsidRDefault="003779C8">
            <w:pPr>
              <w:jc w:val="right"/>
              <w:rPr>
                <w:rFonts w:ascii="Arial" w:hAnsi="Arial" w:cs="Arial"/>
                <w:color w:val="000000"/>
              </w:rPr>
            </w:pPr>
            <w:r w:rsidRPr="00B61FF1">
              <w:rPr>
                <w:rFonts w:ascii="Arial" w:hAnsi="Arial" w:cs="Arial"/>
                <w:color w:val="000000"/>
              </w:rPr>
              <w:t>0.01284%</w:t>
            </w:r>
          </w:p>
        </w:tc>
        <w:tc>
          <w:tcPr>
            <w:tcW w:w="1207" w:type="dxa"/>
            <w:vAlign w:val="bottom"/>
            <w:hideMark/>
          </w:tcPr>
          <w:p w14:paraId="2826DE07" w14:textId="77777777" w:rsidR="003779C8" w:rsidRPr="00B61FF1" w:rsidRDefault="003779C8">
            <w:pPr>
              <w:jc w:val="right"/>
              <w:rPr>
                <w:rFonts w:ascii="Arial" w:hAnsi="Arial" w:cs="Arial"/>
                <w:color w:val="000000"/>
              </w:rPr>
            </w:pPr>
            <w:r w:rsidRPr="00B61FF1">
              <w:rPr>
                <w:rFonts w:ascii="Arial" w:hAnsi="Arial" w:cs="Arial"/>
                <w:color w:val="000000"/>
              </w:rPr>
              <w:t>0.01316%</w:t>
            </w:r>
          </w:p>
        </w:tc>
      </w:tr>
      <w:tr w:rsidR="003779C8" w:rsidRPr="00B61FF1" w14:paraId="55E2A411" w14:textId="77777777" w:rsidTr="009E5ADE">
        <w:trPr>
          <w:trHeight w:val="300"/>
        </w:trPr>
        <w:tc>
          <w:tcPr>
            <w:tcW w:w="2637" w:type="dxa"/>
            <w:vAlign w:val="center"/>
            <w:hideMark/>
          </w:tcPr>
          <w:p w14:paraId="5868EC46" w14:textId="77777777" w:rsidR="003779C8" w:rsidRPr="00B61FF1" w:rsidRDefault="003779C8">
            <w:pPr>
              <w:rPr>
                <w:rFonts w:ascii="Arial" w:hAnsi="Arial" w:cs="Arial"/>
                <w:color w:val="000000"/>
              </w:rPr>
            </w:pPr>
            <w:r w:rsidRPr="00B61FF1">
              <w:rPr>
                <w:rFonts w:ascii="Arial" w:hAnsi="Arial" w:cs="Arial"/>
                <w:color w:val="000000"/>
              </w:rPr>
              <w:t>City of Rancho Cucamonga</w:t>
            </w:r>
          </w:p>
        </w:tc>
        <w:tc>
          <w:tcPr>
            <w:tcW w:w="883" w:type="dxa"/>
            <w:vAlign w:val="center"/>
            <w:hideMark/>
          </w:tcPr>
          <w:p w14:paraId="4C3D24A7"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60B3F1BC" w14:textId="77777777" w:rsidR="003779C8" w:rsidRPr="00B61FF1" w:rsidRDefault="003779C8">
            <w:pPr>
              <w:jc w:val="right"/>
              <w:rPr>
                <w:rFonts w:ascii="Arial" w:hAnsi="Arial" w:cs="Arial"/>
                <w:color w:val="000000"/>
              </w:rPr>
            </w:pPr>
            <w:r w:rsidRPr="00B61FF1">
              <w:rPr>
                <w:rFonts w:ascii="Arial" w:hAnsi="Arial" w:cs="Arial"/>
                <w:color w:val="000000"/>
              </w:rPr>
              <w:t>0.02559%</w:t>
            </w:r>
          </w:p>
        </w:tc>
        <w:tc>
          <w:tcPr>
            <w:tcW w:w="1207" w:type="dxa"/>
            <w:vAlign w:val="bottom"/>
            <w:hideMark/>
          </w:tcPr>
          <w:p w14:paraId="724D95AE" w14:textId="77777777" w:rsidR="003779C8" w:rsidRPr="00B61FF1" w:rsidRDefault="003779C8">
            <w:pPr>
              <w:jc w:val="right"/>
              <w:rPr>
                <w:rFonts w:ascii="Arial" w:hAnsi="Arial" w:cs="Arial"/>
                <w:color w:val="000000"/>
              </w:rPr>
            </w:pPr>
            <w:r w:rsidRPr="00B61FF1">
              <w:rPr>
                <w:rFonts w:ascii="Arial" w:hAnsi="Arial" w:cs="Arial"/>
                <w:color w:val="000000"/>
              </w:rPr>
              <w:t>0.02653%</w:t>
            </w:r>
          </w:p>
        </w:tc>
        <w:tc>
          <w:tcPr>
            <w:tcW w:w="1207" w:type="dxa"/>
            <w:vAlign w:val="bottom"/>
            <w:hideMark/>
          </w:tcPr>
          <w:p w14:paraId="257432FE" w14:textId="77777777" w:rsidR="003779C8" w:rsidRPr="00B61FF1" w:rsidRDefault="003779C8">
            <w:pPr>
              <w:jc w:val="right"/>
              <w:rPr>
                <w:rFonts w:ascii="Arial" w:hAnsi="Arial" w:cs="Arial"/>
                <w:color w:val="000000"/>
              </w:rPr>
            </w:pPr>
            <w:r w:rsidRPr="00B61FF1">
              <w:rPr>
                <w:rFonts w:ascii="Arial" w:hAnsi="Arial" w:cs="Arial"/>
                <w:color w:val="000000"/>
              </w:rPr>
              <w:t>0.02753%</w:t>
            </w:r>
          </w:p>
        </w:tc>
        <w:tc>
          <w:tcPr>
            <w:tcW w:w="1207" w:type="dxa"/>
            <w:vAlign w:val="bottom"/>
            <w:hideMark/>
          </w:tcPr>
          <w:p w14:paraId="75D4FAA2" w14:textId="77777777" w:rsidR="003779C8" w:rsidRPr="00B61FF1" w:rsidRDefault="003779C8">
            <w:pPr>
              <w:jc w:val="right"/>
              <w:rPr>
                <w:rFonts w:ascii="Arial" w:hAnsi="Arial" w:cs="Arial"/>
                <w:color w:val="000000"/>
              </w:rPr>
            </w:pPr>
            <w:r w:rsidRPr="00B61FF1">
              <w:rPr>
                <w:rFonts w:ascii="Arial" w:hAnsi="Arial" w:cs="Arial"/>
                <w:color w:val="000000"/>
              </w:rPr>
              <w:t>0.02822%</w:t>
            </w:r>
          </w:p>
        </w:tc>
        <w:tc>
          <w:tcPr>
            <w:tcW w:w="1207" w:type="dxa"/>
            <w:vAlign w:val="bottom"/>
            <w:hideMark/>
          </w:tcPr>
          <w:p w14:paraId="06A01A2E" w14:textId="77777777" w:rsidR="003779C8" w:rsidRPr="00B61FF1" w:rsidRDefault="003779C8">
            <w:pPr>
              <w:jc w:val="right"/>
              <w:rPr>
                <w:rFonts w:ascii="Arial" w:hAnsi="Arial" w:cs="Arial"/>
                <w:color w:val="000000"/>
              </w:rPr>
            </w:pPr>
            <w:r w:rsidRPr="00B61FF1">
              <w:rPr>
                <w:rFonts w:ascii="Arial" w:hAnsi="Arial" w:cs="Arial"/>
                <w:color w:val="000000"/>
              </w:rPr>
              <w:t>0.02928%</w:t>
            </w:r>
          </w:p>
        </w:tc>
        <w:tc>
          <w:tcPr>
            <w:tcW w:w="1207" w:type="dxa"/>
            <w:vAlign w:val="bottom"/>
            <w:hideMark/>
          </w:tcPr>
          <w:p w14:paraId="47191DF8" w14:textId="77777777" w:rsidR="003779C8" w:rsidRPr="00B61FF1" w:rsidRDefault="003779C8">
            <w:pPr>
              <w:jc w:val="right"/>
              <w:rPr>
                <w:rFonts w:ascii="Arial" w:hAnsi="Arial" w:cs="Arial"/>
                <w:color w:val="000000"/>
              </w:rPr>
            </w:pPr>
            <w:r w:rsidRPr="00B61FF1">
              <w:rPr>
                <w:rFonts w:ascii="Arial" w:hAnsi="Arial" w:cs="Arial"/>
                <w:color w:val="000000"/>
              </w:rPr>
              <w:t>0.02961%</w:t>
            </w:r>
          </w:p>
        </w:tc>
        <w:tc>
          <w:tcPr>
            <w:tcW w:w="1207" w:type="dxa"/>
            <w:vAlign w:val="bottom"/>
            <w:hideMark/>
          </w:tcPr>
          <w:p w14:paraId="299F82F8" w14:textId="77777777" w:rsidR="003779C8" w:rsidRPr="00B61FF1" w:rsidRDefault="003779C8">
            <w:pPr>
              <w:jc w:val="right"/>
              <w:rPr>
                <w:rFonts w:ascii="Arial" w:hAnsi="Arial" w:cs="Arial"/>
                <w:color w:val="000000"/>
              </w:rPr>
            </w:pPr>
            <w:r w:rsidRPr="00B61FF1">
              <w:rPr>
                <w:rFonts w:ascii="Arial" w:hAnsi="Arial" w:cs="Arial"/>
                <w:color w:val="000000"/>
              </w:rPr>
              <w:t>0.03034%</w:t>
            </w:r>
          </w:p>
        </w:tc>
        <w:tc>
          <w:tcPr>
            <w:tcW w:w="1207" w:type="dxa"/>
            <w:vAlign w:val="bottom"/>
            <w:hideMark/>
          </w:tcPr>
          <w:p w14:paraId="67702FB2" w14:textId="77777777" w:rsidR="003779C8" w:rsidRPr="00B61FF1" w:rsidRDefault="003779C8">
            <w:pPr>
              <w:jc w:val="right"/>
              <w:rPr>
                <w:rFonts w:ascii="Arial" w:hAnsi="Arial" w:cs="Arial"/>
                <w:color w:val="000000"/>
              </w:rPr>
            </w:pPr>
            <w:r w:rsidRPr="00B61FF1">
              <w:rPr>
                <w:rFonts w:ascii="Arial" w:hAnsi="Arial" w:cs="Arial"/>
                <w:color w:val="000000"/>
              </w:rPr>
              <w:t>0.03104%</w:t>
            </w:r>
          </w:p>
        </w:tc>
      </w:tr>
      <w:tr w:rsidR="003779C8" w:rsidRPr="00B61FF1" w14:paraId="7FA5DBA2" w14:textId="77777777" w:rsidTr="009E5ADE">
        <w:trPr>
          <w:trHeight w:val="510"/>
        </w:trPr>
        <w:tc>
          <w:tcPr>
            <w:tcW w:w="2637" w:type="dxa"/>
            <w:vAlign w:val="center"/>
            <w:hideMark/>
          </w:tcPr>
          <w:p w14:paraId="72BD094C" w14:textId="77777777" w:rsidR="003779C8" w:rsidRPr="00B61FF1" w:rsidRDefault="003779C8">
            <w:pPr>
              <w:rPr>
                <w:rFonts w:ascii="Arial" w:hAnsi="Arial" w:cs="Arial"/>
                <w:color w:val="000000"/>
              </w:rPr>
            </w:pPr>
            <w:r w:rsidRPr="00B61FF1">
              <w:rPr>
                <w:rFonts w:ascii="Arial" w:hAnsi="Arial" w:cs="Arial"/>
                <w:color w:val="000000"/>
              </w:rPr>
              <w:t>City and County of San Francisco</w:t>
            </w:r>
          </w:p>
        </w:tc>
        <w:tc>
          <w:tcPr>
            <w:tcW w:w="883" w:type="dxa"/>
            <w:vAlign w:val="center"/>
            <w:hideMark/>
          </w:tcPr>
          <w:p w14:paraId="591AA2BE"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6DE22FDB" w14:textId="77777777" w:rsidR="003779C8" w:rsidRPr="00B61FF1" w:rsidRDefault="003779C8">
            <w:pPr>
              <w:jc w:val="right"/>
              <w:rPr>
                <w:rFonts w:ascii="Arial" w:hAnsi="Arial" w:cs="Arial"/>
                <w:color w:val="000000"/>
              </w:rPr>
            </w:pPr>
            <w:r w:rsidRPr="00B61FF1">
              <w:rPr>
                <w:rFonts w:ascii="Arial" w:hAnsi="Arial" w:cs="Arial"/>
                <w:color w:val="000000"/>
              </w:rPr>
              <w:t>0.09929%</w:t>
            </w:r>
          </w:p>
        </w:tc>
        <w:tc>
          <w:tcPr>
            <w:tcW w:w="1207" w:type="dxa"/>
            <w:vAlign w:val="bottom"/>
            <w:hideMark/>
          </w:tcPr>
          <w:p w14:paraId="1952E6C9" w14:textId="77777777" w:rsidR="003779C8" w:rsidRPr="00B61FF1" w:rsidRDefault="003779C8">
            <w:pPr>
              <w:jc w:val="right"/>
              <w:rPr>
                <w:rFonts w:ascii="Arial" w:hAnsi="Arial" w:cs="Arial"/>
                <w:color w:val="000000"/>
              </w:rPr>
            </w:pPr>
            <w:r w:rsidRPr="00B61FF1">
              <w:rPr>
                <w:rFonts w:ascii="Arial" w:hAnsi="Arial" w:cs="Arial"/>
                <w:color w:val="000000"/>
              </w:rPr>
              <w:t>0.11620%</w:t>
            </w:r>
          </w:p>
        </w:tc>
        <w:tc>
          <w:tcPr>
            <w:tcW w:w="1207" w:type="dxa"/>
            <w:vAlign w:val="bottom"/>
            <w:hideMark/>
          </w:tcPr>
          <w:p w14:paraId="1C6C7B2C" w14:textId="77777777" w:rsidR="003779C8" w:rsidRPr="00B61FF1" w:rsidRDefault="003779C8">
            <w:pPr>
              <w:jc w:val="right"/>
              <w:rPr>
                <w:rFonts w:ascii="Arial" w:hAnsi="Arial" w:cs="Arial"/>
                <w:color w:val="000000"/>
              </w:rPr>
            </w:pPr>
            <w:r w:rsidRPr="00B61FF1">
              <w:rPr>
                <w:rFonts w:ascii="Arial" w:hAnsi="Arial" w:cs="Arial"/>
                <w:color w:val="000000"/>
              </w:rPr>
              <w:t>0.13435%</w:t>
            </w:r>
          </w:p>
        </w:tc>
        <w:tc>
          <w:tcPr>
            <w:tcW w:w="1207" w:type="dxa"/>
            <w:vAlign w:val="bottom"/>
            <w:hideMark/>
          </w:tcPr>
          <w:p w14:paraId="08BE0BC6" w14:textId="77777777" w:rsidR="003779C8" w:rsidRPr="00B61FF1" w:rsidRDefault="003779C8">
            <w:pPr>
              <w:jc w:val="right"/>
              <w:rPr>
                <w:rFonts w:ascii="Arial" w:hAnsi="Arial" w:cs="Arial"/>
                <w:color w:val="000000"/>
              </w:rPr>
            </w:pPr>
            <w:r w:rsidRPr="00B61FF1">
              <w:rPr>
                <w:rFonts w:ascii="Arial" w:hAnsi="Arial" w:cs="Arial"/>
                <w:color w:val="000000"/>
              </w:rPr>
              <w:t>0.15375%</w:t>
            </w:r>
          </w:p>
        </w:tc>
        <w:tc>
          <w:tcPr>
            <w:tcW w:w="1207" w:type="dxa"/>
            <w:vAlign w:val="bottom"/>
            <w:hideMark/>
          </w:tcPr>
          <w:p w14:paraId="7DD654A9" w14:textId="77777777" w:rsidR="003779C8" w:rsidRPr="00B61FF1" w:rsidRDefault="003779C8">
            <w:pPr>
              <w:jc w:val="right"/>
              <w:rPr>
                <w:rFonts w:ascii="Arial" w:hAnsi="Arial" w:cs="Arial"/>
                <w:color w:val="000000"/>
              </w:rPr>
            </w:pPr>
            <w:r w:rsidRPr="00B61FF1">
              <w:rPr>
                <w:rFonts w:ascii="Arial" w:hAnsi="Arial" w:cs="Arial"/>
                <w:color w:val="000000"/>
              </w:rPr>
              <w:t>0.17430%</w:t>
            </w:r>
          </w:p>
        </w:tc>
        <w:tc>
          <w:tcPr>
            <w:tcW w:w="1207" w:type="dxa"/>
            <w:vAlign w:val="bottom"/>
            <w:hideMark/>
          </w:tcPr>
          <w:p w14:paraId="227ADE45" w14:textId="77777777" w:rsidR="003779C8" w:rsidRPr="00B61FF1" w:rsidRDefault="003779C8">
            <w:pPr>
              <w:jc w:val="right"/>
              <w:rPr>
                <w:rFonts w:ascii="Arial" w:hAnsi="Arial" w:cs="Arial"/>
                <w:color w:val="000000"/>
              </w:rPr>
            </w:pPr>
            <w:r w:rsidRPr="00B61FF1">
              <w:rPr>
                <w:rFonts w:ascii="Arial" w:hAnsi="Arial" w:cs="Arial"/>
                <w:color w:val="000000"/>
              </w:rPr>
              <w:t>0.19643%</w:t>
            </w:r>
          </w:p>
        </w:tc>
        <w:tc>
          <w:tcPr>
            <w:tcW w:w="1207" w:type="dxa"/>
            <w:vAlign w:val="bottom"/>
            <w:hideMark/>
          </w:tcPr>
          <w:p w14:paraId="5EADAEBE" w14:textId="77777777" w:rsidR="003779C8" w:rsidRPr="00B61FF1" w:rsidRDefault="003779C8">
            <w:pPr>
              <w:jc w:val="right"/>
              <w:rPr>
                <w:rFonts w:ascii="Arial" w:hAnsi="Arial" w:cs="Arial"/>
                <w:color w:val="000000"/>
              </w:rPr>
            </w:pPr>
            <w:r w:rsidRPr="00B61FF1">
              <w:rPr>
                <w:rFonts w:ascii="Arial" w:hAnsi="Arial" w:cs="Arial"/>
                <w:color w:val="000000"/>
              </w:rPr>
              <w:t>0.22009%</w:t>
            </w:r>
          </w:p>
        </w:tc>
        <w:tc>
          <w:tcPr>
            <w:tcW w:w="1207" w:type="dxa"/>
            <w:vAlign w:val="bottom"/>
            <w:hideMark/>
          </w:tcPr>
          <w:p w14:paraId="48159946" w14:textId="77777777" w:rsidR="003779C8" w:rsidRPr="00B61FF1" w:rsidRDefault="003779C8">
            <w:pPr>
              <w:jc w:val="right"/>
              <w:rPr>
                <w:rFonts w:ascii="Arial" w:hAnsi="Arial" w:cs="Arial"/>
                <w:color w:val="000000"/>
              </w:rPr>
            </w:pPr>
            <w:r w:rsidRPr="00B61FF1">
              <w:rPr>
                <w:rFonts w:ascii="Arial" w:hAnsi="Arial" w:cs="Arial"/>
                <w:color w:val="000000"/>
              </w:rPr>
              <w:t>0.24157%</w:t>
            </w:r>
          </w:p>
        </w:tc>
      </w:tr>
      <w:tr w:rsidR="003779C8" w:rsidRPr="00B61FF1" w14:paraId="28A9644C" w14:textId="77777777" w:rsidTr="009E5ADE">
        <w:trPr>
          <w:trHeight w:val="510"/>
        </w:trPr>
        <w:tc>
          <w:tcPr>
            <w:tcW w:w="2637" w:type="dxa"/>
            <w:vAlign w:val="center"/>
            <w:hideMark/>
          </w:tcPr>
          <w:p w14:paraId="18E7C174" w14:textId="77777777" w:rsidR="003779C8" w:rsidRPr="00B61FF1" w:rsidRDefault="003779C8">
            <w:pPr>
              <w:rPr>
                <w:rFonts w:ascii="Arial" w:hAnsi="Arial" w:cs="Arial"/>
                <w:color w:val="000000"/>
              </w:rPr>
            </w:pPr>
            <w:r w:rsidRPr="00B61FF1">
              <w:rPr>
                <w:rFonts w:ascii="Arial" w:hAnsi="Arial" w:cs="Arial"/>
                <w:color w:val="000000"/>
              </w:rPr>
              <w:t>City of Shasta Lake (Shasta Dam Area Public Utility District)</w:t>
            </w:r>
          </w:p>
        </w:tc>
        <w:tc>
          <w:tcPr>
            <w:tcW w:w="883" w:type="dxa"/>
            <w:vAlign w:val="center"/>
            <w:hideMark/>
          </w:tcPr>
          <w:p w14:paraId="0DF52C53"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11B233F0" w14:textId="77777777" w:rsidR="003779C8" w:rsidRPr="00B61FF1" w:rsidRDefault="003779C8">
            <w:pPr>
              <w:jc w:val="right"/>
              <w:rPr>
                <w:rFonts w:ascii="Arial" w:hAnsi="Arial" w:cs="Arial"/>
                <w:color w:val="000000"/>
              </w:rPr>
            </w:pPr>
            <w:r w:rsidRPr="00B61FF1">
              <w:rPr>
                <w:rFonts w:ascii="Arial" w:hAnsi="Arial" w:cs="Arial"/>
                <w:color w:val="000000"/>
              </w:rPr>
              <w:t>0.05182%</w:t>
            </w:r>
          </w:p>
        </w:tc>
        <w:tc>
          <w:tcPr>
            <w:tcW w:w="1207" w:type="dxa"/>
            <w:vAlign w:val="bottom"/>
            <w:hideMark/>
          </w:tcPr>
          <w:p w14:paraId="7C7F321C" w14:textId="77777777" w:rsidR="003779C8" w:rsidRPr="00B61FF1" w:rsidRDefault="003779C8">
            <w:pPr>
              <w:jc w:val="right"/>
              <w:rPr>
                <w:rFonts w:ascii="Arial" w:hAnsi="Arial" w:cs="Arial"/>
                <w:color w:val="000000"/>
              </w:rPr>
            </w:pPr>
            <w:r w:rsidRPr="00B61FF1">
              <w:rPr>
                <w:rFonts w:ascii="Arial" w:hAnsi="Arial" w:cs="Arial"/>
                <w:color w:val="000000"/>
              </w:rPr>
              <w:t>0.05360%</w:t>
            </w:r>
          </w:p>
        </w:tc>
        <w:tc>
          <w:tcPr>
            <w:tcW w:w="1207" w:type="dxa"/>
            <w:vAlign w:val="bottom"/>
            <w:hideMark/>
          </w:tcPr>
          <w:p w14:paraId="36B257A8" w14:textId="77777777" w:rsidR="003779C8" w:rsidRPr="00B61FF1" w:rsidRDefault="003779C8">
            <w:pPr>
              <w:jc w:val="right"/>
              <w:rPr>
                <w:rFonts w:ascii="Arial" w:hAnsi="Arial" w:cs="Arial"/>
                <w:color w:val="000000"/>
              </w:rPr>
            </w:pPr>
            <w:r w:rsidRPr="00B61FF1">
              <w:rPr>
                <w:rFonts w:ascii="Arial" w:hAnsi="Arial" w:cs="Arial"/>
                <w:color w:val="000000"/>
              </w:rPr>
              <w:t>0.05499%</w:t>
            </w:r>
          </w:p>
        </w:tc>
        <w:tc>
          <w:tcPr>
            <w:tcW w:w="1207" w:type="dxa"/>
            <w:vAlign w:val="bottom"/>
            <w:hideMark/>
          </w:tcPr>
          <w:p w14:paraId="72D988B1" w14:textId="77777777" w:rsidR="003779C8" w:rsidRPr="00B61FF1" w:rsidRDefault="003779C8">
            <w:pPr>
              <w:jc w:val="right"/>
              <w:rPr>
                <w:rFonts w:ascii="Arial" w:hAnsi="Arial" w:cs="Arial"/>
                <w:color w:val="000000"/>
              </w:rPr>
            </w:pPr>
            <w:r w:rsidRPr="00B61FF1">
              <w:rPr>
                <w:rFonts w:ascii="Arial" w:hAnsi="Arial" w:cs="Arial"/>
                <w:color w:val="000000"/>
              </w:rPr>
              <w:t>0.05689%</w:t>
            </w:r>
          </w:p>
        </w:tc>
        <w:tc>
          <w:tcPr>
            <w:tcW w:w="1207" w:type="dxa"/>
            <w:vAlign w:val="bottom"/>
            <w:hideMark/>
          </w:tcPr>
          <w:p w14:paraId="1E5DE524" w14:textId="77777777" w:rsidR="003779C8" w:rsidRPr="00B61FF1" w:rsidRDefault="003779C8">
            <w:pPr>
              <w:jc w:val="right"/>
              <w:rPr>
                <w:rFonts w:ascii="Arial" w:hAnsi="Arial" w:cs="Arial"/>
                <w:color w:val="000000"/>
              </w:rPr>
            </w:pPr>
            <w:r w:rsidRPr="00B61FF1">
              <w:rPr>
                <w:rFonts w:ascii="Arial" w:hAnsi="Arial" w:cs="Arial"/>
                <w:color w:val="000000"/>
              </w:rPr>
              <w:t>0.05994%</w:t>
            </w:r>
          </w:p>
        </w:tc>
        <w:tc>
          <w:tcPr>
            <w:tcW w:w="1207" w:type="dxa"/>
            <w:vAlign w:val="bottom"/>
            <w:hideMark/>
          </w:tcPr>
          <w:p w14:paraId="132C4CDB" w14:textId="77777777" w:rsidR="003779C8" w:rsidRPr="00B61FF1" w:rsidRDefault="003779C8">
            <w:pPr>
              <w:jc w:val="right"/>
              <w:rPr>
                <w:rFonts w:ascii="Arial" w:hAnsi="Arial" w:cs="Arial"/>
                <w:color w:val="000000"/>
              </w:rPr>
            </w:pPr>
            <w:r w:rsidRPr="00B61FF1">
              <w:rPr>
                <w:rFonts w:ascii="Arial" w:hAnsi="Arial" w:cs="Arial"/>
                <w:color w:val="000000"/>
              </w:rPr>
              <w:t>0.06088%</w:t>
            </w:r>
          </w:p>
        </w:tc>
        <w:tc>
          <w:tcPr>
            <w:tcW w:w="1207" w:type="dxa"/>
            <w:vAlign w:val="bottom"/>
            <w:hideMark/>
          </w:tcPr>
          <w:p w14:paraId="258D1892" w14:textId="77777777" w:rsidR="003779C8" w:rsidRPr="00B61FF1" w:rsidRDefault="003779C8">
            <w:pPr>
              <w:jc w:val="right"/>
              <w:rPr>
                <w:rFonts w:ascii="Arial" w:hAnsi="Arial" w:cs="Arial"/>
                <w:color w:val="000000"/>
              </w:rPr>
            </w:pPr>
            <w:r w:rsidRPr="00B61FF1">
              <w:rPr>
                <w:rFonts w:ascii="Arial" w:hAnsi="Arial" w:cs="Arial"/>
                <w:color w:val="000000"/>
              </w:rPr>
              <w:t>0.06253%</w:t>
            </w:r>
          </w:p>
        </w:tc>
        <w:tc>
          <w:tcPr>
            <w:tcW w:w="1207" w:type="dxa"/>
            <w:vAlign w:val="bottom"/>
            <w:hideMark/>
          </w:tcPr>
          <w:p w14:paraId="30F4568E" w14:textId="77777777" w:rsidR="003779C8" w:rsidRPr="00B61FF1" w:rsidRDefault="003779C8">
            <w:pPr>
              <w:jc w:val="right"/>
              <w:rPr>
                <w:rFonts w:ascii="Arial" w:hAnsi="Arial" w:cs="Arial"/>
                <w:color w:val="000000"/>
              </w:rPr>
            </w:pPr>
            <w:r w:rsidRPr="00B61FF1">
              <w:rPr>
                <w:rFonts w:ascii="Arial" w:hAnsi="Arial" w:cs="Arial"/>
                <w:color w:val="000000"/>
              </w:rPr>
              <w:t>0.06489%</w:t>
            </w:r>
          </w:p>
        </w:tc>
      </w:tr>
      <w:tr w:rsidR="003779C8" w:rsidRPr="00B61FF1" w14:paraId="2B07D0C0" w14:textId="77777777" w:rsidTr="009E5ADE">
        <w:trPr>
          <w:trHeight w:val="510"/>
        </w:trPr>
        <w:tc>
          <w:tcPr>
            <w:tcW w:w="2637" w:type="dxa"/>
            <w:vAlign w:val="center"/>
            <w:hideMark/>
          </w:tcPr>
          <w:p w14:paraId="057981DE" w14:textId="77777777" w:rsidR="003779C8" w:rsidRPr="00B61FF1" w:rsidRDefault="003779C8">
            <w:pPr>
              <w:rPr>
                <w:rFonts w:ascii="Arial" w:hAnsi="Arial" w:cs="Arial"/>
                <w:color w:val="000000"/>
              </w:rPr>
            </w:pPr>
            <w:r w:rsidRPr="00B61FF1">
              <w:rPr>
                <w:rFonts w:ascii="Arial" w:hAnsi="Arial" w:cs="Arial"/>
                <w:color w:val="000000"/>
              </w:rPr>
              <w:t>Lassen Municipal Utility District</w:t>
            </w:r>
          </w:p>
        </w:tc>
        <w:tc>
          <w:tcPr>
            <w:tcW w:w="883" w:type="dxa"/>
            <w:vAlign w:val="center"/>
            <w:hideMark/>
          </w:tcPr>
          <w:p w14:paraId="2177D55A"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0D409DEA" w14:textId="77777777" w:rsidR="003779C8" w:rsidRPr="00B61FF1" w:rsidRDefault="003779C8">
            <w:pPr>
              <w:jc w:val="right"/>
              <w:rPr>
                <w:rFonts w:ascii="Arial" w:hAnsi="Arial" w:cs="Arial"/>
                <w:color w:val="000000"/>
              </w:rPr>
            </w:pPr>
            <w:r w:rsidRPr="00B61FF1">
              <w:rPr>
                <w:rFonts w:ascii="Arial" w:hAnsi="Arial" w:cs="Arial"/>
                <w:color w:val="000000"/>
              </w:rPr>
              <w:t>0.05079%</w:t>
            </w:r>
          </w:p>
        </w:tc>
        <w:tc>
          <w:tcPr>
            <w:tcW w:w="1207" w:type="dxa"/>
            <w:vAlign w:val="bottom"/>
            <w:hideMark/>
          </w:tcPr>
          <w:p w14:paraId="02F6C0AD" w14:textId="77777777" w:rsidR="003779C8" w:rsidRPr="00B61FF1" w:rsidRDefault="003779C8">
            <w:pPr>
              <w:jc w:val="right"/>
              <w:rPr>
                <w:rFonts w:ascii="Arial" w:hAnsi="Arial" w:cs="Arial"/>
                <w:color w:val="000000"/>
              </w:rPr>
            </w:pPr>
            <w:r w:rsidRPr="00B61FF1">
              <w:rPr>
                <w:rFonts w:ascii="Arial" w:hAnsi="Arial" w:cs="Arial"/>
                <w:color w:val="000000"/>
              </w:rPr>
              <w:t>0.05279%</w:t>
            </w:r>
          </w:p>
        </w:tc>
        <w:tc>
          <w:tcPr>
            <w:tcW w:w="1207" w:type="dxa"/>
            <w:vAlign w:val="bottom"/>
            <w:hideMark/>
          </w:tcPr>
          <w:p w14:paraId="4F4A55D5" w14:textId="77777777" w:rsidR="003779C8" w:rsidRPr="00B61FF1" w:rsidRDefault="003779C8">
            <w:pPr>
              <w:jc w:val="right"/>
              <w:rPr>
                <w:rFonts w:ascii="Arial" w:hAnsi="Arial" w:cs="Arial"/>
                <w:color w:val="000000"/>
              </w:rPr>
            </w:pPr>
            <w:r w:rsidRPr="00B61FF1">
              <w:rPr>
                <w:rFonts w:ascii="Arial" w:hAnsi="Arial" w:cs="Arial"/>
                <w:color w:val="000000"/>
              </w:rPr>
              <w:t>0.05492%</w:t>
            </w:r>
          </w:p>
        </w:tc>
        <w:tc>
          <w:tcPr>
            <w:tcW w:w="1207" w:type="dxa"/>
            <w:vAlign w:val="bottom"/>
            <w:hideMark/>
          </w:tcPr>
          <w:p w14:paraId="71CBB3EE" w14:textId="77777777" w:rsidR="003779C8" w:rsidRPr="00B61FF1" w:rsidRDefault="003779C8">
            <w:pPr>
              <w:jc w:val="right"/>
              <w:rPr>
                <w:rFonts w:ascii="Arial" w:hAnsi="Arial" w:cs="Arial"/>
                <w:color w:val="000000"/>
              </w:rPr>
            </w:pPr>
            <w:r w:rsidRPr="00B61FF1">
              <w:rPr>
                <w:rFonts w:ascii="Arial" w:hAnsi="Arial" w:cs="Arial"/>
                <w:color w:val="000000"/>
              </w:rPr>
              <w:t>0.05638%</w:t>
            </w:r>
          </w:p>
        </w:tc>
        <w:tc>
          <w:tcPr>
            <w:tcW w:w="1207" w:type="dxa"/>
            <w:vAlign w:val="bottom"/>
            <w:hideMark/>
          </w:tcPr>
          <w:p w14:paraId="2EC2A35A" w14:textId="77777777" w:rsidR="003779C8" w:rsidRPr="00B61FF1" w:rsidRDefault="003779C8">
            <w:pPr>
              <w:jc w:val="right"/>
              <w:rPr>
                <w:rFonts w:ascii="Arial" w:hAnsi="Arial" w:cs="Arial"/>
                <w:color w:val="000000"/>
              </w:rPr>
            </w:pPr>
            <w:r w:rsidRPr="00B61FF1">
              <w:rPr>
                <w:rFonts w:ascii="Arial" w:hAnsi="Arial" w:cs="Arial"/>
                <w:color w:val="000000"/>
              </w:rPr>
              <w:t>0.05866%</w:t>
            </w:r>
          </w:p>
        </w:tc>
        <w:tc>
          <w:tcPr>
            <w:tcW w:w="1207" w:type="dxa"/>
            <w:vAlign w:val="bottom"/>
            <w:hideMark/>
          </w:tcPr>
          <w:p w14:paraId="7C019121" w14:textId="77777777" w:rsidR="003779C8" w:rsidRPr="00B61FF1" w:rsidRDefault="003779C8">
            <w:pPr>
              <w:jc w:val="right"/>
              <w:rPr>
                <w:rFonts w:ascii="Arial" w:hAnsi="Arial" w:cs="Arial"/>
                <w:color w:val="000000"/>
              </w:rPr>
            </w:pPr>
            <w:r w:rsidRPr="00B61FF1">
              <w:rPr>
                <w:rFonts w:ascii="Arial" w:hAnsi="Arial" w:cs="Arial"/>
                <w:color w:val="000000"/>
              </w:rPr>
              <w:t>0.05927%</w:t>
            </w:r>
          </w:p>
        </w:tc>
        <w:tc>
          <w:tcPr>
            <w:tcW w:w="1207" w:type="dxa"/>
            <w:vAlign w:val="bottom"/>
            <w:hideMark/>
          </w:tcPr>
          <w:p w14:paraId="63298C3B" w14:textId="77777777" w:rsidR="003779C8" w:rsidRPr="00B61FF1" w:rsidRDefault="003779C8">
            <w:pPr>
              <w:jc w:val="right"/>
              <w:rPr>
                <w:rFonts w:ascii="Arial" w:hAnsi="Arial" w:cs="Arial"/>
                <w:color w:val="000000"/>
              </w:rPr>
            </w:pPr>
            <w:r w:rsidRPr="00B61FF1">
              <w:rPr>
                <w:rFonts w:ascii="Arial" w:hAnsi="Arial" w:cs="Arial"/>
                <w:color w:val="000000"/>
              </w:rPr>
              <w:t>0.06075%</w:t>
            </w:r>
          </w:p>
        </w:tc>
        <w:tc>
          <w:tcPr>
            <w:tcW w:w="1207" w:type="dxa"/>
            <w:vAlign w:val="bottom"/>
            <w:hideMark/>
          </w:tcPr>
          <w:p w14:paraId="4BF5AD57" w14:textId="77777777" w:rsidR="003779C8" w:rsidRPr="00B61FF1" w:rsidRDefault="003779C8">
            <w:pPr>
              <w:jc w:val="right"/>
              <w:rPr>
                <w:rFonts w:ascii="Arial" w:hAnsi="Arial" w:cs="Arial"/>
                <w:color w:val="000000"/>
              </w:rPr>
            </w:pPr>
            <w:r w:rsidRPr="00B61FF1">
              <w:rPr>
                <w:rFonts w:ascii="Arial" w:hAnsi="Arial" w:cs="Arial"/>
                <w:color w:val="000000"/>
              </w:rPr>
              <w:t>0.06219%</w:t>
            </w:r>
          </w:p>
        </w:tc>
      </w:tr>
      <w:tr w:rsidR="003779C8" w:rsidRPr="00B61FF1" w14:paraId="109F3ACF" w14:textId="77777777" w:rsidTr="009E5ADE">
        <w:trPr>
          <w:trHeight w:val="300"/>
        </w:trPr>
        <w:tc>
          <w:tcPr>
            <w:tcW w:w="2637" w:type="dxa"/>
            <w:vAlign w:val="center"/>
            <w:hideMark/>
          </w:tcPr>
          <w:p w14:paraId="65E03009" w14:textId="77777777" w:rsidR="003779C8" w:rsidRPr="00B61FF1" w:rsidRDefault="003779C8">
            <w:pPr>
              <w:rPr>
                <w:rFonts w:ascii="Arial" w:hAnsi="Arial" w:cs="Arial"/>
                <w:color w:val="000000"/>
              </w:rPr>
            </w:pPr>
            <w:r w:rsidRPr="00B61FF1">
              <w:rPr>
                <w:rFonts w:ascii="Arial" w:hAnsi="Arial" w:cs="Arial"/>
                <w:color w:val="000000"/>
              </w:rPr>
              <w:t>Merced Irrigation District</w:t>
            </w:r>
          </w:p>
        </w:tc>
        <w:tc>
          <w:tcPr>
            <w:tcW w:w="883" w:type="dxa"/>
            <w:vAlign w:val="center"/>
            <w:hideMark/>
          </w:tcPr>
          <w:p w14:paraId="649FC4C0"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hideMark/>
          </w:tcPr>
          <w:p w14:paraId="604BE0C6" w14:textId="77777777" w:rsidR="003779C8" w:rsidRPr="00B61FF1" w:rsidRDefault="003779C8">
            <w:pPr>
              <w:jc w:val="right"/>
              <w:rPr>
                <w:rFonts w:ascii="Arial" w:hAnsi="Arial" w:cs="Arial"/>
                <w:color w:val="000000"/>
              </w:rPr>
            </w:pPr>
            <w:r w:rsidRPr="00B61FF1">
              <w:rPr>
                <w:rFonts w:ascii="Arial" w:hAnsi="Arial" w:cs="Arial"/>
                <w:color w:val="000000"/>
              </w:rPr>
              <w:t>0.17105%</w:t>
            </w:r>
          </w:p>
        </w:tc>
        <w:tc>
          <w:tcPr>
            <w:tcW w:w="1207" w:type="dxa"/>
            <w:vAlign w:val="bottom"/>
            <w:hideMark/>
          </w:tcPr>
          <w:p w14:paraId="59FB02C4" w14:textId="77777777" w:rsidR="003779C8" w:rsidRPr="00B61FF1" w:rsidRDefault="003779C8">
            <w:pPr>
              <w:jc w:val="right"/>
              <w:rPr>
                <w:rFonts w:ascii="Arial" w:hAnsi="Arial" w:cs="Arial"/>
                <w:color w:val="000000"/>
              </w:rPr>
            </w:pPr>
            <w:r w:rsidRPr="00B61FF1">
              <w:rPr>
                <w:rFonts w:ascii="Arial" w:hAnsi="Arial" w:cs="Arial"/>
                <w:color w:val="000000"/>
              </w:rPr>
              <w:t>0.17687%</w:t>
            </w:r>
          </w:p>
        </w:tc>
        <w:tc>
          <w:tcPr>
            <w:tcW w:w="1207" w:type="dxa"/>
            <w:vAlign w:val="bottom"/>
            <w:hideMark/>
          </w:tcPr>
          <w:p w14:paraId="0DA5F631" w14:textId="77777777" w:rsidR="003779C8" w:rsidRPr="00B61FF1" w:rsidRDefault="003779C8">
            <w:pPr>
              <w:jc w:val="right"/>
              <w:rPr>
                <w:rFonts w:ascii="Arial" w:hAnsi="Arial" w:cs="Arial"/>
                <w:color w:val="000000"/>
              </w:rPr>
            </w:pPr>
            <w:r w:rsidRPr="00B61FF1">
              <w:rPr>
                <w:rFonts w:ascii="Arial" w:hAnsi="Arial" w:cs="Arial"/>
                <w:color w:val="000000"/>
              </w:rPr>
              <w:t>0.18268%</w:t>
            </w:r>
          </w:p>
        </w:tc>
        <w:tc>
          <w:tcPr>
            <w:tcW w:w="1207" w:type="dxa"/>
            <w:vAlign w:val="bottom"/>
            <w:hideMark/>
          </w:tcPr>
          <w:p w14:paraId="32E2793D" w14:textId="77777777" w:rsidR="003779C8" w:rsidRPr="00B61FF1" w:rsidRDefault="003779C8">
            <w:pPr>
              <w:jc w:val="right"/>
              <w:rPr>
                <w:rFonts w:ascii="Arial" w:hAnsi="Arial" w:cs="Arial"/>
                <w:color w:val="000000"/>
              </w:rPr>
            </w:pPr>
            <w:r w:rsidRPr="00B61FF1">
              <w:rPr>
                <w:rFonts w:ascii="Arial" w:hAnsi="Arial" w:cs="Arial"/>
                <w:color w:val="000000"/>
              </w:rPr>
              <w:t>0.18770%</w:t>
            </w:r>
          </w:p>
        </w:tc>
        <w:tc>
          <w:tcPr>
            <w:tcW w:w="1207" w:type="dxa"/>
            <w:vAlign w:val="bottom"/>
            <w:hideMark/>
          </w:tcPr>
          <w:p w14:paraId="3551DEEB" w14:textId="77777777" w:rsidR="003779C8" w:rsidRPr="00B61FF1" w:rsidRDefault="003779C8">
            <w:pPr>
              <w:jc w:val="right"/>
              <w:rPr>
                <w:rFonts w:ascii="Arial" w:hAnsi="Arial" w:cs="Arial"/>
                <w:color w:val="000000"/>
              </w:rPr>
            </w:pPr>
            <w:r w:rsidRPr="00B61FF1">
              <w:rPr>
                <w:rFonts w:ascii="Arial" w:hAnsi="Arial" w:cs="Arial"/>
                <w:color w:val="000000"/>
              </w:rPr>
              <w:t>0.19525%</w:t>
            </w:r>
          </w:p>
        </w:tc>
        <w:tc>
          <w:tcPr>
            <w:tcW w:w="1207" w:type="dxa"/>
            <w:vAlign w:val="bottom"/>
            <w:hideMark/>
          </w:tcPr>
          <w:p w14:paraId="20E1BB55" w14:textId="77777777" w:rsidR="003779C8" w:rsidRPr="00B61FF1" w:rsidRDefault="003779C8">
            <w:pPr>
              <w:jc w:val="right"/>
              <w:rPr>
                <w:rFonts w:ascii="Arial" w:hAnsi="Arial" w:cs="Arial"/>
                <w:color w:val="000000"/>
              </w:rPr>
            </w:pPr>
            <w:r w:rsidRPr="00B61FF1">
              <w:rPr>
                <w:rFonts w:ascii="Arial" w:hAnsi="Arial" w:cs="Arial"/>
                <w:color w:val="000000"/>
              </w:rPr>
              <w:t>0.19791%</w:t>
            </w:r>
          </w:p>
        </w:tc>
        <w:tc>
          <w:tcPr>
            <w:tcW w:w="1207" w:type="dxa"/>
            <w:vAlign w:val="bottom"/>
            <w:hideMark/>
          </w:tcPr>
          <w:p w14:paraId="0EDC7D2E" w14:textId="77777777" w:rsidR="003779C8" w:rsidRPr="00B61FF1" w:rsidRDefault="003779C8">
            <w:pPr>
              <w:jc w:val="right"/>
              <w:rPr>
                <w:rFonts w:ascii="Arial" w:hAnsi="Arial" w:cs="Arial"/>
                <w:color w:val="000000"/>
              </w:rPr>
            </w:pPr>
            <w:r w:rsidRPr="00B61FF1">
              <w:rPr>
                <w:rFonts w:ascii="Arial" w:hAnsi="Arial" w:cs="Arial"/>
                <w:color w:val="000000"/>
              </w:rPr>
              <w:t>0.20285%</w:t>
            </w:r>
          </w:p>
        </w:tc>
        <w:tc>
          <w:tcPr>
            <w:tcW w:w="1207" w:type="dxa"/>
            <w:vAlign w:val="bottom"/>
            <w:hideMark/>
          </w:tcPr>
          <w:p w14:paraId="3BBB0442" w14:textId="77777777" w:rsidR="003779C8" w:rsidRPr="00B61FF1" w:rsidRDefault="003779C8">
            <w:pPr>
              <w:jc w:val="right"/>
              <w:rPr>
                <w:rFonts w:ascii="Arial" w:hAnsi="Arial" w:cs="Arial"/>
                <w:color w:val="000000"/>
              </w:rPr>
            </w:pPr>
            <w:r w:rsidRPr="00B61FF1">
              <w:rPr>
                <w:rFonts w:ascii="Arial" w:hAnsi="Arial" w:cs="Arial"/>
                <w:color w:val="000000"/>
              </w:rPr>
              <w:t>0.20835%</w:t>
            </w:r>
          </w:p>
        </w:tc>
      </w:tr>
      <w:tr w:rsidR="003779C8" w:rsidRPr="00B61FF1" w14:paraId="305557C9" w14:textId="77777777" w:rsidTr="009E5ADE">
        <w:trPr>
          <w:trHeight w:val="300"/>
        </w:trPr>
        <w:tc>
          <w:tcPr>
            <w:tcW w:w="2637" w:type="dxa"/>
            <w:vAlign w:val="center"/>
          </w:tcPr>
          <w:p w14:paraId="479FE114" w14:textId="77777777" w:rsidR="003779C8" w:rsidRPr="00B61FF1" w:rsidRDefault="003779C8">
            <w:pPr>
              <w:rPr>
                <w:rFonts w:ascii="Arial" w:hAnsi="Arial" w:cs="Arial"/>
                <w:color w:val="000000"/>
              </w:rPr>
            </w:pPr>
            <w:r w:rsidRPr="00B61FF1">
              <w:rPr>
                <w:rFonts w:ascii="Arial" w:hAnsi="Arial" w:cs="Arial"/>
                <w:color w:val="000000"/>
              </w:rPr>
              <w:t>Moreno Valley Utilities</w:t>
            </w:r>
          </w:p>
        </w:tc>
        <w:tc>
          <w:tcPr>
            <w:tcW w:w="883" w:type="dxa"/>
            <w:vAlign w:val="center"/>
          </w:tcPr>
          <w:p w14:paraId="5B8A99DA"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6F3D1503" w14:textId="77777777" w:rsidR="003779C8" w:rsidRPr="00B61FF1" w:rsidRDefault="003779C8">
            <w:pPr>
              <w:jc w:val="right"/>
              <w:rPr>
                <w:rFonts w:ascii="Arial" w:hAnsi="Arial" w:cs="Arial"/>
                <w:color w:val="000000"/>
              </w:rPr>
            </w:pPr>
            <w:r w:rsidRPr="00B61FF1">
              <w:rPr>
                <w:rFonts w:ascii="Arial" w:hAnsi="Arial" w:cs="Arial"/>
                <w:color w:val="000000"/>
              </w:rPr>
              <w:t>0.03929%</w:t>
            </w:r>
          </w:p>
        </w:tc>
        <w:tc>
          <w:tcPr>
            <w:tcW w:w="1207" w:type="dxa"/>
            <w:vAlign w:val="bottom"/>
          </w:tcPr>
          <w:p w14:paraId="155C059C" w14:textId="77777777" w:rsidR="003779C8" w:rsidRPr="00B61FF1" w:rsidRDefault="003779C8">
            <w:pPr>
              <w:jc w:val="right"/>
              <w:rPr>
                <w:rFonts w:ascii="Arial" w:hAnsi="Arial" w:cs="Arial"/>
                <w:color w:val="000000"/>
              </w:rPr>
            </w:pPr>
            <w:r w:rsidRPr="00B61FF1">
              <w:rPr>
                <w:rFonts w:ascii="Arial" w:hAnsi="Arial" w:cs="Arial"/>
                <w:color w:val="000000"/>
              </w:rPr>
              <w:t>0.04073%</w:t>
            </w:r>
          </w:p>
        </w:tc>
        <w:tc>
          <w:tcPr>
            <w:tcW w:w="1207" w:type="dxa"/>
            <w:vAlign w:val="bottom"/>
          </w:tcPr>
          <w:p w14:paraId="064FEC58" w14:textId="77777777" w:rsidR="003779C8" w:rsidRPr="00B61FF1" w:rsidRDefault="003779C8">
            <w:pPr>
              <w:jc w:val="right"/>
              <w:rPr>
                <w:rFonts w:ascii="Arial" w:hAnsi="Arial" w:cs="Arial"/>
                <w:color w:val="000000"/>
              </w:rPr>
            </w:pPr>
            <w:r w:rsidRPr="00B61FF1">
              <w:rPr>
                <w:rFonts w:ascii="Arial" w:hAnsi="Arial" w:cs="Arial"/>
                <w:color w:val="000000"/>
              </w:rPr>
              <w:t>0.04227%</w:t>
            </w:r>
          </w:p>
        </w:tc>
        <w:tc>
          <w:tcPr>
            <w:tcW w:w="1207" w:type="dxa"/>
            <w:vAlign w:val="bottom"/>
          </w:tcPr>
          <w:p w14:paraId="432AA810" w14:textId="77777777" w:rsidR="003779C8" w:rsidRPr="00B61FF1" w:rsidRDefault="003779C8">
            <w:pPr>
              <w:jc w:val="right"/>
              <w:rPr>
                <w:rFonts w:ascii="Arial" w:hAnsi="Arial" w:cs="Arial"/>
                <w:color w:val="000000"/>
              </w:rPr>
            </w:pPr>
            <w:r w:rsidRPr="00B61FF1">
              <w:rPr>
                <w:rFonts w:ascii="Arial" w:hAnsi="Arial" w:cs="Arial"/>
                <w:color w:val="000000"/>
              </w:rPr>
              <w:t>0.04334%</w:t>
            </w:r>
          </w:p>
        </w:tc>
        <w:tc>
          <w:tcPr>
            <w:tcW w:w="1207" w:type="dxa"/>
            <w:vAlign w:val="bottom"/>
          </w:tcPr>
          <w:p w14:paraId="567E3B36" w14:textId="77777777" w:rsidR="003779C8" w:rsidRPr="00B61FF1" w:rsidRDefault="003779C8">
            <w:pPr>
              <w:jc w:val="right"/>
              <w:rPr>
                <w:rFonts w:ascii="Arial" w:hAnsi="Arial" w:cs="Arial"/>
                <w:color w:val="000000"/>
              </w:rPr>
            </w:pPr>
            <w:r w:rsidRPr="00B61FF1">
              <w:rPr>
                <w:rFonts w:ascii="Arial" w:hAnsi="Arial" w:cs="Arial"/>
                <w:color w:val="000000"/>
              </w:rPr>
              <w:t>0.04495%</w:t>
            </w:r>
          </w:p>
        </w:tc>
        <w:tc>
          <w:tcPr>
            <w:tcW w:w="1207" w:type="dxa"/>
            <w:vAlign w:val="bottom"/>
          </w:tcPr>
          <w:p w14:paraId="43B278CF" w14:textId="77777777" w:rsidR="003779C8" w:rsidRPr="00B61FF1" w:rsidRDefault="003779C8">
            <w:pPr>
              <w:jc w:val="right"/>
              <w:rPr>
                <w:rFonts w:ascii="Arial" w:hAnsi="Arial" w:cs="Arial"/>
                <w:color w:val="000000"/>
              </w:rPr>
            </w:pPr>
            <w:r w:rsidRPr="00B61FF1">
              <w:rPr>
                <w:rFonts w:ascii="Arial" w:hAnsi="Arial" w:cs="Arial"/>
                <w:color w:val="000000"/>
              </w:rPr>
              <w:t>0.04547%</w:t>
            </w:r>
          </w:p>
        </w:tc>
        <w:tc>
          <w:tcPr>
            <w:tcW w:w="1207" w:type="dxa"/>
            <w:vAlign w:val="bottom"/>
          </w:tcPr>
          <w:p w14:paraId="30D17025" w14:textId="77777777" w:rsidR="003779C8" w:rsidRPr="00B61FF1" w:rsidRDefault="003779C8">
            <w:pPr>
              <w:jc w:val="right"/>
              <w:rPr>
                <w:rFonts w:ascii="Arial" w:hAnsi="Arial" w:cs="Arial"/>
                <w:color w:val="000000"/>
              </w:rPr>
            </w:pPr>
            <w:r w:rsidRPr="00B61FF1">
              <w:rPr>
                <w:rFonts w:ascii="Arial" w:hAnsi="Arial" w:cs="Arial"/>
                <w:color w:val="000000"/>
              </w:rPr>
              <w:t>0.04657%</w:t>
            </w:r>
          </w:p>
        </w:tc>
        <w:tc>
          <w:tcPr>
            <w:tcW w:w="1207" w:type="dxa"/>
            <w:vAlign w:val="bottom"/>
          </w:tcPr>
          <w:p w14:paraId="6DC81833" w14:textId="77777777" w:rsidR="003779C8" w:rsidRPr="00B61FF1" w:rsidRDefault="003779C8">
            <w:pPr>
              <w:jc w:val="right"/>
              <w:rPr>
                <w:rFonts w:ascii="Arial" w:hAnsi="Arial" w:cs="Arial"/>
                <w:color w:val="000000"/>
              </w:rPr>
            </w:pPr>
            <w:r w:rsidRPr="00B61FF1">
              <w:rPr>
                <w:rFonts w:ascii="Arial" w:hAnsi="Arial" w:cs="Arial"/>
                <w:color w:val="000000"/>
              </w:rPr>
              <w:t>0.04765%</w:t>
            </w:r>
          </w:p>
        </w:tc>
      </w:tr>
      <w:tr w:rsidR="003779C8" w:rsidRPr="00B61FF1" w14:paraId="314D9DB9" w14:textId="77777777" w:rsidTr="009E5ADE">
        <w:trPr>
          <w:trHeight w:val="300"/>
        </w:trPr>
        <w:tc>
          <w:tcPr>
            <w:tcW w:w="2637" w:type="dxa"/>
            <w:vAlign w:val="center"/>
          </w:tcPr>
          <w:p w14:paraId="55158C37" w14:textId="65DDCD64" w:rsidR="003779C8" w:rsidRPr="00B61FF1" w:rsidRDefault="003779C8">
            <w:pPr>
              <w:rPr>
                <w:rFonts w:ascii="Arial" w:hAnsi="Arial" w:cs="Arial"/>
                <w:strike/>
                <w:color w:val="000000"/>
              </w:rPr>
            </w:pPr>
            <w:r w:rsidRPr="00B61FF1">
              <w:rPr>
                <w:rFonts w:ascii="Arial" w:hAnsi="Arial" w:cs="Arial"/>
                <w:strike/>
                <w:color w:val="000000"/>
              </w:rPr>
              <w:t>Mountain Utilities</w:t>
            </w:r>
            <w:r w:rsidR="00F31C45" w:rsidRPr="00B61FF1">
              <w:t xml:space="preserve"> </w:t>
            </w:r>
            <w:r w:rsidR="00F31C45" w:rsidRPr="00B61FF1">
              <w:rPr>
                <w:rFonts w:ascii="Arial" w:hAnsi="Arial" w:cs="Arial"/>
                <w:color w:val="000000"/>
                <w:u w:val="single"/>
              </w:rPr>
              <w:t xml:space="preserve">Kirkwood Meadows Public Utility District </w:t>
            </w:r>
          </w:p>
        </w:tc>
        <w:tc>
          <w:tcPr>
            <w:tcW w:w="883" w:type="dxa"/>
            <w:vAlign w:val="center"/>
          </w:tcPr>
          <w:p w14:paraId="36B0FDC9" w14:textId="5EF79C4F" w:rsidR="003779C8" w:rsidRPr="00B61FF1" w:rsidRDefault="003779C8">
            <w:pPr>
              <w:rPr>
                <w:rFonts w:ascii="Arial" w:hAnsi="Arial" w:cs="Arial"/>
                <w:strike/>
                <w:color w:val="000000"/>
              </w:rPr>
            </w:pPr>
            <w:r w:rsidRPr="00B61FF1">
              <w:rPr>
                <w:rFonts w:ascii="Arial" w:hAnsi="Arial" w:cs="Arial"/>
                <w:strike/>
                <w:color w:val="000000"/>
              </w:rPr>
              <w:t>IOU</w:t>
            </w:r>
            <w:r w:rsidR="00F31C45" w:rsidRPr="00B61FF1">
              <w:rPr>
                <w:rFonts w:ascii="Arial" w:hAnsi="Arial" w:cs="Arial"/>
                <w:strike/>
                <w:color w:val="000000"/>
              </w:rPr>
              <w:t xml:space="preserve"> </w:t>
            </w:r>
            <w:r w:rsidR="00F31C45" w:rsidRPr="00B61FF1">
              <w:rPr>
                <w:rFonts w:ascii="Arial" w:hAnsi="Arial" w:cs="Arial"/>
                <w:color w:val="000000"/>
                <w:u w:val="single"/>
              </w:rPr>
              <w:t>POU</w:t>
            </w:r>
          </w:p>
        </w:tc>
        <w:tc>
          <w:tcPr>
            <w:tcW w:w="1207" w:type="dxa"/>
            <w:vAlign w:val="bottom"/>
          </w:tcPr>
          <w:p w14:paraId="3F04DFC3" w14:textId="77777777" w:rsidR="003779C8" w:rsidRPr="00B61FF1" w:rsidRDefault="003779C8">
            <w:pPr>
              <w:jc w:val="right"/>
              <w:rPr>
                <w:rFonts w:ascii="Arial" w:hAnsi="Arial" w:cs="Arial"/>
                <w:color w:val="000000"/>
              </w:rPr>
            </w:pPr>
            <w:r w:rsidRPr="00B61FF1">
              <w:rPr>
                <w:rFonts w:ascii="Arial" w:hAnsi="Arial" w:cs="Arial"/>
                <w:color w:val="000000"/>
              </w:rPr>
              <w:t>0.00306%</w:t>
            </w:r>
          </w:p>
        </w:tc>
        <w:tc>
          <w:tcPr>
            <w:tcW w:w="1207" w:type="dxa"/>
            <w:vAlign w:val="bottom"/>
          </w:tcPr>
          <w:p w14:paraId="39090A37" w14:textId="77777777" w:rsidR="003779C8" w:rsidRPr="00B61FF1" w:rsidRDefault="003779C8">
            <w:pPr>
              <w:jc w:val="right"/>
              <w:rPr>
                <w:rFonts w:ascii="Arial" w:hAnsi="Arial" w:cs="Arial"/>
                <w:color w:val="000000"/>
              </w:rPr>
            </w:pPr>
            <w:r w:rsidRPr="00B61FF1">
              <w:rPr>
                <w:rFonts w:ascii="Arial" w:hAnsi="Arial" w:cs="Arial"/>
                <w:color w:val="000000"/>
              </w:rPr>
              <w:t>0.00317%</w:t>
            </w:r>
          </w:p>
        </w:tc>
        <w:tc>
          <w:tcPr>
            <w:tcW w:w="1207" w:type="dxa"/>
            <w:vAlign w:val="bottom"/>
          </w:tcPr>
          <w:p w14:paraId="2AD9B9AC" w14:textId="77777777" w:rsidR="003779C8" w:rsidRPr="00B61FF1" w:rsidRDefault="003779C8">
            <w:pPr>
              <w:jc w:val="right"/>
              <w:rPr>
                <w:rFonts w:ascii="Arial" w:hAnsi="Arial" w:cs="Arial"/>
                <w:color w:val="000000"/>
              </w:rPr>
            </w:pPr>
            <w:r w:rsidRPr="00B61FF1">
              <w:rPr>
                <w:rFonts w:ascii="Arial" w:hAnsi="Arial" w:cs="Arial"/>
                <w:color w:val="000000"/>
              </w:rPr>
              <w:t>0.00329%</w:t>
            </w:r>
          </w:p>
        </w:tc>
        <w:tc>
          <w:tcPr>
            <w:tcW w:w="1207" w:type="dxa"/>
            <w:vAlign w:val="bottom"/>
          </w:tcPr>
          <w:p w14:paraId="7DB4BF37" w14:textId="77777777" w:rsidR="003779C8" w:rsidRPr="00B61FF1" w:rsidRDefault="003779C8">
            <w:pPr>
              <w:jc w:val="right"/>
              <w:rPr>
                <w:rFonts w:ascii="Arial" w:hAnsi="Arial" w:cs="Arial"/>
                <w:color w:val="000000"/>
              </w:rPr>
            </w:pPr>
            <w:r w:rsidRPr="00B61FF1">
              <w:rPr>
                <w:rFonts w:ascii="Arial" w:hAnsi="Arial" w:cs="Arial"/>
                <w:color w:val="000000"/>
              </w:rPr>
              <w:t>0.00337%</w:t>
            </w:r>
          </w:p>
        </w:tc>
        <w:tc>
          <w:tcPr>
            <w:tcW w:w="1207" w:type="dxa"/>
            <w:vAlign w:val="bottom"/>
          </w:tcPr>
          <w:p w14:paraId="1A18A8FA" w14:textId="77777777" w:rsidR="003779C8" w:rsidRPr="00B61FF1" w:rsidRDefault="003779C8">
            <w:pPr>
              <w:jc w:val="right"/>
              <w:rPr>
                <w:rFonts w:ascii="Arial" w:hAnsi="Arial" w:cs="Arial"/>
                <w:color w:val="000000"/>
              </w:rPr>
            </w:pPr>
            <w:r w:rsidRPr="00B61FF1">
              <w:rPr>
                <w:rFonts w:ascii="Arial" w:hAnsi="Arial" w:cs="Arial"/>
                <w:color w:val="000000"/>
              </w:rPr>
              <w:t>0.00350%</w:t>
            </w:r>
          </w:p>
        </w:tc>
        <w:tc>
          <w:tcPr>
            <w:tcW w:w="1207" w:type="dxa"/>
            <w:vAlign w:val="bottom"/>
          </w:tcPr>
          <w:p w14:paraId="3F174C5F" w14:textId="77777777" w:rsidR="003779C8" w:rsidRPr="00B61FF1" w:rsidRDefault="003779C8">
            <w:pPr>
              <w:jc w:val="right"/>
              <w:rPr>
                <w:rFonts w:ascii="Arial" w:hAnsi="Arial" w:cs="Arial"/>
                <w:color w:val="000000"/>
              </w:rPr>
            </w:pPr>
            <w:r w:rsidRPr="00B61FF1">
              <w:rPr>
                <w:rFonts w:ascii="Arial" w:hAnsi="Arial" w:cs="Arial"/>
                <w:color w:val="000000"/>
              </w:rPr>
              <w:t>0.00354%</w:t>
            </w:r>
          </w:p>
        </w:tc>
        <w:tc>
          <w:tcPr>
            <w:tcW w:w="1207" w:type="dxa"/>
            <w:vAlign w:val="bottom"/>
          </w:tcPr>
          <w:p w14:paraId="7BD9B246" w14:textId="77777777" w:rsidR="003779C8" w:rsidRPr="00B61FF1" w:rsidRDefault="003779C8">
            <w:pPr>
              <w:jc w:val="right"/>
              <w:rPr>
                <w:rFonts w:ascii="Arial" w:hAnsi="Arial" w:cs="Arial"/>
                <w:color w:val="000000"/>
              </w:rPr>
            </w:pPr>
            <w:r w:rsidRPr="00B61FF1">
              <w:rPr>
                <w:rFonts w:ascii="Arial" w:hAnsi="Arial" w:cs="Arial"/>
                <w:color w:val="000000"/>
              </w:rPr>
              <w:t>0.00362%</w:t>
            </w:r>
          </w:p>
        </w:tc>
        <w:tc>
          <w:tcPr>
            <w:tcW w:w="1207" w:type="dxa"/>
            <w:vAlign w:val="bottom"/>
          </w:tcPr>
          <w:p w14:paraId="6999187F" w14:textId="77777777" w:rsidR="003779C8" w:rsidRPr="00B61FF1" w:rsidRDefault="003779C8">
            <w:pPr>
              <w:jc w:val="right"/>
              <w:rPr>
                <w:rFonts w:ascii="Arial" w:hAnsi="Arial" w:cs="Arial"/>
                <w:color w:val="000000"/>
              </w:rPr>
            </w:pPr>
            <w:r w:rsidRPr="00B61FF1">
              <w:rPr>
                <w:rFonts w:ascii="Arial" w:hAnsi="Arial" w:cs="Arial"/>
                <w:color w:val="000000"/>
              </w:rPr>
              <w:t>0.00369%</w:t>
            </w:r>
          </w:p>
        </w:tc>
      </w:tr>
      <w:tr w:rsidR="003779C8" w:rsidRPr="00B61FF1" w14:paraId="579A6459" w14:textId="77777777" w:rsidTr="009E5ADE">
        <w:trPr>
          <w:trHeight w:val="300"/>
        </w:trPr>
        <w:tc>
          <w:tcPr>
            <w:tcW w:w="2637" w:type="dxa"/>
            <w:vAlign w:val="center"/>
          </w:tcPr>
          <w:p w14:paraId="09A89708" w14:textId="77777777" w:rsidR="003779C8" w:rsidRPr="00B61FF1" w:rsidRDefault="003779C8">
            <w:pPr>
              <w:rPr>
                <w:rFonts w:ascii="Arial" w:hAnsi="Arial" w:cs="Arial"/>
                <w:color w:val="000000"/>
              </w:rPr>
            </w:pPr>
            <w:r w:rsidRPr="00B61FF1">
              <w:rPr>
                <w:rFonts w:ascii="Arial" w:hAnsi="Arial" w:cs="Arial"/>
                <w:color w:val="000000"/>
              </w:rPr>
              <w:t>Port of Stockton</w:t>
            </w:r>
          </w:p>
        </w:tc>
        <w:tc>
          <w:tcPr>
            <w:tcW w:w="883" w:type="dxa"/>
            <w:vAlign w:val="center"/>
          </w:tcPr>
          <w:p w14:paraId="23B6B2B3"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32F2379F" w14:textId="77777777" w:rsidR="003779C8" w:rsidRPr="00B61FF1" w:rsidRDefault="003779C8">
            <w:pPr>
              <w:jc w:val="right"/>
              <w:rPr>
                <w:rFonts w:ascii="Arial" w:hAnsi="Arial" w:cs="Arial"/>
                <w:color w:val="000000"/>
              </w:rPr>
            </w:pPr>
            <w:r w:rsidRPr="00B61FF1">
              <w:rPr>
                <w:rFonts w:ascii="Arial" w:hAnsi="Arial" w:cs="Arial"/>
                <w:color w:val="000000"/>
              </w:rPr>
              <w:t>0.00538%</w:t>
            </w:r>
          </w:p>
        </w:tc>
        <w:tc>
          <w:tcPr>
            <w:tcW w:w="1207" w:type="dxa"/>
            <w:vAlign w:val="bottom"/>
          </w:tcPr>
          <w:p w14:paraId="114CAA41" w14:textId="77777777" w:rsidR="003779C8" w:rsidRPr="00B61FF1" w:rsidRDefault="003779C8">
            <w:pPr>
              <w:jc w:val="right"/>
              <w:rPr>
                <w:rFonts w:ascii="Arial" w:hAnsi="Arial" w:cs="Arial"/>
                <w:color w:val="000000"/>
              </w:rPr>
            </w:pPr>
            <w:r w:rsidRPr="00B61FF1">
              <w:rPr>
                <w:rFonts w:ascii="Arial" w:hAnsi="Arial" w:cs="Arial"/>
                <w:color w:val="000000"/>
              </w:rPr>
              <w:t>0.00558%</w:t>
            </w:r>
          </w:p>
        </w:tc>
        <w:tc>
          <w:tcPr>
            <w:tcW w:w="1207" w:type="dxa"/>
            <w:vAlign w:val="bottom"/>
          </w:tcPr>
          <w:p w14:paraId="452C2AC6" w14:textId="77777777" w:rsidR="003779C8" w:rsidRPr="00B61FF1" w:rsidRDefault="003779C8">
            <w:pPr>
              <w:jc w:val="right"/>
              <w:rPr>
                <w:rFonts w:ascii="Arial" w:hAnsi="Arial" w:cs="Arial"/>
                <w:color w:val="000000"/>
              </w:rPr>
            </w:pPr>
            <w:r w:rsidRPr="00B61FF1">
              <w:rPr>
                <w:rFonts w:ascii="Arial" w:hAnsi="Arial" w:cs="Arial"/>
                <w:color w:val="000000"/>
              </w:rPr>
              <w:t>0.00579%</w:t>
            </w:r>
          </w:p>
        </w:tc>
        <w:tc>
          <w:tcPr>
            <w:tcW w:w="1207" w:type="dxa"/>
            <w:vAlign w:val="bottom"/>
          </w:tcPr>
          <w:p w14:paraId="4A71B962" w14:textId="77777777" w:rsidR="003779C8" w:rsidRPr="00B61FF1" w:rsidRDefault="003779C8">
            <w:pPr>
              <w:jc w:val="right"/>
              <w:rPr>
                <w:rFonts w:ascii="Arial" w:hAnsi="Arial" w:cs="Arial"/>
                <w:color w:val="000000"/>
              </w:rPr>
            </w:pPr>
            <w:r w:rsidRPr="00B61FF1">
              <w:rPr>
                <w:rFonts w:ascii="Arial" w:hAnsi="Arial" w:cs="Arial"/>
                <w:color w:val="000000"/>
              </w:rPr>
              <w:t>0.00594%</w:t>
            </w:r>
          </w:p>
        </w:tc>
        <w:tc>
          <w:tcPr>
            <w:tcW w:w="1207" w:type="dxa"/>
            <w:vAlign w:val="bottom"/>
          </w:tcPr>
          <w:p w14:paraId="07E1BB13" w14:textId="77777777" w:rsidR="003779C8" w:rsidRPr="00B61FF1" w:rsidRDefault="003779C8">
            <w:pPr>
              <w:jc w:val="right"/>
              <w:rPr>
                <w:rFonts w:ascii="Arial" w:hAnsi="Arial" w:cs="Arial"/>
                <w:color w:val="000000"/>
              </w:rPr>
            </w:pPr>
            <w:r w:rsidRPr="00B61FF1">
              <w:rPr>
                <w:rFonts w:ascii="Arial" w:hAnsi="Arial" w:cs="Arial"/>
                <w:color w:val="000000"/>
              </w:rPr>
              <w:t>0.00616%</w:t>
            </w:r>
          </w:p>
        </w:tc>
        <w:tc>
          <w:tcPr>
            <w:tcW w:w="1207" w:type="dxa"/>
            <w:vAlign w:val="bottom"/>
          </w:tcPr>
          <w:p w14:paraId="79D26C8A" w14:textId="77777777" w:rsidR="003779C8" w:rsidRPr="00B61FF1" w:rsidRDefault="003779C8">
            <w:pPr>
              <w:jc w:val="right"/>
              <w:rPr>
                <w:rFonts w:ascii="Arial" w:hAnsi="Arial" w:cs="Arial"/>
                <w:color w:val="000000"/>
              </w:rPr>
            </w:pPr>
            <w:r w:rsidRPr="00B61FF1">
              <w:rPr>
                <w:rFonts w:ascii="Arial" w:hAnsi="Arial" w:cs="Arial"/>
                <w:color w:val="000000"/>
              </w:rPr>
              <w:t>0.00623%</w:t>
            </w:r>
          </w:p>
        </w:tc>
        <w:tc>
          <w:tcPr>
            <w:tcW w:w="1207" w:type="dxa"/>
            <w:vAlign w:val="bottom"/>
          </w:tcPr>
          <w:p w14:paraId="189AE385" w14:textId="77777777" w:rsidR="003779C8" w:rsidRPr="00B61FF1" w:rsidRDefault="003779C8">
            <w:pPr>
              <w:jc w:val="right"/>
              <w:rPr>
                <w:rFonts w:ascii="Arial" w:hAnsi="Arial" w:cs="Arial"/>
                <w:color w:val="000000"/>
              </w:rPr>
            </w:pPr>
            <w:r w:rsidRPr="00B61FF1">
              <w:rPr>
                <w:rFonts w:ascii="Arial" w:hAnsi="Arial" w:cs="Arial"/>
                <w:color w:val="000000"/>
              </w:rPr>
              <w:t>0.00638%</w:t>
            </w:r>
          </w:p>
        </w:tc>
        <w:tc>
          <w:tcPr>
            <w:tcW w:w="1207" w:type="dxa"/>
            <w:vAlign w:val="bottom"/>
          </w:tcPr>
          <w:p w14:paraId="091722B0" w14:textId="77777777" w:rsidR="003779C8" w:rsidRPr="00B61FF1" w:rsidRDefault="003779C8">
            <w:pPr>
              <w:jc w:val="right"/>
              <w:rPr>
                <w:rFonts w:ascii="Arial" w:hAnsi="Arial" w:cs="Arial"/>
                <w:color w:val="000000"/>
              </w:rPr>
            </w:pPr>
            <w:r w:rsidRPr="00B61FF1">
              <w:rPr>
                <w:rFonts w:ascii="Arial" w:hAnsi="Arial" w:cs="Arial"/>
                <w:color w:val="000000"/>
              </w:rPr>
              <w:t>0.00648%</w:t>
            </w:r>
          </w:p>
        </w:tc>
      </w:tr>
      <w:tr w:rsidR="003779C8" w:rsidRPr="00B61FF1" w14:paraId="32164C8F" w14:textId="77777777" w:rsidTr="00111CCD">
        <w:trPr>
          <w:trHeight w:val="773"/>
        </w:trPr>
        <w:tc>
          <w:tcPr>
            <w:tcW w:w="2637" w:type="dxa"/>
            <w:vAlign w:val="center"/>
          </w:tcPr>
          <w:p w14:paraId="59087CD4" w14:textId="77777777" w:rsidR="003779C8" w:rsidRPr="00B61FF1" w:rsidRDefault="003779C8">
            <w:pPr>
              <w:rPr>
                <w:rFonts w:ascii="Arial" w:hAnsi="Arial" w:cs="Arial"/>
                <w:color w:val="000000"/>
              </w:rPr>
            </w:pPr>
            <w:r w:rsidRPr="00B61FF1">
              <w:rPr>
                <w:rFonts w:ascii="Arial" w:hAnsi="Arial" w:cs="Arial"/>
                <w:color w:val="000000"/>
              </w:rPr>
              <w:t>Power and Water Resource Pooling Authority</w:t>
            </w:r>
          </w:p>
        </w:tc>
        <w:tc>
          <w:tcPr>
            <w:tcW w:w="883" w:type="dxa"/>
            <w:vAlign w:val="center"/>
          </w:tcPr>
          <w:p w14:paraId="35A9AA55"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48F84623" w14:textId="77777777" w:rsidR="003779C8" w:rsidRPr="00B61FF1" w:rsidRDefault="003779C8">
            <w:pPr>
              <w:jc w:val="right"/>
              <w:rPr>
                <w:rFonts w:ascii="Arial" w:hAnsi="Arial" w:cs="Arial"/>
                <w:color w:val="000000"/>
              </w:rPr>
            </w:pPr>
            <w:r w:rsidRPr="00B61FF1">
              <w:rPr>
                <w:rFonts w:ascii="Arial" w:hAnsi="Arial" w:cs="Arial"/>
                <w:color w:val="000000"/>
              </w:rPr>
              <w:t>0.06650%</w:t>
            </w:r>
          </w:p>
        </w:tc>
        <w:tc>
          <w:tcPr>
            <w:tcW w:w="1207" w:type="dxa"/>
            <w:vAlign w:val="bottom"/>
          </w:tcPr>
          <w:p w14:paraId="77A77C96" w14:textId="77777777" w:rsidR="003779C8" w:rsidRPr="00B61FF1" w:rsidRDefault="003779C8">
            <w:pPr>
              <w:jc w:val="right"/>
              <w:rPr>
                <w:rFonts w:ascii="Arial" w:hAnsi="Arial" w:cs="Arial"/>
                <w:color w:val="000000"/>
              </w:rPr>
            </w:pPr>
            <w:r w:rsidRPr="00B61FF1">
              <w:rPr>
                <w:rFonts w:ascii="Arial" w:hAnsi="Arial" w:cs="Arial"/>
                <w:color w:val="000000"/>
              </w:rPr>
              <w:t>0.06899%</w:t>
            </w:r>
          </w:p>
        </w:tc>
        <w:tc>
          <w:tcPr>
            <w:tcW w:w="1207" w:type="dxa"/>
            <w:vAlign w:val="bottom"/>
          </w:tcPr>
          <w:p w14:paraId="6F637875" w14:textId="77777777" w:rsidR="003779C8" w:rsidRPr="00B61FF1" w:rsidRDefault="003779C8">
            <w:pPr>
              <w:jc w:val="right"/>
              <w:rPr>
                <w:rFonts w:ascii="Arial" w:hAnsi="Arial" w:cs="Arial"/>
                <w:color w:val="000000"/>
              </w:rPr>
            </w:pPr>
            <w:r w:rsidRPr="00B61FF1">
              <w:rPr>
                <w:rFonts w:ascii="Arial" w:hAnsi="Arial" w:cs="Arial"/>
                <w:color w:val="000000"/>
              </w:rPr>
              <w:t>0.07018%</w:t>
            </w:r>
          </w:p>
        </w:tc>
        <w:tc>
          <w:tcPr>
            <w:tcW w:w="1207" w:type="dxa"/>
            <w:vAlign w:val="bottom"/>
          </w:tcPr>
          <w:p w14:paraId="561104FB" w14:textId="77777777" w:rsidR="003779C8" w:rsidRPr="00B61FF1" w:rsidRDefault="003779C8">
            <w:pPr>
              <w:jc w:val="right"/>
              <w:rPr>
                <w:rFonts w:ascii="Arial" w:hAnsi="Arial" w:cs="Arial"/>
                <w:color w:val="000000"/>
              </w:rPr>
            </w:pPr>
            <w:r w:rsidRPr="00B61FF1">
              <w:rPr>
                <w:rFonts w:ascii="Arial" w:hAnsi="Arial" w:cs="Arial"/>
                <w:color w:val="000000"/>
              </w:rPr>
              <w:t>0.07365%</w:t>
            </w:r>
          </w:p>
        </w:tc>
        <w:tc>
          <w:tcPr>
            <w:tcW w:w="1207" w:type="dxa"/>
            <w:vAlign w:val="bottom"/>
          </w:tcPr>
          <w:p w14:paraId="65F90159" w14:textId="77777777" w:rsidR="003779C8" w:rsidRPr="00B61FF1" w:rsidRDefault="003779C8">
            <w:pPr>
              <w:jc w:val="right"/>
              <w:rPr>
                <w:rFonts w:ascii="Arial" w:hAnsi="Arial" w:cs="Arial"/>
                <w:color w:val="000000"/>
              </w:rPr>
            </w:pPr>
            <w:r w:rsidRPr="00B61FF1">
              <w:rPr>
                <w:rFonts w:ascii="Arial" w:hAnsi="Arial" w:cs="Arial"/>
                <w:color w:val="000000"/>
              </w:rPr>
              <w:t>0.07980%</w:t>
            </w:r>
          </w:p>
        </w:tc>
        <w:tc>
          <w:tcPr>
            <w:tcW w:w="1207" w:type="dxa"/>
            <w:vAlign w:val="bottom"/>
          </w:tcPr>
          <w:p w14:paraId="1CB5B051" w14:textId="77777777" w:rsidR="003779C8" w:rsidRPr="00B61FF1" w:rsidRDefault="003779C8">
            <w:pPr>
              <w:jc w:val="right"/>
              <w:rPr>
                <w:rFonts w:ascii="Arial" w:hAnsi="Arial" w:cs="Arial"/>
                <w:color w:val="000000"/>
              </w:rPr>
            </w:pPr>
            <w:r w:rsidRPr="00B61FF1">
              <w:rPr>
                <w:rFonts w:ascii="Arial" w:hAnsi="Arial" w:cs="Arial"/>
                <w:color w:val="000000"/>
              </w:rPr>
              <w:t>0.08118%</w:t>
            </w:r>
          </w:p>
        </w:tc>
        <w:tc>
          <w:tcPr>
            <w:tcW w:w="1207" w:type="dxa"/>
            <w:vAlign w:val="bottom"/>
          </w:tcPr>
          <w:p w14:paraId="0139C602" w14:textId="77777777" w:rsidR="003779C8" w:rsidRPr="00B61FF1" w:rsidRDefault="003779C8">
            <w:pPr>
              <w:jc w:val="right"/>
              <w:rPr>
                <w:rFonts w:ascii="Arial" w:hAnsi="Arial" w:cs="Arial"/>
                <w:color w:val="000000"/>
              </w:rPr>
            </w:pPr>
            <w:r w:rsidRPr="00B61FF1">
              <w:rPr>
                <w:rFonts w:ascii="Arial" w:hAnsi="Arial" w:cs="Arial"/>
                <w:color w:val="000000"/>
              </w:rPr>
              <w:t>0.08378%</w:t>
            </w:r>
          </w:p>
        </w:tc>
        <w:tc>
          <w:tcPr>
            <w:tcW w:w="1207" w:type="dxa"/>
            <w:vAlign w:val="bottom"/>
          </w:tcPr>
          <w:p w14:paraId="206DDF25" w14:textId="77777777" w:rsidR="003779C8" w:rsidRPr="00B61FF1" w:rsidRDefault="003779C8">
            <w:pPr>
              <w:jc w:val="right"/>
              <w:rPr>
                <w:rFonts w:ascii="Arial" w:hAnsi="Arial" w:cs="Arial"/>
                <w:color w:val="000000"/>
              </w:rPr>
            </w:pPr>
            <w:r w:rsidRPr="00B61FF1">
              <w:rPr>
                <w:rFonts w:ascii="Arial" w:hAnsi="Arial" w:cs="Arial"/>
                <w:color w:val="000000"/>
              </w:rPr>
              <w:t>0.08727%</w:t>
            </w:r>
          </w:p>
        </w:tc>
      </w:tr>
      <w:tr w:rsidR="003779C8" w:rsidRPr="00B61FF1" w14:paraId="061A9AE6" w14:textId="77777777" w:rsidTr="009E5ADE">
        <w:trPr>
          <w:trHeight w:val="300"/>
        </w:trPr>
        <w:tc>
          <w:tcPr>
            <w:tcW w:w="2637" w:type="dxa"/>
            <w:vAlign w:val="center"/>
          </w:tcPr>
          <w:p w14:paraId="1C83DF2F" w14:textId="6821F87B" w:rsidR="003779C8" w:rsidRPr="00B61FF1" w:rsidRDefault="00F31C45">
            <w:pPr>
              <w:rPr>
                <w:rFonts w:ascii="Arial" w:hAnsi="Arial" w:cs="Arial"/>
                <w:color w:val="000000"/>
              </w:rPr>
            </w:pPr>
            <w:r w:rsidRPr="00B61FF1">
              <w:rPr>
                <w:rFonts w:ascii="Arial" w:hAnsi="Arial" w:cs="Arial"/>
                <w:strike/>
                <w:color w:val="000000"/>
              </w:rPr>
              <w:t>Sierra Pacific Power Company</w:t>
            </w:r>
            <w:r w:rsidRPr="00B61FF1">
              <w:rPr>
                <w:rFonts w:ascii="Arial" w:hAnsi="Arial" w:cs="Arial"/>
                <w:color w:val="000000"/>
                <w:u w:val="single"/>
              </w:rPr>
              <w:t xml:space="preserve">California Pacific </w:t>
            </w:r>
            <w:r w:rsidRPr="00B61FF1">
              <w:rPr>
                <w:rFonts w:ascii="Arial" w:hAnsi="Arial" w:cs="Arial"/>
                <w:color w:val="000000"/>
                <w:u w:val="single"/>
              </w:rPr>
              <w:lastRenderedPageBreak/>
              <w:t>Electric Company</w:t>
            </w:r>
          </w:p>
        </w:tc>
        <w:tc>
          <w:tcPr>
            <w:tcW w:w="883" w:type="dxa"/>
            <w:vAlign w:val="center"/>
          </w:tcPr>
          <w:p w14:paraId="0A15C603" w14:textId="4228D9F7" w:rsidR="003779C8" w:rsidRPr="00B61FF1" w:rsidRDefault="00F31C45" w:rsidP="00F31C45">
            <w:pPr>
              <w:rPr>
                <w:rFonts w:ascii="Arial" w:hAnsi="Arial" w:cs="Arial"/>
                <w:color w:val="000000"/>
              </w:rPr>
            </w:pPr>
            <w:r w:rsidRPr="00B61FF1">
              <w:rPr>
                <w:rFonts w:ascii="Arial" w:hAnsi="Arial" w:cs="Arial"/>
                <w:strike/>
                <w:color w:val="000000"/>
              </w:rPr>
              <w:lastRenderedPageBreak/>
              <w:t xml:space="preserve">POU </w:t>
            </w:r>
            <w:r w:rsidRPr="00B61FF1">
              <w:rPr>
                <w:rFonts w:ascii="Arial" w:hAnsi="Arial" w:cs="Arial"/>
                <w:color w:val="000000"/>
                <w:u w:val="single"/>
              </w:rPr>
              <w:lastRenderedPageBreak/>
              <w:t>IOU</w:t>
            </w:r>
          </w:p>
        </w:tc>
        <w:tc>
          <w:tcPr>
            <w:tcW w:w="1207" w:type="dxa"/>
            <w:vAlign w:val="bottom"/>
          </w:tcPr>
          <w:p w14:paraId="005A1834" w14:textId="77777777" w:rsidR="003779C8" w:rsidRPr="00B61FF1" w:rsidRDefault="003779C8">
            <w:pPr>
              <w:jc w:val="right"/>
              <w:rPr>
                <w:rFonts w:ascii="Arial" w:hAnsi="Arial" w:cs="Arial"/>
                <w:color w:val="000000"/>
              </w:rPr>
            </w:pPr>
            <w:r w:rsidRPr="00B61FF1">
              <w:rPr>
                <w:rFonts w:ascii="Arial" w:hAnsi="Arial" w:cs="Arial"/>
                <w:color w:val="000000"/>
              </w:rPr>
              <w:lastRenderedPageBreak/>
              <w:t>0.22625%</w:t>
            </w:r>
          </w:p>
        </w:tc>
        <w:tc>
          <w:tcPr>
            <w:tcW w:w="1207" w:type="dxa"/>
            <w:vAlign w:val="bottom"/>
          </w:tcPr>
          <w:p w14:paraId="1B5F3A14" w14:textId="77777777" w:rsidR="003779C8" w:rsidRPr="00B61FF1" w:rsidRDefault="003779C8">
            <w:pPr>
              <w:jc w:val="right"/>
              <w:rPr>
                <w:rFonts w:ascii="Arial" w:hAnsi="Arial" w:cs="Arial"/>
                <w:color w:val="000000"/>
              </w:rPr>
            </w:pPr>
            <w:r w:rsidRPr="00B61FF1">
              <w:rPr>
                <w:rFonts w:ascii="Arial" w:hAnsi="Arial" w:cs="Arial"/>
                <w:color w:val="000000"/>
              </w:rPr>
              <w:t>0.23453%</w:t>
            </w:r>
          </w:p>
        </w:tc>
        <w:tc>
          <w:tcPr>
            <w:tcW w:w="1207" w:type="dxa"/>
            <w:vAlign w:val="bottom"/>
          </w:tcPr>
          <w:p w14:paraId="2F43CF6C" w14:textId="77777777" w:rsidR="003779C8" w:rsidRPr="00B61FF1" w:rsidRDefault="003779C8">
            <w:pPr>
              <w:jc w:val="right"/>
              <w:rPr>
                <w:rFonts w:ascii="Arial" w:hAnsi="Arial" w:cs="Arial"/>
                <w:color w:val="000000"/>
              </w:rPr>
            </w:pPr>
            <w:r w:rsidRPr="00B61FF1">
              <w:rPr>
                <w:rFonts w:ascii="Arial" w:hAnsi="Arial" w:cs="Arial"/>
                <w:color w:val="000000"/>
              </w:rPr>
              <w:t>0.24340%</w:t>
            </w:r>
          </w:p>
        </w:tc>
        <w:tc>
          <w:tcPr>
            <w:tcW w:w="1207" w:type="dxa"/>
            <w:vAlign w:val="bottom"/>
          </w:tcPr>
          <w:p w14:paraId="57792AA7" w14:textId="77777777" w:rsidR="003779C8" w:rsidRPr="00B61FF1" w:rsidRDefault="003779C8">
            <w:pPr>
              <w:jc w:val="right"/>
              <w:rPr>
                <w:rFonts w:ascii="Arial" w:hAnsi="Arial" w:cs="Arial"/>
                <w:color w:val="000000"/>
              </w:rPr>
            </w:pPr>
            <w:r w:rsidRPr="00B61FF1">
              <w:rPr>
                <w:rFonts w:ascii="Arial" w:hAnsi="Arial" w:cs="Arial"/>
                <w:color w:val="000000"/>
              </w:rPr>
              <w:t>0.24957%</w:t>
            </w:r>
          </w:p>
        </w:tc>
        <w:tc>
          <w:tcPr>
            <w:tcW w:w="1207" w:type="dxa"/>
            <w:vAlign w:val="bottom"/>
          </w:tcPr>
          <w:p w14:paraId="5E6624A4" w14:textId="77777777" w:rsidR="003779C8" w:rsidRPr="00B61FF1" w:rsidRDefault="003779C8">
            <w:pPr>
              <w:jc w:val="right"/>
              <w:rPr>
                <w:rFonts w:ascii="Arial" w:hAnsi="Arial" w:cs="Arial"/>
                <w:color w:val="000000"/>
              </w:rPr>
            </w:pPr>
            <w:r w:rsidRPr="00B61FF1">
              <w:rPr>
                <w:rFonts w:ascii="Arial" w:hAnsi="Arial" w:cs="Arial"/>
                <w:color w:val="000000"/>
              </w:rPr>
              <w:t>0.25888%</w:t>
            </w:r>
          </w:p>
        </w:tc>
        <w:tc>
          <w:tcPr>
            <w:tcW w:w="1207" w:type="dxa"/>
            <w:vAlign w:val="bottom"/>
          </w:tcPr>
          <w:p w14:paraId="0F98932E" w14:textId="77777777" w:rsidR="003779C8" w:rsidRPr="00B61FF1" w:rsidRDefault="003779C8">
            <w:pPr>
              <w:jc w:val="right"/>
              <w:rPr>
                <w:rFonts w:ascii="Arial" w:hAnsi="Arial" w:cs="Arial"/>
                <w:color w:val="000000"/>
              </w:rPr>
            </w:pPr>
            <w:r w:rsidRPr="00B61FF1">
              <w:rPr>
                <w:rFonts w:ascii="Arial" w:hAnsi="Arial" w:cs="Arial"/>
                <w:color w:val="000000"/>
              </w:rPr>
              <w:t>0.26194%</w:t>
            </w:r>
          </w:p>
        </w:tc>
        <w:tc>
          <w:tcPr>
            <w:tcW w:w="1207" w:type="dxa"/>
            <w:vAlign w:val="bottom"/>
          </w:tcPr>
          <w:p w14:paraId="6B52F8E4" w14:textId="77777777" w:rsidR="003779C8" w:rsidRPr="00B61FF1" w:rsidRDefault="003779C8">
            <w:pPr>
              <w:jc w:val="right"/>
              <w:rPr>
                <w:rFonts w:ascii="Arial" w:hAnsi="Arial" w:cs="Arial"/>
                <w:color w:val="000000"/>
              </w:rPr>
            </w:pPr>
            <w:r w:rsidRPr="00B61FF1">
              <w:rPr>
                <w:rFonts w:ascii="Arial" w:hAnsi="Arial" w:cs="Arial"/>
                <w:color w:val="000000"/>
              </w:rPr>
              <w:t>0.26839%</w:t>
            </w:r>
          </w:p>
        </w:tc>
        <w:tc>
          <w:tcPr>
            <w:tcW w:w="1207" w:type="dxa"/>
            <w:vAlign w:val="bottom"/>
          </w:tcPr>
          <w:p w14:paraId="692330F8" w14:textId="77777777" w:rsidR="003779C8" w:rsidRPr="00B61FF1" w:rsidRDefault="003779C8">
            <w:pPr>
              <w:jc w:val="right"/>
              <w:rPr>
                <w:rFonts w:ascii="Arial" w:hAnsi="Arial" w:cs="Arial"/>
                <w:color w:val="000000"/>
              </w:rPr>
            </w:pPr>
            <w:r w:rsidRPr="00B61FF1">
              <w:rPr>
                <w:rFonts w:ascii="Arial" w:hAnsi="Arial" w:cs="Arial"/>
                <w:color w:val="000000"/>
              </w:rPr>
              <w:t>0.27259%</w:t>
            </w:r>
          </w:p>
        </w:tc>
      </w:tr>
      <w:tr w:rsidR="009E5ADE" w:rsidRPr="00B61FF1" w14:paraId="14A795B3" w14:textId="77777777" w:rsidTr="009E5ADE">
        <w:trPr>
          <w:trHeight w:val="315"/>
        </w:trPr>
        <w:tc>
          <w:tcPr>
            <w:tcW w:w="2637" w:type="dxa"/>
            <w:vMerge w:val="restart"/>
            <w:hideMark/>
          </w:tcPr>
          <w:p w14:paraId="45B5263F"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lastRenderedPageBreak/>
              <w:t>Utility Name</w:t>
            </w:r>
          </w:p>
        </w:tc>
        <w:tc>
          <w:tcPr>
            <w:tcW w:w="883" w:type="dxa"/>
            <w:vMerge w:val="restart"/>
            <w:hideMark/>
          </w:tcPr>
          <w:p w14:paraId="51891DA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Utility Type (1)</w:t>
            </w:r>
          </w:p>
        </w:tc>
        <w:tc>
          <w:tcPr>
            <w:tcW w:w="9656" w:type="dxa"/>
            <w:gridSpan w:val="8"/>
            <w:hideMark/>
          </w:tcPr>
          <w:p w14:paraId="144420B6"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Annual % of Total Electric Sector Allocation to Utility</w:t>
            </w:r>
          </w:p>
        </w:tc>
      </w:tr>
      <w:tr w:rsidR="009E5ADE" w:rsidRPr="00B61FF1" w14:paraId="549BDC8B" w14:textId="77777777" w:rsidTr="009E5ADE">
        <w:trPr>
          <w:trHeight w:val="300"/>
        </w:trPr>
        <w:tc>
          <w:tcPr>
            <w:tcW w:w="2637" w:type="dxa"/>
            <w:vMerge/>
            <w:hideMark/>
          </w:tcPr>
          <w:p w14:paraId="7C26B49D" w14:textId="77777777" w:rsidR="009E5ADE" w:rsidRPr="00B61FF1" w:rsidRDefault="009E5ADE" w:rsidP="009E5ADE">
            <w:pPr>
              <w:rPr>
                <w:rFonts w:ascii="Arial" w:hAnsi="Arial" w:cs="Arial"/>
                <w:b/>
                <w:bCs/>
                <w:sz w:val="24"/>
                <w:szCs w:val="24"/>
              </w:rPr>
            </w:pPr>
          </w:p>
        </w:tc>
        <w:tc>
          <w:tcPr>
            <w:tcW w:w="883" w:type="dxa"/>
            <w:vMerge/>
            <w:hideMark/>
          </w:tcPr>
          <w:p w14:paraId="73EBDAE6" w14:textId="77777777" w:rsidR="009E5ADE" w:rsidRPr="00B61FF1" w:rsidRDefault="009E5ADE" w:rsidP="009E5ADE">
            <w:pPr>
              <w:rPr>
                <w:rFonts w:ascii="Arial" w:hAnsi="Arial" w:cs="Arial"/>
                <w:b/>
                <w:bCs/>
                <w:sz w:val="24"/>
                <w:szCs w:val="24"/>
              </w:rPr>
            </w:pPr>
          </w:p>
        </w:tc>
        <w:tc>
          <w:tcPr>
            <w:tcW w:w="1207" w:type="dxa"/>
            <w:hideMark/>
          </w:tcPr>
          <w:p w14:paraId="3A39B11A"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2013</w:t>
            </w:r>
          </w:p>
        </w:tc>
        <w:tc>
          <w:tcPr>
            <w:tcW w:w="1207" w:type="dxa"/>
            <w:hideMark/>
          </w:tcPr>
          <w:p w14:paraId="524BFC8C"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2014</w:t>
            </w:r>
          </w:p>
        </w:tc>
        <w:tc>
          <w:tcPr>
            <w:tcW w:w="1207" w:type="dxa"/>
            <w:hideMark/>
          </w:tcPr>
          <w:p w14:paraId="4824795A"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2015</w:t>
            </w:r>
          </w:p>
        </w:tc>
        <w:tc>
          <w:tcPr>
            <w:tcW w:w="1207" w:type="dxa"/>
            <w:hideMark/>
          </w:tcPr>
          <w:p w14:paraId="3A503A27"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2016</w:t>
            </w:r>
          </w:p>
        </w:tc>
        <w:tc>
          <w:tcPr>
            <w:tcW w:w="1207" w:type="dxa"/>
            <w:hideMark/>
          </w:tcPr>
          <w:p w14:paraId="32D3B672"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2017</w:t>
            </w:r>
          </w:p>
        </w:tc>
        <w:tc>
          <w:tcPr>
            <w:tcW w:w="1207" w:type="dxa"/>
            <w:hideMark/>
          </w:tcPr>
          <w:p w14:paraId="7F0B09CE"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2018</w:t>
            </w:r>
          </w:p>
        </w:tc>
        <w:tc>
          <w:tcPr>
            <w:tcW w:w="1207" w:type="dxa"/>
            <w:hideMark/>
          </w:tcPr>
          <w:p w14:paraId="65840E3B"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2019</w:t>
            </w:r>
          </w:p>
        </w:tc>
        <w:tc>
          <w:tcPr>
            <w:tcW w:w="1207" w:type="dxa"/>
            <w:hideMark/>
          </w:tcPr>
          <w:p w14:paraId="1622EAF1" w14:textId="77777777" w:rsidR="009E5ADE" w:rsidRPr="00B61FF1" w:rsidRDefault="009E5ADE" w:rsidP="009E5ADE">
            <w:pPr>
              <w:rPr>
                <w:rFonts w:ascii="Arial" w:hAnsi="Arial" w:cs="Arial"/>
                <w:b/>
                <w:bCs/>
                <w:sz w:val="24"/>
                <w:szCs w:val="24"/>
              </w:rPr>
            </w:pPr>
            <w:r w:rsidRPr="00B61FF1">
              <w:rPr>
                <w:rFonts w:ascii="Arial" w:hAnsi="Arial" w:cs="Arial"/>
                <w:b/>
                <w:bCs/>
                <w:sz w:val="24"/>
                <w:szCs w:val="24"/>
              </w:rPr>
              <w:t>2020</w:t>
            </w:r>
          </w:p>
        </w:tc>
      </w:tr>
      <w:tr w:rsidR="003779C8" w:rsidRPr="00B61FF1" w14:paraId="24427FA8" w14:textId="77777777" w:rsidTr="009E5ADE">
        <w:trPr>
          <w:trHeight w:val="300"/>
        </w:trPr>
        <w:tc>
          <w:tcPr>
            <w:tcW w:w="2637" w:type="dxa"/>
            <w:vAlign w:val="center"/>
          </w:tcPr>
          <w:p w14:paraId="7A6894CA" w14:textId="77777777" w:rsidR="003779C8" w:rsidRPr="00B61FF1" w:rsidRDefault="003779C8">
            <w:pPr>
              <w:rPr>
                <w:rFonts w:ascii="Arial" w:hAnsi="Arial" w:cs="Arial"/>
                <w:color w:val="000000"/>
              </w:rPr>
            </w:pPr>
            <w:r w:rsidRPr="00B61FF1">
              <w:rPr>
                <w:rFonts w:ascii="Arial" w:hAnsi="Arial" w:cs="Arial"/>
                <w:color w:val="000000"/>
              </w:rPr>
              <w:t>Surprise Valley Electrical Corporation</w:t>
            </w:r>
          </w:p>
        </w:tc>
        <w:tc>
          <w:tcPr>
            <w:tcW w:w="883" w:type="dxa"/>
            <w:vAlign w:val="center"/>
          </w:tcPr>
          <w:p w14:paraId="1920F07D" w14:textId="77777777" w:rsidR="003779C8" w:rsidRPr="00B61FF1" w:rsidRDefault="003779C8">
            <w:pPr>
              <w:rPr>
                <w:rFonts w:ascii="Arial" w:hAnsi="Arial" w:cs="Arial"/>
                <w:color w:val="000000"/>
              </w:rPr>
            </w:pPr>
            <w:r w:rsidRPr="00B61FF1">
              <w:rPr>
                <w:rFonts w:ascii="Arial" w:hAnsi="Arial" w:cs="Arial"/>
                <w:color w:val="000000"/>
              </w:rPr>
              <w:t>COOP</w:t>
            </w:r>
          </w:p>
        </w:tc>
        <w:tc>
          <w:tcPr>
            <w:tcW w:w="1207" w:type="dxa"/>
            <w:vAlign w:val="bottom"/>
          </w:tcPr>
          <w:p w14:paraId="1FB69C7E" w14:textId="77777777" w:rsidR="003779C8" w:rsidRPr="00B61FF1" w:rsidRDefault="003779C8">
            <w:pPr>
              <w:jc w:val="right"/>
              <w:rPr>
                <w:rFonts w:ascii="Arial" w:hAnsi="Arial" w:cs="Arial"/>
                <w:color w:val="000000"/>
              </w:rPr>
            </w:pPr>
            <w:r w:rsidRPr="00B61FF1">
              <w:rPr>
                <w:rFonts w:ascii="Arial" w:hAnsi="Arial" w:cs="Arial"/>
                <w:color w:val="000000"/>
              </w:rPr>
              <w:t>0.05381%</w:t>
            </w:r>
          </w:p>
        </w:tc>
        <w:tc>
          <w:tcPr>
            <w:tcW w:w="1207" w:type="dxa"/>
            <w:vAlign w:val="bottom"/>
          </w:tcPr>
          <w:p w14:paraId="31662414" w14:textId="77777777" w:rsidR="00BE4558" w:rsidRPr="00B61FF1" w:rsidRDefault="00BE4558">
            <w:pPr>
              <w:jc w:val="right"/>
              <w:rPr>
                <w:rFonts w:ascii="Arial" w:hAnsi="Arial" w:cs="Arial"/>
                <w:color w:val="000000"/>
              </w:rPr>
            </w:pPr>
          </w:p>
          <w:p w14:paraId="3B9E4047" w14:textId="77777777" w:rsidR="003779C8" w:rsidRPr="00B61FF1" w:rsidRDefault="003779C8">
            <w:pPr>
              <w:jc w:val="right"/>
              <w:rPr>
                <w:rFonts w:ascii="Arial" w:hAnsi="Arial" w:cs="Arial"/>
                <w:color w:val="000000"/>
              </w:rPr>
            </w:pPr>
            <w:r w:rsidRPr="00B61FF1">
              <w:rPr>
                <w:rFonts w:ascii="Arial" w:hAnsi="Arial" w:cs="Arial"/>
                <w:color w:val="000000"/>
              </w:rPr>
              <w:t>0.05578%</w:t>
            </w:r>
          </w:p>
        </w:tc>
        <w:tc>
          <w:tcPr>
            <w:tcW w:w="1207" w:type="dxa"/>
            <w:vAlign w:val="bottom"/>
          </w:tcPr>
          <w:p w14:paraId="55AE3AEC" w14:textId="7B1E8A15" w:rsidR="00BE4558" w:rsidRPr="00B61FF1" w:rsidRDefault="00BE4558">
            <w:pPr>
              <w:jc w:val="right"/>
              <w:rPr>
                <w:rFonts w:ascii="Arial" w:hAnsi="Arial" w:cs="Arial"/>
                <w:color w:val="000000"/>
                <w:u w:val="single"/>
              </w:rPr>
            </w:pPr>
            <w:r w:rsidRPr="00B61FF1">
              <w:rPr>
                <w:rFonts w:ascii="Arial" w:hAnsi="Arial" w:cs="Arial"/>
                <w:color w:val="000000"/>
                <w:u w:val="single"/>
              </w:rPr>
              <w:t>0.03167</w:t>
            </w:r>
            <w:r w:rsidR="005D0598" w:rsidRPr="00B61FF1">
              <w:rPr>
                <w:rFonts w:ascii="Arial" w:hAnsi="Arial" w:cs="Arial"/>
                <w:color w:val="000000"/>
                <w:u w:val="single"/>
              </w:rPr>
              <w:t>%</w:t>
            </w:r>
          </w:p>
          <w:p w14:paraId="4114A79A" w14:textId="77777777" w:rsidR="003779C8" w:rsidRPr="00B61FF1" w:rsidRDefault="003779C8">
            <w:pPr>
              <w:jc w:val="right"/>
              <w:rPr>
                <w:rFonts w:ascii="Arial" w:hAnsi="Arial" w:cs="Arial"/>
                <w:strike/>
                <w:color w:val="000000"/>
              </w:rPr>
            </w:pPr>
            <w:r w:rsidRPr="00B61FF1">
              <w:rPr>
                <w:rFonts w:ascii="Arial" w:hAnsi="Arial" w:cs="Arial"/>
                <w:strike/>
                <w:color w:val="000000"/>
              </w:rPr>
              <w:t>0.05789%</w:t>
            </w:r>
          </w:p>
        </w:tc>
        <w:tc>
          <w:tcPr>
            <w:tcW w:w="1207" w:type="dxa"/>
            <w:vAlign w:val="bottom"/>
          </w:tcPr>
          <w:p w14:paraId="18174036" w14:textId="5DA44116" w:rsidR="00BE4558" w:rsidRPr="00B61FF1" w:rsidRDefault="00BE4558">
            <w:pPr>
              <w:jc w:val="right"/>
              <w:rPr>
                <w:rFonts w:ascii="Arial" w:hAnsi="Arial" w:cs="Arial"/>
                <w:color w:val="000000"/>
                <w:u w:val="single"/>
              </w:rPr>
            </w:pPr>
            <w:r w:rsidRPr="00B61FF1">
              <w:rPr>
                <w:rFonts w:ascii="Arial" w:hAnsi="Arial" w:cs="Arial"/>
                <w:color w:val="000000"/>
                <w:u w:val="single"/>
              </w:rPr>
              <w:t>0.03251</w:t>
            </w:r>
            <w:r w:rsidR="005D0598" w:rsidRPr="00B61FF1">
              <w:rPr>
                <w:rFonts w:ascii="Arial" w:hAnsi="Arial" w:cs="Arial"/>
                <w:color w:val="000000"/>
                <w:u w:val="single"/>
              </w:rPr>
              <w:t>%</w:t>
            </w:r>
          </w:p>
          <w:p w14:paraId="506EA78B" w14:textId="77777777" w:rsidR="003779C8" w:rsidRPr="00B61FF1" w:rsidRDefault="003779C8">
            <w:pPr>
              <w:jc w:val="right"/>
              <w:rPr>
                <w:rFonts w:ascii="Arial" w:hAnsi="Arial" w:cs="Arial"/>
                <w:strike/>
                <w:color w:val="000000"/>
              </w:rPr>
            </w:pPr>
            <w:r w:rsidRPr="00B61FF1">
              <w:rPr>
                <w:rFonts w:ascii="Arial" w:hAnsi="Arial" w:cs="Arial"/>
                <w:strike/>
                <w:color w:val="000000"/>
              </w:rPr>
              <w:t>0.05936%</w:t>
            </w:r>
          </w:p>
        </w:tc>
        <w:tc>
          <w:tcPr>
            <w:tcW w:w="1207" w:type="dxa"/>
            <w:vAlign w:val="bottom"/>
          </w:tcPr>
          <w:p w14:paraId="4F070E3D" w14:textId="0161D3C5" w:rsidR="00BE4558" w:rsidRPr="00B61FF1" w:rsidRDefault="00BE4558">
            <w:pPr>
              <w:jc w:val="right"/>
              <w:rPr>
                <w:rFonts w:ascii="Arial" w:hAnsi="Arial" w:cs="Arial"/>
                <w:color w:val="000000"/>
                <w:u w:val="single"/>
              </w:rPr>
            </w:pPr>
            <w:r w:rsidRPr="00B61FF1">
              <w:rPr>
                <w:rFonts w:ascii="Arial" w:hAnsi="Arial" w:cs="Arial"/>
                <w:color w:val="000000"/>
                <w:u w:val="single"/>
              </w:rPr>
              <w:t>0.03384</w:t>
            </w:r>
            <w:r w:rsidR="005D0598" w:rsidRPr="00B61FF1">
              <w:rPr>
                <w:rFonts w:ascii="Arial" w:hAnsi="Arial" w:cs="Arial"/>
                <w:color w:val="000000"/>
                <w:u w:val="single"/>
              </w:rPr>
              <w:t>%</w:t>
            </w:r>
          </w:p>
          <w:p w14:paraId="401E6F37" w14:textId="77777777" w:rsidR="003779C8" w:rsidRPr="00B61FF1" w:rsidRDefault="003779C8">
            <w:pPr>
              <w:jc w:val="right"/>
              <w:rPr>
                <w:rFonts w:ascii="Arial" w:hAnsi="Arial" w:cs="Arial"/>
                <w:strike/>
                <w:color w:val="000000"/>
              </w:rPr>
            </w:pPr>
            <w:r w:rsidRPr="00B61FF1">
              <w:rPr>
                <w:rFonts w:ascii="Arial" w:hAnsi="Arial" w:cs="Arial"/>
                <w:strike/>
                <w:color w:val="000000"/>
              </w:rPr>
              <w:t>0.06158%</w:t>
            </w:r>
          </w:p>
        </w:tc>
        <w:tc>
          <w:tcPr>
            <w:tcW w:w="1207" w:type="dxa"/>
            <w:vAlign w:val="bottom"/>
          </w:tcPr>
          <w:p w14:paraId="5CBA23F5" w14:textId="2105D9D3" w:rsidR="00BE4558" w:rsidRPr="00B61FF1" w:rsidRDefault="00BE4558">
            <w:pPr>
              <w:jc w:val="right"/>
              <w:rPr>
                <w:rFonts w:ascii="Arial" w:hAnsi="Arial" w:cs="Arial"/>
                <w:color w:val="000000"/>
                <w:u w:val="single"/>
              </w:rPr>
            </w:pPr>
            <w:r w:rsidRPr="00B61FF1">
              <w:rPr>
                <w:rFonts w:ascii="Arial" w:hAnsi="Arial" w:cs="Arial"/>
                <w:color w:val="000000"/>
                <w:u w:val="single"/>
              </w:rPr>
              <w:t>0.03419</w:t>
            </w:r>
            <w:r w:rsidR="005D0598" w:rsidRPr="00B61FF1">
              <w:rPr>
                <w:rFonts w:ascii="Arial" w:hAnsi="Arial" w:cs="Arial"/>
                <w:color w:val="000000"/>
                <w:u w:val="single"/>
              </w:rPr>
              <w:t>%</w:t>
            </w:r>
          </w:p>
          <w:p w14:paraId="6A9D6426" w14:textId="77777777" w:rsidR="003779C8" w:rsidRPr="00B61FF1" w:rsidRDefault="003779C8">
            <w:pPr>
              <w:jc w:val="right"/>
              <w:rPr>
                <w:rFonts w:ascii="Arial" w:hAnsi="Arial" w:cs="Arial"/>
                <w:strike/>
                <w:color w:val="000000"/>
              </w:rPr>
            </w:pPr>
            <w:r w:rsidRPr="00B61FF1">
              <w:rPr>
                <w:rFonts w:ascii="Arial" w:hAnsi="Arial" w:cs="Arial"/>
                <w:strike/>
                <w:color w:val="000000"/>
              </w:rPr>
              <w:t>0.06230%</w:t>
            </w:r>
          </w:p>
        </w:tc>
        <w:tc>
          <w:tcPr>
            <w:tcW w:w="1207" w:type="dxa"/>
            <w:vAlign w:val="bottom"/>
          </w:tcPr>
          <w:p w14:paraId="6C025A20" w14:textId="78824266" w:rsidR="00BE4558" w:rsidRPr="00B61FF1" w:rsidRDefault="00BE4558">
            <w:pPr>
              <w:jc w:val="right"/>
              <w:rPr>
                <w:rFonts w:ascii="Arial" w:hAnsi="Arial" w:cs="Arial"/>
                <w:color w:val="000000"/>
                <w:u w:val="single"/>
              </w:rPr>
            </w:pPr>
            <w:r w:rsidRPr="00B61FF1">
              <w:rPr>
                <w:rFonts w:ascii="Arial" w:hAnsi="Arial" w:cs="Arial"/>
                <w:color w:val="000000"/>
                <w:u w:val="single"/>
              </w:rPr>
              <w:t>0.03505</w:t>
            </w:r>
            <w:r w:rsidR="005D0598" w:rsidRPr="00B61FF1">
              <w:rPr>
                <w:rFonts w:ascii="Arial" w:hAnsi="Arial" w:cs="Arial"/>
                <w:color w:val="000000"/>
                <w:u w:val="single"/>
              </w:rPr>
              <w:t>%</w:t>
            </w:r>
          </w:p>
          <w:p w14:paraId="3317F779" w14:textId="77777777" w:rsidR="003779C8" w:rsidRPr="00B61FF1" w:rsidRDefault="003779C8">
            <w:pPr>
              <w:jc w:val="right"/>
              <w:rPr>
                <w:rFonts w:ascii="Arial" w:hAnsi="Arial" w:cs="Arial"/>
                <w:strike/>
                <w:color w:val="000000"/>
              </w:rPr>
            </w:pPr>
            <w:r w:rsidRPr="00B61FF1">
              <w:rPr>
                <w:rFonts w:ascii="Arial" w:hAnsi="Arial" w:cs="Arial"/>
                <w:strike/>
                <w:color w:val="000000"/>
              </w:rPr>
              <w:t>0.06384%</w:t>
            </w:r>
          </w:p>
        </w:tc>
        <w:tc>
          <w:tcPr>
            <w:tcW w:w="1207" w:type="dxa"/>
            <w:vAlign w:val="bottom"/>
          </w:tcPr>
          <w:p w14:paraId="31485B96" w14:textId="383A4B16" w:rsidR="00BE4558" w:rsidRPr="00B61FF1" w:rsidRDefault="00BE4558">
            <w:pPr>
              <w:jc w:val="right"/>
              <w:rPr>
                <w:rFonts w:ascii="Arial" w:hAnsi="Arial" w:cs="Arial"/>
                <w:color w:val="000000"/>
                <w:u w:val="single"/>
              </w:rPr>
            </w:pPr>
            <w:r w:rsidRPr="00B61FF1">
              <w:rPr>
                <w:rFonts w:ascii="Arial" w:hAnsi="Arial" w:cs="Arial"/>
                <w:color w:val="000000"/>
                <w:u w:val="single"/>
              </w:rPr>
              <w:t>0.03541</w:t>
            </w:r>
            <w:r w:rsidR="005D0598" w:rsidRPr="00B61FF1">
              <w:rPr>
                <w:rFonts w:ascii="Arial" w:hAnsi="Arial" w:cs="Arial"/>
                <w:color w:val="000000"/>
                <w:u w:val="single"/>
              </w:rPr>
              <w:t>%</w:t>
            </w:r>
          </w:p>
          <w:p w14:paraId="397DA57D" w14:textId="77777777" w:rsidR="003779C8" w:rsidRPr="00B61FF1" w:rsidRDefault="003779C8">
            <w:pPr>
              <w:jc w:val="right"/>
              <w:rPr>
                <w:rFonts w:ascii="Arial" w:hAnsi="Arial" w:cs="Arial"/>
                <w:strike/>
                <w:color w:val="000000"/>
              </w:rPr>
            </w:pPr>
            <w:r w:rsidRPr="00B61FF1">
              <w:rPr>
                <w:rFonts w:ascii="Arial" w:hAnsi="Arial" w:cs="Arial"/>
                <w:strike/>
                <w:color w:val="000000"/>
              </w:rPr>
              <w:t>0.06484%</w:t>
            </w:r>
          </w:p>
        </w:tc>
      </w:tr>
      <w:tr w:rsidR="003779C8" w:rsidRPr="00B61FF1" w14:paraId="5F477092" w14:textId="77777777" w:rsidTr="009E5ADE">
        <w:trPr>
          <w:trHeight w:val="300"/>
        </w:trPr>
        <w:tc>
          <w:tcPr>
            <w:tcW w:w="2637" w:type="dxa"/>
            <w:vAlign w:val="center"/>
          </w:tcPr>
          <w:p w14:paraId="2628224E" w14:textId="77777777" w:rsidR="003779C8" w:rsidRPr="00B61FF1" w:rsidRDefault="003779C8">
            <w:pPr>
              <w:rPr>
                <w:rFonts w:ascii="Arial" w:hAnsi="Arial" w:cs="Arial"/>
                <w:color w:val="000000"/>
              </w:rPr>
            </w:pPr>
            <w:r w:rsidRPr="00B61FF1">
              <w:rPr>
                <w:rFonts w:ascii="Arial" w:hAnsi="Arial" w:cs="Arial"/>
                <w:color w:val="000000"/>
              </w:rPr>
              <w:t>Trinity Public Utility District</w:t>
            </w:r>
          </w:p>
        </w:tc>
        <w:tc>
          <w:tcPr>
            <w:tcW w:w="883" w:type="dxa"/>
            <w:vAlign w:val="center"/>
          </w:tcPr>
          <w:p w14:paraId="6CB8CEBE"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08E04903"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1F5DA07B"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65E23E7C"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338416E8"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6D6F7F6C"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69783477"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4381982A" w14:textId="77777777" w:rsidR="003779C8" w:rsidRPr="00B61FF1" w:rsidRDefault="003779C8">
            <w:pPr>
              <w:jc w:val="right"/>
              <w:rPr>
                <w:rFonts w:ascii="Arial" w:hAnsi="Arial" w:cs="Arial"/>
                <w:color w:val="000000"/>
              </w:rPr>
            </w:pPr>
            <w:r w:rsidRPr="00B61FF1">
              <w:rPr>
                <w:rFonts w:ascii="Arial" w:hAnsi="Arial" w:cs="Arial"/>
                <w:color w:val="000000"/>
              </w:rPr>
              <w:t>0.00000%</w:t>
            </w:r>
          </w:p>
        </w:tc>
        <w:tc>
          <w:tcPr>
            <w:tcW w:w="1207" w:type="dxa"/>
            <w:vAlign w:val="bottom"/>
          </w:tcPr>
          <w:p w14:paraId="5DB7626A" w14:textId="77777777" w:rsidR="003779C8" w:rsidRPr="00B61FF1" w:rsidRDefault="003779C8">
            <w:pPr>
              <w:jc w:val="right"/>
              <w:rPr>
                <w:rFonts w:ascii="Arial" w:hAnsi="Arial" w:cs="Arial"/>
                <w:color w:val="000000"/>
              </w:rPr>
            </w:pPr>
            <w:r w:rsidRPr="00B61FF1">
              <w:rPr>
                <w:rFonts w:ascii="Arial" w:hAnsi="Arial" w:cs="Arial"/>
                <w:color w:val="000000"/>
              </w:rPr>
              <w:t>0.00000%</w:t>
            </w:r>
          </w:p>
        </w:tc>
      </w:tr>
      <w:tr w:rsidR="003779C8" w:rsidRPr="00B61FF1" w14:paraId="1834A6AB" w14:textId="77777777" w:rsidTr="009E5ADE">
        <w:trPr>
          <w:trHeight w:val="300"/>
        </w:trPr>
        <w:tc>
          <w:tcPr>
            <w:tcW w:w="2637" w:type="dxa"/>
            <w:vAlign w:val="center"/>
          </w:tcPr>
          <w:p w14:paraId="52B678BD" w14:textId="77777777" w:rsidR="003779C8" w:rsidRPr="00B61FF1" w:rsidRDefault="003779C8">
            <w:pPr>
              <w:rPr>
                <w:rFonts w:ascii="Arial" w:hAnsi="Arial" w:cs="Arial"/>
                <w:color w:val="000000"/>
              </w:rPr>
            </w:pPr>
            <w:r w:rsidRPr="00B61FF1">
              <w:rPr>
                <w:rFonts w:ascii="Arial" w:hAnsi="Arial" w:cs="Arial"/>
                <w:color w:val="000000"/>
              </w:rPr>
              <w:t xml:space="preserve">WAPA </w:t>
            </w:r>
          </w:p>
        </w:tc>
        <w:tc>
          <w:tcPr>
            <w:tcW w:w="883" w:type="dxa"/>
            <w:vAlign w:val="center"/>
          </w:tcPr>
          <w:p w14:paraId="3D42D37C"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47B81A4E" w14:textId="77777777" w:rsidR="003779C8" w:rsidRPr="00B61FF1" w:rsidRDefault="003779C8">
            <w:pPr>
              <w:jc w:val="right"/>
              <w:rPr>
                <w:rFonts w:ascii="Arial" w:hAnsi="Arial" w:cs="Arial"/>
                <w:color w:val="000000"/>
              </w:rPr>
            </w:pPr>
            <w:r w:rsidRPr="00B61FF1">
              <w:rPr>
                <w:rFonts w:ascii="Arial" w:hAnsi="Arial" w:cs="Arial"/>
                <w:color w:val="000000"/>
              </w:rPr>
              <w:t>0.33271%</w:t>
            </w:r>
          </w:p>
        </w:tc>
        <w:tc>
          <w:tcPr>
            <w:tcW w:w="1207" w:type="dxa"/>
            <w:vAlign w:val="bottom"/>
          </w:tcPr>
          <w:p w14:paraId="7CD60F81" w14:textId="77777777" w:rsidR="003779C8" w:rsidRPr="00B61FF1" w:rsidRDefault="003779C8">
            <w:pPr>
              <w:jc w:val="right"/>
              <w:rPr>
                <w:rFonts w:ascii="Arial" w:hAnsi="Arial" w:cs="Arial"/>
                <w:color w:val="000000"/>
              </w:rPr>
            </w:pPr>
            <w:r w:rsidRPr="00B61FF1">
              <w:rPr>
                <w:rFonts w:ascii="Arial" w:hAnsi="Arial" w:cs="Arial"/>
                <w:color w:val="000000"/>
              </w:rPr>
              <w:t>0.35496%</w:t>
            </w:r>
          </w:p>
        </w:tc>
        <w:tc>
          <w:tcPr>
            <w:tcW w:w="1207" w:type="dxa"/>
            <w:vAlign w:val="bottom"/>
          </w:tcPr>
          <w:p w14:paraId="3B1DBAA7" w14:textId="77777777" w:rsidR="003779C8" w:rsidRPr="00B61FF1" w:rsidRDefault="003779C8">
            <w:pPr>
              <w:jc w:val="right"/>
              <w:rPr>
                <w:rFonts w:ascii="Arial" w:hAnsi="Arial" w:cs="Arial"/>
                <w:color w:val="000000"/>
              </w:rPr>
            </w:pPr>
            <w:r w:rsidRPr="00B61FF1">
              <w:rPr>
                <w:rFonts w:ascii="Arial" w:hAnsi="Arial" w:cs="Arial"/>
                <w:color w:val="000000"/>
              </w:rPr>
              <w:t>0.37846%</w:t>
            </w:r>
          </w:p>
        </w:tc>
        <w:tc>
          <w:tcPr>
            <w:tcW w:w="1207" w:type="dxa"/>
            <w:vAlign w:val="bottom"/>
          </w:tcPr>
          <w:p w14:paraId="7E8E7CFE" w14:textId="77777777" w:rsidR="003779C8" w:rsidRPr="00B61FF1" w:rsidRDefault="003779C8">
            <w:pPr>
              <w:jc w:val="right"/>
              <w:rPr>
                <w:rFonts w:ascii="Arial" w:hAnsi="Arial" w:cs="Arial"/>
                <w:color w:val="000000"/>
              </w:rPr>
            </w:pPr>
            <w:r w:rsidRPr="00B61FF1">
              <w:rPr>
                <w:rFonts w:ascii="Arial" w:hAnsi="Arial" w:cs="Arial"/>
                <w:color w:val="000000"/>
              </w:rPr>
              <w:t>0.39096%</w:t>
            </w:r>
          </w:p>
        </w:tc>
        <w:tc>
          <w:tcPr>
            <w:tcW w:w="1207" w:type="dxa"/>
            <w:vAlign w:val="bottom"/>
          </w:tcPr>
          <w:p w14:paraId="3B5E24CB" w14:textId="77777777" w:rsidR="003779C8" w:rsidRPr="00B61FF1" w:rsidRDefault="003779C8">
            <w:pPr>
              <w:jc w:val="right"/>
              <w:rPr>
                <w:rFonts w:ascii="Arial" w:hAnsi="Arial" w:cs="Arial"/>
                <w:color w:val="000000"/>
              </w:rPr>
            </w:pPr>
            <w:r w:rsidRPr="00B61FF1">
              <w:rPr>
                <w:rFonts w:ascii="Arial" w:hAnsi="Arial" w:cs="Arial"/>
                <w:color w:val="000000"/>
              </w:rPr>
              <w:t>0.41612%</w:t>
            </w:r>
          </w:p>
        </w:tc>
        <w:tc>
          <w:tcPr>
            <w:tcW w:w="1207" w:type="dxa"/>
            <w:vAlign w:val="bottom"/>
          </w:tcPr>
          <w:p w14:paraId="25B657CA" w14:textId="77777777" w:rsidR="003779C8" w:rsidRPr="00B61FF1" w:rsidRDefault="003779C8">
            <w:pPr>
              <w:jc w:val="right"/>
              <w:rPr>
                <w:rFonts w:ascii="Arial" w:hAnsi="Arial" w:cs="Arial"/>
                <w:color w:val="000000"/>
              </w:rPr>
            </w:pPr>
            <w:r w:rsidRPr="00B61FF1">
              <w:rPr>
                <w:rFonts w:ascii="Arial" w:hAnsi="Arial" w:cs="Arial"/>
                <w:color w:val="000000"/>
              </w:rPr>
              <w:t>0.41522%</w:t>
            </w:r>
          </w:p>
        </w:tc>
        <w:tc>
          <w:tcPr>
            <w:tcW w:w="1207" w:type="dxa"/>
            <w:vAlign w:val="bottom"/>
          </w:tcPr>
          <w:p w14:paraId="5F52A444" w14:textId="77777777" w:rsidR="003779C8" w:rsidRPr="00B61FF1" w:rsidRDefault="003779C8">
            <w:pPr>
              <w:jc w:val="right"/>
              <w:rPr>
                <w:rFonts w:ascii="Arial" w:hAnsi="Arial" w:cs="Arial"/>
                <w:color w:val="000000"/>
              </w:rPr>
            </w:pPr>
            <w:r w:rsidRPr="00B61FF1">
              <w:rPr>
                <w:rFonts w:ascii="Arial" w:hAnsi="Arial" w:cs="Arial"/>
                <w:color w:val="000000"/>
              </w:rPr>
              <w:t>0.42716%</w:t>
            </w:r>
          </w:p>
        </w:tc>
        <w:tc>
          <w:tcPr>
            <w:tcW w:w="1207" w:type="dxa"/>
            <w:vAlign w:val="bottom"/>
          </w:tcPr>
          <w:p w14:paraId="0074B447" w14:textId="77777777" w:rsidR="003779C8" w:rsidRPr="00B61FF1" w:rsidRDefault="003779C8">
            <w:pPr>
              <w:jc w:val="right"/>
              <w:rPr>
                <w:rFonts w:ascii="Arial" w:hAnsi="Arial" w:cs="Arial"/>
                <w:color w:val="000000"/>
              </w:rPr>
            </w:pPr>
            <w:r w:rsidRPr="00B61FF1">
              <w:rPr>
                <w:rFonts w:ascii="Arial" w:hAnsi="Arial" w:cs="Arial"/>
                <w:color w:val="000000"/>
              </w:rPr>
              <w:t>0.43040%</w:t>
            </w:r>
          </w:p>
        </w:tc>
      </w:tr>
      <w:tr w:rsidR="003779C8" w:rsidRPr="00B61FF1" w14:paraId="435F4127" w14:textId="77777777" w:rsidTr="009E5ADE">
        <w:trPr>
          <w:trHeight w:val="300"/>
        </w:trPr>
        <w:tc>
          <w:tcPr>
            <w:tcW w:w="2637" w:type="dxa"/>
            <w:vAlign w:val="center"/>
          </w:tcPr>
          <w:p w14:paraId="36EA9B4E" w14:textId="77777777" w:rsidR="003779C8" w:rsidRPr="00B61FF1" w:rsidRDefault="003779C8">
            <w:pPr>
              <w:rPr>
                <w:rFonts w:ascii="Arial" w:hAnsi="Arial" w:cs="Arial"/>
                <w:color w:val="000000"/>
              </w:rPr>
            </w:pPr>
            <w:r w:rsidRPr="00B61FF1">
              <w:rPr>
                <w:rFonts w:ascii="Arial" w:hAnsi="Arial" w:cs="Arial"/>
                <w:color w:val="000000"/>
              </w:rPr>
              <w:t>Valley Electric Association, Inc.</w:t>
            </w:r>
          </w:p>
        </w:tc>
        <w:tc>
          <w:tcPr>
            <w:tcW w:w="883" w:type="dxa"/>
            <w:vAlign w:val="center"/>
          </w:tcPr>
          <w:p w14:paraId="6154D29E" w14:textId="77777777" w:rsidR="003779C8" w:rsidRPr="00B61FF1" w:rsidRDefault="003779C8">
            <w:pPr>
              <w:rPr>
                <w:rFonts w:ascii="Arial" w:hAnsi="Arial" w:cs="Arial"/>
                <w:color w:val="000000"/>
              </w:rPr>
            </w:pPr>
            <w:r w:rsidRPr="00B61FF1">
              <w:rPr>
                <w:rFonts w:ascii="Arial" w:hAnsi="Arial" w:cs="Arial"/>
                <w:color w:val="000000"/>
              </w:rPr>
              <w:t>COOP</w:t>
            </w:r>
          </w:p>
        </w:tc>
        <w:tc>
          <w:tcPr>
            <w:tcW w:w="1207" w:type="dxa"/>
            <w:vAlign w:val="bottom"/>
          </w:tcPr>
          <w:p w14:paraId="0E20E04D" w14:textId="77777777" w:rsidR="003779C8" w:rsidRPr="00B61FF1" w:rsidRDefault="003779C8">
            <w:pPr>
              <w:jc w:val="right"/>
              <w:rPr>
                <w:rFonts w:ascii="Arial" w:hAnsi="Arial" w:cs="Arial"/>
                <w:color w:val="000000"/>
              </w:rPr>
            </w:pPr>
            <w:r w:rsidRPr="00B61FF1">
              <w:rPr>
                <w:rFonts w:ascii="Arial" w:hAnsi="Arial" w:cs="Arial"/>
                <w:color w:val="000000"/>
              </w:rPr>
              <w:t>0.00012%</w:t>
            </w:r>
          </w:p>
        </w:tc>
        <w:tc>
          <w:tcPr>
            <w:tcW w:w="1207" w:type="dxa"/>
            <w:vAlign w:val="bottom"/>
          </w:tcPr>
          <w:p w14:paraId="1E49A8D7" w14:textId="77777777" w:rsidR="003779C8" w:rsidRPr="00B61FF1" w:rsidRDefault="003779C8">
            <w:pPr>
              <w:jc w:val="right"/>
              <w:rPr>
                <w:rFonts w:ascii="Arial" w:hAnsi="Arial" w:cs="Arial"/>
                <w:color w:val="000000"/>
              </w:rPr>
            </w:pPr>
            <w:r w:rsidRPr="00B61FF1">
              <w:rPr>
                <w:rFonts w:ascii="Arial" w:hAnsi="Arial" w:cs="Arial"/>
                <w:color w:val="000000"/>
              </w:rPr>
              <w:t>0.00012%</w:t>
            </w:r>
          </w:p>
        </w:tc>
        <w:tc>
          <w:tcPr>
            <w:tcW w:w="1207" w:type="dxa"/>
            <w:vAlign w:val="bottom"/>
          </w:tcPr>
          <w:p w14:paraId="0ADF02CC" w14:textId="77777777" w:rsidR="003779C8" w:rsidRPr="00B61FF1" w:rsidRDefault="003779C8">
            <w:pPr>
              <w:jc w:val="right"/>
              <w:rPr>
                <w:rFonts w:ascii="Arial" w:hAnsi="Arial" w:cs="Arial"/>
                <w:color w:val="000000"/>
              </w:rPr>
            </w:pPr>
            <w:r w:rsidRPr="00B61FF1">
              <w:rPr>
                <w:rFonts w:ascii="Arial" w:hAnsi="Arial" w:cs="Arial"/>
                <w:color w:val="000000"/>
              </w:rPr>
              <w:t>0.00013%</w:t>
            </w:r>
          </w:p>
        </w:tc>
        <w:tc>
          <w:tcPr>
            <w:tcW w:w="1207" w:type="dxa"/>
            <w:vAlign w:val="bottom"/>
          </w:tcPr>
          <w:p w14:paraId="287AF28D" w14:textId="77777777" w:rsidR="003779C8" w:rsidRPr="00B61FF1" w:rsidRDefault="003779C8">
            <w:pPr>
              <w:jc w:val="right"/>
              <w:rPr>
                <w:rFonts w:ascii="Arial" w:hAnsi="Arial" w:cs="Arial"/>
                <w:color w:val="000000"/>
              </w:rPr>
            </w:pPr>
            <w:r w:rsidRPr="00B61FF1">
              <w:rPr>
                <w:rFonts w:ascii="Arial" w:hAnsi="Arial" w:cs="Arial"/>
                <w:color w:val="000000"/>
              </w:rPr>
              <w:t>0.00013%</w:t>
            </w:r>
          </w:p>
        </w:tc>
        <w:tc>
          <w:tcPr>
            <w:tcW w:w="1207" w:type="dxa"/>
            <w:vAlign w:val="bottom"/>
          </w:tcPr>
          <w:p w14:paraId="0FB7C5AC" w14:textId="77777777" w:rsidR="003779C8" w:rsidRPr="00B61FF1" w:rsidRDefault="003779C8">
            <w:pPr>
              <w:jc w:val="right"/>
              <w:rPr>
                <w:rFonts w:ascii="Arial" w:hAnsi="Arial" w:cs="Arial"/>
                <w:color w:val="000000"/>
              </w:rPr>
            </w:pPr>
            <w:r w:rsidRPr="00B61FF1">
              <w:rPr>
                <w:rFonts w:ascii="Arial" w:hAnsi="Arial" w:cs="Arial"/>
                <w:color w:val="000000"/>
              </w:rPr>
              <w:t>0.00014%</w:t>
            </w:r>
          </w:p>
        </w:tc>
        <w:tc>
          <w:tcPr>
            <w:tcW w:w="1207" w:type="dxa"/>
            <w:vAlign w:val="bottom"/>
          </w:tcPr>
          <w:p w14:paraId="1826FEAD" w14:textId="77777777" w:rsidR="003779C8" w:rsidRPr="00B61FF1" w:rsidRDefault="003779C8">
            <w:pPr>
              <w:jc w:val="right"/>
              <w:rPr>
                <w:rFonts w:ascii="Arial" w:hAnsi="Arial" w:cs="Arial"/>
                <w:color w:val="000000"/>
              </w:rPr>
            </w:pPr>
            <w:r w:rsidRPr="00B61FF1">
              <w:rPr>
                <w:rFonts w:ascii="Arial" w:hAnsi="Arial" w:cs="Arial"/>
                <w:color w:val="000000"/>
              </w:rPr>
              <w:t>0.00014%</w:t>
            </w:r>
          </w:p>
        </w:tc>
        <w:tc>
          <w:tcPr>
            <w:tcW w:w="1207" w:type="dxa"/>
            <w:vAlign w:val="bottom"/>
          </w:tcPr>
          <w:p w14:paraId="2B04E640" w14:textId="77777777" w:rsidR="003779C8" w:rsidRPr="00B61FF1" w:rsidRDefault="003779C8">
            <w:pPr>
              <w:jc w:val="right"/>
              <w:rPr>
                <w:rFonts w:ascii="Arial" w:hAnsi="Arial" w:cs="Arial"/>
                <w:color w:val="000000"/>
              </w:rPr>
            </w:pPr>
            <w:r w:rsidRPr="00B61FF1">
              <w:rPr>
                <w:rFonts w:ascii="Arial" w:hAnsi="Arial" w:cs="Arial"/>
                <w:color w:val="000000"/>
              </w:rPr>
              <w:t>0.00014%</w:t>
            </w:r>
          </w:p>
        </w:tc>
        <w:tc>
          <w:tcPr>
            <w:tcW w:w="1207" w:type="dxa"/>
            <w:vAlign w:val="bottom"/>
          </w:tcPr>
          <w:p w14:paraId="7601EFF3" w14:textId="77777777" w:rsidR="003779C8" w:rsidRPr="00B61FF1" w:rsidRDefault="003779C8">
            <w:pPr>
              <w:jc w:val="right"/>
              <w:rPr>
                <w:rFonts w:ascii="Arial" w:hAnsi="Arial" w:cs="Arial"/>
                <w:color w:val="000000"/>
              </w:rPr>
            </w:pPr>
            <w:r w:rsidRPr="00B61FF1">
              <w:rPr>
                <w:rFonts w:ascii="Arial" w:hAnsi="Arial" w:cs="Arial"/>
                <w:color w:val="000000"/>
              </w:rPr>
              <w:t>0.00014%</w:t>
            </w:r>
          </w:p>
        </w:tc>
      </w:tr>
      <w:tr w:rsidR="003779C8" w:rsidRPr="00B61FF1" w14:paraId="2CF5A499" w14:textId="77777777" w:rsidTr="009E5ADE">
        <w:trPr>
          <w:trHeight w:val="300"/>
        </w:trPr>
        <w:tc>
          <w:tcPr>
            <w:tcW w:w="2637" w:type="dxa"/>
            <w:vAlign w:val="center"/>
          </w:tcPr>
          <w:p w14:paraId="38534305" w14:textId="77777777" w:rsidR="003779C8" w:rsidRPr="00B61FF1" w:rsidRDefault="003779C8">
            <w:pPr>
              <w:rPr>
                <w:rFonts w:ascii="Arial" w:hAnsi="Arial" w:cs="Arial"/>
                <w:color w:val="000000"/>
              </w:rPr>
            </w:pPr>
            <w:r w:rsidRPr="00B61FF1">
              <w:rPr>
                <w:rFonts w:ascii="Arial" w:hAnsi="Arial" w:cs="Arial"/>
                <w:color w:val="000000"/>
              </w:rPr>
              <w:t>Victorville Municipal</w:t>
            </w:r>
          </w:p>
        </w:tc>
        <w:tc>
          <w:tcPr>
            <w:tcW w:w="883" w:type="dxa"/>
            <w:vAlign w:val="center"/>
          </w:tcPr>
          <w:p w14:paraId="6D3EE617"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210DE0F1" w14:textId="77777777" w:rsidR="003779C8" w:rsidRPr="00B61FF1" w:rsidRDefault="003779C8">
            <w:pPr>
              <w:jc w:val="right"/>
              <w:rPr>
                <w:rFonts w:ascii="Arial" w:hAnsi="Arial" w:cs="Arial"/>
                <w:color w:val="000000"/>
              </w:rPr>
            </w:pPr>
            <w:r w:rsidRPr="00B61FF1">
              <w:rPr>
                <w:rFonts w:ascii="Arial" w:hAnsi="Arial" w:cs="Arial"/>
                <w:color w:val="000000"/>
              </w:rPr>
              <w:t>0.02385%</w:t>
            </w:r>
          </w:p>
        </w:tc>
        <w:tc>
          <w:tcPr>
            <w:tcW w:w="1207" w:type="dxa"/>
            <w:vAlign w:val="bottom"/>
          </w:tcPr>
          <w:p w14:paraId="2C7B3646" w14:textId="77777777" w:rsidR="003779C8" w:rsidRPr="00B61FF1" w:rsidRDefault="003779C8">
            <w:pPr>
              <w:jc w:val="right"/>
              <w:rPr>
                <w:rFonts w:ascii="Arial" w:hAnsi="Arial" w:cs="Arial"/>
                <w:color w:val="000000"/>
              </w:rPr>
            </w:pPr>
            <w:r w:rsidRPr="00B61FF1">
              <w:rPr>
                <w:rFonts w:ascii="Arial" w:hAnsi="Arial" w:cs="Arial"/>
                <w:color w:val="000000"/>
              </w:rPr>
              <w:t>0.02472%</w:t>
            </w:r>
          </w:p>
        </w:tc>
        <w:tc>
          <w:tcPr>
            <w:tcW w:w="1207" w:type="dxa"/>
            <w:vAlign w:val="bottom"/>
          </w:tcPr>
          <w:p w14:paraId="0DDDE22A" w14:textId="77777777" w:rsidR="003779C8" w:rsidRPr="00B61FF1" w:rsidRDefault="003779C8">
            <w:pPr>
              <w:jc w:val="right"/>
              <w:rPr>
                <w:rFonts w:ascii="Arial" w:hAnsi="Arial" w:cs="Arial"/>
                <w:color w:val="000000"/>
              </w:rPr>
            </w:pPr>
            <w:r w:rsidRPr="00B61FF1">
              <w:rPr>
                <w:rFonts w:ascii="Arial" w:hAnsi="Arial" w:cs="Arial"/>
                <w:color w:val="000000"/>
              </w:rPr>
              <w:t>0.02566%</w:t>
            </w:r>
          </w:p>
        </w:tc>
        <w:tc>
          <w:tcPr>
            <w:tcW w:w="1207" w:type="dxa"/>
            <w:vAlign w:val="bottom"/>
          </w:tcPr>
          <w:p w14:paraId="143A2AB8" w14:textId="77777777" w:rsidR="003779C8" w:rsidRPr="00B61FF1" w:rsidRDefault="003779C8">
            <w:pPr>
              <w:jc w:val="right"/>
              <w:rPr>
                <w:rFonts w:ascii="Arial" w:hAnsi="Arial" w:cs="Arial"/>
                <w:color w:val="000000"/>
              </w:rPr>
            </w:pPr>
            <w:r w:rsidRPr="00B61FF1">
              <w:rPr>
                <w:rFonts w:ascii="Arial" w:hAnsi="Arial" w:cs="Arial"/>
                <w:color w:val="000000"/>
              </w:rPr>
              <w:t>0.02631%</w:t>
            </w:r>
          </w:p>
        </w:tc>
        <w:tc>
          <w:tcPr>
            <w:tcW w:w="1207" w:type="dxa"/>
            <w:vAlign w:val="bottom"/>
          </w:tcPr>
          <w:p w14:paraId="168596EF" w14:textId="77777777" w:rsidR="003779C8" w:rsidRPr="00B61FF1" w:rsidRDefault="003779C8">
            <w:pPr>
              <w:jc w:val="right"/>
              <w:rPr>
                <w:rFonts w:ascii="Arial" w:hAnsi="Arial" w:cs="Arial"/>
                <w:color w:val="000000"/>
              </w:rPr>
            </w:pPr>
            <w:r w:rsidRPr="00B61FF1">
              <w:rPr>
                <w:rFonts w:ascii="Arial" w:hAnsi="Arial" w:cs="Arial"/>
                <w:color w:val="000000"/>
              </w:rPr>
              <w:t>0.02729%</w:t>
            </w:r>
          </w:p>
        </w:tc>
        <w:tc>
          <w:tcPr>
            <w:tcW w:w="1207" w:type="dxa"/>
            <w:vAlign w:val="bottom"/>
          </w:tcPr>
          <w:p w14:paraId="1DFC0A3F" w14:textId="77777777" w:rsidR="003779C8" w:rsidRPr="00B61FF1" w:rsidRDefault="003779C8">
            <w:pPr>
              <w:jc w:val="right"/>
              <w:rPr>
                <w:rFonts w:ascii="Arial" w:hAnsi="Arial" w:cs="Arial"/>
                <w:color w:val="000000"/>
              </w:rPr>
            </w:pPr>
            <w:r w:rsidRPr="00B61FF1">
              <w:rPr>
                <w:rFonts w:ascii="Arial" w:hAnsi="Arial" w:cs="Arial"/>
                <w:color w:val="000000"/>
              </w:rPr>
              <w:t>0.02761%</w:t>
            </w:r>
          </w:p>
        </w:tc>
        <w:tc>
          <w:tcPr>
            <w:tcW w:w="1207" w:type="dxa"/>
            <w:vAlign w:val="bottom"/>
          </w:tcPr>
          <w:p w14:paraId="6921C7EF" w14:textId="77777777" w:rsidR="003779C8" w:rsidRPr="00B61FF1" w:rsidRDefault="003779C8">
            <w:pPr>
              <w:jc w:val="right"/>
              <w:rPr>
                <w:rFonts w:ascii="Arial" w:hAnsi="Arial" w:cs="Arial"/>
                <w:color w:val="000000"/>
              </w:rPr>
            </w:pPr>
            <w:r w:rsidRPr="00B61FF1">
              <w:rPr>
                <w:rFonts w:ascii="Arial" w:hAnsi="Arial" w:cs="Arial"/>
                <w:color w:val="000000"/>
              </w:rPr>
              <w:t>0.02829%</w:t>
            </w:r>
          </w:p>
        </w:tc>
        <w:tc>
          <w:tcPr>
            <w:tcW w:w="1207" w:type="dxa"/>
            <w:vAlign w:val="bottom"/>
          </w:tcPr>
          <w:p w14:paraId="50000CBE" w14:textId="77777777" w:rsidR="003779C8" w:rsidRPr="00B61FF1" w:rsidRDefault="003779C8">
            <w:pPr>
              <w:jc w:val="right"/>
              <w:rPr>
                <w:rFonts w:ascii="Arial" w:hAnsi="Arial" w:cs="Arial"/>
                <w:color w:val="000000"/>
              </w:rPr>
            </w:pPr>
            <w:r w:rsidRPr="00B61FF1">
              <w:rPr>
                <w:rFonts w:ascii="Arial" w:hAnsi="Arial" w:cs="Arial"/>
                <w:color w:val="000000"/>
              </w:rPr>
              <w:t>0.02873%</w:t>
            </w:r>
          </w:p>
        </w:tc>
      </w:tr>
      <w:tr w:rsidR="003779C8" w:rsidRPr="00B61FF1" w14:paraId="54930826" w14:textId="77777777" w:rsidTr="009E5ADE">
        <w:trPr>
          <w:trHeight w:val="450"/>
        </w:trPr>
        <w:tc>
          <w:tcPr>
            <w:tcW w:w="2637" w:type="dxa"/>
            <w:vAlign w:val="center"/>
          </w:tcPr>
          <w:p w14:paraId="66B857AC" w14:textId="77777777" w:rsidR="003779C8" w:rsidRPr="00B61FF1" w:rsidRDefault="003779C8">
            <w:pPr>
              <w:rPr>
                <w:rFonts w:ascii="Arial" w:hAnsi="Arial" w:cs="Arial"/>
                <w:color w:val="000000"/>
              </w:rPr>
            </w:pPr>
            <w:r w:rsidRPr="00B61FF1">
              <w:rPr>
                <w:rFonts w:ascii="Arial" w:hAnsi="Arial" w:cs="Arial"/>
                <w:color w:val="000000"/>
              </w:rPr>
              <w:t>Hercules</w:t>
            </w:r>
          </w:p>
        </w:tc>
        <w:tc>
          <w:tcPr>
            <w:tcW w:w="883" w:type="dxa"/>
            <w:vAlign w:val="center"/>
          </w:tcPr>
          <w:p w14:paraId="4908565F"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5FE66223" w14:textId="77777777" w:rsidR="003779C8" w:rsidRPr="00B61FF1" w:rsidRDefault="003779C8">
            <w:pPr>
              <w:jc w:val="right"/>
              <w:rPr>
                <w:rFonts w:ascii="Arial" w:hAnsi="Arial" w:cs="Arial"/>
                <w:color w:val="000000"/>
              </w:rPr>
            </w:pPr>
            <w:r w:rsidRPr="00B61FF1">
              <w:rPr>
                <w:rFonts w:ascii="Arial" w:hAnsi="Arial" w:cs="Arial"/>
                <w:color w:val="000000"/>
              </w:rPr>
              <w:t>0.00656%</w:t>
            </w:r>
          </w:p>
        </w:tc>
        <w:tc>
          <w:tcPr>
            <w:tcW w:w="1207" w:type="dxa"/>
            <w:vAlign w:val="bottom"/>
          </w:tcPr>
          <w:p w14:paraId="244FBA93" w14:textId="77777777" w:rsidR="003779C8" w:rsidRPr="00B61FF1" w:rsidRDefault="003779C8">
            <w:pPr>
              <w:jc w:val="right"/>
              <w:rPr>
                <w:rFonts w:ascii="Arial" w:hAnsi="Arial" w:cs="Arial"/>
                <w:color w:val="000000"/>
              </w:rPr>
            </w:pPr>
            <w:r w:rsidRPr="00B61FF1">
              <w:rPr>
                <w:rFonts w:ascii="Arial" w:hAnsi="Arial" w:cs="Arial"/>
                <w:color w:val="000000"/>
              </w:rPr>
              <w:t>0.00674%</w:t>
            </w:r>
          </w:p>
        </w:tc>
        <w:tc>
          <w:tcPr>
            <w:tcW w:w="1207" w:type="dxa"/>
            <w:vAlign w:val="bottom"/>
          </w:tcPr>
          <w:p w14:paraId="21B5556C" w14:textId="77777777" w:rsidR="003779C8" w:rsidRPr="00B61FF1" w:rsidRDefault="003779C8">
            <w:pPr>
              <w:jc w:val="right"/>
              <w:rPr>
                <w:rFonts w:ascii="Arial" w:hAnsi="Arial" w:cs="Arial"/>
                <w:color w:val="000000"/>
              </w:rPr>
            </w:pPr>
            <w:r w:rsidRPr="00B61FF1">
              <w:rPr>
                <w:rFonts w:ascii="Arial" w:hAnsi="Arial" w:cs="Arial"/>
                <w:color w:val="000000"/>
              </w:rPr>
              <w:t>0.00687%</w:t>
            </w:r>
          </w:p>
        </w:tc>
        <w:tc>
          <w:tcPr>
            <w:tcW w:w="1207" w:type="dxa"/>
            <w:vAlign w:val="bottom"/>
          </w:tcPr>
          <w:p w14:paraId="449AD6AB" w14:textId="77777777" w:rsidR="003779C8" w:rsidRPr="00B61FF1" w:rsidRDefault="003779C8">
            <w:pPr>
              <w:jc w:val="right"/>
              <w:rPr>
                <w:rFonts w:ascii="Arial" w:hAnsi="Arial" w:cs="Arial"/>
                <w:color w:val="000000"/>
              </w:rPr>
            </w:pPr>
            <w:r w:rsidRPr="00B61FF1">
              <w:rPr>
                <w:rFonts w:ascii="Arial" w:hAnsi="Arial" w:cs="Arial"/>
                <w:color w:val="000000"/>
              </w:rPr>
              <w:t>0.00711%</w:t>
            </w:r>
          </w:p>
        </w:tc>
        <w:tc>
          <w:tcPr>
            <w:tcW w:w="1207" w:type="dxa"/>
            <w:vAlign w:val="bottom"/>
          </w:tcPr>
          <w:p w14:paraId="032A2E13" w14:textId="77777777" w:rsidR="003779C8" w:rsidRPr="00B61FF1" w:rsidRDefault="003779C8">
            <w:pPr>
              <w:jc w:val="right"/>
              <w:rPr>
                <w:rFonts w:ascii="Arial" w:hAnsi="Arial" w:cs="Arial"/>
                <w:color w:val="000000"/>
              </w:rPr>
            </w:pPr>
            <w:r w:rsidRPr="00B61FF1">
              <w:rPr>
                <w:rFonts w:ascii="Arial" w:hAnsi="Arial" w:cs="Arial"/>
                <w:color w:val="000000"/>
              </w:rPr>
              <w:t>0.00747%</w:t>
            </w:r>
          </w:p>
        </w:tc>
        <w:tc>
          <w:tcPr>
            <w:tcW w:w="1207" w:type="dxa"/>
            <w:vAlign w:val="bottom"/>
          </w:tcPr>
          <w:p w14:paraId="04363B1D" w14:textId="77777777" w:rsidR="003779C8" w:rsidRPr="00B61FF1" w:rsidRDefault="003779C8">
            <w:pPr>
              <w:jc w:val="right"/>
              <w:rPr>
                <w:rFonts w:ascii="Arial" w:hAnsi="Arial" w:cs="Arial"/>
                <w:color w:val="000000"/>
              </w:rPr>
            </w:pPr>
            <w:r w:rsidRPr="00B61FF1">
              <w:rPr>
                <w:rFonts w:ascii="Arial" w:hAnsi="Arial" w:cs="Arial"/>
                <w:color w:val="000000"/>
              </w:rPr>
              <w:t>0.00761%</w:t>
            </w:r>
          </w:p>
        </w:tc>
        <w:tc>
          <w:tcPr>
            <w:tcW w:w="1207" w:type="dxa"/>
            <w:vAlign w:val="bottom"/>
          </w:tcPr>
          <w:p w14:paraId="2F868175" w14:textId="77777777" w:rsidR="003779C8" w:rsidRPr="00B61FF1" w:rsidRDefault="003779C8">
            <w:pPr>
              <w:jc w:val="right"/>
              <w:rPr>
                <w:rFonts w:ascii="Arial" w:hAnsi="Arial" w:cs="Arial"/>
                <w:color w:val="000000"/>
              </w:rPr>
            </w:pPr>
            <w:r w:rsidRPr="00B61FF1">
              <w:rPr>
                <w:rFonts w:ascii="Arial" w:hAnsi="Arial" w:cs="Arial"/>
                <w:color w:val="000000"/>
              </w:rPr>
              <w:t>0.00782%</w:t>
            </w:r>
          </w:p>
        </w:tc>
        <w:tc>
          <w:tcPr>
            <w:tcW w:w="1207" w:type="dxa"/>
            <w:vAlign w:val="bottom"/>
          </w:tcPr>
          <w:p w14:paraId="56213FA2" w14:textId="77777777" w:rsidR="003779C8" w:rsidRPr="00B61FF1" w:rsidRDefault="003779C8">
            <w:pPr>
              <w:jc w:val="right"/>
              <w:rPr>
                <w:rFonts w:ascii="Arial" w:hAnsi="Arial" w:cs="Arial"/>
                <w:color w:val="000000"/>
              </w:rPr>
            </w:pPr>
            <w:r w:rsidRPr="00B61FF1">
              <w:rPr>
                <w:rFonts w:ascii="Arial" w:hAnsi="Arial" w:cs="Arial"/>
                <w:color w:val="000000"/>
              </w:rPr>
              <w:t>0.00813%</w:t>
            </w:r>
          </w:p>
        </w:tc>
      </w:tr>
      <w:tr w:rsidR="003779C8" w:rsidRPr="00B61FF1" w14:paraId="71F061CF" w14:textId="77777777" w:rsidTr="009E5ADE">
        <w:trPr>
          <w:trHeight w:val="300"/>
        </w:trPr>
        <w:tc>
          <w:tcPr>
            <w:tcW w:w="2637" w:type="dxa"/>
            <w:vAlign w:val="center"/>
          </w:tcPr>
          <w:p w14:paraId="27AC7751" w14:textId="77777777" w:rsidR="003779C8" w:rsidRPr="00B61FF1" w:rsidRDefault="003779C8">
            <w:pPr>
              <w:rPr>
                <w:rFonts w:ascii="Arial" w:hAnsi="Arial" w:cs="Arial"/>
                <w:color w:val="000000"/>
              </w:rPr>
            </w:pPr>
            <w:r w:rsidRPr="00B61FF1">
              <w:rPr>
                <w:rFonts w:ascii="Arial" w:hAnsi="Arial" w:cs="Arial"/>
                <w:color w:val="000000"/>
              </w:rPr>
              <w:t>City of Industry</w:t>
            </w:r>
          </w:p>
        </w:tc>
        <w:tc>
          <w:tcPr>
            <w:tcW w:w="883" w:type="dxa"/>
            <w:vAlign w:val="center"/>
          </w:tcPr>
          <w:p w14:paraId="1E6A2C47"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6A316F11" w14:textId="77777777" w:rsidR="003779C8" w:rsidRPr="00B61FF1" w:rsidRDefault="003779C8">
            <w:pPr>
              <w:jc w:val="right"/>
              <w:rPr>
                <w:rFonts w:ascii="Arial" w:hAnsi="Arial" w:cs="Arial"/>
                <w:color w:val="000000"/>
              </w:rPr>
            </w:pPr>
            <w:r w:rsidRPr="00B61FF1">
              <w:rPr>
                <w:rFonts w:ascii="Arial" w:hAnsi="Arial" w:cs="Arial"/>
                <w:color w:val="000000"/>
              </w:rPr>
              <w:t>0.00910%</w:t>
            </w:r>
          </w:p>
        </w:tc>
        <w:tc>
          <w:tcPr>
            <w:tcW w:w="1207" w:type="dxa"/>
            <w:vAlign w:val="bottom"/>
          </w:tcPr>
          <w:p w14:paraId="057EBFC3" w14:textId="77777777" w:rsidR="003779C8" w:rsidRPr="00B61FF1" w:rsidRDefault="003779C8">
            <w:pPr>
              <w:jc w:val="right"/>
              <w:rPr>
                <w:rFonts w:ascii="Arial" w:hAnsi="Arial" w:cs="Arial"/>
                <w:color w:val="000000"/>
              </w:rPr>
            </w:pPr>
            <w:r w:rsidRPr="00B61FF1">
              <w:rPr>
                <w:rFonts w:ascii="Arial" w:hAnsi="Arial" w:cs="Arial"/>
                <w:color w:val="000000"/>
              </w:rPr>
              <w:t>0.00945%</w:t>
            </w:r>
          </w:p>
        </w:tc>
        <w:tc>
          <w:tcPr>
            <w:tcW w:w="1207" w:type="dxa"/>
            <w:vAlign w:val="bottom"/>
          </w:tcPr>
          <w:p w14:paraId="6A8F547C" w14:textId="77777777" w:rsidR="003779C8" w:rsidRPr="00B61FF1" w:rsidRDefault="003779C8">
            <w:pPr>
              <w:jc w:val="right"/>
              <w:rPr>
                <w:rFonts w:ascii="Arial" w:hAnsi="Arial" w:cs="Arial"/>
                <w:color w:val="000000"/>
              </w:rPr>
            </w:pPr>
            <w:r w:rsidRPr="00B61FF1">
              <w:rPr>
                <w:rFonts w:ascii="Arial" w:hAnsi="Arial" w:cs="Arial"/>
                <w:color w:val="000000"/>
              </w:rPr>
              <w:t>0.00982%</w:t>
            </w:r>
          </w:p>
        </w:tc>
        <w:tc>
          <w:tcPr>
            <w:tcW w:w="1207" w:type="dxa"/>
            <w:vAlign w:val="bottom"/>
          </w:tcPr>
          <w:p w14:paraId="17A8FF2D" w14:textId="77777777" w:rsidR="003779C8" w:rsidRPr="00B61FF1" w:rsidRDefault="003779C8">
            <w:pPr>
              <w:jc w:val="right"/>
              <w:rPr>
                <w:rFonts w:ascii="Arial" w:hAnsi="Arial" w:cs="Arial"/>
                <w:color w:val="000000"/>
              </w:rPr>
            </w:pPr>
            <w:r w:rsidRPr="00B61FF1">
              <w:rPr>
                <w:rFonts w:ascii="Arial" w:hAnsi="Arial" w:cs="Arial"/>
                <w:color w:val="000000"/>
              </w:rPr>
              <w:t>0.01008%</w:t>
            </w:r>
          </w:p>
        </w:tc>
        <w:tc>
          <w:tcPr>
            <w:tcW w:w="1207" w:type="dxa"/>
            <w:vAlign w:val="bottom"/>
          </w:tcPr>
          <w:p w14:paraId="49522AED" w14:textId="77777777" w:rsidR="003779C8" w:rsidRPr="00B61FF1" w:rsidRDefault="003779C8">
            <w:pPr>
              <w:jc w:val="right"/>
              <w:rPr>
                <w:rFonts w:ascii="Arial" w:hAnsi="Arial" w:cs="Arial"/>
                <w:color w:val="000000"/>
              </w:rPr>
            </w:pPr>
            <w:r w:rsidRPr="00B61FF1">
              <w:rPr>
                <w:rFonts w:ascii="Arial" w:hAnsi="Arial" w:cs="Arial"/>
                <w:color w:val="000000"/>
              </w:rPr>
              <w:t>0.01047%</w:t>
            </w:r>
          </w:p>
        </w:tc>
        <w:tc>
          <w:tcPr>
            <w:tcW w:w="1207" w:type="dxa"/>
            <w:vAlign w:val="bottom"/>
          </w:tcPr>
          <w:p w14:paraId="7045AE2C" w14:textId="77777777" w:rsidR="003779C8" w:rsidRPr="00B61FF1" w:rsidRDefault="003779C8">
            <w:pPr>
              <w:jc w:val="right"/>
              <w:rPr>
                <w:rFonts w:ascii="Arial" w:hAnsi="Arial" w:cs="Arial"/>
                <w:color w:val="000000"/>
              </w:rPr>
            </w:pPr>
            <w:r w:rsidRPr="00B61FF1">
              <w:rPr>
                <w:rFonts w:ascii="Arial" w:hAnsi="Arial" w:cs="Arial"/>
                <w:color w:val="000000"/>
              </w:rPr>
              <w:t>0.01058%</w:t>
            </w:r>
          </w:p>
        </w:tc>
        <w:tc>
          <w:tcPr>
            <w:tcW w:w="1207" w:type="dxa"/>
            <w:vAlign w:val="bottom"/>
          </w:tcPr>
          <w:p w14:paraId="3C37B34A" w14:textId="77777777" w:rsidR="003779C8" w:rsidRPr="00B61FF1" w:rsidRDefault="003779C8">
            <w:pPr>
              <w:jc w:val="right"/>
              <w:rPr>
                <w:rFonts w:ascii="Arial" w:hAnsi="Arial" w:cs="Arial"/>
                <w:color w:val="000000"/>
              </w:rPr>
            </w:pPr>
            <w:r w:rsidRPr="00B61FF1">
              <w:rPr>
                <w:rFonts w:ascii="Arial" w:hAnsi="Arial" w:cs="Arial"/>
                <w:color w:val="000000"/>
              </w:rPr>
              <w:t>0.01085%</w:t>
            </w:r>
          </w:p>
        </w:tc>
        <w:tc>
          <w:tcPr>
            <w:tcW w:w="1207" w:type="dxa"/>
            <w:vAlign w:val="bottom"/>
          </w:tcPr>
          <w:p w14:paraId="3FE5E78A" w14:textId="77777777" w:rsidR="003779C8" w:rsidRPr="00B61FF1" w:rsidRDefault="003779C8">
            <w:pPr>
              <w:jc w:val="right"/>
              <w:rPr>
                <w:rFonts w:ascii="Arial" w:hAnsi="Arial" w:cs="Arial"/>
                <w:color w:val="000000"/>
              </w:rPr>
            </w:pPr>
            <w:r w:rsidRPr="00B61FF1">
              <w:rPr>
                <w:rFonts w:ascii="Arial" w:hAnsi="Arial" w:cs="Arial"/>
                <w:color w:val="000000"/>
              </w:rPr>
              <w:t>0.01101%</w:t>
            </w:r>
          </w:p>
        </w:tc>
      </w:tr>
      <w:tr w:rsidR="003779C8" w:rsidRPr="00B61FF1" w14:paraId="015F2B2A" w14:textId="77777777" w:rsidTr="009E5ADE">
        <w:trPr>
          <w:trHeight w:val="300"/>
        </w:trPr>
        <w:tc>
          <w:tcPr>
            <w:tcW w:w="2637" w:type="dxa"/>
            <w:vAlign w:val="center"/>
          </w:tcPr>
          <w:p w14:paraId="2DE549BF" w14:textId="77777777" w:rsidR="003779C8" w:rsidRPr="00B61FF1" w:rsidRDefault="003779C8">
            <w:pPr>
              <w:rPr>
                <w:rFonts w:ascii="Arial" w:hAnsi="Arial" w:cs="Arial"/>
                <w:color w:val="000000"/>
              </w:rPr>
            </w:pPr>
            <w:r w:rsidRPr="00B61FF1">
              <w:rPr>
                <w:rFonts w:ascii="Arial" w:hAnsi="Arial" w:cs="Arial"/>
                <w:color w:val="000000"/>
              </w:rPr>
              <w:t>Corona</w:t>
            </w:r>
          </w:p>
        </w:tc>
        <w:tc>
          <w:tcPr>
            <w:tcW w:w="883" w:type="dxa"/>
            <w:vAlign w:val="center"/>
          </w:tcPr>
          <w:p w14:paraId="504AEE7D"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65AC23E6" w14:textId="77777777" w:rsidR="003779C8" w:rsidRPr="00B61FF1" w:rsidRDefault="003779C8">
            <w:pPr>
              <w:jc w:val="right"/>
              <w:rPr>
                <w:rFonts w:ascii="Arial" w:hAnsi="Arial" w:cs="Arial"/>
                <w:color w:val="000000"/>
              </w:rPr>
            </w:pPr>
            <w:r w:rsidRPr="00B61FF1">
              <w:rPr>
                <w:rFonts w:ascii="Arial" w:hAnsi="Arial" w:cs="Arial"/>
                <w:color w:val="000000"/>
              </w:rPr>
              <w:t>0.06050%</w:t>
            </w:r>
          </w:p>
        </w:tc>
        <w:tc>
          <w:tcPr>
            <w:tcW w:w="1207" w:type="dxa"/>
            <w:vAlign w:val="bottom"/>
          </w:tcPr>
          <w:p w14:paraId="17EA1D60" w14:textId="77777777" w:rsidR="003779C8" w:rsidRPr="00B61FF1" w:rsidRDefault="003779C8">
            <w:pPr>
              <w:jc w:val="right"/>
              <w:rPr>
                <w:rFonts w:ascii="Arial" w:hAnsi="Arial" w:cs="Arial"/>
                <w:color w:val="000000"/>
              </w:rPr>
            </w:pPr>
            <w:r w:rsidRPr="00B61FF1">
              <w:rPr>
                <w:rFonts w:ascii="Arial" w:hAnsi="Arial" w:cs="Arial"/>
                <w:color w:val="000000"/>
              </w:rPr>
              <w:t>0.06248%</w:t>
            </w:r>
          </w:p>
        </w:tc>
        <w:tc>
          <w:tcPr>
            <w:tcW w:w="1207" w:type="dxa"/>
            <w:vAlign w:val="bottom"/>
          </w:tcPr>
          <w:p w14:paraId="0B75B828" w14:textId="77777777" w:rsidR="003779C8" w:rsidRPr="00B61FF1" w:rsidRDefault="003779C8">
            <w:pPr>
              <w:jc w:val="right"/>
              <w:rPr>
                <w:rFonts w:ascii="Arial" w:hAnsi="Arial" w:cs="Arial"/>
                <w:color w:val="000000"/>
              </w:rPr>
            </w:pPr>
            <w:r w:rsidRPr="00B61FF1">
              <w:rPr>
                <w:rFonts w:ascii="Arial" w:hAnsi="Arial" w:cs="Arial"/>
                <w:color w:val="000000"/>
              </w:rPr>
              <w:t>0.06438%</w:t>
            </w:r>
          </w:p>
        </w:tc>
        <w:tc>
          <w:tcPr>
            <w:tcW w:w="1207" w:type="dxa"/>
            <w:vAlign w:val="bottom"/>
          </w:tcPr>
          <w:p w14:paraId="3E268690" w14:textId="77777777" w:rsidR="003779C8" w:rsidRPr="00B61FF1" w:rsidRDefault="003779C8">
            <w:pPr>
              <w:jc w:val="right"/>
              <w:rPr>
                <w:rFonts w:ascii="Arial" w:hAnsi="Arial" w:cs="Arial"/>
                <w:color w:val="000000"/>
              </w:rPr>
            </w:pPr>
            <w:r w:rsidRPr="00B61FF1">
              <w:rPr>
                <w:rFonts w:ascii="Arial" w:hAnsi="Arial" w:cs="Arial"/>
                <w:color w:val="000000"/>
              </w:rPr>
              <w:t>0.06621%</w:t>
            </w:r>
          </w:p>
        </w:tc>
        <w:tc>
          <w:tcPr>
            <w:tcW w:w="1207" w:type="dxa"/>
            <w:vAlign w:val="bottom"/>
          </w:tcPr>
          <w:p w14:paraId="67050658" w14:textId="77777777" w:rsidR="003779C8" w:rsidRPr="00B61FF1" w:rsidRDefault="003779C8">
            <w:pPr>
              <w:jc w:val="right"/>
              <w:rPr>
                <w:rFonts w:ascii="Arial" w:hAnsi="Arial" w:cs="Arial"/>
                <w:color w:val="000000"/>
              </w:rPr>
            </w:pPr>
            <w:r w:rsidRPr="00B61FF1">
              <w:rPr>
                <w:rFonts w:ascii="Arial" w:hAnsi="Arial" w:cs="Arial"/>
                <w:color w:val="000000"/>
              </w:rPr>
              <w:t>0.06897%</w:t>
            </w:r>
          </w:p>
        </w:tc>
        <w:tc>
          <w:tcPr>
            <w:tcW w:w="1207" w:type="dxa"/>
            <w:vAlign w:val="bottom"/>
          </w:tcPr>
          <w:p w14:paraId="46D15B79" w14:textId="77777777" w:rsidR="003779C8" w:rsidRPr="00B61FF1" w:rsidRDefault="003779C8">
            <w:pPr>
              <w:jc w:val="right"/>
              <w:rPr>
                <w:rFonts w:ascii="Arial" w:hAnsi="Arial" w:cs="Arial"/>
                <w:color w:val="000000"/>
              </w:rPr>
            </w:pPr>
            <w:r w:rsidRPr="00B61FF1">
              <w:rPr>
                <w:rFonts w:ascii="Arial" w:hAnsi="Arial" w:cs="Arial"/>
                <w:color w:val="000000"/>
              </w:rPr>
              <w:t>0.06999%</w:t>
            </w:r>
          </w:p>
        </w:tc>
        <w:tc>
          <w:tcPr>
            <w:tcW w:w="1207" w:type="dxa"/>
            <w:vAlign w:val="bottom"/>
          </w:tcPr>
          <w:p w14:paraId="68AF144F" w14:textId="77777777" w:rsidR="003779C8" w:rsidRPr="00B61FF1" w:rsidRDefault="003779C8">
            <w:pPr>
              <w:jc w:val="right"/>
              <w:rPr>
                <w:rFonts w:ascii="Arial" w:hAnsi="Arial" w:cs="Arial"/>
                <w:color w:val="000000"/>
              </w:rPr>
            </w:pPr>
            <w:r w:rsidRPr="00B61FF1">
              <w:rPr>
                <w:rFonts w:ascii="Arial" w:hAnsi="Arial" w:cs="Arial"/>
                <w:color w:val="000000"/>
              </w:rPr>
              <w:t>0.07176%</w:t>
            </w:r>
          </w:p>
        </w:tc>
        <w:tc>
          <w:tcPr>
            <w:tcW w:w="1207" w:type="dxa"/>
            <w:vAlign w:val="bottom"/>
          </w:tcPr>
          <w:p w14:paraId="1FAB155C" w14:textId="77777777" w:rsidR="003779C8" w:rsidRPr="00B61FF1" w:rsidRDefault="003779C8">
            <w:pPr>
              <w:jc w:val="right"/>
              <w:rPr>
                <w:rFonts w:ascii="Arial" w:hAnsi="Arial" w:cs="Arial"/>
                <w:color w:val="000000"/>
              </w:rPr>
            </w:pPr>
            <w:r w:rsidRPr="00B61FF1">
              <w:rPr>
                <w:rFonts w:ascii="Arial" w:hAnsi="Arial" w:cs="Arial"/>
                <w:color w:val="000000"/>
              </w:rPr>
              <w:t>0.07331%</w:t>
            </w:r>
          </w:p>
        </w:tc>
      </w:tr>
      <w:tr w:rsidR="003779C8" w:rsidRPr="00B61FF1" w14:paraId="7715B21C" w14:textId="77777777" w:rsidTr="009E5ADE">
        <w:trPr>
          <w:trHeight w:val="300"/>
        </w:trPr>
        <w:tc>
          <w:tcPr>
            <w:tcW w:w="2637" w:type="dxa"/>
            <w:vAlign w:val="center"/>
          </w:tcPr>
          <w:p w14:paraId="3B079B56" w14:textId="77777777" w:rsidR="003779C8" w:rsidRPr="00B61FF1" w:rsidRDefault="003779C8">
            <w:pPr>
              <w:rPr>
                <w:rFonts w:ascii="Arial" w:hAnsi="Arial" w:cs="Arial"/>
                <w:color w:val="000000"/>
              </w:rPr>
            </w:pPr>
            <w:r w:rsidRPr="00B61FF1">
              <w:rPr>
                <w:rFonts w:ascii="Arial" w:hAnsi="Arial" w:cs="Arial"/>
                <w:color w:val="000000"/>
              </w:rPr>
              <w:t>Pittsburg Power (Island)</w:t>
            </w:r>
          </w:p>
        </w:tc>
        <w:tc>
          <w:tcPr>
            <w:tcW w:w="883" w:type="dxa"/>
            <w:vAlign w:val="center"/>
          </w:tcPr>
          <w:p w14:paraId="2DDF0B1C" w14:textId="77777777" w:rsidR="003779C8" w:rsidRPr="00B61FF1" w:rsidRDefault="003779C8">
            <w:pPr>
              <w:rPr>
                <w:rFonts w:ascii="Arial" w:hAnsi="Arial" w:cs="Arial"/>
                <w:color w:val="000000"/>
              </w:rPr>
            </w:pPr>
            <w:r w:rsidRPr="00B61FF1">
              <w:rPr>
                <w:rFonts w:ascii="Arial" w:hAnsi="Arial" w:cs="Arial"/>
                <w:color w:val="000000"/>
              </w:rPr>
              <w:t>POU</w:t>
            </w:r>
          </w:p>
        </w:tc>
        <w:tc>
          <w:tcPr>
            <w:tcW w:w="1207" w:type="dxa"/>
            <w:vAlign w:val="bottom"/>
          </w:tcPr>
          <w:p w14:paraId="60BA0072" w14:textId="77777777" w:rsidR="003779C8" w:rsidRPr="00B61FF1" w:rsidRDefault="003779C8">
            <w:pPr>
              <w:jc w:val="right"/>
              <w:rPr>
                <w:rFonts w:ascii="Arial" w:hAnsi="Arial" w:cs="Arial"/>
                <w:color w:val="000000"/>
              </w:rPr>
            </w:pPr>
            <w:r w:rsidRPr="00B61FF1">
              <w:rPr>
                <w:rFonts w:ascii="Arial" w:hAnsi="Arial" w:cs="Arial"/>
                <w:color w:val="000000"/>
              </w:rPr>
              <w:t>0.00407%</w:t>
            </w:r>
          </w:p>
        </w:tc>
        <w:tc>
          <w:tcPr>
            <w:tcW w:w="1207" w:type="dxa"/>
            <w:vAlign w:val="bottom"/>
          </w:tcPr>
          <w:p w14:paraId="5AAFF5FF" w14:textId="77777777" w:rsidR="003779C8" w:rsidRPr="00B61FF1" w:rsidRDefault="003779C8">
            <w:pPr>
              <w:jc w:val="right"/>
              <w:rPr>
                <w:rFonts w:ascii="Arial" w:hAnsi="Arial" w:cs="Arial"/>
                <w:color w:val="000000"/>
              </w:rPr>
            </w:pPr>
            <w:r w:rsidRPr="00B61FF1">
              <w:rPr>
                <w:rFonts w:ascii="Arial" w:hAnsi="Arial" w:cs="Arial"/>
                <w:color w:val="000000"/>
              </w:rPr>
              <w:t>0.00429%</w:t>
            </w:r>
          </w:p>
        </w:tc>
        <w:tc>
          <w:tcPr>
            <w:tcW w:w="1207" w:type="dxa"/>
            <w:vAlign w:val="bottom"/>
          </w:tcPr>
          <w:p w14:paraId="2B7D16A6" w14:textId="77777777" w:rsidR="003779C8" w:rsidRPr="00B61FF1" w:rsidRDefault="003779C8">
            <w:pPr>
              <w:jc w:val="right"/>
              <w:rPr>
                <w:rFonts w:ascii="Arial" w:hAnsi="Arial" w:cs="Arial"/>
                <w:color w:val="000000"/>
              </w:rPr>
            </w:pPr>
            <w:r w:rsidRPr="00B61FF1">
              <w:rPr>
                <w:rFonts w:ascii="Arial" w:hAnsi="Arial" w:cs="Arial"/>
                <w:color w:val="000000"/>
              </w:rPr>
              <w:t>0.00452%</w:t>
            </w:r>
          </w:p>
        </w:tc>
        <w:tc>
          <w:tcPr>
            <w:tcW w:w="1207" w:type="dxa"/>
            <w:vAlign w:val="bottom"/>
          </w:tcPr>
          <w:p w14:paraId="78DA9E11" w14:textId="77777777" w:rsidR="003779C8" w:rsidRPr="00B61FF1" w:rsidRDefault="003779C8">
            <w:pPr>
              <w:jc w:val="right"/>
              <w:rPr>
                <w:rFonts w:ascii="Arial" w:hAnsi="Arial" w:cs="Arial"/>
                <w:color w:val="000000"/>
              </w:rPr>
            </w:pPr>
            <w:r w:rsidRPr="00B61FF1">
              <w:rPr>
                <w:rFonts w:ascii="Arial" w:hAnsi="Arial" w:cs="Arial"/>
                <w:color w:val="000000"/>
              </w:rPr>
              <w:t>0.00466%</w:t>
            </w:r>
          </w:p>
        </w:tc>
        <w:tc>
          <w:tcPr>
            <w:tcW w:w="1207" w:type="dxa"/>
            <w:vAlign w:val="bottom"/>
          </w:tcPr>
          <w:p w14:paraId="75EEE21E" w14:textId="77777777" w:rsidR="003779C8" w:rsidRPr="00B61FF1" w:rsidRDefault="003779C8">
            <w:pPr>
              <w:jc w:val="right"/>
              <w:rPr>
                <w:rFonts w:ascii="Arial" w:hAnsi="Arial" w:cs="Arial"/>
                <w:color w:val="000000"/>
              </w:rPr>
            </w:pPr>
            <w:r w:rsidRPr="00B61FF1">
              <w:rPr>
                <w:rFonts w:ascii="Arial" w:hAnsi="Arial" w:cs="Arial"/>
                <w:color w:val="000000"/>
              </w:rPr>
              <w:t>0.00492%</w:t>
            </w:r>
          </w:p>
        </w:tc>
        <w:tc>
          <w:tcPr>
            <w:tcW w:w="1207" w:type="dxa"/>
            <w:vAlign w:val="bottom"/>
          </w:tcPr>
          <w:p w14:paraId="6865811F" w14:textId="77777777" w:rsidR="003779C8" w:rsidRPr="00B61FF1" w:rsidRDefault="003779C8">
            <w:pPr>
              <w:jc w:val="right"/>
              <w:rPr>
                <w:rFonts w:ascii="Arial" w:hAnsi="Arial" w:cs="Arial"/>
                <w:color w:val="000000"/>
              </w:rPr>
            </w:pPr>
            <w:r w:rsidRPr="00B61FF1">
              <w:rPr>
                <w:rFonts w:ascii="Arial" w:hAnsi="Arial" w:cs="Arial"/>
                <w:color w:val="000000"/>
              </w:rPr>
              <w:t>0.00494%</w:t>
            </w:r>
          </w:p>
        </w:tc>
        <w:tc>
          <w:tcPr>
            <w:tcW w:w="1207" w:type="dxa"/>
            <w:vAlign w:val="bottom"/>
          </w:tcPr>
          <w:p w14:paraId="19177594" w14:textId="77777777" w:rsidR="003779C8" w:rsidRPr="00B61FF1" w:rsidRDefault="003779C8">
            <w:pPr>
              <w:jc w:val="right"/>
              <w:rPr>
                <w:rFonts w:ascii="Arial" w:hAnsi="Arial" w:cs="Arial"/>
                <w:color w:val="000000"/>
              </w:rPr>
            </w:pPr>
            <w:r w:rsidRPr="00B61FF1">
              <w:rPr>
                <w:rFonts w:ascii="Arial" w:hAnsi="Arial" w:cs="Arial"/>
                <w:color w:val="000000"/>
              </w:rPr>
              <w:t>0.00507%</w:t>
            </w:r>
          </w:p>
        </w:tc>
        <w:tc>
          <w:tcPr>
            <w:tcW w:w="1207" w:type="dxa"/>
            <w:vAlign w:val="bottom"/>
          </w:tcPr>
          <w:p w14:paraId="34067726" w14:textId="77777777" w:rsidR="003779C8" w:rsidRPr="00B61FF1" w:rsidRDefault="003779C8">
            <w:pPr>
              <w:jc w:val="right"/>
              <w:rPr>
                <w:rFonts w:ascii="Arial" w:hAnsi="Arial" w:cs="Arial"/>
                <w:color w:val="000000"/>
              </w:rPr>
            </w:pPr>
            <w:r w:rsidRPr="00B61FF1">
              <w:rPr>
                <w:rFonts w:ascii="Arial" w:hAnsi="Arial" w:cs="Arial"/>
                <w:color w:val="000000"/>
              </w:rPr>
              <w:t>0.00513%</w:t>
            </w:r>
          </w:p>
        </w:tc>
      </w:tr>
      <w:tr w:rsidR="003779C8" w:rsidRPr="00B61FF1" w14:paraId="75218FAB" w14:textId="77777777" w:rsidTr="004B750B">
        <w:trPr>
          <w:trHeight w:val="300"/>
        </w:trPr>
        <w:tc>
          <w:tcPr>
            <w:tcW w:w="2637" w:type="dxa"/>
            <w:vAlign w:val="center"/>
          </w:tcPr>
          <w:p w14:paraId="165EDD0D" w14:textId="77777777" w:rsidR="003779C8" w:rsidRPr="00B61FF1" w:rsidRDefault="003779C8" w:rsidP="004B750B">
            <w:pPr>
              <w:rPr>
                <w:rFonts w:ascii="Arial" w:hAnsi="Arial" w:cs="Arial"/>
                <w:color w:val="000000"/>
              </w:rPr>
            </w:pPr>
            <w:r w:rsidRPr="00B61FF1">
              <w:rPr>
                <w:rFonts w:ascii="Arial" w:hAnsi="Arial" w:cs="Arial"/>
                <w:color w:val="000000"/>
              </w:rPr>
              <w:t>Eastside</w:t>
            </w:r>
          </w:p>
        </w:tc>
        <w:tc>
          <w:tcPr>
            <w:tcW w:w="883" w:type="dxa"/>
            <w:vAlign w:val="center"/>
          </w:tcPr>
          <w:p w14:paraId="5052FF62" w14:textId="77777777" w:rsidR="003779C8" w:rsidRPr="00B61FF1" w:rsidRDefault="003779C8" w:rsidP="004B750B">
            <w:pPr>
              <w:rPr>
                <w:rFonts w:ascii="Arial" w:hAnsi="Arial" w:cs="Arial"/>
                <w:color w:val="000000"/>
              </w:rPr>
            </w:pPr>
            <w:r w:rsidRPr="00B61FF1">
              <w:rPr>
                <w:rFonts w:ascii="Arial" w:hAnsi="Arial" w:cs="Arial"/>
                <w:color w:val="000000"/>
              </w:rPr>
              <w:t>POU</w:t>
            </w:r>
          </w:p>
        </w:tc>
        <w:tc>
          <w:tcPr>
            <w:tcW w:w="1207" w:type="dxa"/>
            <w:vAlign w:val="bottom"/>
          </w:tcPr>
          <w:p w14:paraId="1B1C2D44" w14:textId="77777777" w:rsidR="003779C8" w:rsidRPr="00B61FF1" w:rsidRDefault="003779C8" w:rsidP="004B750B">
            <w:pPr>
              <w:jc w:val="right"/>
              <w:rPr>
                <w:rFonts w:ascii="Arial" w:hAnsi="Arial" w:cs="Arial"/>
                <w:color w:val="000000"/>
              </w:rPr>
            </w:pPr>
            <w:r w:rsidRPr="00B61FF1">
              <w:rPr>
                <w:rFonts w:ascii="Arial" w:hAnsi="Arial" w:cs="Arial"/>
                <w:color w:val="000000"/>
              </w:rPr>
              <w:t>0.00487%</w:t>
            </w:r>
          </w:p>
        </w:tc>
        <w:tc>
          <w:tcPr>
            <w:tcW w:w="1207" w:type="dxa"/>
            <w:vAlign w:val="bottom"/>
          </w:tcPr>
          <w:p w14:paraId="23015B4D" w14:textId="77777777" w:rsidR="003779C8" w:rsidRPr="00B61FF1" w:rsidRDefault="003779C8" w:rsidP="004B750B">
            <w:pPr>
              <w:jc w:val="right"/>
              <w:rPr>
                <w:rFonts w:ascii="Arial" w:hAnsi="Arial" w:cs="Arial"/>
                <w:color w:val="000000"/>
              </w:rPr>
            </w:pPr>
            <w:r w:rsidRPr="00B61FF1">
              <w:rPr>
                <w:rFonts w:ascii="Arial" w:hAnsi="Arial" w:cs="Arial"/>
                <w:color w:val="000000"/>
              </w:rPr>
              <w:t>0.00522%</w:t>
            </w:r>
          </w:p>
        </w:tc>
        <w:tc>
          <w:tcPr>
            <w:tcW w:w="1207" w:type="dxa"/>
            <w:vAlign w:val="bottom"/>
          </w:tcPr>
          <w:p w14:paraId="06186B66" w14:textId="77777777" w:rsidR="003779C8" w:rsidRPr="00B61FF1" w:rsidRDefault="003779C8" w:rsidP="004B750B">
            <w:pPr>
              <w:jc w:val="right"/>
              <w:rPr>
                <w:rFonts w:ascii="Arial" w:hAnsi="Arial" w:cs="Arial"/>
                <w:color w:val="000000"/>
              </w:rPr>
            </w:pPr>
            <w:r w:rsidRPr="00B61FF1">
              <w:rPr>
                <w:rFonts w:ascii="Arial" w:hAnsi="Arial" w:cs="Arial"/>
                <w:color w:val="000000"/>
              </w:rPr>
              <w:t>0.00558%</w:t>
            </w:r>
          </w:p>
        </w:tc>
        <w:tc>
          <w:tcPr>
            <w:tcW w:w="1207" w:type="dxa"/>
            <w:vAlign w:val="bottom"/>
          </w:tcPr>
          <w:p w14:paraId="71DCD409" w14:textId="77777777" w:rsidR="003779C8" w:rsidRPr="00B61FF1" w:rsidRDefault="003779C8" w:rsidP="004B750B">
            <w:pPr>
              <w:jc w:val="right"/>
              <w:rPr>
                <w:rFonts w:ascii="Arial" w:hAnsi="Arial" w:cs="Arial"/>
                <w:color w:val="000000"/>
              </w:rPr>
            </w:pPr>
            <w:r w:rsidRPr="00B61FF1">
              <w:rPr>
                <w:rFonts w:ascii="Arial" w:hAnsi="Arial" w:cs="Arial"/>
                <w:color w:val="000000"/>
              </w:rPr>
              <w:t>0.00577%</w:t>
            </w:r>
          </w:p>
        </w:tc>
        <w:tc>
          <w:tcPr>
            <w:tcW w:w="1207" w:type="dxa"/>
            <w:vAlign w:val="bottom"/>
          </w:tcPr>
          <w:p w14:paraId="3FBF4F03" w14:textId="77777777" w:rsidR="003779C8" w:rsidRPr="00B61FF1" w:rsidRDefault="003779C8" w:rsidP="004B750B">
            <w:pPr>
              <w:jc w:val="right"/>
              <w:rPr>
                <w:rFonts w:ascii="Arial" w:hAnsi="Arial" w:cs="Arial"/>
                <w:color w:val="000000"/>
              </w:rPr>
            </w:pPr>
            <w:r w:rsidRPr="00B61FF1">
              <w:rPr>
                <w:rFonts w:ascii="Arial" w:hAnsi="Arial" w:cs="Arial"/>
                <w:color w:val="000000"/>
              </w:rPr>
              <w:t>0.00616%</w:t>
            </w:r>
          </w:p>
        </w:tc>
        <w:tc>
          <w:tcPr>
            <w:tcW w:w="1207" w:type="dxa"/>
            <w:vAlign w:val="bottom"/>
          </w:tcPr>
          <w:p w14:paraId="2946F5BE" w14:textId="77777777" w:rsidR="003779C8" w:rsidRPr="00B61FF1" w:rsidRDefault="003779C8" w:rsidP="004B750B">
            <w:pPr>
              <w:jc w:val="right"/>
              <w:rPr>
                <w:rFonts w:ascii="Arial" w:hAnsi="Arial" w:cs="Arial"/>
                <w:color w:val="000000"/>
              </w:rPr>
            </w:pPr>
            <w:r w:rsidRPr="00B61FF1">
              <w:rPr>
                <w:rFonts w:ascii="Arial" w:hAnsi="Arial" w:cs="Arial"/>
                <w:color w:val="000000"/>
              </w:rPr>
              <w:t>0.00613%</w:t>
            </w:r>
          </w:p>
        </w:tc>
        <w:tc>
          <w:tcPr>
            <w:tcW w:w="1207" w:type="dxa"/>
            <w:vAlign w:val="bottom"/>
          </w:tcPr>
          <w:p w14:paraId="224E30B9" w14:textId="77777777" w:rsidR="003779C8" w:rsidRPr="00B61FF1" w:rsidRDefault="003779C8" w:rsidP="004B750B">
            <w:pPr>
              <w:jc w:val="right"/>
              <w:rPr>
                <w:rFonts w:ascii="Arial" w:hAnsi="Arial" w:cs="Arial"/>
                <w:color w:val="000000"/>
              </w:rPr>
            </w:pPr>
            <w:r w:rsidRPr="00B61FF1">
              <w:rPr>
                <w:rFonts w:ascii="Arial" w:hAnsi="Arial" w:cs="Arial"/>
                <w:color w:val="000000"/>
              </w:rPr>
              <w:t>0.00631%</w:t>
            </w:r>
          </w:p>
        </w:tc>
        <w:tc>
          <w:tcPr>
            <w:tcW w:w="1207" w:type="dxa"/>
            <w:vAlign w:val="bottom"/>
          </w:tcPr>
          <w:p w14:paraId="2CAFF39D" w14:textId="77777777" w:rsidR="003779C8" w:rsidRPr="00B61FF1" w:rsidRDefault="003779C8" w:rsidP="004B750B">
            <w:pPr>
              <w:jc w:val="right"/>
              <w:rPr>
                <w:rFonts w:ascii="Arial" w:hAnsi="Arial" w:cs="Arial"/>
                <w:color w:val="000000"/>
              </w:rPr>
            </w:pPr>
            <w:r w:rsidRPr="00B61FF1">
              <w:rPr>
                <w:rFonts w:ascii="Arial" w:hAnsi="Arial" w:cs="Arial"/>
                <w:color w:val="000000"/>
              </w:rPr>
              <w:t>0.00635%</w:t>
            </w:r>
          </w:p>
        </w:tc>
      </w:tr>
      <w:tr w:rsidR="003779C8" w:rsidRPr="00B61FF1" w14:paraId="445D29B9" w14:textId="77777777" w:rsidTr="009E5ADE">
        <w:trPr>
          <w:trHeight w:val="300"/>
        </w:trPr>
        <w:tc>
          <w:tcPr>
            <w:tcW w:w="2637" w:type="dxa"/>
            <w:vAlign w:val="center"/>
          </w:tcPr>
          <w:p w14:paraId="239197D2" w14:textId="77777777" w:rsidR="003779C8" w:rsidRPr="00B61FF1" w:rsidRDefault="003779C8">
            <w:pPr>
              <w:rPr>
                <w:rFonts w:ascii="Arial" w:hAnsi="Arial" w:cs="Arial"/>
                <w:color w:val="000000"/>
              </w:rPr>
            </w:pPr>
            <w:r w:rsidRPr="00B61FF1">
              <w:rPr>
                <w:rFonts w:ascii="Arial" w:hAnsi="Arial" w:cs="Arial"/>
                <w:color w:val="000000"/>
              </w:rPr>
              <w:t>PacifiCorp</w:t>
            </w:r>
          </w:p>
        </w:tc>
        <w:tc>
          <w:tcPr>
            <w:tcW w:w="883" w:type="dxa"/>
            <w:vAlign w:val="center"/>
          </w:tcPr>
          <w:p w14:paraId="237A2124" w14:textId="77777777" w:rsidR="003779C8" w:rsidRPr="00B61FF1" w:rsidRDefault="003779C8">
            <w:pPr>
              <w:rPr>
                <w:rFonts w:ascii="Arial" w:hAnsi="Arial" w:cs="Arial"/>
                <w:color w:val="000000"/>
              </w:rPr>
            </w:pPr>
            <w:r w:rsidRPr="00B61FF1">
              <w:rPr>
                <w:rFonts w:ascii="Arial" w:hAnsi="Arial" w:cs="Arial"/>
                <w:color w:val="000000"/>
              </w:rPr>
              <w:t>IOU</w:t>
            </w:r>
          </w:p>
        </w:tc>
        <w:tc>
          <w:tcPr>
            <w:tcW w:w="1207" w:type="dxa"/>
            <w:vAlign w:val="bottom"/>
          </w:tcPr>
          <w:p w14:paraId="1F56315B" w14:textId="77777777" w:rsidR="003779C8" w:rsidRPr="00B61FF1" w:rsidRDefault="003779C8">
            <w:pPr>
              <w:jc w:val="right"/>
              <w:rPr>
                <w:rFonts w:ascii="Arial" w:hAnsi="Arial" w:cs="Arial"/>
                <w:color w:val="000000"/>
              </w:rPr>
            </w:pPr>
            <w:r w:rsidRPr="00B61FF1">
              <w:rPr>
                <w:rFonts w:ascii="Arial" w:hAnsi="Arial" w:cs="Arial"/>
                <w:color w:val="000000"/>
              </w:rPr>
              <w:t>0.75511%</w:t>
            </w:r>
          </w:p>
        </w:tc>
        <w:tc>
          <w:tcPr>
            <w:tcW w:w="1207" w:type="dxa"/>
            <w:vAlign w:val="bottom"/>
          </w:tcPr>
          <w:p w14:paraId="48B02A47" w14:textId="77777777" w:rsidR="003779C8" w:rsidRPr="00B61FF1" w:rsidRDefault="003779C8">
            <w:pPr>
              <w:jc w:val="right"/>
              <w:rPr>
                <w:rFonts w:ascii="Arial" w:hAnsi="Arial" w:cs="Arial"/>
                <w:color w:val="000000"/>
              </w:rPr>
            </w:pPr>
            <w:r w:rsidRPr="00B61FF1">
              <w:rPr>
                <w:rFonts w:ascii="Arial" w:hAnsi="Arial" w:cs="Arial"/>
                <w:color w:val="000000"/>
              </w:rPr>
              <w:t>0.77388%</w:t>
            </w:r>
          </w:p>
        </w:tc>
        <w:tc>
          <w:tcPr>
            <w:tcW w:w="1207" w:type="dxa"/>
            <w:vAlign w:val="bottom"/>
          </w:tcPr>
          <w:p w14:paraId="2952C4CE" w14:textId="77777777" w:rsidR="003779C8" w:rsidRPr="00B61FF1" w:rsidRDefault="003779C8">
            <w:pPr>
              <w:jc w:val="right"/>
              <w:rPr>
                <w:rFonts w:ascii="Arial" w:hAnsi="Arial" w:cs="Arial"/>
                <w:color w:val="000000"/>
              </w:rPr>
            </w:pPr>
            <w:r w:rsidRPr="00B61FF1">
              <w:rPr>
                <w:rFonts w:ascii="Arial" w:hAnsi="Arial" w:cs="Arial"/>
                <w:color w:val="000000"/>
              </w:rPr>
              <w:t>0.79208%</w:t>
            </w:r>
          </w:p>
        </w:tc>
        <w:tc>
          <w:tcPr>
            <w:tcW w:w="1207" w:type="dxa"/>
            <w:vAlign w:val="bottom"/>
          </w:tcPr>
          <w:p w14:paraId="6754D299" w14:textId="77777777" w:rsidR="003779C8" w:rsidRPr="00B61FF1" w:rsidRDefault="003779C8">
            <w:pPr>
              <w:jc w:val="right"/>
              <w:rPr>
                <w:rFonts w:ascii="Arial" w:hAnsi="Arial" w:cs="Arial"/>
                <w:color w:val="000000"/>
              </w:rPr>
            </w:pPr>
            <w:r w:rsidRPr="00B61FF1">
              <w:rPr>
                <w:rFonts w:ascii="Arial" w:hAnsi="Arial" w:cs="Arial"/>
                <w:color w:val="000000"/>
              </w:rPr>
              <w:t>0.81600%</w:t>
            </w:r>
          </w:p>
        </w:tc>
        <w:tc>
          <w:tcPr>
            <w:tcW w:w="1207" w:type="dxa"/>
            <w:vAlign w:val="bottom"/>
          </w:tcPr>
          <w:p w14:paraId="3C202787" w14:textId="77777777" w:rsidR="003779C8" w:rsidRPr="00B61FF1" w:rsidRDefault="003779C8">
            <w:pPr>
              <w:jc w:val="right"/>
              <w:rPr>
                <w:rFonts w:ascii="Arial" w:hAnsi="Arial" w:cs="Arial"/>
                <w:color w:val="000000"/>
              </w:rPr>
            </w:pPr>
            <w:r w:rsidRPr="00B61FF1">
              <w:rPr>
                <w:rFonts w:ascii="Arial" w:hAnsi="Arial" w:cs="Arial"/>
                <w:color w:val="000000"/>
              </w:rPr>
              <w:t>0.84143%</w:t>
            </w:r>
          </w:p>
        </w:tc>
        <w:tc>
          <w:tcPr>
            <w:tcW w:w="1207" w:type="dxa"/>
            <w:vAlign w:val="bottom"/>
          </w:tcPr>
          <w:p w14:paraId="389927C2" w14:textId="77777777" w:rsidR="003779C8" w:rsidRPr="00B61FF1" w:rsidRDefault="003779C8">
            <w:pPr>
              <w:jc w:val="right"/>
              <w:rPr>
                <w:rFonts w:ascii="Arial" w:hAnsi="Arial" w:cs="Arial"/>
                <w:color w:val="000000"/>
              </w:rPr>
            </w:pPr>
            <w:r w:rsidRPr="00B61FF1">
              <w:rPr>
                <w:rFonts w:ascii="Arial" w:hAnsi="Arial" w:cs="Arial"/>
                <w:color w:val="000000"/>
              </w:rPr>
              <w:t>0.86742%</w:t>
            </w:r>
          </w:p>
        </w:tc>
        <w:tc>
          <w:tcPr>
            <w:tcW w:w="1207" w:type="dxa"/>
            <w:vAlign w:val="bottom"/>
          </w:tcPr>
          <w:p w14:paraId="6696FC6A" w14:textId="77777777" w:rsidR="003779C8" w:rsidRPr="00B61FF1" w:rsidRDefault="003779C8">
            <w:pPr>
              <w:jc w:val="right"/>
              <w:rPr>
                <w:rFonts w:ascii="Arial" w:hAnsi="Arial" w:cs="Arial"/>
                <w:color w:val="000000"/>
              </w:rPr>
            </w:pPr>
            <w:r w:rsidRPr="00B61FF1">
              <w:rPr>
                <w:rFonts w:ascii="Arial" w:hAnsi="Arial" w:cs="Arial"/>
                <w:color w:val="000000"/>
              </w:rPr>
              <w:t>0.89439%</w:t>
            </w:r>
          </w:p>
        </w:tc>
        <w:tc>
          <w:tcPr>
            <w:tcW w:w="1207" w:type="dxa"/>
            <w:vAlign w:val="bottom"/>
          </w:tcPr>
          <w:p w14:paraId="495E5E86" w14:textId="77777777" w:rsidR="003779C8" w:rsidRPr="00B61FF1" w:rsidRDefault="003779C8">
            <w:pPr>
              <w:jc w:val="right"/>
              <w:rPr>
                <w:rFonts w:ascii="Arial" w:hAnsi="Arial" w:cs="Arial"/>
                <w:color w:val="000000"/>
              </w:rPr>
            </w:pPr>
            <w:r w:rsidRPr="00B61FF1">
              <w:rPr>
                <w:rFonts w:ascii="Arial" w:hAnsi="Arial" w:cs="Arial"/>
                <w:color w:val="000000"/>
              </w:rPr>
              <w:t>0.92339%</w:t>
            </w:r>
          </w:p>
        </w:tc>
      </w:tr>
      <w:tr w:rsidR="00A731B2" w:rsidRPr="00B61FF1" w14:paraId="0B21E95C" w14:textId="77777777" w:rsidTr="00B930F8">
        <w:trPr>
          <w:trHeight w:val="300"/>
        </w:trPr>
        <w:tc>
          <w:tcPr>
            <w:tcW w:w="13176" w:type="dxa"/>
            <w:gridSpan w:val="10"/>
            <w:vAlign w:val="center"/>
          </w:tcPr>
          <w:p w14:paraId="45167F64" w14:textId="77777777" w:rsidR="00A731B2" w:rsidRPr="00B61FF1" w:rsidRDefault="00A731B2" w:rsidP="00A731B2">
            <w:pPr>
              <w:rPr>
                <w:rFonts w:ascii="Arial" w:hAnsi="Arial" w:cs="Arial"/>
                <w:color w:val="000000"/>
              </w:rPr>
            </w:pPr>
            <w:r w:rsidRPr="00B61FF1">
              <w:rPr>
                <w:rFonts w:ascii="Arial" w:hAnsi="Arial" w:cs="Arial"/>
                <w:color w:val="000000"/>
              </w:rPr>
              <w:t>(1) IOU = Investor Owned Electric Utility, POU = Publicly Owned Electric Utility, COOP = Rural Electric Cooperative</w:t>
            </w:r>
          </w:p>
        </w:tc>
      </w:tr>
    </w:tbl>
    <w:p w14:paraId="2F023395" w14:textId="77777777" w:rsidR="00C2147B" w:rsidRPr="00B61FF1" w:rsidRDefault="00C2147B" w:rsidP="00D63004">
      <w:pPr>
        <w:rPr>
          <w:rFonts w:ascii="Arial" w:hAnsi="Arial" w:cs="Arial"/>
        </w:rPr>
        <w:sectPr w:rsidR="00C2147B" w:rsidRPr="00B61FF1" w:rsidSect="005D5961">
          <w:footnotePr>
            <w:numRestart w:val="eachSect"/>
          </w:footnotePr>
          <w:pgSz w:w="15840" w:h="12240" w:orient="landscape"/>
          <w:pgMar w:top="1800" w:right="1440" w:bottom="1800" w:left="1440" w:header="720" w:footer="720" w:gutter="0"/>
          <w:cols w:space="720"/>
          <w:docGrid w:linePitch="360"/>
        </w:sectPr>
      </w:pPr>
    </w:p>
    <w:p w14:paraId="0281A7B6" w14:textId="77777777" w:rsidR="00FE6B15" w:rsidRPr="00B61FF1" w:rsidRDefault="00FE6B15" w:rsidP="00111CCD">
      <w:pPr>
        <w:spacing w:line="360" w:lineRule="auto"/>
        <w:rPr>
          <w:rFonts w:ascii="Arial" w:hAnsi="Arial" w:cs="Arial"/>
        </w:rPr>
      </w:pPr>
      <w:r w:rsidRPr="00B61FF1">
        <w:rPr>
          <w:rFonts w:ascii="Arial" w:hAnsi="Arial" w:cs="Arial"/>
        </w:rPr>
        <w:lastRenderedPageBreak/>
        <w:t>NOTE:  Authority cited:  Sections 38510, 38560, 38562, 38570, 38571, 38580, 39600 and 39601, Health and Safety Code.</w:t>
      </w:r>
    </w:p>
    <w:p w14:paraId="430B96A8" w14:textId="77777777" w:rsidR="00FE6B15" w:rsidRPr="00B61FF1" w:rsidRDefault="00FE6B15" w:rsidP="00111CCD">
      <w:pPr>
        <w:spacing w:line="360" w:lineRule="auto"/>
        <w:rPr>
          <w:rFonts w:ascii="Arial" w:hAnsi="Arial" w:cs="Arial"/>
        </w:rPr>
      </w:pPr>
      <w:r w:rsidRPr="00B61FF1">
        <w:rPr>
          <w:rFonts w:ascii="Arial" w:hAnsi="Arial" w:cs="Arial"/>
        </w:rPr>
        <w:t>Reference:  Sections 38530, 38560.5, 38564, 38565, 38570 and 39600, Health and Safety Code.</w:t>
      </w:r>
    </w:p>
    <w:p w14:paraId="0A4EEF23" w14:textId="77777777" w:rsidR="007B1C27" w:rsidRPr="00B61FF1" w:rsidRDefault="007B1C27" w:rsidP="00111CCD">
      <w:pPr>
        <w:spacing w:line="360" w:lineRule="auto"/>
        <w:rPr>
          <w:rFonts w:ascii="Arial" w:hAnsi="Arial" w:cs="Arial"/>
        </w:rPr>
      </w:pPr>
    </w:p>
    <w:p w14:paraId="17386065" w14:textId="27365679" w:rsidR="00591014" w:rsidRPr="00B61FF1" w:rsidRDefault="00591014" w:rsidP="00591014">
      <w:pPr>
        <w:pStyle w:val="Heading2"/>
        <w:rPr>
          <w:u w:val="single"/>
        </w:rPr>
      </w:pPr>
      <w:bookmarkStart w:id="324" w:name="_Toc361659866"/>
      <w:bookmarkStart w:id="325" w:name="_Toc265660923"/>
      <w:bookmarkStart w:id="326" w:name="_Toc245446878"/>
      <w:bookmarkStart w:id="327" w:name="_Toc245899513"/>
      <w:r w:rsidRPr="00B61FF1">
        <w:rPr>
          <w:u w:val="single"/>
        </w:rPr>
        <w:t xml:space="preserve">§ 95893. </w:t>
      </w:r>
      <w:r w:rsidR="00CF46F3" w:rsidRPr="00B61FF1">
        <w:rPr>
          <w:u w:val="single"/>
        </w:rPr>
        <w:t xml:space="preserve"> </w:t>
      </w:r>
      <w:r w:rsidRPr="00B61FF1">
        <w:rPr>
          <w:u w:val="single"/>
        </w:rPr>
        <w:t>Allocation to Natural Gas Suppliers for Protection of Natural Gas Ratepayers.</w:t>
      </w:r>
      <w:bookmarkEnd w:id="324"/>
      <w:r w:rsidRPr="00B61FF1">
        <w:rPr>
          <w:u w:val="single"/>
        </w:rPr>
        <w:t xml:space="preserve"> </w:t>
      </w:r>
    </w:p>
    <w:p w14:paraId="62373743" w14:textId="5D527DF9" w:rsidR="00D306CD" w:rsidRPr="00B61FF1" w:rsidRDefault="00D306CD" w:rsidP="00D306CD">
      <w:pPr>
        <w:spacing w:line="360" w:lineRule="auto"/>
        <w:ind w:left="720" w:hanging="720"/>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rPr>
        <w:tab/>
      </w:r>
      <w:r w:rsidR="005E18B3" w:rsidRPr="00B61FF1">
        <w:rPr>
          <w:rFonts w:ascii="Arial" w:hAnsi="Arial" w:cs="Arial"/>
          <w:sz w:val="24"/>
          <w:szCs w:val="24"/>
          <w:u w:val="single"/>
        </w:rPr>
        <w:t>Allocation to Individual Natural Gas Suppliers. For each budget year, each natural gas supplier’s allocation will be calculated as follows  Any allowance allocated to natural gas suppliers must be used exclusively for the benefit of retail ratepayers of each such natural gas supplier, consistent with the goals of AB 32, and may not be used for the benefit of entities or persons other than such ratepayers.</w:t>
      </w:r>
    </w:p>
    <w:p w14:paraId="6AED8717" w14:textId="77777777" w:rsidR="005E18B3" w:rsidRPr="00B61FF1" w:rsidRDefault="005E18B3" w:rsidP="00D306CD">
      <w:pPr>
        <w:autoSpaceDE/>
        <w:autoSpaceDN/>
        <w:adjustRightInd/>
        <w:spacing w:line="360" w:lineRule="auto"/>
        <w:ind w:left="720" w:hanging="720"/>
        <w:rPr>
          <w:rFonts w:ascii="Arial" w:hAnsi="Arial" w:cs="Arial"/>
          <w:sz w:val="24"/>
          <w:szCs w:val="24"/>
          <w:u w:val="single"/>
        </w:rPr>
      </w:pPr>
    </w:p>
    <w:p w14:paraId="3564631C" w14:textId="5C06B1BF" w:rsidR="005E18B3" w:rsidRPr="00B61FF1" w:rsidRDefault="00661852" w:rsidP="00D306CD">
      <w:pPr>
        <w:autoSpaceDE/>
        <w:autoSpaceDN/>
        <w:adjustRightInd/>
        <w:spacing w:line="360" w:lineRule="auto"/>
        <w:ind w:left="720" w:hanging="720"/>
        <w:rPr>
          <w:rFonts w:ascii="Arial" w:hAnsi="Arial" w:cs="Arial"/>
          <w:sz w:val="24"/>
          <w:szCs w:val="24"/>
          <w:u w:val="single"/>
        </w:rPr>
      </w:pPr>
      <m:oMathPara>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m:t>
              </m:r>
            </m:e>
            <m:sub>
              <m:r>
                <w:rPr>
                  <w:rFonts w:ascii="Cambria Math" w:eastAsia="Calibri" w:hAnsi="Cambria Math" w:cs="Arial"/>
                  <w:sz w:val="24"/>
                  <w:szCs w:val="24"/>
                  <w:u w:val="single"/>
                </w:rPr>
                <m:t>S,t</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E</m:t>
              </m:r>
            </m:e>
            <m:sub>
              <m:r>
                <w:rPr>
                  <w:rFonts w:ascii="Cambria Math" w:eastAsia="Calibri" w:hAnsi="Cambria Math" w:cs="Arial"/>
                  <w:sz w:val="24"/>
                  <w:szCs w:val="24"/>
                  <w:u w:val="single"/>
                </w:rPr>
                <m:t>2013</m:t>
              </m:r>
            </m:sub>
          </m:sSub>
          <m:r>
            <w:rPr>
              <w:rFonts w:ascii="Cambria Math" w:eastAsia="Calibri" w:hAnsi="Cambria Math" w:cs="Arial"/>
              <w:sz w:val="24"/>
              <w:szCs w:val="24"/>
              <w:u w:val="single"/>
            </w:rPr>
            <m:t>*</m:t>
          </m:r>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c</m:t>
              </m:r>
            </m:e>
            <m:sub>
              <m:r>
                <w:rPr>
                  <w:rFonts w:ascii="Cambria Math" w:eastAsia="Calibri" w:hAnsi="Cambria Math" w:cs="Arial"/>
                  <w:sz w:val="24"/>
                  <w:szCs w:val="24"/>
                  <w:u w:val="single"/>
                </w:rPr>
                <m:t>a,t</m:t>
              </m:r>
            </m:sub>
          </m:sSub>
        </m:oMath>
      </m:oMathPara>
    </w:p>
    <w:p w14:paraId="673AF645" w14:textId="77777777" w:rsidR="005E18B3" w:rsidRPr="00B61FF1" w:rsidRDefault="005E18B3" w:rsidP="00D306CD">
      <w:pPr>
        <w:autoSpaceDE/>
        <w:autoSpaceDN/>
        <w:adjustRightInd/>
        <w:spacing w:line="360" w:lineRule="auto"/>
        <w:ind w:left="720" w:hanging="720"/>
        <w:rPr>
          <w:rFonts w:ascii="Arial" w:hAnsi="Arial" w:cs="Arial"/>
          <w:sz w:val="24"/>
          <w:szCs w:val="24"/>
          <w:u w:val="single"/>
        </w:rPr>
      </w:pPr>
    </w:p>
    <w:p w14:paraId="11048E93" w14:textId="77777777" w:rsidR="00E2662A" w:rsidRPr="00B61FF1" w:rsidRDefault="00E2662A" w:rsidP="00E2662A">
      <w:pPr>
        <w:autoSpaceDE/>
        <w:autoSpaceDN/>
        <w:adjustRightInd/>
        <w:spacing w:line="360" w:lineRule="auto"/>
        <w:ind w:left="720"/>
        <w:rPr>
          <w:rFonts w:ascii="Arial" w:hAnsi="Arial" w:cs="Arial"/>
          <w:sz w:val="24"/>
          <w:szCs w:val="24"/>
          <w:u w:val="single"/>
        </w:rPr>
      </w:pPr>
      <w:r w:rsidRPr="00B61FF1">
        <w:rPr>
          <w:rFonts w:ascii="Arial" w:hAnsi="Arial" w:cs="Arial"/>
          <w:sz w:val="24"/>
          <w:szCs w:val="24"/>
          <w:u w:val="single"/>
        </w:rPr>
        <w:t>Where:</w:t>
      </w:r>
    </w:p>
    <w:p w14:paraId="76DE4842" w14:textId="77777777" w:rsidR="00E2662A" w:rsidRPr="00B61FF1" w:rsidRDefault="00E2662A" w:rsidP="00E2662A">
      <w:pPr>
        <w:spacing w:line="360" w:lineRule="auto"/>
        <w:ind w:left="720"/>
        <w:rPr>
          <w:rFonts w:ascii="Arial" w:hAnsi="Arial" w:cs="Arial"/>
          <w:sz w:val="24"/>
          <w:szCs w:val="24"/>
          <w:u w:val="single"/>
        </w:rPr>
      </w:pPr>
    </w:p>
    <w:p w14:paraId="48870848" w14:textId="77777777" w:rsidR="00E2662A" w:rsidRPr="00B61FF1" w:rsidRDefault="00E2662A" w:rsidP="00E2662A">
      <w:pPr>
        <w:spacing w:line="360" w:lineRule="auto"/>
        <w:ind w:left="720"/>
        <w:rPr>
          <w:rFonts w:ascii="Arial" w:hAnsi="Arial" w:cs="Arial"/>
          <w:sz w:val="24"/>
          <w:szCs w:val="24"/>
          <w:u w:val="single"/>
        </w:rPr>
      </w:pPr>
      <w:r w:rsidRPr="00B61FF1">
        <w:rPr>
          <w:rFonts w:ascii="Arial" w:hAnsi="Arial" w:cs="Arial"/>
          <w:sz w:val="24"/>
          <w:szCs w:val="24"/>
          <w:u w:val="single"/>
        </w:rPr>
        <w:t>“</w:t>
      </w:r>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A</m:t>
            </m:r>
          </m:e>
          <m:sub>
            <m:r>
              <w:rPr>
                <w:rFonts w:ascii="Cambria Math" w:eastAsia="Calibri" w:hAnsi="Cambria Math" w:cs="Arial"/>
                <w:sz w:val="24"/>
                <w:szCs w:val="24"/>
                <w:u w:val="single"/>
              </w:rPr>
              <m:t>S,t</m:t>
            </m:r>
          </m:sub>
        </m:sSub>
      </m:oMath>
      <w:r w:rsidRPr="00B61FF1">
        <w:rPr>
          <w:rFonts w:ascii="Arial" w:hAnsi="Arial" w:cs="Arial"/>
          <w:sz w:val="24"/>
          <w:szCs w:val="24"/>
          <w:u w:val="single"/>
        </w:rPr>
        <w:t xml:space="preserve">” is the amount of California GHG allowances directly allocated to the natural gas supplier “S” from budget year “t”; </w:t>
      </w:r>
    </w:p>
    <w:p w14:paraId="7F55992E" w14:textId="77777777" w:rsidR="00E2662A" w:rsidRPr="00B61FF1" w:rsidRDefault="00E2662A" w:rsidP="00E2662A">
      <w:pPr>
        <w:spacing w:line="360" w:lineRule="auto"/>
        <w:rPr>
          <w:rFonts w:ascii="Arial" w:hAnsi="Arial" w:cs="Arial"/>
          <w:sz w:val="24"/>
          <w:szCs w:val="24"/>
          <w:u w:val="single"/>
        </w:rPr>
      </w:pPr>
    </w:p>
    <w:p w14:paraId="11E2708D" w14:textId="77777777" w:rsidR="00E2662A" w:rsidRPr="00B61FF1" w:rsidRDefault="00E2662A" w:rsidP="00E2662A">
      <w:pPr>
        <w:spacing w:line="360" w:lineRule="auto"/>
        <w:ind w:left="720"/>
        <w:rPr>
          <w:rFonts w:ascii="Arial" w:hAnsi="Arial" w:cs="Arial"/>
          <w:sz w:val="24"/>
          <w:szCs w:val="24"/>
          <w:u w:val="single"/>
        </w:rPr>
      </w:pPr>
      <w:r w:rsidRPr="00B61FF1">
        <w:rPr>
          <w:rFonts w:ascii="Arial" w:hAnsi="Arial" w:cs="Arial"/>
          <w:sz w:val="24"/>
          <w:szCs w:val="24"/>
          <w:u w:val="single"/>
        </w:rPr>
        <w:t>“</w:t>
      </w:r>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E</m:t>
            </m:r>
          </m:e>
          <m:sub>
            <m:r>
              <w:rPr>
                <w:rFonts w:ascii="Cambria Math" w:eastAsia="Calibri" w:hAnsi="Cambria Math" w:cs="Arial"/>
                <w:sz w:val="24"/>
                <w:szCs w:val="24"/>
                <w:u w:val="single"/>
              </w:rPr>
              <m:t>2013</m:t>
            </m:r>
          </m:sub>
        </m:sSub>
      </m:oMath>
      <w:r w:rsidRPr="00B61FF1">
        <w:rPr>
          <w:rFonts w:ascii="Arial" w:hAnsi="Arial" w:cs="Arial"/>
          <w:sz w:val="24"/>
          <w:szCs w:val="24"/>
          <w:u w:val="single"/>
        </w:rPr>
        <w:t>” is the emissions for natural gas supplier “S” for budget year 2013, as calculated using the compliance obligation calculation methods under section 95852(c);</w:t>
      </w:r>
    </w:p>
    <w:p w14:paraId="370487D9" w14:textId="77777777" w:rsidR="00E2662A" w:rsidRPr="00B61FF1" w:rsidRDefault="00E2662A" w:rsidP="00E2662A">
      <w:pPr>
        <w:spacing w:line="360" w:lineRule="auto"/>
        <w:ind w:left="720"/>
        <w:rPr>
          <w:rFonts w:ascii="Arial" w:hAnsi="Arial" w:cs="Arial"/>
          <w:sz w:val="24"/>
          <w:szCs w:val="24"/>
          <w:u w:val="single"/>
        </w:rPr>
      </w:pPr>
    </w:p>
    <w:p w14:paraId="43DC5345" w14:textId="77777777" w:rsidR="00E2662A" w:rsidRPr="00B61FF1" w:rsidRDefault="00E2662A" w:rsidP="00E2662A">
      <w:pPr>
        <w:spacing w:line="360" w:lineRule="auto"/>
        <w:ind w:left="709"/>
        <w:rPr>
          <w:rFonts w:ascii="Arial" w:hAnsi="Arial" w:cs="Arial"/>
          <w:sz w:val="24"/>
          <w:szCs w:val="24"/>
          <w:u w:val="single"/>
        </w:rPr>
      </w:pPr>
      <w:r w:rsidRPr="00B61FF1">
        <w:rPr>
          <w:rFonts w:ascii="Arial" w:hAnsi="Arial" w:cs="Arial"/>
          <w:sz w:val="24"/>
          <w:szCs w:val="24"/>
          <w:u w:val="single"/>
        </w:rPr>
        <w:t>“</w:t>
      </w:r>
      <m:oMath>
        <m:sSub>
          <m:sSubPr>
            <m:ctrlPr>
              <w:rPr>
                <w:rFonts w:ascii="Cambria Math" w:eastAsia="Calibri" w:hAnsi="Cambria Math" w:cs="Arial"/>
                <w:i/>
                <w:sz w:val="24"/>
                <w:szCs w:val="24"/>
                <w:u w:val="single"/>
              </w:rPr>
            </m:ctrlPr>
          </m:sSubPr>
          <m:e>
            <m:r>
              <w:rPr>
                <w:rFonts w:ascii="Cambria Math" w:eastAsia="Calibri" w:hAnsi="Cambria Math" w:cs="Arial"/>
                <w:sz w:val="24"/>
                <w:szCs w:val="24"/>
                <w:u w:val="single"/>
              </w:rPr>
              <m:t>c</m:t>
            </m:r>
          </m:e>
          <m:sub>
            <m:r>
              <w:rPr>
                <w:rFonts w:ascii="Cambria Math" w:eastAsia="Calibri" w:hAnsi="Cambria Math" w:cs="Arial"/>
                <w:sz w:val="24"/>
                <w:szCs w:val="24"/>
                <w:u w:val="single"/>
              </w:rPr>
              <m:t>a,t</m:t>
            </m:r>
          </m:sub>
        </m:sSub>
      </m:oMath>
      <w:r w:rsidRPr="00B61FF1">
        <w:rPr>
          <w:rFonts w:ascii="Arial" w:hAnsi="Arial" w:cs="Arial"/>
          <w:sz w:val="24"/>
          <w:szCs w:val="24"/>
          <w:u w:val="single"/>
        </w:rPr>
        <w:t>”</w:t>
      </w:r>
      <w:r w:rsidRPr="00B61FF1">
        <w:rPr>
          <w:rFonts w:ascii="Arial" w:hAnsi="Arial" w:cs="Arial"/>
          <w:sz w:val="24"/>
          <w:szCs w:val="24"/>
          <w:u w:val="single"/>
          <w:vertAlign w:val="subscript"/>
        </w:rPr>
        <w:t xml:space="preserve"> </w:t>
      </w:r>
      <w:r w:rsidRPr="00B61FF1">
        <w:rPr>
          <w:rFonts w:ascii="Arial" w:hAnsi="Arial" w:cs="Arial"/>
          <w:sz w:val="24"/>
          <w:szCs w:val="24"/>
          <w:u w:val="single"/>
        </w:rPr>
        <w:t xml:space="preserve"> is the adjustment factor for budget year “t” to account for cap decline as specified in Table 9-2; and</w:t>
      </w:r>
    </w:p>
    <w:p w14:paraId="05165BC2" w14:textId="77777777" w:rsidR="00E2662A" w:rsidRPr="00B61FF1" w:rsidRDefault="00E2662A" w:rsidP="00E2662A">
      <w:pPr>
        <w:spacing w:line="360" w:lineRule="auto"/>
        <w:ind w:left="72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Transfer to Utility Accounts. </w:t>
      </w:r>
    </w:p>
    <w:p w14:paraId="45CAD507"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When a natural gas supplier as defined in section 95811(c) is eligible for a direct allocation, it shall inform the Executive Officer by September 1, or the first business day thereafter of the amount of </w:t>
      </w:r>
      <w:r w:rsidRPr="00B61FF1">
        <w:rPr>
          <w:rFonts w:ascii="Arial" w:hAnsi="Arial" w:cs="Arial"/>
          <w:sz w:val="24"/>
          <w:szCs w:val="24"/>
          <w:u w:val="single"/>
        </w:rPr>
        <w:lastRenderedPageBreak/>
        <w:t xml:space="preserve">allowances to be placed into its Compliance and Limited Use Holding Account with the following constraints:  </w:t>
      </w:r>
    </w:p>
    <w:p w14:paraId="115B4630" w14:textId="4538F85E" w:rsidR="00E2662A" w:rsidRPr="00B61FF1" w:rsidRDefault="00E2662A" w:rsidP="00E2662A">
      <w:pPr>
        <w:spacing w:line="360" w:lineRule="auto"/>
        <w:ind w:left="216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The quantity of allowances placed into the Limited Use Holding Account will equal at least the amount of allowances provided in section 95893(a) multipl</w:t>
      </w:r>
      <w:r w:rsidR="001F3A12" w:rsidRPr="00B61FF1">
        <w:rPr>
          <w:rFonts w:ascii="Arial" w:hAnsi="Arial" w:cs="Arial"/>
          <w:sz w:val="24"/>
          <w:szCs w:val="24"/>
          <w:u w:val="single"/>
        </w:rPr>
        <w:t>i</w:t>
      </w:r>
      <w:r w:rsidRPr="00B61FF1">
        <w:rPr>
          <w:rFonts w:ascii="Arial" w:hAnsi="Arial" w:cs="Arial"/>
          <w:sz w:val="24"/>
          <w:szCs w:val="24"/>
          <w:u w:val="single"/>
        </w:rPr>
        <w:t>ed by the applicable percentage in Table 9-4.</w:t>
      </w:r>
    </w:p>
    <w:p w14:paraId="21EA5492" w14:textId="4740E17B" w:rsidR="00E2662A" w:rsidRPr="00B61FF1" w:rsidRDefault="00E2662A" w:rsidP="00E2662A">
      <w:pPr>
        <w:spacing w:line="360" w:lineRule="auto"/>
        <w:ind w:left="2160" w:hanging="720"/>
        <w:rPr>
          <w:rFonts w:ascii="Arial" w:hAnsi="Arial" w:cs="Arial"/>
          <w:sz w:val="24"/>
          <w:szCs w:val="24"/>
          <w:u w:val="single"/>
        </w:rPr>
      </w:pPr>
      <w:r w:rsidRPr="00B61FF1">
        <w:rPr>
          <w:rFonts w:ascii="Arial" w:hAnsi="Arial" w:cs="Arial"/>
          <w:sz w:val="24"/>
          <w:szCs w:val="24"/>
        </w:rPr>
        <w:tab/>
      </w: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The remaining allowances from the allowances allocated in section 95893(a) and the allowances placed into the Limited Use Holding Account in section 95893 (b)(1)(A) will be placed into the Compliance Account. </w:t>
      </w:r>
    </w:p>
    <w:p w14:paraId="35BB2D59" w14:textId="77777777" w:rsidR="00E2662A" w:rsidRPr="00B61FF1" w:rsidRDefault="00E2662A" w:rsidP="00E2662A">
      <w:pPr>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Monetization Requirement.</w:t>
      </w:r>
    </w:p>
    <w:p w14:paraId="68C76DAC" w14:textId="36658998"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 xml:space="preserve"> </w:t>
      </w:r>
      <w:r w:rsidRPr="00B61FF1">
        <w:rPr>
          <w:rFonts w:ascii="Arial" w:hAnsi="Arial" w:cs="Arial"/>
          <w:sz w:val="24"/>
          <w:szCs w:val="24"/>
        </w:rPr>
        <w:tab/>
      </w:r>
      <w:r w:rsidR="00E85500" w:rsidRPr="00B61FF1">
        <w:rPr>
          <w:rFonts w:ascii="Arial" w:hAnsi="Arial" w:cs="Arial"/>
          <w:sz w:val="24"/>
          <w:szCs w:val="24"/>
          <w:u w:val="single"/>
        </w:rPr>
        <w:t>Beginning in</w:t>
      </w:r>
      <w:r w:rsidRPr="00B61FF1">
        <w:rPr>
          <w:rFonts w:ascii="Arial" w:hAnsi="Arial" w:cs="Arial"/>
          <w:sz w:val="24"/>
          <w:szCs w:val="24"/>
          <w:u w:val="single"/>
        </w:rPr>
        <w:t xml:space="preserve"> 2015 and each calendar year thereafter, a natural gas supplier must offer for sale at auction specified allowances in its limited use holding account equal to at least the amount of allowances provided in section 95893(a) multipl</w:t>
      </w:r>
      <w:r w:rsidR="001F3A12" w:rsidRPr="00B61FF1">
        <w:rPr>
          <w:rFonts w:ascii="Arial" w:hAnsi="Arial" w:cs="Arial"/>
          <w:sz w:val="24"/>
          <w:szCs w:val="24"/>
          <w:u w:val="single"/>
        </w:rPr>
        <w:t>i</w:t>
      </w:r>
      <w:r w:rsidRPr="00B61FF1">
        <w:rPr>
          <w:rFonts w:ascii="Arial" w:hAnsi="Arial" w:cs="Arial"/>
          <w:sz w:val="24"/>
          <w:szCs w:val="24"/>
          <w:u w:val="single"/>
        </w:rPr>
        <w:t xml:space="preserve">ed by the applicable percentage in Table 9-4;  </w:t>
      </w:r>
    </w:p>
    <w:p w14:paraId="45C73E1E" w14:textId="77777777" w:rsidR="00E2662A" w:rsidRPr="00B61FF1" w:rsidRDefault="00E2662A" w:rsidP="00E2662A">
      <w:pPr>
        <w:spacing w:line="360" w:lineRule="auto"/>
        <w:ind w:left="72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Limitations on the Use of Auction Proceeds and Allowance Value. </w:t>
      </w:r>
    </w:p>
    <w:p w14:paraId="07A6EE8D"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Proceeds obtained from the monetization of allowances directly allocated to a publicly owned natural gas utility shall be subject to any limitations imposed by the governing body of the utility and to the additional requirements set forth in sections 95893(d)(3) through 95893(d)(5) and 95893(e). </w:t>
      </w:r>
    </w:p>
    <w:p w14:paraId="2A1A4F0C"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Proceeds obtained from the monetization of allowances directly allocated to public utility gas corporations shall be subject to any limitations imposed by the California Public Utilities Commission and to the additional requirements set forth in sections 95893(d)(3) through 95893(d)(5) and 95893(e). </w:t>
      </w:r>
    </w:p>
    <w:p w14:paraId="4E573F33"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Auction proceeds and allowance value obtained by a natural gas supplier shall be used exclusively for the benefit of retail ratepayers of each natural gas supplier, consistent with the goals of AB 32, and may not be used for the benefit of entities or persons other </w:t>
      </w:r>
      <w:r w:rsidRPr="00B61FF1">
        <w:rPr>
          <w:rFonts w:ascii="Arial" w:hAnsi="Arial" w:cs="Arial"/>
          <w:sz w:val="24"/>
          <w:szCs w:val="24"/>
          <w:u w:val="single"/>
        </w:rPr>
        <w:lastRenderedPageBreak/>
        <w:t>than such ratepayers. Any revenue returned to ratepayers must be done in a non-volumetric manner.</w:t>
      </w:r>
    </w:p>
    <w:p w14:paraId="04205814"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(4)</w:t>
      </w:r>
      <w:r w:rsidRPr="002807B7">
        <w:rPr>
          <w:rFonts w:ascii="Arial" w:hAnsi="Arial" w:cs="Arial"/>
          <w:sz w:val="24"/>
          <w:szCs w:val="24"/>
        </w:rPr>
        <w:t xml:space="preserve"> </w:t>
      </w:r>
      <w:r w:rsidRPr="002807B7">
        <w:rPr>
          <w:rFonts w:ascii="Arial" w:hAnsi="Arial" w:cs="Arial"/>
          <w:sz w:val="24"/>
          <w:szCs w:val="24"/>
        </w:rPr>
        <w:tab/>
      </w:r>
      <w:r w:rsidRPr="00B61FF1">
        <w:rPr>
          <w:rFonts w:ascii="Arial" w:hAnsi="Arial" w:cs="Arial"/>
          <w:sz w:val="24"/>
          <w:szCs w:val="24"/>
          <w:u w:val="single"/>
        </w:rPr>
        <w:t xml:space="preserve">Public utility gas corporations shall ensure equal treatment of their procurement and delivery customers and delivery-only customers. </w:t>
      </w:r>
    </w:p>
    <w:p w14:paraId="67DFB4DB"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(5)</w:t>
      </w:r>
      <w:r w:rsidRPr="002807B7">
        <w:rPr>
          <w:rFonts w:ascii="Arial" w:hAnsi="Arial" w:cs="Arial"/>
          <w:sz w:val="24"/>
          <w:szCs w:val="24"/>
        </w:rPr>
        <w:t xml:space="preserve"> </w:t>
      </w:r>
      <w:r w:rsidRPr="002807B7">
        <w:rPr>
          <w:rFonts w:ascii="Arial" w:hAnsi="Arial" w:cs="Arial"/>
          <w:sz w:val="24"/>
          <w:szCs w:val="24"/>
        </w:rPr>
        <w:tab/>
      </w:r>
      <w:r w:rsidRPr="00B61FF1">
        <w:rPr>
          <w:rFonts w:ascii="Arial" w:hAnsi="Arial" w:cs="Arial"/>
          <w:sz w:val="24"/>
          <w:szCs w:val="24"/>
          <w:u w:val="single"/>
        </w:rPr>
        <w:t>Prohibited Use of Allocated Allowance Value. Use of the value of any allowance allocated to a natural gas supplier, other than for the benefit of retail ratepayers consistent with the goals of AB 32 is prohibited.</w:t>
      </w:r>
    </w:p>
    <w:p w14:paraId="0C2A1B3D" w14:textId="77777777" w:rsidR="00E2662A" w:rsidRPr="00B61FF1" w:rsidRDefault="00E2662A" w:rsidP="00E2662A">
      <w:pPr>
        <w:spacing w:line="360" w:lineRule="auto"/>
        <w:ind w:left="72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Reporting on the Use of Auction Proceeds and Allowance Value. No later than June 30, 2016, and each calendar year thereafter, each natural gas supplier shall submit a report to the Executive Officer describing the disposition of any auction proceeds and allowance value received in the prior calendar year. This report shall include: </w:t>
      </w:r>
    </w:p>
    <w:p w14:paraId="4663B94B"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The monetary value of auction proceeds received by the natural gas supplier; </w:t>
      </w:r>
    </w:p>
    <w:p w14:paraId="7AC84CAE"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How the natural gas supplier’s disposition of such auction proceeds complies with the requirements of this section and the requirements of California Health and Safety Code sections 38500 et seq.; </w:t>
      </w:r>
    </w:p>
    <w:p w14:paraId="7132B8A0" w14:textId="77777777" w:rsidR="00E2662A"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 xml:space="preserve">The monetary value of allowances received by the natural gas supplier which were deposited directly into its compliance account. The natural gas supplier shall calculate the value of these allowances based on the average market clearing price of the four quarterly auctions held in the same calendar year that the allowances are allocated; and </w:t>
      </w:r>
    </w:p>
    <w:p w14:paraId="23AEF0C3" w14:textId="41E1D746" w:rsidR="008A3C31" w:rsidRPr="00B61FF1" w:rsidRDefault="00E2662A" w:rsidP="00E2662A">
      <w:pPr>
        <w:spacing w:line="360" w:lineRule="auto"/>
        <w:ind w:left="144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How the natural gas supplier’s disposition of the monetary value of allowances, including those deposited directly into its compliance account, complies with the requirements of this section and the requirements of California Health and Safety Code sections 38500 et seq.</w:t>
      </w:r>
    </w:p>
    <w:p w14:paraId="2BD20FE2" w14:textId="16C692A0" w:rsidR="008A3C31" w:rsidRPr="00B61FF1" w:rsidRDefault="008A3C31" w:rsidP="008A3C31">
      <w:pPr>
        <w:pStyle w:val="Heading2"/>
      </w:pPr>
      <w:bookmarkStart w:id="328" w:name="_Toc361659867"/>
      <w:r w:rsidRPr="00B61FF1">
        <w:lastRenderedPageBreak/>
        <w:t>Table 9-4: Percentage Consignment Requirements for Natural Gas Utilities by Year</w:t>
      </w:r>
      <w:bookmarkEnd w:id="328"/>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727"/>
        <w:gridCol w:w="893"/>
        <w:gridCol w:w="893"/>
        <w:gridCol w:w="893"/>
        <w:gridCol w:w="893"/>
        <w:gridCol w:w="893"/>
        <w:gridCol w:w="893"/>
      </w:tblGrid>
      <w:tr w:rsidR="005E18B3" w:rsidRPr="00B61FF1" w14:paraId="5AA8370C" w14:textId="77777777" w:rsidTr="005E18B3">
        <w:trPr>
          <w:trHeight w:val="315"/>
        </w:trPr>
        <w:tc>
          <w:tcPr>
            <w:tcW w:w="1727" w:type="dxa"/>
            <w:noWrap/>
            <w:hideMark/>
          </w:tcPr>
          <w:p w14:paraId="34B81896" w14:textId="77777777" w:rsidR="005E18B3" w:rsidRPr="00B61FF1" w:rsidRDefault="005E18B3" w:rsidP="00CF46F3">
            <w:pPr>
              <w:pStyle w:val="Default"/>
              <w:rPr>
                <w:u w:val="single"/>
              </w:rPr>
            </w:pPr>
            <w:r w:rsidRPr="00B61FF1">
              <w:rPr>
                <w:u w:val="single"/>
              </w:rPr>
              <w:t>Compliance Period</w:t>
            </w:r>
          </w:p>
        </w:tc>
        <w:tc>
          <w:tcPr>
            <w:tcW w:w="2679" w:type="dxa"/>
            <w:gridSpan w:val="3"/>
            <w:noWrap/>
            <w:hideMark/>
          </w:tcPr>
          <w:p w14:paraId="678DD9E2" w14:textId="77777777" w:rsidR="005E18B3" w:rsidRPr="00B61FF1" w:rsidRDefault="005E18B3" w:rsidP="00CF46F3">
            <w:pPr>
              <w:pStyle w:val="Default"/>
              <w:rPr>
                <w:u w:val="single"/>
              </w:rPr>
            </w:pPr>
            <w:r w:rsidRPr="00B61FF1">
              <w:rPr>
                <w:u w:val="single"/>
              </w:rPr>
              <w:t>2</w:t>
            </w:r>
          </w:p>
        </w:tc>
        <w:tc>
          <w:tcPr>
            <w:tcW w:w="2679" w:type="dxa"/>
            <w:gridSpan w:val="3"/>
            <w:noWrap/>
            <w:hideMark/>
          </w:tcPr>
          <w:p w14:paraId="47EC98A1" w14:textId="77777777" w:rsidR="005E18B3" w:rsidRPr="00B61FF1" w:rsidRDefault="005E18B3" w:rsidP="00CF46F3">
            <w:pPr>
              <w:pStyle w:val="Default"/>
              <w:rPr>
                <w:u w:val="single"/>
              </w:rPr>
            </w:pPr>
            <w:r w:rsidRPr="00B61FF1">
              <w:rPr>
                <w:u w:val="single"/>
              </w:rPr>
              <w:t>3</w:t>
            </w:r>
          </w:p>
        </w:tc>
      </w:tr>
      <w:tr w:rsidR="005E18B3" w:rsidRPr="00B61FF1" w14:paraId="3B86898A" w14:textId="77777777" w:rsidTr="005E18B3">
        <w:trPr>
          <w:trHeight w:val="315"/>
        </w:trPr>
        <w:tc>
          <w:tcPr>
            <w:tcW w:w="1727" w:type="dxa"/>
            <w:noWrap/>
            <w:hideMark/>
          </w:tcPr>
          <w:p w14:paraId="0254AA0B" w14:textId="77777777" w:rsidR="005E18B3" w:rsidRPr="00B61FF1" w:rsidRDefault="005E18B3" w:rsidP="00CF46F3">
            <w:pPr>
              <w:pStyle w:val="Default"/>
              <w:rPr>
                <w:u w:val="single"/>
              </w:rPr>
            </w:pPr>
            <w:r w:rsidRPr="00B61FF1">
              <w:rPr>
                <w:u w:val="single"/>
              </w:rPr>
              <w:t>Year</w:t>
            </w:r>
          </w:p>
        </w:tc>
        <w:tc>
          <w:tcPr>
            <w:tcW w:w="893" w:type="dxa"/>
            <w:noWrap/>
            <w:hideMark/>
          </w:tcPr>
          <w:p w14:paraId="45FA4885" w14:textId="77777777" w:rsidR="005E18B3" w:rsidRPr="00B61FF1" w:rsidRDefault="005E18B3" w:rsidP="00CF46F3">
            <w:pPr>
              <w:pStyle w:val="Default"/>
              <w:rPr>
                <w:u w:val="single"/>
              </w:rPr>
            </w:pPr>
            <w:r w:rsidRPr="00B61FF1">
              <w:rPr>
                <w:u w:val="single"/>
              </w:rPr>
              <w:t>2015</w:t>
            </w:r>
          </w:p>
        </w:tc>
        <w:tc>
          <w:tcPr>
            <w:tcW w:w="893" w:type="dxa"/>
            <w:noWrap/>
            <w:hideMark/>
          </w:tcPr>
          <w:p w14:paraId="2DBCFE2B" w14:textId="77777777" w:rsidR="005E18B3" w:rsidRPr="00B61FF1" w:rsidRDefault="005E18B3" w:rsidP="00CF46F3">
            <w:pPr>
              <w:pStyle w:val="Default"/>
              <w:rPr>
                <w:u w:val="single"/>
              </w:rPr>
            </w:pPr>
            <w:r w:rsidRPr="00B61FF1">
              <w:rPr>
                <w:u w:val="single"/>
              </w:rPr>
              <w:t>2016</w:t>
            </w:r>
          </w:p>
        </w:tc>
        <w:tc>
          <w:tcPr>
            <w:tcW w:w="893" w:type="dxa"/>
            <w:noWrap/>
            <w:hideMark/>
          </w:tcPr>
          <w:p w14:paraId="466F8805" w14:textId="77777777" w:rsidR="005E18B3" w:rsidRPr="00B61FF1" w:rsidRDefault="005E18B3" w:rsidP="00CF46F3">
            <w:pPr>
              <w:pStyle w:val="Default"/>
              <w:rPr>
                <w:u w:val="single"/>
              </w:rPr>
            </w:pPr>
            <w:r w:rsidRPr="00B61FF1">
              <w:rPr>
                <w:u w:val="single"/>
              </w:rPr>
              <w:t>2017</w:t>
            </w:r>
          </w:p>
        </w:tc>
        <w:tc>
          <w:tcPr>
            <w:tcW w:w="893" w:type="dxa"/>
            <w:noWrap/>
            <w:hideMark/>
          </w:tcPr>
          <w:p w14:paraId="3FC1FDD6" w14:textId="77777777" w:rsidR="005E18B3" w:rsidRPr="00B61FF1" w:rsidRDefault="005E18B3" w:rsidP="00CF46F3">
            <w:pPr>
              <w:pStyle w:val="Default"/>
              <w:rPr>
                <w:u w:val="single"/>
              </w:rPr>
            </w:pPr>
            <w:r w:rsidRPr="00B61FF1">
              <w:rPr>
                <w:u w:val="single"/>
              </w:rPr>
              <w:t>2018</w:t>
            </w:r>
          </w:p>
        </w:tc>
        <w:tc>
          <w:tcPr>
            <w:tcW w:w="893" w:type="dxa"/>
            <w:noWrap/>
            <w:hideMark/>
          </w:tcPr>
          <w:p w14:paraId="1033C24D" w14:textId="77777777" w:rsidR="005E18B3" w:rsidRPr="00B61FF1" w:rsidRDefault="005E18B3" w:rsidP="00CF46F3">
            <w:pPr>
              <w:pStyle w:val="Default"/>
              <w:rPr>
                <w:u w:val="single"/>
              </w:rPr>
            </w:pPr>
            <w:r w:rsidRPr="00B61FF1">
              <w:rPr>
                <w:u w:val="single"/>
              </w:rPr>
              <w:t>2019</w:t>
            </w:r>
          </w:p>
        </w:tc>
        <w:tc>
          <w:tcPr>
            <w:tcW w:w="893" w:type="dxa"/>
            <w:noWrap/>
            <w:hideMark/>
          </w:tcPr>
          <w:p w14:paraId="2CB1C95C" w14:textId="77777777" w:rsidR="005E18B3" w:rsidRPr="00B61FF1" w:rsidRDefault="005E18B3" w:rsidP="00CF46F3">
            <w:pPr>
              <w:pStyle w:val="Default"/>
              <w:rPr>
                <w:u w:val="single"/>
              </w:rPr>
            </w:pPr>
            <w:r w:rsidRPr="00B61FF1">
              <w:rPr>
                <w:u w:val="single"/>
              </w:rPr>
              <w:t>2020</w:t>
            </w:r>
          </w:p>
        </w:tc>
      </w:tr>
      <w:tr w:rsidR="005E18B3" w:rsidRPr="00B61FF1" w14:paraId="1D243AAC" w14:textId="77777777" w:rsidTr="005E18B3">
        <w:trPr>
          <w:trHeight w:val="315"/>
        </w:trPr>
        <w:tc>
          <w:tcPr>
            <w:tcW w:w="1727" w:type="dxa"/>
            <w:noWrap/>
            <w:hideMark/>
          </w:tcPr>
          <w:p w14:paraId="33575909" w14:textId="77777777" w:rsidR="005E18B3" w:rsidRPr="00B61FF1" w:rsidRDefault="005E18B3" w:rsidP="00CF46F3">
            <w:pPr>
              <w:pStyle w:val="Default"/>
              <w:rPr>
                <w:u w:val="single"/>
              </w:rPr>
            </w:pPr>
            <w:r w:rsidRPr="00B61FF1">
              <w:rPr>
                <w:u w:val="single"/>
              </w:rPr>
              <w:t>Percent Consigned</w:t>
            </w:r>
          </w:p>
        </w:tc>
        <w:tc>
          <w:tcPr>
            <w:tcW w:w="893" w:type="dxa"/>
            <w:noWrap/>
            <w:vAlign w:val="center"/>
          </w:tcPr>
          <w:p w14:paraId="3B3DB51C" w14:textId="77777777" w:rsidR="005E18B3" w:rsidRPr="00B61FF1" w:rsidRDefault="005E18B3" w:rsidP="00CF46F3">
            <w:pPr>
              <w:pStyle w:val="Default"/>
              <w:jc w:val="center"/>
              <w:rPr>
                <w:u w:val="single"/>
              </w:rPr>
            </w:pPr>
            <w:r w:rsidRPr="00B61FF1">
              <w:rPr>
                <w:u w:val="single"/>
              </w:rPr>
              <w:t>25%</w:t>
            </w:r>
          </w:p>
        </w:tc>
        <w:tc>
          <w:tcPr>
            <w:tcW w:w="893" w:type="dxa"/>
            <w:noWrap/>
            <w:vAlign w:val="center"/>
          </w:tcPr>
          <w:p w14:paraId="4959C764" w14:textId="77777777" w:rsidR="005E18B3" w:rsidRPr="00B61FF1" w:rsidRDefault="005E18B3" w:rsidP="00CF46F3">
            <w:pPr>
              <w:pStyle w:val="Default"/>
              <w:jc w:val="center"/>
              <w:rPr>
                <w:u w:val="single"/>
              </w:rPr>
            </w:pPr>
            <w:r w:rsidRPr="00B61FF1">
              <w:rPr>
                <w:u w:val="single"/>
              </w:rPr>
              <w:t>30%</w:t>
            </w:r>
          </w:p>
        </w:tc>
        <w:tc>
          <w:tcPr>
            <w:tcW w:w="893" w:type="dxa"/>
            <w:noWrap/>
            <w:vAlign w:val="center"/>
          </w:tcPr>
          <w:p w14:paraId="14432777" w14:textId="77777777" w:rsidR="005E18B3" w:rsidRPr="00B61FF1" w:rsidRDefault="005E18B3" w:rsidP="00CF46F3">
            <w:pPr>
              <w:pStyle w:val="Default"/>
              <w:jc w:val="center"/>
              <w:rPr>
                <w:u w:val="single"/>
              </w:rPr>
            </w:pPr>
            <w:r w:rsidRPr="00B61FF1">
              <w:rPr>
                <w:u w:val="single"/>
              </w:rPr>
              <w:t>35%</w:t>
            </w:r>
          </w:p>
        </w:tc>
        <w:tc>
          <w:tcPr>
            <w:tcW w:w="893" w:type="dxa"/>
            <w:noWrap/>
            <w:vAlign w:val="center"/>
          </w:tcPr>
          <w:p w14:paraId="6F4DB56D" w14:textId="77777777" w:rsidR="005E18B3" w:rsidRPr="00B61FF1" w:rsidRDefault="005E18B3" w:rsidP="00CF46F3">
            <w:pPr>
              <w:pStyle w:val="Default"/>
              <w:jc w:val="center"/>
              <w:rPr>
                <w:u w:val="single"/>
              </w:rPr>
            </w:pPr>
            <w:r w:rsidRPr="00B61FF1">
              <w:rPr>
                <w:u w:val="single"/>
              </w:rPr>
              <w:t>40%</w:t>
            </w:r>
          </w:p>
        </w:tc>
        <w:tc>
          <w:tcPr>
            <w:tcW w:w="893" w:type="dxa"/>
            <w:noWrap/>
            <w:vAlign w:val="center"/>
          </w:tcPr>
          <w:p w14:paraId="13361574" w14:textId="77777777" w:rsidR="005E18B3" w:rsidRPr="00B61FF1" w:rsidRDefault="005E18B3" w:rsidP="00CF46F3">
            <w:pPr>
              <w:pStyle w:val="Default"/>
              <w:jc w:val="center"/>
              <w:rPr>
                <w:u w:val="single"/>
              </w:rPr>
            </w:pPr>
            <w:r w:rsidRPr="00B61FF1">
              <w:rPr>
                <w:u w:val="single"/>
              </w:rPr>
              <w:t>45%</w:t>
            </w:r>
          </w:p>
        </w:tc>
        <w:tc>
          <w:tcPr>
            <w:tcW w:w="893" w:type="dxa"/>
            <w:noWrap/>
            <w:vAlign w:val="center"/>
          </w:tcPr>
          <w:p w14:paraId="1CE1CA8D" w14:textId="1A7F2B26" w:rsidR="005E18B3" w:rsidRPr="00B61FF1" w:rsidRDefault="005E18B3" w:rsidP="00D306CD">
            <w:pPr>
              <w:pStyle w:val="Default"/>
              <w:jc w:val="center"/>
              <w:rPr>
                <w:u w:val="single"/>
              </w:rPr>
            </w:pPr>
            <w:r w:rsidRPr="00B61FF1">
              <w:rPr>
                <w:u w:val="single"/>
              </w:rPr>
              <w:t>50%</w:t>
            </w:r>
          </w:p>
        </w:tc>
      </w:tr>
    </w:tbl>
    <w:p w14:paraId="2EC73892" w14:textId="77777777" w:rsidR="008A3C31" w:rsidRPr="00B61FF1" w:rsidRDefault="008A3C31" w:rsidP="008A3C31">
      <w:pPr>
        <w:spacing w:line="360" w:lineRule="auto"/>
        <w:ind w:left="720" w:hanging="720"/>
        <w:rPr>
          <w:rFonts w:ascii="Arial" w:hAnsi="Arial" w:cs="Arial"/>
          <w:sz w:val="24"/>
          <w:szCs w:val="24"/>
          <w:u w:val="single"/>
        </w:rPr>
      </w:pPr>
    </w:p>
    <w:p w14:paraId="2554D449" w14:textId="77777777" w:rsidR="008A3C31" w:rsidRPr="00B61FF1" w:rsidRDefault="008A3C31" w:rsidP="008A3C31">
      <w:pPr>
        <w:rPr>
          <w:rFonts w:ascii="Arial" w:hAnsi="Arial" w:cs="Arial"/>
          <w:u w:val="single"/>
        </w:rPr>
      </w:pPr>
      <w:r w:rsidRPr="00B61FF1">
        <w:rPr>
          <w:rFonts w:ascii="Arial" w:hAnsi="Arial" w:cs="Arial"/>
          <w:u w:val="single"/>
        </w:rPr>
        <w:t>NOTE:  Authority cited:  Sections 38510, 38560, 38562, 38570, 38571, 38580, 39600 and 39601, Health and Safety Code.</w:t>
      </w:r>
    </w:p>
    <w:p w14:paraId="4260ABE4" w14:textId="77777777" w:rsidR="008A3C31" w:rsidRPr="00B61FF1" w:rsidRDefault="008A3C31" w:rsidP="008A3C31">
      <w:pPr>
        <w:rPr>
          <w:rFonts w:ascii="Arial" w:hAnsi="Arial" w:cs="Arial"/>
          <w:u w:val="single"/>
        </w:rPr>
      </w:pPr>
      <w:r w:rsidRPr="00B61FF1">
        <w:rPr>
          <w:rFonts w:ascii="Arial" w:hAnsi="Arial" w:cs="Arial"/>
          <w:u w:val="single"/>
        </w:rPr>
        <w:t>Reference:  Sections 38530, 38560.5, 38564, 38565, 38570 and 39600, Health and Safety Code.</w:t>
      </w:r>
    </w:p>
    <w:p w14:paraId="73361317" w14:textId="77777777" w:rsidR="008A3C31" w:rsidRPr="00B61FF1" w:rsidRDefault="008A3C31" w:rsidP="008A3C31">
      <w:pPr>
        <w:spacing w:line="360" w:lineRule="auto"/>
        <w:ind w:left="720" w:hanging="720"/>
        <w:rPr>
          <w:rFonts w:ascii="Arial" w:hAnsi="Arial" w:cs="Arial"/>
          <w:sz w:val="24"/>
          <w:szCs w:val="24"/>
          <w:u w:val="single"/>
        </w:rPr>
      </w:pPr>
    </w:p>
    <w:p w14:paraId="530DF364" w14:textId="34B86955" w:rsidR="00111CCD" w:rsidRPr="00B61FF1" w:rsidRDefault="00111CCD" w:rsidP="00111CCD">
      <w:pPr>
        <w:pStyle w:val="Heading2"/>
        <w:rPr>
          <w:u w:val="single"/>
        </w:rPr>
      </w:pPr>
      <w:bookmarkStart w:id="329" w:name="_Toc361659868"/>
      <w:r w:rsidRPr="00B61FF1">
        <w:rPr>
          <w:u w:val="single"/>
        </w:rPr>
        <w:t>§ 9589</w:t>
      </w:r>
      <w:r w:rsidR="007B1C27" w:rsidRPr="00B61FF1">
        <w:rPr>
          <w:u w:val="single"/>
        </w:rPr>
        <w:t>4</w:t>
      </w:r>
      <w:r w:rsidRPr="00B61FF1">
        <w:rPr>
          <w:u w:val="single"/>
        </w:rPr>
        <w:t>.  Allocation to Legacy Contract Generators for Transition Assistance.</w:t>
      </w:r>
      <w:bookmarkEnd w:id="329"/>
    </w:p>
    <w:p w14:paraId="67DE45CF" w14:textId="0BD83C70" w:rsidR="00111CCD" w:rsidRPr="00B61FF1" w:rsidRDefault="007B1C27" w:rsidP="007B1C27">
      <w:pPr>
        <w:keepNext/>
        <w:keepLines/>
        <w:widowControl w:val="0"/>
        <w:autoSpaceDE/>
        <w:autoSpaceDN/>
        <w:adjustRightInd/>
        <w:spacing w:line="360" w:lineRule="auto"/>
        <w:ind w:left="720" w:hanging="720"/>
        <w:rPr>
          <w:rFonts w:ascii="Arial" w:eastAsia="Times New Roman" w:hAnsi="Arial" w:cs="Arial"/>
          <w:sz w:val="24"/>
          <w:szCs w:val="24"/>
          <w:u w:val="single"/>
        </w:rPr>
      </w:pPr>
      <w:r w:rsidRPr="00B61FF1">
        <w:rPr>
          <w:rFonts w:ascii="Arial" w:eastAsia="Times New Roman" w:hAnsi="Arial" w:cs="Arial"/>
          <w:sz w:val="24"/>
          <w:szCs w:val="24"/>
          <w:u w:val="single"/>
        </w:rPr>
        <w:t>(a)</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Demonstration of Eligibility.  To be eligible to receive a direct allocation of allowances under this section, the primary or alternate account representative of a legacy contract generator shall submit the following in writing via certified mail to the Executive Officer by June 30, 2014</w:t>
      </w:r>
      <w:r w:rsidR="00203780" w:rsidRPr="00B61FF1">
        <w:t xml:space="preserve"> </w:t>
      </w:r>
      <w:r w:rsidR="00203780" w:rsidRPr="00B61FF1">
        <w:rPr>
          <w:rFonts w:ascii="Arial" w:eastAsia="Times New Roman" w:hAnsi="Arial" w:cs="Arial"/>
          <w:sz w:val="24"/>
          <w:szCs w:val="24"/>
          <w:u w:val="single"/>
        </w:rPr>
        <w:t>or within 30 days of the effective date of this regulation, whichever is later</w:t>
      </w:r>
      <w:r w:rsidR="00111CCD" w:rsidRPr="00B61FF1">
        <w:rPr>
          <w:rFonts w:ascii="Arial" w:eastAsia="Times New Roman" w:hAnsi="Arial" w:cs="Arial"/>
          <w:sz w:val="24"/>
          <w:szCs w:val="24"/>
          <w:u w:val="single"/>
        </w:rPr>
        <w:t xml:space="preserve">: </w:t>
      </w:r>
      <w:bookmarkStart w:id="330" w:name="_DV_C19"/>
    </w:p>
    <w:p w14:paraId="5528FA01" w14:textId="7D8658EA" w:rsidR="00111CCD" w:rsidRPr="00B61FF1" w:rsidRDefault="00CF46F3" w:rsidP="00CF46F3">
      <w:pPr>
        <w:widowControl w:val="0"/>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t>(1)</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A letter to ARB stating covered entity name, identification of legacy contract counterparty, and statement requesting transition assistance for emissions reported and verified for the previous year’s legacy contract emissions.</w:t>
      </w:r>
    </w:p>
    <w:p w14:paraId="200BD01B" w14:textId="260E0158" w:rsidR="00111CCD" w:rsidRPr="00B61FF1" w:rsidRDefault="00CF46F3" w:rsidP="00CF46F3">
      <w:pPr>
        <w:widowControl w:val="0"/>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t>(2)</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Copy of the following portions from the legacy contract for which it is seeking an allocation;</w:t>
      </w:r>
      <w:bookmarkStart w:id="331" w:name="_DV_C21"/>
      <w:bookmarkEnd w:id="330"/>
    </w:p>
    <w:p w14:paraId="003B6A30" w14:textId="1F1438EA" w:rsidR="00111CCD" w:rsidRPr="00B61FF1" w:rsidRDefault="007B1C27" w:rsidP="007B1C27">
      <w:pPr>
        <w:widowControl w:val="0"/>
        <w:autoSpaceDE/>
        <w:autoSpaceDN/>
        <w:adjustRightInd/>
        <w:spacing w:line="360" w:lineRule="auto"/>
        <w:ind w:left="2160" w:hanging="720"/>
        <w:rPr>
          <w:rFonts w:ascii="Arial" w:eastAsia="Times New Roman" w:hAnsi="Arial" w:cs="Arial"/>
          <w:sz w:val="24"/>
          <w:szCs w:val="24"/>
          <w:u w:val="single"/>
        </w:rPr>
      </w:pPr>
      <w:r w:rsidRPr="00B61FF1">
        <w:rPr>
          <w:rFonts w:ascii="Arial" w:eastAsia="Times New Roman" w:hAnsi="Arial" w:cs="Arial"/>
          <w:sz w:val="24"/>
          <w:szCs w:val="24"/>
          <w:u w:val="single"/>
        </w:rPr>
        <w:t>(A)</w:t>
      </w:r>
      <w:r w:rsidRPr="00BD74AD">
        <w:rPr>
          <w:rFonts w:ascii="Arial" w:eastAsia="Times New Roman" w:hAnsi="Arial" w:cs="Arial"/>
          <w:sz w:val="24"/>
          <w:szCs w:val="24"/>
        </w:rPr>
        <w:tab/>
      </w:r>
      <w:r w:rsidR="00111CCD" w:rsidRPr="00B61FF1">
        <w:rPr>
          <w:rFonts w:ascii="Arial" w:eastAsia="Times New Roman" w:hAnsi="Arial" w:cs="Arial"/>
          <w:sz w:val="24"/>
          <w:szCs w:val="24"/>
          <w:u w:val="single"/>
        </w:rPr>
        <w:t>Dates of effective commencement and cessation of terms of contract.</w:t>
      </w:r>
    </w:p>
    <w:p w14:paraId="026566C4" w14:textId="50653F7A" w:rsidR="00111CCD" w:rsidRPr="00B61FF1" w:rsidRDefault="007B1C27" w:rsidP="007B1C27">
      <w:pPr>
        <w:widowControl w:val="0"/>
        <w:autoSpaceDE/>
        <w:autoSpaceDN/>
        <w:adjustRightInd/>
        <w:spacing w:line="360" w:lineRule="auto"/>
        <w:ind w:left="2160" w:hanging="720"/>
        <w:rPr>
          <w:rFonts w:ascii="Arial" w:eastAsia="Times New Roman" w:hAnsi="Arial" w:cs="Arial"/>
          <w:sz w:val="24"/>
          <w:szCs w:val="24"/>
          <w:u w:val="single"/>
        </w:rPr>
      </w:pPr>
      <w:r w:rsidRPr="00B61FF1">
        <w:rPr>
          <w:rFonts w:ascii="Arial" w:eastAsia="Times New Roman" w:hAnsi="Arial" w:cs="Arial"/>
          <w:sz w:val="24"/>
          <w:szCs w:val="24"/>
          <w:u w:val="single"/>
        </w:rPr>
        <w:t>(B)</w:t>
      </w:r>
      <w:r w:rsidRPr="00BD74AD">
        <w:rPr>
          <w:rFonts w:ascii="Arial" w:eastAsia="Times New Roman" w:hAnsi="Arial" w:cs="Arial"/>
          <w:sz w:val="24"/>
          <w:szCs w:val="24"/>
        </w:rPr>
        <w:tab/>
      </w:r>
      <w:r w:rsidR="00111CCD" w:rsidRPr="00B61FF1">
        <w:rPr>
          <w:rFonts w:ascii="Arial" w:eastAsia="Times New Roman" w:hAnsi="Arial" w:cs="Arial"/>
          <w:sz w:val="24"/>
          <w:szCs w:val="24"/>
          <w:u w:val="single"/>
        </w:rPr>
        <w:t>Terms governing price per unit of product</w:t>
      </w:r>
    </w:p>
    <w:p w14:paraId="072430F2" w14:textId="57410F59" w:rsidR="00111CCD" w:rsidRPr="00B61FF1" w:rsidRDefault="007B1C27" w:rsidP="007B1C27">
      <w:pPr>
        <w:widowControl w:val="0"/>
        <w:autoSpaceDE/>
        <w:autoSpaceDN/>
        <w:adjustRightInd/>
        <w:spacing w:line="360" w:lineRule="auto"/>
        <w:ind w:left="2160" w:hanging="720"/>
        <w:rPr>
          <w:rFonts w:ascii="Arial" w:eastAsia="Times New Roman" w:hAnsi="Arial" w:cs="Arial"/>
          <w:sz w:val="24"/>
          <w:szCs w:val="24"/>
          <w:u w:val="single"/>
        </w:rPr>
      </w:pPr>
      <w:r w:rsidRPr="00B61FF1">
        <w:rPr>
          <w:rFonts w:ascii="Arial" w:eastAsia="Times New Roman" w:hAnsi="Arial" w:cs="Arial"/>
          <w:sz w:val="24"/>
          <w:szCs w:val="24"/>
          <w:u w:val="single"/>
        </w:rPr>
        <w:t>(C)</w:t>
      </w:r>
      <w:r w:rsidRPr="00BD74AD">
        <w:rPr>
          <w:rFonts w:ascii="Arial" w:eastAsia="Times New Roman" w:hAnsi="Arial" w:cs="Arial"/>
          <w:sz w:val="24"/>
          <w:szCs w:val="24"/>
        </w:rPr>
        <w:tab/>
      </w:r>
      <w:r w:rsidR="00111CCD" w:rsidRPr="00B61FF1">
        <w:rPr>
          <w:rFonts w:ascii="Arial" w:eastAsia="Times New Roman" w:hAnsi="Arial" w:cs="Arial"/>
          <w:sz w:val="24"/>
          <w:szCs w:val="24"/>
          <w:u w:val="single"/>
        </w:rPr>
        <w:t>Signature page</w:t>
      </w:r>
    </w:p>
    <w:p w14:paraId="12765732" w14:textId="0F066197" w:rsidR="00111CCD" w:rsidRPr="00B61FF1" w:rsidRDefault="00CF46F3" w:rsidP="00CF46F3">
      <w:pPr>
        <w:widowControl w:val="0"/>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t>(3)</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An attestation</w:t>
      </w:r>
      <w:r w:rsidR="005D0598" w:rsidRPr="00B61FF1">
        <w:rPr>
          <w:rFonts w:ascii="Arial" w:eastAsia="Times New Roman" w:hAnsi="Arial" w:cs="Arial"/>
          <w:sz w:val="24"/>
          <w:szCs w:val="24"/>
          <w:u w:val="single"/>
        </w:rPr>
        <w:t xml:space="preserve"> </w:t>
      </w:r>
      <w:r w:rsidR="005D0598" w:rsidRPr="00BD74AD">
        <w:rPr>
          <w:rFonts w:ascii="Arial" w:eastAsia="Times New Roman" w:hAnsi="Arial" w:cs="Arial"/>
          <w:sz w:val="24"/>
          <w:szCs w:val="24"/>
          <w:u w:val="single"/>
        </w:rPr>
        <w:t>under penalty of perjury under the laws of the State of California</w:t>
      </w:r>
      <w:r w:rsidR="00111CCD" w:rsidRPr="00B61FF1">
        <w:rPr>
          <w:rFonts w:ascii="Arial" w:eastAsia="Times New Roman" w:hAnsi="Arial" w:cs="Arial"/>
          <w:sz w:val="24"/>
          <w:szCs w:val="24"/>
          <w:u w:val="single"/>
        </w:rPr>
        <w:t xml:space="preserve"> that:</w:t>
      </w:r>
    </w:p>
    <w:p w14:paraId="60FBE1F5" w14:textId="460F37C1" w:rsidR="00111CCD" w:rsidRPr="00B61FF1" w:rsidRDefault="00CF46F3" w:rsidP="00CF46F3">
      <w:pPr>
        <w:widowControl w:val="0"/>
        <w:autoSpaceDE/>
        <w:autoSpaceDN/>
        <w:adjustRightInd/>
        <w:spacing w:line="360" w:lineRule="auto"/>
        <w:ind w:left="2160" w:hanging="720"/>
        <w:rPr>
          <w:rFonts w:ascii="Arial" w:eastAsia="Times New Roman" w:hAnsi="Arial" w:cs="Arial"/>
          <w:sz w:val="24"/>
          <w:szCs w:val="24"/>
          <w:u w:val="single"/>
        </w:rPr>
      </w:pPr>
      <w:r w:rsidRPr="00B61FF1">
        <w:rPr>
          <w:rFonts w:ascii="Arial" w:eastAsia="Times New Roman" w:hAnsi="Arial" w:cs="Arial"/>
          <w:sz w:val="24"/>
          <w:szCs w:val="24"/>
          <w:u w:val="single"/>
        </w:rPr>
        <w:lastRenderedPageBreak/>
        <w:t>(A)</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 xml:space="preserve">Each legacy contract does not allow the covered entity to recover the cost of legacy contract emissions from the legacy contract counterparty purchasing electricity and/or Qualified Thermal Output from the unit or facility; </w:t>
      </w:r>
      <w:bookmarkStart w:id="332" w:name="_DV_C23"/>
      <w:bookmarkEnd w:id="331"/>
    </w:p>
    <w:p w14:paraId="3A184C75" w14:textId="50DAB45E" w:rsidR="00111CCD" w:rsidRPr="00B61FF1" w:rsidRDefault="00CF46F3" w:rsidP="00CF46F3">
      <w:pPr>
        <w:widowControl w:val="0"/>
        <w:autoSpaceDE/>
        <w:autoSpaceDN/>
        <w:adjustRightInd/>
        <w:spacing w:line="360" w:lineRule="auto"/>
        <w:ind w:left="2160" w:hanging="720"/>
        <w:rPr>
          <w:rFonts w:ascii="Arial" w:eastAsia="Times New Roman" w:hAnsi="Arial" w:cs="Arial"/>
          <w:sz w:val="24"/>
          <w:szCs w:val="24"/>
          <w:u w:val="single"/>
        </w:rPr>
      </w:pPr>
      <w:r w:rsidRPr="00B61FF1">
        <w:rPr>
          <w:rFonts w:ascii="Arial" w:eastAsia="Times New Roman" w:hAnsi="Arial" w:cs="Arial"/>
          <w:sz w:val="24"/>
          <w:szCs w:val="24"/>
          <w:u w:val="single"/>
        </w:rPr>
        <w:t>(B)</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The legacy contract was originally executed prior to September 1, 2006, remains in effect, and has not been amended since that date to change the terms governing the price or amount of electricity or Qualified Thermal Output sold, the GHG costs, or the expiration date;</w:t>
      </w:r>
    </w:p>
    <w:p w14:paraId="5139FB92" w14:textId="456E2893" w:rsidR="00111CCD" w:rsidRPr="00B61FF1" w:rsidRDefault="00CF46F3" w:rsidP="00CF46F3">
      <w:pPr>
        <w:widowControl w:val="0"/>
        <w:autoSpaceDE/>
        <w:autoSpaceDN/>
        <w:adjustRightInd/>
        <w:spacing w:line="360" w:lineRule="auto"/>
        <w:ind w:left="2160" w:hanging="720"/>
        <w:rPr>
          <w:rFonts w:ascii="Arial" w:eastAsia="Times New Roman" w:hAnsi="Arial" w:cs="Arial"/>
          <w:sz w:val="24"/>
          <w:szCs w:val="24"/>
          <w:u w:val="single"/>
        </w:rPr>
      </w:pPr>
      <w:bookmarkStart w:id="333" w:name="_DV_C30"/>
      <w:bookmarkEnd w:id="332"/>
      <w:r w:rsidRPr="00B61FF1">
        <w:rPr>
          <w:rFonts w:ascii="Arial" w:eastAsia="Times New Roman" w:hAnsi="Arial" w:cs="Arial"/>
          <w:sz w:val="24"/>
          <w:szCs w:val="24"/>
          <w:u w:val="single"/>
        </w:rPr>
        <w:t>(C)</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 xml:space="preserve">The </w:t>
      </w:r>
      <w:r w:rsidR="005D0598" w:rsidRPr="00B61FF1">
        <w:rPr>
          <w:rFonts w:ascii="Arial" w:eastAsia="Times New Roman" w:hAnsi="Arial" w:cs="Arial"/>
          <w:sz w:val="24"/>
          <w:szCs w:val="24"/>
          <w:u w:val="single"/>
        </w:rPr>
        <w:t>l</w:t>
      </w:r>
      <w:r w:rsidR="00111CCD" w:rsidRPr="00B61FF1">
        <w:rPr>
          <w:rFonts w:ascii="Arial" w:eastAsia="Times New Roman" w:hAnsi="Arial" w:cs="Arial"/>
          <w:sz w:val="24"/>
          <w:szCs w:val="24"/>
          <w:u w:val="single"/>
        </w:rPr>
        <w:t>egacy contract emissions are not emissions accounted for under the QF/CHP settlement; and</w:t>
      </w:r>
      <w:bookmarkStart w:id="334" w:name="_DV_C31"/>
      <w:bookmarkEnd w:id="333"/>
    </w:p>
    <w:p w14:paraId="789EEA03" w14:textId="72F14E85" w:rsidR="00111CCD" w:rsidRPr="00B61FF1" w:rsidRDefault="00CF46F3" w:rsidP="00E85500">
      <w:pPr>
        <w:widowControl w:val="0"/>
        <w:autoSpaceDE/>
        <w:autoSpaceDN/>
        <w:adjustRightInd/>
        <w:spacing w:line="360" w:lineRule="auto"/>
        <w:ind w:left="2160" w:hanging="720"/>
        <w:rPr>
          <w:rFonts w:ascii="Arial" w:eastAsia="Times New Roman" w:hAnsi="Arial" w:cs="Arial"/>
          <w:sz w:val="24"/>
          <w:szCs w:val="24"/>
          <w:u w:val="single"/>
        </w:rPr>
      </w:pPr>
      <w:r w:rsidRPr="00B61FF1">
        <w:rPr>
          <w:rFonts w:ascii="Arial" w:eastAsia="Times New Roman" w:hAnsi="Arial" w:cs="Arial"/>
          <w:sz w:val="24"/>
          <w:szCs w:val="24"/>
          <w:u w:val="single"/>
        </w:rPr>
        <w:t>(D)</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The operator of the legacy contract generator made a good faith effort, but was unable to renegotiate the legacy contract with the counterparty to address recovery of the costs of c</w:t>
      </w:r>
      <w:r w:rsidR="00E85500" w:rsidRPr="00B61FF1">
        <w:rPr>
          <w:rFonts w:ascii="Arial" w:eastAsia="Times New Roman" w:hAnsi="Arial" w:cs="Arial"/>
          <w:sz w:val="24"/>
          <w:szCs w:val="24"/>
          <w:u w:val="single"/>
        </w:rPr>
        <w:t>ompliance with this regulation.</w:t>
      </w:r>
    </w:p>
    <w:p w14:paraId="03845BD2" w14:textId="3A04DA29" w:rsidR="00111CCD" w:rsidRPr="00B61FF1" w:rsidRDefault="00CF46F3" w:rsidP="00CF46F3">
      <w:pPr>
        <w:widowControl w:val="0"/>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t>(4)</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 xml:space="preserve">Data requested pursuant to Section </w:t>
      </w:r>
      <w:r w:rsidR="00111CCD" w:rsidRPr="00B61FF1">
        <w:rPr>
          <w:rFonts w:ascii="Arial" w:eastAsia="Times New Roman" w:hAnsi="Arial" w:cs="Arial"/>
          <w:color w:val="000000"/>
          <w:sz w:val="24"/>
          <w:szCs w:val="24"/>
          <w:u w:val="single"/>
        </w:rPr>
        <w:t>95894(d).</w:t>
      </w:r>
    </w:p>
    <w:p w14:paraId="44556725" w14:textId="77777777" w:rsidR="00E85500" w:rsidRPr="00B61FF1" w:rsidRDefault="00CF46F3" w:rsidP="00E85500">
      <w:pPr>
        <w:widowControl w:val="0"/>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t>(5)</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Opt-in covered entities are not eligible for transition assistance du</w:t>
      </w:r>
      <w:r w:rsidR="00E85500" w:rsidRPr="00B61FF1">
        <w:rPr>
          <w:rFonts w:ascii="Arial" w:eastAsia="Times New Roman" w:hAnsi="Arial" w:cs="Arial"/>
          <w:sz w:val="24"/>
          <w:szCs w:val="24"/>
          <w:u w:val="single"/>
        </w:rPr>
        <w:t xml:space="preserve">e to legacy contract emissions.  </w:t>
      </w:r>
    </w:p>
    <w:p w14:paraId="67E040CE" w14:textId="39EB76AD" w:rsidR="00111CCD" w:rsidRPr="00B61FF1" w:rsidRDefault="00E85500" w:rsidP="00E85500">
      <w:pPr>
        <w:widowControl w:val="0"/>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t>(6)</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 xml:space="preserve">If, subsequent to the submittal of the foregoing information and supporting documentation, there is any material change in the information and statements provided to the Executive Officer, the party who submitted such information and statements shall submit a supplemental attestation and supporting materials addressing any such material change to the Executive Officer within 30 days after the change occurs.  </w:t>
      </w:r>
      <w:bookmarkStart w:id="335" w:name="_DV_C32"/>
      <w:bookmarkEnd w:id="334"/>
    </w:p>
    <w:p w14:paraId="21230304" w14:textId="1934976D" w:rsidR="00111CCD" w:rsidRPr="00B61FF1" w:rsidRDefault="007B1C27" w:rsidP="007B1C27">
      <w:pPr>
        <w:keepNext/>
        <w:keepLines/>
        <w:widowControl w:val="0"/>
        <w:autoSpaceDE/>
        <w:autoSpaceDN/>
        <w:adjustRightInd/>
        <w:spacing w:line="360" w:lineRule="auto"/>
        <w:ind w:left="720" w:hanging="720"/>
        <w:rPr>
          <w:rFonts w:ascii="Arial" w:eastAsia="Times New Roman" w:hAnsi="Arial" w:cs="Arial"/>
          <w:sz w:val="24"/>
          <w:szCs w:val="24"/>
          <w:u w:val="single"/>
        </w:rPr>
      </w:pPr>
      <w:r w:rsidRPr="00B61FF1">
        <w:rPr>
          <w:rFonts w:ascii="Arial" w:eastAsia="Times New Roman" w:hAnsi="Arial" w:cs="Arial"/>
          <w:sz w:val="24"/>
          <w:szCs w:val="24"/>
          <w:u w:val="single"/>
        </w:rPr>
        <w:lastRenderedPageBreak/>
        <w:t>(b)</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 xml:space="preserve">Determination of Eligibility.  Upon receipt of the information required by paragraph (a) of this section, the Executive Officer shall determine whether the party submitting such information has demonstrated that it is eligible to receive a direct allocation of allowances pursuant to this section and shall notify that </w:t>
      </w:r>
      <w:bookmarkEnd w:id="335"/>
      <w:r w:rsidR="00111CCD" w:rsidRPr="00B61FF1">
        <w:rPr>
          <w:rFonts w:ascii="Arial" w:eastAsia="Times New Roman" w:hAnsi="Arial" w:cs="Arial"/>
          <w:sz w:val="24"/>
          <w:szCs w:val="24"/>
          <w:u w:val="single"/>
        </w:rPr>
        <w:t>party by September 30, 2014 if it is eligible to receive allocation for the following compliance year.</w:t>
      </w:r>
    </w:p>
    <w:p w14:paraId="76C307DB" w14:textId="1C924E3A" w:rsidR="00111CCD" w:rsidRPr="00B61FF1" w:rsidRDefault="00111CCD" w:rsidP="007B1C27">
      <w:pPr>
        <w:autoSpaceDE/>
        <w:autoSpaceDN/>
        <w:adjustRightInd/>
        <w:spacing w:line="360" w:lineRule="auto"/>
        <w:ind w:left="720" w:hanging="720"/>
        <w:rPr>
          <w:rFonts w:ascii="Arial" w:eastAsia="Times New Roman" w:hAnsi="Arial" w:cs="Arial"/>
          <w:sz w:val="24"/>
          <w:szCs w:val="24"/>
          <w:u w:val="single"/>
        </w:rPr>
      </w:pPr>
      <w:r w:rsidRPr="00B61FF1">
        <w:rPr>
          <w:rFonts w:ascii="Arial" w:eastAsia="Times New Roman" w:hAnsi="Arial" w:cs="Arial"/>
          <w:sz w:val="24"/>
          <w:szCs w:val="24"/>
          <w:u w:val="single"/>
        </w:rPr>
        <w:t>(c)</w:t>
      </w:r>
      <w:r w:rsidRPr="00B61FF1">
        <w:rPr>
          <w:rFonts w:ascii="Arial" w:eastAsia="Times New Roman" w:hAnsi="Arial" w:cs="Arial"/>
          <w:sz w:val="24"/>
          <w:szCs w:val="24"/>
        </w:rPr>
        <w:t xml:space="preserve"> </w:t>
      </w:r>
      <w:r w:rsidR="007B1C27" w:rsidRPr="00B61FF1">
        <w:rPr>
          <w:rFonts w:ascii="Arial" w:eastAsia="Times New Roman" w:hAnsi="Arial" w:cs="Arial"/>
          <w:sz w:val="24"/>
          <w:szCs w:val="24"/>
        </w:rPr>
        <w:tab/>
      </w:r>
      <w:r w:rsidRPr="00B61FF1">
        <w:rPr>
          <w:rFonts w:ascii="Arial" w:eastAsia="Times New Roman" w:hAnsi="Arial" w:cs="Arial"/>
          <w:sz w:val="24"/>
          <w:szCs w:val="24"/>
          <w:u w:val="single"/>
        </w:rPr>
        <w:t xml:space="preserve">The Executive Officer shall calculate the number of California GHG Allowances directly allocated due to the emissions under a legacy contract from stand-alone electricity generating unit using the following formula: </w:t>
      </w:r>
    </w:p>
    <w:p w14:paraId="33114A41" w14:textId="7A3B7957" w:rsidR="00111CCD" w:rsidRPr="00330E59" w:rsidRDefault="00111CCD" w:rsidP="007B1C27">
      <w:pPr>
        <w:numPr>
          <w:ilvl w:val="0"/>
          <w:numId w:val="63"/>
        </w:numPr>
        <w:tabs>
          <w:tab w:val="right" w:pos="-2160"/>
        </w:tabs>
        <w:autoSpaceDE/>
        <w:autoSpaceDN/>
        <w:adjustRightInd/>
        <w:spacing w:line="360" w:lineRule="auto"/>
        <w:ind w:left="1440" w:hanging="720"/>
        <w:contextualSpacing/>
        <w:rPr>
          <w:rFonts w:ascii="Arial" w:eastAsia="Times New Roman" w:hAnsi="Arial" w:cs="Arial"/>
          <w:sz w:val="24"/>
          <w:szCs w:val="24"/>
          <w:u w:val="single"/>
        </w:rPr>
      </w:pPr>
      <w:r w:rsidRPr="00330E59">
        <w:rPr>
          <w:rFonts w:ascii="Arial" w:eastAsia="Times New Roman" w:hAnsi="Arial" w:cs="Arial"/>
          <w:sz w:val="24"/>
          <w:szCs w:val="24"/>
          <w:u w:val="single"/>
        </w:rPr>
        <w:t>Using 201</w:t>
      </w:r>
      <w:r w:rsidR="00C12618" w:rsidRPr="00330E59">
        <w:rPr>
          <w:rFonts w:ascii="Arial" w:eastAsia="Times New Roman" w:hAnsi="Arial" w:cs="Arial"/>
          <w:sz w:val="24"/>
          <w:szCs w:val="24"/>
          <w:u w:val="single"/>
        </w:rPr>
        <w:t>2</w:t>
      </w:r>
      <w:r w:rsidRPr="00330E59">
        <w:rPr>
          <w:rFonts w:ascii="Arial" w:eastAsia="Times New Roman" w:hAnsi="Arial" w:cs="Arial"/>
          <w:sz w:val="24"/>
          <w:szCs w:val="24"/>
          <w:u w:val="single"/>
        </w:rPr>
        <w:t xml:space="preserve"> reported and verified legacy contract emissions for 201</w:t>
      </w:r>
      <w:r w:rsidR="00C12618" w:rsidRPr="00330E59">
        <w:rPr>
          <w:rFonts w:ascii="Arial" w:eastAsia="Times New Roman" w:hAnsi="Arial" w:cs="Arial"/>
          <w:sz w:val="24"/>
          <w:szCs w:val="24"/>
          <w:u w:val="single"/>
        </w:rPr>
        <w:t>2</w:t>
      </w:r>
      <w:r w:rsidRPr="00330E59">
        <w:rPr>
          <w:rFonts w:ascii="Arial" w:eastAsia="Times New Roman" w:hAnsi="Arial" w:cs="Arial"/>
          <w:sz w:val="24"/>
          <w:szCs w:val="24"/>
          <w:u w:val="single"/>
        </w:rPr>
        <w:t xml:space="preserve"> and 201</w:t>
      </w:r>
      <w:r w:rsidR="00C12618" w:rsidRPr="00330E59">
        <w:rPr>
          <w:rFonts w:ascii="Arial" w:eastAsia="Times New Roman" w:hAnsi="Arial" w:cs="Arial"/>
          <w:sz w:val="24"/>
          <w:szCs w:val="24"/>
          <w:u w:val="single"/>
        </w:rPr>
        <w:t>3</w:t>
      </w:r>
      <w:r w:rsidRPr="00330E59">
        <w:rPr>
          <w:rFonts w:ascii="Arial" w:eastAsia="Times New Roman" w:hAnsi="Arial" w:cs="Arial"/>
          <w:sz w:val="24"/>
          <w:szCs w:val="24"/>
          <w:u w:val="single"/>
        </w:rPr>
        <w:t xml:space="preserve"> from a stand-alone generation facility:</w:t>
      </w:r>
    </w:p>
    <w:p w14:paraId="395A7675" w14:textId="77777777" w:rsidR="00111CCD" w:rsidRPr="00330E59" w:rsidRDefault="00111CCD" w:rsidP="00111CCD">
      <w:pPr>
        <w:autoSpaceDE/>
        <w:autoSpaceDN/>
        <w:adjustRightInd/>
        <w:spacing w:line="360" w:lineRule="auto"/>
        <w:ind w:left="1080"/>
        <w:rPr>
          <w:rFonts w:ascii="Arial" w:eastAsia="Times New Roman" w:hAnsi="Arial" w:cs="Arial"/>
          <w:sz w:val="24"/>
          <w:szCs w:val="24"/>
          <w:u w:val="single"/>
        </w:rPr>
      </w:pPr>
    </w:p>
    <w:p w14:paraId="5E7F2DFC" w14:textId="77777777" w:rsidR="00111CCD" w:rsidRPr="00330E59" w:rsidRDefault="00661852" w:rsidP="00111CCD">
      <w:pPr>
        <w:autoSpaceDE/>
        <w:autoSpaceDN/>
        <w:adjustRightInd/>
        <w:spacing w:line="360" w:lineRule="auto"/>
        <w:ind w:left="1080"/>
        <w:rPr>
          <w:rFonts w:ascii="Arial" w:eastAsia="Times New Roman" w:hAnsi="Arial" w:cs="Arial"/>
          <w:sz w:val="24"/>
          <w:szCs w:val="24"/>
          <w:u w:val="single"/>
        </w:rPr>
      </w:pPr>
      <m:oMathPara>
        <m:oMath>
          <m:sSub>
            <m:sSubPr>
              <m:ctrlPr>
                <w:rPr>
                  <w:rFonts w:ascii="Cambria Math" w:eastAsia="Times New Roman" w:hAnsi="Cambria Math"/>
                  <w:i/>
                  <w:sz w:val="23"/>
                  <w:szCs w:val="23"/>
                  <w:u w:val="single"/>
                </w:rPr>
              </m:ctrlPr>
            </m:sSubPr>
            <m:e>
              <m:r>
                <w:rPr>
                  <w:rFonts w:ascii="Cambria Math" w:eastAsia="Times New Roman" w:hAnsi="Cambria Math"/>
                  <w:sz w:val="23"/>
                  <w:szCs w:val="23"/>
                  <w:u w:val="single"/>
                </w:rPr>
                <m:t>A</m:t>
              </m:r>
            </m:e>
            <m:sub>
              <m:r>
                <w:rPr>
                  <w:rFonts w:ascii="Cambria Math" w:eastAsia="Times New Roman" w:hAnsi="Cambria Math"/>
                  <w:sz w:val="23"/>
                  <w:szCs w:val="23"/>
                  <w:u w:val="single"/>
                </w:rPr>
                <m:t xml:space="preserve">2015 </m:t>
              </m:r>
            </m:sub>
          </m:sSub>
          <m:r>
            <w:rPr>
              <w:rFonts w:ascii="Cambria Math" w:eastAsia="Times New Roman" w:hAnsi="Cambria Math"/>
              <w:sz w:val="23"/>
              <w:szCs w:val="23"/>
              <w:u w:val="single"/>
            </w:rPr>
            <m:t>=</m:t>
          </m:r>
          <m:d>
            <m:dPr>
              <m:ctrlPr>
                <w:rPr>
                  <w:rFonts w:ascii="Cambria Math" w:eastAsia="Times New Roman" w:hAnsi="Cambria Math"/>
                  <w:i/>
                  <w:sz w:val="23"/>
                  <w:szCs w:val="23"/>
                  <w:u w:val="single"/>
                </w:rPr>
              </m:ctrlPr>
            </m:dPr>
            <m:e>
              <m:sSub>
                <m:sSubPr>
                  <m:ctrlPr>
                    <w:rPr>
                      <w:rFonts w:ascii="Cambria Math" w:eastAsia="Times New Roman" w:hAnsi="Cambria Math"/>
                      <w:i/>
                      <w:sz w:val="23"/>
                      <w:szCs w:val="23"/>
                      <w:u w:val="single"/>
                    </w:rPr>
                  </m:ctrlPr>
                </m:sSubPr>
                <m:e>
                  <m:r>
                    <w:rPr>
                      <w:rFonts w:ascii="Cambria Math" w:eastAsia="Times New Roman" w:hAnsi="Cambria Math"/>
                      <w:sz w:val="23"/>
                      <w:szCs w:val="23"/>
                      <w:u w:val="single"/>
                    </w:rPr>
                    <m:t>EEm</m:t>
                  </m:r>
                </m:e>
                <m:sub>
                  <m:r>
                    <w:rPr>
                      <w:rFonts w:ascii="Cambria Math" w:eastAsia="Times New Roman" w:hAnsi="Cambria Math"/>
                      <w:sz w:val="23"/>
                      <w:szCs w:val="23"/>
                      <w:u w:val="single"/>
                    </w:rPr>
                    <m:t>lc</m:t>
                  </m:r>
                </m:sub>
              </m:sSub>
              <m:r>
                <w:rPr>
                  <w:rFonts w:ascii="Cambria Math" w:eastAsia="Times New Roman" w:hAnsi="Cambria Math"/>
                  <w:sz w:val="23"/>
                  <w:szCs w:val="23"/>
                  <w:u w:val="single"/>
                </w:rPr>
                <m:t>*</m:t>
              </m:r>
              <m:sSub>
                <m:sSubPr>
                  <m:ctrlPr>
                    <w:rPr>
                      <w:rFonts w:ascii="Cambria Math" w:eastAsia="Times New Roman" w:hAnsi="Cambria Math"/>
                      <w:i/>
                      <w:sz w:val="23"/>
                      <w:szCs w:val="23"/>
                      <w:u w:val="single"/>
                    </w:rPr>
                  </m:ctrlPr>
                </m:sSubPr>
                <m:e>
                  <m:r>
                    <w:rPr>
                      <w:rFonts w:ascii="Cambria Math" w:eastAsia="Times New Roman" w:hAnsi="Cambria Math"/>
                      <w:sz w:val="23"/>
                      <w:szCs w:val="23"/>
                      <w:u w:val="single"/>
                    </w:rPr>
                    <m:t>C</m:t>
                  </m:r>
                </m:e>
                <m:sub>
                  <m:r>
                    <w:rPr>
                      <w:rFonts w:ascii="Cambria Math" w:eastAsia="Times New Roman" w:hAnsi="Cambria Math"/>
                      <w:sz w:val="23"/>
                      <w:szCs w:val="23"/>
                      <w:u w:val="single"/>
                    </w:rPr>
                    <m:t>a,2013</m:t>
                  </m:r>
                </m:sub>
              </m:sSub>
            </m:e>
          </m:d>
          <m:r>
            <w:rPr>
              <w:rFonts w:ascii="Cambria Math" w:eastAsia="Times New Roman" w:hAnsi="Cambria Math"/>
              <w:sz w:val="23"/>
              <w:szCs w:val="23"/>
              <w:u w:val="single"/>
            </w:rPr>
            <m:t>+(</m:t>
          </m:r>
          <m:sSub>
            <m:sSubPr>
              <m:ctrlPr>
                <w:rPr>
                  <w:rFonts w:ascii="Cambria Math" w:eastAsia="Times New Roman" w:hAnsi="Cambria Math"/>
                  <w:i/>
                  <w:sz w:val="23"/>
                  <w:szCs w:val="23"/>
                  <w:u w:val="single"/>
                </w:rPr>
              </m:ctrlPr>
            </m:sSubPr>
            <m:e>
              <m:r>
                <w:rPr>
                  <w:rFonts w:ascii="Cambria Math" w:eastAsia="Times New Roman" w:hAnsi="Cambria Math"/>
                  <w:sz w:val="23"/>
                  <w:szCs w:val="23"/>
                  <w:u w:val="single"/>
                </w:rPr>
                <m:t>EEm</m:t>
              </m:r>
            </m:e>
            <m:sub>
              <m:r>
                <w:rPr>
                  <w:rFonts w:ascii="Cambria Math" w:eastAsia="Times New Roman" w:hAnsi="Cambria Math"/>
                  <w:sz w:val="23"/>
                  <w:szCs w:val="23"/>
                  <w:u w:val="single"/>
                </w:rPr>
                <m:t>lc</m:t>
              </m:r>
            </m:sub>
          </m:sSub>
          <m:r>
            <w:rPr>
              <w:rFonts w:ascii="Cambria Math" w:eastAsia="Times New Roman" w:hAnsi="Cambria Math"/>
              <w:sz w:val="23"/>
              <w:szCs w:val="23"/>
              <w:u w:val="single"/>
            </w:rPr>
            <m:t>*</m:t>
          </m:r>
          <m:sSub>
            <m:sSubPr>
              <m:ctrlPr>
                <w:rPr>
                  <w:rFonts w:ascii="Cambria Math" w:eastAsia="Times New Roman" w:hAnsi="Cambria Math"/>
                  <w:i/>
                  <w:sz w:val="23"/>
                  <w:szCs w:val="23"/>
                  <w:u w:val="single"/>
                </w:rPr>
              </m:ctrlPr>
            </m:sSubPr>
            <m:e>
              <m:r>
                <w:rPr>
                  <w:rFonts w:ascii="Cambria Math" w:eastAsia="Times New Roman" w:hAnsi="Cambria Math"/>
                  <w:sz w:val="23"/>
                  <w:szCs w:val="23"/>
                  <w:u w:val="single"/>
                </w:rPr>
                <m:t>C</m:t>
              </m:r>
            </m:e>
            <m:sub>
              <m:r>
                <w:rPr>
                  <w:rFonts w:ascii="Cambria Math" w:eastAsia="Times New Roman" w:hAnsi="Cambria Math"/>
                  <w:sz w:val="23"/>
                  <w:szCs w:val="23"/>
                  <w:u w:val="single"/>
                </w:rPr>
                <m:t>a,2014</m:t>
              </m:r>
            </m:sub>
          </m:sSub>
          <m:r>
            <w:rPr>
              <w:rFonts w:ascii="Cambria Math" w:eastAsia="Times New Roman" w:hAnsi="Cambria Math"/>
              <w:sz w:val="23"/>
              <w:szCs w:val="23"/>
              <w:u w:val="single"/>
            </w:rPr>
            <m:t>)</m:t>
          </m:r>
        </m:oMath>
      </m:oMathPara>
    </w:p>
    <w:p w14:paraId="33CFCD21" w14:textId="77777777" w:rsidR="007B1C27" w:rsidRPr="00330E59" w:rsidRDefault="007B1C27" w:rsidP="00111CCD">
      <w:pPr>
        <w:keepNext/>
        <w:keepLines/>
        <w:spacing w:line="360" w:lineRule="auto"/>
        <w:ind w:left="1080"/>
        <w:rPr>
          <w:rFonts w:ascii="Arial" w:eastAsia="Times New Roman" w:hAnsi="Arial" w:cs="Arial"/>
          <w:sz w:val="24"/>
          <w:szCs w:val="24"/>
        </w:rPr>
      </w:pPr>
    </w:p>
    <w:p w14:paraId="2A83B2C2" w14:textId="77777777" w:rsidR="00111CCD" w:rsidRPr="00330E59" w:rsidRDefault="00111CCD" w:rsidP="00111CCD">
      <w:pPr>
        <w:keepNext/>
        <w:keepLines/>
        <w:spacing w:line="360" w:lineRule="auto"/>
        <w:ind w:left="1080"/>
        <w:rPr>
          <w:rFonts w:ascii="Arial" w:eastAsia="Times New Roman" w:hAnsi="Arial" w:cs="Arial"/>
          <w:sz w:val="24"/>
          <w:szCs w:val="24"/>
          <w:u w:val="single"/>
        </w:rPr>
      </w:pPr>
      <w:r w:rsidRPr="00330E59">
        <w:rPr>
          <w:rFonts w:ascii="Arial" w:eastAsia="Times New Roman" w:hAnsi="Arial" w:cs="Arial"/>
          <w:sz w:val="24"/>
          <w:szCs w:val="24"/>
          <w:u w:val="single"/>
        </w:rPr>
        <w:t>Where</w:t>
      </w:r>
    </w:p>
    <w:p w14:paraId="196D7BA5" w14:textId="77777777" w:rsidR="00111CCD" w:rsidRPr="00330E59" w:rsidRDefault="00111CCD" w:rsidP="00111CCD">
      <w:pPr>
        <w:keepNext/>
        <w:keepLines/>
        <w:spacing w:line="360" w:lineRule="auto"/>
        <w:ind w:left="1080"/>
        <w:rPr>
          <w:rFonts w:ascii="Cambria Math" w:eastAsia="Times New Roman" w:hAnsi="Cambria Math"/>
          <w:sz w:val="23"/>
          <w:szCs w:val="23"/>
          <w:u w:val="single"/>
        </w:rPr>
      </w:pPr>
    </w:p>
    <w:p w14:paraId="182D2124" w14:textId="1D44058C" w:rsidR="00111CCD" w:rsidRPr="00330E59" w:rsidRDefault="00111CCD" w:rsidP="00111CCD">
      <w:pPr>
        <w:keepNext/>
        <w:keepLines/>
        <w:spacing w:line="360" w:lineRule="auto"/>
        <w:ind w:left="1080"/>
        <w:rPr>
          <w:rFonts w:ascii="Arial" w:eastAsia="Times New Roman" w:hAnsi="Arial" w:cs="Arial"/>
          <w:sz w:val="24"/>
          <w:szCs w:val="24"/>
          <w:u w:val="single"/>
        </w:rPr>
      </w:pPr>
      <w:r w:rsidRPr="00330E59">
        <w:rPr>
          <w:rFonts w:ascii="Arial" w:eastAsia="Times New Roman" w:hAnsi="Arial" w:cs="Arial"/>
          <w:sz w:val="24"/>
          <w:szCs w:val="24"/>
          <w:u w:val="single"/>
        </w:rPr>
        <w:t>“</w:t>
      </w:r>
      <w:r w:rsidRPr="00330E59">
        <w:rPr>
          <w:rFonts w:ascii="Cambria Math" w:eastAsia="Times New Roman" w:hAnsi="Cambria Math" w:cs="Cambria Math"/>
          <w:sz w:val="24"/>
          <w:szCs w:val="24"/>
          <w:u w:val="single"/>
        </w:rPr>
        <w:t>𝐴</w:t>
      </w:r>
      <w:r w:rsidRPr="00330E59">
        <w:rPr>
          <w:rFonts w:ascii="Cambria Math" w:eastAsia="Times New Roman" w:hAnsi="Cambria Math"/>
          <w:sz w:val="17"/>
          <w:szCs w:val="17"/>
          <w:u w:val="single"/>
        </w:rPr>
        <w:t>2015</w:t>
      </w:r>
      <w:r w:rsidRPr="00330E59">
        <w:rPr>
          <w:rFonts w:ascii="Arial" w:eastAsia="Times New Roman" w:hAnsi="Arial" w:cs="Arial"/>
          <w:sz w:val="24"/>
          <w:szCs w:val="24"/>
          <w:u w:val="single"/>
        </w:rPr>
        <w:t>” i</w:t>
      </w:r>
      <w:r w:rsidRPr="00330E59" w:rsidDel="00D253F8">
        <w:rPr>
          <w:rFonts w:ascii="Arial" w:eastAsia="Times New Roman" w:hAnsi="Arial" w:cs="Arial"/>
          <w:sz w:val="24"/>
          <w:szCs w:val="24"/>
          <w:u w:val="single"/>
        </w:rPr>
        <w:t xml:space="preserve">s the number of </w:t>
      </w:r>
      <w:r w:rsidRPr="00330E59">
        <w:rPr>
          <w:rFonts w:ascii="Arial" w:eastAsia="Times New Roman" w:hAnsi="Arial" w:cs="Arial"/>
          <w:sz w:val="24"/>
          <w:szCs w:val="24"/>
          <w:u w:val="single"/>
        </w:rPr>
        <w:t xml:space="preserve">vintage 2015 </w:t>
      </w:r>
      <w:r w:rsidRPr="00330E59" w:rsidDel="00D253F8">
        <w:rPr>
          <w:rFonts w:ascii="Arial" w:eastAsia="Times New Roman" w:hAnsi="Arial" w:cs="Arial"/>
          <w:sz w:val="24"/>
          <w:szCs w:val="24"/>
          <w:u w:val="single"/>
        </w:rPr>
        <w:t xml:space="preserve">allowances directly allocated to the </w:t>
      </w:r>
      <w:r w:rsidRPr="00330E59">
        <w:rPr>
          <w:rFonts w:ascii="Arial" w:eastAsia="Times New Roman" w:hAnsi="Arial" w:cs="Arial"/>
          <w:sz w:val="24"/>
          <w:szCs w:val="24"/>
          <w:u w:val="single"/>
        </w:rPr>
        <w:t>L</w:t>
      </w:r>
      <w:r w:rsidRPr="00330E59" w:rsidDel="00D253F8">
        <w:rPr>
          <w:rFonts w:ascii="Arial" w:eastAsia="Times New Roman" w:hAnsi="Arial" w:cs="Arial"/>
          <w:sz w:val="24"/>
          <w:szCs w:val="24"/>
          <w:u w:val="single"/>
        </w:rPr>
        <w:t xml:space="preserve">egacy </w:t>
      </w:r>
      <w:r w:rsidRPr="00330E59">
        <w:rPr>
          <w:rFonts w:ascii="Arial" w:eastAsia="Times New Roman" w:hAnsi="Arial" w:cs="Arial"/>
          <w:sz w:val="24"/>
          <w:szCs w:val="24"/>
          <w:u w:val="single"/>
        </w:rPr>
        <w:t>C</w:t>
      </w:r>
      <w:r w:rsidRPr="00330E59" w:rsidDel="00D253F8">
        <w:rPr>
          <w:rFonts w:ascii="Arial" w:eastAsia="Times New Roman" w:hAnsi="Arial" w:cs="Arial"/>
          <w:sz w:val="24"/>
          <w:szCs w:val="24"/>
          <w:u w:val="single"/>
        </w:rPr>
        <w:t xml:space="preserve">ontract </w:t>
      </w:r>
      <w:r w:rsidRPr="00330E59">
        <w:rPr>
          <w:rFonts w:ascii="Arial" w:eastAsia="Times New Roman" w:hAnsi="Arial" w:cs="Arial"/>
          <w:sz w:val="24"/>
          <w:szCs w:val="24"/>
          <w:u w:val="single"/>
        </w:rPr>
        <w:t>G</w:t>
      </w:r>
      <w:r w:rsidRPr="00330E59" w:rsidDel="00D253F8">
        <w:rPr>
          <w:rFonts w:ascii="Arial" w:eastAsia="Times New Roman" w:hAnsi="Arial" w:cs="Arial"/>
          <w:sz w:val="24"/>
          <w:szCs w:val="24"/>
          <w:u w:val="single"/>
        </w:rPr>
        <w:t xml:space="preserve">enerator </w:t>
      </w:r>
      <w:r w:rsidRPr="00330E59">
        <w:rPr>
          <w:rFonts w:ascii="Arial" w:eastAsia="Times New Roman" w:hAnsi="Arial" w:cs="Arial"/>
          <w:sz w:val="24"/>
          <w:szCs w:val="24"/>
          <w:u w:val="single"/>
        </w:rPr>
        <w:t>based on calendar year 201</w:t>
      </w:r>
      <w:r w:rsidR="00C12618" w:rsidRPr="00330E59">
        <w:rPr>
          <w:rFonts w:ascii="Arial" w:eastAsia="Times New Roman" w:hAnsi="Arial" w:cs="Arial"/>
          <w:sz w:val="24"/>
          <w:szCs w:val="24"/>
          <w:u w:val="single"/>
        </w:rPr>
        <w:t>2</w:t>
      </w:r>
      <w:r w:rsidRPr="00330E59">
        <w:rPr>
          <w:rFonts w:ascii="Arial" w:eastAsia="Times New Roman" w:hAnsi="Arial" w:cs="Arial"/>
          <w:sz w:val="24"/>
          <w:szCs w:val="24"/>
          <w:u w:val="single"/>
        </w:rPr>
        <w:t xml:space="preserve"> Legacy Contract Emissions reported and verified pursuant to MRR;</w:t>
      </w:r>
    </w:p>
    <w:p w14:paraId="165D1E66" w14:textId="77777777" w:rsidR="00111CCD" w:rsidRPr="00330E59" w:rsidRDefault="00111CCD" w:rsidP="00111CCD">
      <w:pPr>
        <w:tabs>
          <w:tab w:val="left" w:pos="990"/>
        </w:tabs>
        <w:spacing w:line="360" w:lineRule="auto"/>
        <w:rPr>
          <w:rFonts w:ascii="Arial" w:eastAsia="Times New Roman" w:hAnsi="Arial" w:cs="Arial"/>
          <w:sz w:val="24"/>
          <w:szCs w:val="24"/>
          <w:u w:val="single"/>
        </w:rPr>
      </w:pPr>
    </w:p>
    <w:p w14:paraId="0D63EB00" w14:textId="7726B227" w:rsidR="00111CCD" w:rsidRPr="00B61FF1" w:rsidRDefault="00111CCD" w:rsidP="00111CCD">
      <w:pPr>
        <w:tabs>
          <w:tab w:val="left" w:pos="990"/>
        </w:tabs>
        <w:spacing w:line="360" w:lineRule="auto"/>
        <w:ind w:left="1080"/>
        <w:rPr>
          <w:rFonts w:ascii="Arial" w:eastAsia="Times New Roman" w:hAnsi="Arial" w:cs="Arial"/>
          <w:sz w:val="24"/>
          <w:szCs w:val="24"/>
          <w:u w:val="single"/>
        </w:rPr>
      </w:pPr>
      <w:r w:rsidRPr="00330E59">
        <w:rPr>
          <w:rFonts w:ascii="Arial" w:eastAsia="Times New Roman" w:hAnsi="Arial" w:cs="Arial"/>
          <w:sz w:val="24"/>
          <w:szCs w:val="24"/>
          <w:u w:val="single"/>
        </w:rPr>
        <w:t xml:space="preserve">“EEm </w:t>
      </w:r>
      <w:r w:rsidRPr="00330E59">
        <w:rPr>
          <w:rFonts w:ascii="Arial" w:eastAsia="Times New Roman" w:hAnsi="Arial" w:cs="Arial"/>
          <w:sz w:val="24"/>
          <w:szCs w:val="24"/>
          <w:u w:val="single"/>
          <w:vertAlign w:val="subscript"/>
        </w:rPr>
        <w:t>lc,</w:t>
      </w:r>
      <w:r w:rsidRPr="00330E59">
        <w:rPr>
          <w:rFonts w:ascii="Arial" w:eastAsia="Times New Roman" w:hAnsi="Arial" w:cs="Arial"/>
          <w:sz w:val="24"/>
          <w:szCs w:val="24"/>
          <w:u w:val="single"/>
        </w:rPr>
        <w:t>” is the emissions reported, in MTCO2e, associated with electricity sold under the legacy contract in 201</w:t>
      </w:r>
      <w:r w:rsidR="00C12618" w:rsidRPr="00330E59">
        <w:rPr>
          <w:rFonts w:ascii="Arial" w:eastAsia="Times New Roman" w:hAnsi="Arial" w:cs="Arial"/>
          <w:sz w:val="24"/>
          <w:szCs w:val="24"/>
          <w:u w:val="single"/>
        </w:rPr>
        <w:t>2</w:t>
      </w:r>
      <w:r w:rsidRPr="00B61FF1">
        <w:rPr>
          <w:rFonts w:ascii="Arial" w:eastAsia="Times New Roman" w:hAnsi="Arial" w:cs="Arial"/>
          <w:sz w:val="24"/>
          <w:szCs w:val="24"/>
          <w:u w:val="single"/>
        </w:rPr>
        <w:t>; and</w:t>
      </w:r>
    </w:p>
    <w:p w14:paraId="4D3B1E77" w14:textId="77777777" w:rsidR="00111CCD" w:rsidRPr="00B61FF1" w:rsidRDefault="00111CCD" w:rsidP="00111CCD">
      <w:pPr>
        <w:tabs>
          <w:tab w:val="left" w:pos="990"/>
        </w:tabs>
        <w:spacing w:line="360" w:lineRule="auto"/>
        <w:ind w:left="1080"/>
        <w:rPr>
          <w:rFonts w:ascii="Arial" w:eastAsia="Times New Roman" w:hAnsi="Arial" w:cs="Arial"/>
          <w:sz w:val="24"/>
          <w:szCs w:val="24"/>
          <w:u w:val="single"/>
        </w:rPr>
      </w:pPr>
    </w:p>
    <w:p w14:paraId="700C8F4C" w14:textId="77777777" w:rsidR="00111CCD" w:rsidRPr="00B61FF1" w:rsidRDefault="00111CCD" w:rsidP="00111CCD">
      <w:pPr>
        <w:spacing w:line="360" w:lineRule="auto"/>
        <w:ind w:left="1058" w:firstLine="11"/>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u w:val="single"/>
          <w:vertAlign w:val="subscript"/>
        </w:rPr>
        <w:t>a,t</w:t>
      </w:r>
      <w:r w:rsidRPr="00B61FF1">
        <w:rPr>
          <w:rFonts w:ascii="Arial" w:hAnsi="Arial" w:cs="Arial"/>
          <w:sz w:val="24"/>
          <w:szCs w:val="24"/>
          <w:u w:val="single"/>
        </w:rPr>
        <w:t>”</w:t>
      </w:r>
      <w:r w:rsidRPr="00B61FF1">
        <w:rPr>
          <w:rFonts w:ascii="Arial" w:hAnsi="Arial" w:cs="Arial"/>
          <w:sz w:val="24"/>
          <w:szCs w:val="24"/>
          <w:u w:val="single"/>
          <w:vertAlign w:val="subscript"/>
        </w:rPr>
        <w:t xml:space="preserve"> </w:t>
      </w:r>
      <w:r w:rsidRPr="00B61FF1">
        <w:rPr>
          <w:rFonts w:ascii="Arial" w:hAnsi="Arial" w:cs="Arial"/>
          <w:sz w:val="24"/>
          <w:szCs w:val="24"/>
          <w:u w:val="single"/>
        </w:rPr>
        <w:t xml:space="preserve"> is the adjustment factor for budget year “t” </w:t>
      </w:r>
    </w:p>
    <w:p w14:paraId="2CE24F2C" w14:textId="45FD3E75" w:rsidR="00111CCD" w:rsidRPr="00B61FF1" w:rsidRDefault="00111CCD" w:rsidP="00111CCD">
      <w:pPr>
        <w:tabs>
          <w:tab w:val="left" w:pos="990"/>
        </w:tabs>
        <w:autoSpaceDE/>
        <w:autoSpaceDN/>
        <w:adjustRightInd/>
        <w:spacing w:line="360" w:lineRule="auto"/>
        <w:ind w:left="1080"/>
        <w:rPr>
          <w:rFonts w:ascii="Arial" w:hAnsi="Arial" w:cs="Arial"/>
          <w:sz w:val="24"/>
          <w:szCs w:val="24"/>
          <w:u w:val="single"/>
        </w:rPr>
      </w:pPr>
      <w:r w:rsidRPr="00B61FF1">
        <w:rPr>
          <w:rFonts w:ascii="Arial" w:hAnsi="Arial" w:cs="Arial"/>
          <w:sz w:val="24"/>
          <w:szCs w:val="24"/>
          <w:u w:val="single"/>
        </w:rPr>
        <w:t>“a” to account for cap decline as specified in Table 9-2</w:t>
      </w:r>
      <w:r w:rsidR="007B1C27" w:rsidRPr="00B61FF1">
        <w:rPr>
          <w:rFonts w:ascii="Arial" w:hAnsi="Arial" w:cs="Arial"/>
          <w:sz w:val="24"/>
          <w:szCs w:val="24"/>
          <w:u w:val="single"/>
        </w:rPr>
        <w:t>.</w:t>
      </w:r>
    </w:p>
    <w:p w14:paraId="75B9E2DF" w14:textId="77777777" w:rsidR="00111CCD" w:rsidRPr="00B61FF1" w:rsidRDefault="00111CCD" w:rsidP="00111CCD">
      <w:pPr>
        <w:tabs>
          <w:tab w:val="left" w:pos="990"/>
        </w:tabs>
        <w:autoSpaceDE/>
        <w:autoSpaceDN/>
        <w:adjustRightInd/>
        <w:spacing w:line="360" w:lineRule="auto"/>
        <w:ind w:left="1080"/>
        <w:rPr>
          <w:rFonts w:ascii="Arial" w:hAnsi="Arial" w:cs="Arial"/>
          <w:sz w:val="24"/>
          <w:szCs w:val="24"/>
          <w:u w:val="single"/>
        </w:rPr>
      </w:pPr>
    </w:p>
    <w:p w14:paraId="2BE223F0" w14:textId="264AF29F" w:rsidR="00111CCD" w:rsidRPr="00B61FF1" w:rsidRDefault="00111CCD" w:rsidP="007B1C27">
      <w:pPr>
        <w:autoSpaceDE/>
        <w:autoSpaceDN/>
        <w:adjustRightInd/>
        <w:spacing w:line="360" w:lineRule="auto"/>
        <w:ind w:left="720" w:hanging="720"/>
        <w:rPr>
          <w:rFonts w:ascii="Arial" w:eastAsia="Times New Roman" w:hAnsi="Arial" w:cs="Arial"/>
          <w:sz w:val="24"/>
          <w:szCs w:val="24"/>
          <w:u w:val="single"/>
        </w:rPr>
      </w:pPr>
      <w:r w:rsidRPr="00B61FF1">
        <w:rPr>
          <w:rFonts w:ascii="Arial" w:eastAsia="Times New Roman" w:hAnsi="Arial" w:cs="Arial"/>
          <w:sz w:val="24"/>
          <w:szCs w:val="24"/>
          <w:u w:val="single"/>
        </w:rPr>
        <w:t>(d)</w:t>
      </w:r>
      <w:r w:rsidR="007B1C27" w:rsidRPr="00B61FF1">
        <w:rPr>
          <w:rFonts w:ascii="Arial" w:eastAsia="Times New Roman" w:hAnsi="Arial" w:cs="Arial"/>
          <w:sz w:val="24"/>
          <w:szCs w:val="24"/>
        </w:rPr>
        <w:tab/>
      </w:r>
      <w:r w:rsidRPr="00B61FF1">
        <w:rPr>
          <w:rFonts w:ascii="Arial" w:eastAsia="Times New Roman" w:hAnsi="Arial" w:cs="Arial"/>
          <w:sz w:val="24"/>
          <w:szCs w:val="24"/>
          <w:u w:val="single"/>
        </w:rPr>
        <w:t>The Executive Officer shall calculate the number of California GHG Allowances directly allocated due to the emissions under a legacy contract from a Cogeneration system using the following formula:</w:t>
      </w:r>
    </w:p>
    <w:p w14:paraId="1D898269" w14:textId="77777777" w:rsidR="00111CCD" w:rsidRPr="00B61FF1" w:rsidRDefault="00111CCD" w:rsidP="00111CCD">
      <w:pPr>
        <w:autoSpaceDE/>
        <w:autoSpaceDN/>
        <w:adjustRightInd/>
        <w:spacing w:line="360" w:lineRule="auto"/>
        <w:ind w:left="1080"/>
        <w:rPr>
          <w:rFonts w:ascii="Arial" w:eastAsia="Times New Roman" w:hAnsi="Arial" w:cs="Arial"/>
          <w:sz w:val="24"/>
          <w:szCs w:val="24"/>
          <w:u w:val="single"/>
        </w:rPr>
      </w:pPr>
    </w:p>
    <w:p w14:paraId="61D57F92" w14:textId="2895F66F" w:rsidR="00111CCD" w:rsidRPr="00B61FF1" w:rsidRDefault="007B1C27" w:rsidP="007B1C27">
      <w:pPr>
        <w:autoSpaceDE/>
        <w:autoSpaceDN/>
        <w:adjustRightInd/>
        <w:spacing w:line="360" w:lineRule="auto"/>
        <w:ind w:left="1440" w:hanging="720"/>
        <w:rPr>
          <w:rFonts w:ascii="Arial" w:eastAsia="Times New Roman" w:hAnsi="Arial" w:cs="Arial"/>
          <w:sz w:val="24"/>
          <w:szCs w:val="24"/>
          <w:u w:val="single"/>
        </w:rPr>
      </w:pPr>
      <w:r w:rsidRPr="00B61FF1">
        <w:rPr>
          <w:rFonts w:ascii="Arial" w:eastAsia="Times New Roman" w:hAnsi="Arial" w:cs="Arial"/>
          <w:sz w:val="24"/>
          <w:szCs w:val="24"/>
          <w:u w:val="single"/>
        </w:rPr>
        <w:lastRenderedPageBreak/>
        <w:t>(1)</w:t>
      </w:r>
      <w:r w:rsidRPr="00B61FF1">
        <w:rPr>
          <w:rFonts w:ascii="Arial" w:eastAsia="Times New Roman" w:hAnsi="Arial" w:cs="Arial"/>
          <w:sz w:val="24"/>
          <w:szCs w:val="24"/>
        </w:rPr>
        <w:tab/>
      </w:r>
      <w:r w:rsidR="00111CCD" w:rsidRPr="00B61FF1">
        <w:rPr>
          <w:rFonts w:ascii="Arial" w:eastAsia="Times New Roman" w:hAnsi="Arial" w:cs="Arial"/>
          <w:sz w:val="24"/>
          <w:szCs w:val="24"/>
          <w:u w:val="single"/>
        </w:rPr>
        <w:t>For 201</w:t>
      </w:r>
      <w:r w:rsidR="00C12618">
        <w:rPr>
          <w:rFonts w:ascii="Arial" w:eastAsia="Times New Roman" w:hAnsi="Arial" w:cs="Arial"/>
          <w:sz w:val="24"/>
          <w:szCs w:val="24"/>
          <w:u w:val="single"/>
        </w:rPr>
        <w:t>2</w:t>
      </w:r>
      <w:r w:rsidR="00111CCD" w:rsidRPr="00B61FF1">
        <w:rPr>
          <w:rFonts w:ascii="Arial" w:eastAsia="Times New Roman" w:hAnsi="Arial" w:cs="Arial"/>
          <w:sz w:val="24"/>
          <w:szCs w:val="24"/>
          <w:u w:val="single"/>
        </w:rPr>
        <w:t xml:space="preserve"> reported and verified legacy contract emissions from a cogeneration system:</w:t>
      </w:r>
    </w:p>
    <w:p w14:paraId="568BDC87" w14:textId="77777777" w:rsidR="00111CCD" w:rsidRPr="00B61FF1" w:rsidRDefault="00111CCD" w:rsidP="00111CCD">
      <w:pPr>
        <w:keepNext/>
        <w:keepLines/>
        <w:tabs>
          <w:tab w:val="left" w:pos="990"/>
        </w:tabs>
        <w:spacing w:line="360" w:lineRule="auto"/>
        <w:ind w:left="1440"/>
        <w:rPr>
          <w:rFonts w:ascii="Cambria Math" w:eastAsia="Times New Roman" w:hAnsi="Cambria Math"/>
          <w:sz w:val="23"/>
          <w:szCs w:val="23"/>
          <w:u w:val="single"/>
        </w:rPr>
      </w:pPr>
    </w:p>
    <w:p w14:paraId="4E9814BD" w14:textId="77777777" w:rsidR="00111CCD" w:rsidRPr="00B61FF1" w:rsidRDefault="00661852" w:rsidP="00111CCD">
      <w:pPr>
        <w:keepNext/>
        <w:keepLines/>
        <w:tabs>
          <w:tab w:val="left" w:pos="990"/>
        </w:tabs>
        <w:spacing w:line="360" w:lineRule="auto"/>
        <w:ind w:left="1080" w:hanging="1080"/>
        <w:rPr>
          <w:rFonts w:ascii="Cambria Math" w:eastAsia="Times New Roman" w:hAnsi="Cambria Math"/>
          <w:sz w:val="23"/>
          <w:szCs w:val="23"/>
          <w:u w:val="single"/>
        </w:rPr>
      </w:pPr>
      <m:oMathPara>
        <m:oMath>
          <m:sSub>
            <m:sSubPr>
              <m:ctrlPr>
                <w:rPr>
                  <w:rFonts w:ascii="Cambria Math" w:eastAsia="Times New Roman" w:hAnsi="Cambria Math"/>
                  <w:i/>
                  <w:sz w:val="23"/>
                  <w:szCs w:val="23"/>
                </w:rPr>
              </m:ctrlPr>
            </m:sSubPr>
            <m:e>
              <m:r>
                <w:rPr>
                  <w:rFonts w:ascii="Cambria Math" w:eastAsia="Times New Roman" w:hAnsi="Cambria Math"/>
                  <w:sz w:val="23"/>
                  <w:szCs w:val="23"/>
                </w:rPr>
                <m:t>A</m:t>
              </m:r>
            </m:e>
            <m:sub>
              <m:r>
                <w:rPr>
                  <w:rFonts w:ascii="Cambria Math" w:eastAsia="Times New Roman" w:hAnsi="Cambria Math"/>
                  <w:sz w:val="23"/>
                  <w:szCs w:val="23"/>
                </w:rPr>
                <m:t xml:space="preserve">2015 </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Q</m:t>
              </m:r>
            </m:e>
            <m:sub>
              <m:r>
                <w:rPr>
                  <w:rFonts w:ascii="Cambria Math" w:eastAsia="Times New Roman" w:hAnsi="Cambria Math"/>
                  <w:sz w:val="23"/>
                  <w:szCs w:val="23"/>
                </w:rPr>
                <m:t>lc</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B</m:t>
              </m:r>
            </m:e>
            <m:sub>
              <m:r>
                <w:rPr>
                  <w:rFonts w:ascii="Cambria Math" w:eastAsia="Times New Roman" w:hAnsi="Cambria Math"/>
                  <w:sz w:val="23"/>
                  <w:szCs w:val="23"/>
                </w:rPr>
                <m:t>s</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E</m:t>
              </m:r>
            </m:e>
            <m:sub>
              <m:r>
                <w:rPr>
                  <w:rFonts w:ascii="Cambria Math" w:eastAsia="Times New Roman" w:hAnsi="Cambria Math"/>
                  <w:sz w:val="23"/>
                  <w:szCs w:val="23"/>
                </w:rPr>
                <m:t>lc</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B</m:t>
              </m:r>
            </m:e>
            <m:sub>
              <m:r>
                <w:rPr>
                  <w:rFonts w:ascii="Cambria Math" w:eastAsia="Times New Roman" w:hAnsi="Cambria Math"/>
                  <w:sz w:val="23"/>
                  <w:szCs w:val="23"/>
                </w:rPr>
                <m:t>e</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C</m:t>
              </m:r>
            </m:e>
            <m:sub>
              <m:r>
                <w:rPr>
                  <w:rFonts w:ascii="Cambria Math" w:eastAsia="Times New Roman" w:hAnsi="Cambria Math"/>
                  <w:sz w:val="23"/>
                  <w:szCs w:val="23"/>
                </w:rPr>
                <m:t>a,2013</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Q</m:t>
              </m:r>
            </m:e>
            <m:sub>
              <m:r>
                <w:rPr>
                  <w:rFonts w:ascii="Cambria Math" w:eastAsia="Times New Roman" w:hAnsi="Cambria Math"/>
                  <w:sz w:val="23"/>
                  <w:szCs w:val="23"/>
                </w:rPr>
                <m:t>lc</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B</m:t>
              </m:r>
            </m:e>
            <m:sub>
              <m:r>
                <w:rPr>
                  <w:rFonts w:ascii="Cambria Math" w:eastAsia="Times New Roman" w:hAnsi="Cambria Math"/>
                  <w:sz w:val="23"/>
                  <w:szCs w:val="23"/>
                </w:rPr>
                <m:t>s</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E</m:t>
              </m:r>
            </m:e>
            <m:sub>
              <m:r>
                <w:rPr>
                  <w:rFonts w:ascii="Cambria Math" w:eastAsia="Times New Roman" w:hAnsi="Cambria Math"/>
                  <w:sz w:val="23"/>
                  <w:szCs w:val="23"/>
                </w:rPr>
                <m:t>lc</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B</m:t>
              </m:r>
            </m:e>
            <m:sub>
              <m:r>
                <w:rPr>
                  <w:rFonts w:ascii="Cambria Math" w:eastAsia="Times New Roman" w:hAnsi="Cambria Math"/>
                  <w:sz w:val="23"/>
                  <w:szCs w:val="23"/>
                </w:rPr>
                <m:t>e</m:t>
              </m:r>
            </m:sub>
          </m:sSub>
          <m:r>
            <w:rPr>
              <w:rFonts w:ascii="Cambria Math" w:eastAsia="Times New Roman" w:hAnsi="Cambria Math"/>
              <w:sz w:val="23"/>
              <w:szCs w:val="23"/>
            </w:rPr>
            <m:t>)*</m:t>
          </m:r>
          <m:sSub>
            <m:sSubPr>
              <m:ctrlPr>
                <w:rPr>
                  <w:rFonts w:ascii="Cambria Math" w:eastAsia="Times New Roman" w:hAnsi="Cambria Math"/>
                  <w:i/>
                  <w:sz w:val="23"/>
                  <w:szCs w:val="23"/>
                </w:rPr>
              </m:ctrlPr>
            </m:sSubPr>
            <m:e>
              <m:r>
                <w:rPr>
                  <w:rFonts w:ascii="Cambria Math" w:eastAsia="Times New Roman" w:hAnsi="Cambria Math"/>
                  <w:sz w:val="23"/>
                  <w:szCs w:val="23"/>
                </w:rPr>
                <m:t>C</m:t>
              </m:r>
            </m:e>
            <m:sub>
              <m:r>
                <w:rPr>
                  <w:rFonts w:ascii="Cambria Math" w:eastAsia="Times New Roman" w:hAnsi="Cambria Math"/>
                  <w:sz w:val="23"/>
                  <w:szCs w:val="23"/>
                </w:rPr>
                <m:t>a,2014</m:t>
              </m:r>
            </m:sub>
          </m:sSub>
          <m:r>
            <w:rPr>
              <w:rFonts w:ascii="Cambria Math" w:eastAsia="Times New Roman" w:hAnsi="Cambria Math"/>
              <w:sz w:val="23"/>
              <w:szCs w:val="23"/>
            </w:rPr>
            <m:t>)</m:t>
          </m:r>
        </m:oMath>
      </m:oMathPara>
    </w:p>
    <w:p w14:paraId="3B606D81" w14:textId="77777777" w:rsidR="00111CCD" w:rsidRPr="00B61FF1" w:rsidRDefault="00111CCD" w:rsidP="00111CCD">
      <w:pPr>
        <w:keepNext/>
        <w:keepLines/>
        <w:tabs>
          <w:tab w:val="left" w:pos="990"/>
        </w:tabs>
        <w:spacing w:line="360" w:lineRule="auto"/>
        <w:ind w:left="1800"/>
        <w:rPr>
          <w:rFonts w:ascii="Cambria Math" w:eastAsia="Times New Roman" w:hAnsi="Cambria Math" w:cs="Cambria Math"/>
          <w:sz w:val="17"/>
          <w:szCs w:val="17"/>
        </w:rPr>
      </w:pPr>
      <w:r w:rsidRPr="00B61FF1">
        <w:rPr>
          <w:rFonts w:ascii="Cambria Math" w:eastAsia="Times New Roman" w:hAnsi="Cambria Math" w:cs="Cambria Math"/>
          <w:sz w:val="17"/>
          <w:szCs w:val="17"/>
        </w:rPr>
        <w:tab/>
      </w:r>
      <w:r w:rsidRPr="00B61FF1">
        <w:rPr>
          <w:rFonts w:ascii="Cambria Math" w:eastAsia="Times New Roman" w:hAnsi="Cambria Math" w:cs="Cambria Math"/>
          <w:sz w:val="17"/>
          <w:szCs w:val="17"/>
        </w:rPr>
        <w:tab/>
        <w:t>__________________________________________________________________________</w:t>
      </w:r>
    </w:p>
    <w:p w14:paraId="7D55B557" w14:textId="77777777" w:rsidR="00111CCD" w:rsidRPr="00B61FF1" w:rsidRDefault="00111CCD" w:rsidP="00111CCD">
      <w:pPr>
        <w:autoSpaceDE/>
        <w:autoSpaceDN/>
        <w:adjustRightInd/>
        <w:spacing w:line="360" w:lineRule="auto"/>
        <w:ind w:left="1080"/>
        <w:rPr>
          <w:rFonts w:ascii="Arial" w:eastAsia="Times New Roman" w:hAnsi="Arial" w:cs="Arial"/>
          <w:sz w:val="24"/>
          <w:szCs w:val="24"/>
          <w:u w:val="single"/>
        </w:rPr>
      </w:pPr>
    </w:p>
    <w:p w14:paraId="0C86E611"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Where:</w:t>
      </w:r>
    </w:p>
    <w:p w14:paraId="2E34E04F"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3D8E1123" w14:textId="6E26AD22"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“A</w:t>
      </w:r>
      <w:r w:rsidRPr="00B61FF1">
        <w:rPr>
          <w:rFonts w:ascii="Arial" w:eastAsia="Times New Roman" w:hAnsi="Arial" w:cs="Arial"/>
          <w:sz w:val="24"/>
          <w:szCs w:val="24"/>
          <w:u w:val="single"/>
          <w:vertAlign w:val="subscript"/>
        </w:rPr>
        <w:t>2015</w:t>
      </w:r>
      <w:r w:rsidRPr="00B61FF1">
        <w:rPr>
          <w:rFonts w:ascii="Arial" w:eastAsia="Times New Roman" w:hAnsi="Arial" w:cs="Arial"/>
          <w:sz w:val="24"/>
          <w:szCs w:val="24"/>
          <w:u w:val="single"/>
        </w:rPr>
        <w:t>” is the number of vintage 2015 allowances directly allocated to the Legacy Contract Generator based on calendar year 201</w:t>
      </w:r>
      <w:r w:rsidR="00C12618">
        <w:rPr>
          <w:rFonts w:ascii="Arial" w:eastAsia="Times New Roman" w:hAnsi="Arial" w:cs="Arial"/>
          <w:sz w:val="24"/>
          <w:szCs w:val="24"/>
          <w:u w:val="single"/>
        </w:rPr>
        <w:t>2</w:t>
      </w:r>
      <w:r w:rsidRPr="00B61FF1">
        <w:rPr>
          <w:rFonts w:ascii="Arial" w:eastAsia="Times New Roman" w:hAnsi="Arial" w:cs="Arial"/>
          <w:sz w:val="24"/>
          <w:szCs w:val="24"/>
          <w:u w:val="single"/>
        </w:rPr>
        <w:t xml:space="preserve"> Legacy Contract Emissions reported and verified pursuant to MRR;</w:t>
      </w:r>
    </w:p>
    <w:p w14:paraId="0E344EC6"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07BEBA5B" w14:textId="3B649CE4"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“Q</w:t>
      </w:r>
      <w:r w:rsidRPr="00B61FF1">
        <w:rPr>
          <w:rFonts w:ascii="Arial" w:eastAsia="Times New Roman" w:hAnsi="Arial" w:cs="Arial"/>
          <w:sz w:val="24"/>
          <w:szCs w:val="24"/>
          <w:u w:val="single"/>
          <w:vertAlign w:val="subscript"/>
        </w:rPr>
        <w:t>lc,</w:t>
      </w:r>
      <w:r w:rsidRPr="00B61FF1">
        <w:rPr>
          <w:rFonts w:ascii="Arial" w:eastAsia="Times New Roman" w:hAnsi="Arial" w:cs="Arial"/>
          <w:sz w:val="24"/>
          <w:szCs w:val="24"/>
          <w:u w:val="single"/>
        </w:rPr>
        <w:t>” is the Qualified Thermal Output in MMBtu sold under a legacy contract in data year 201</w:t>
      </w:r>
      <w:r w:rsidR="00C12618">
        <w:rPr>
          <w:rFonts w:ascii="Arial" w:eastAsia="Times New Roman" w:hAnsi="Arial" w:cs="Arial"/>
          <w:sz w:val="24"/>
          <w:szCs w:val="24"/>
          <w:u w:val="single"/>
        </w:rPr>
        <w:t>2</w:t>
      </w:r>
      <w:r w:rsidRPr="00B61FF1">
        <w:rPr>
          <w:rFonts w:ascii="Arial" w:eastAsia="Times New Roman" w:hAnsi="Arial" w:cs="Arial"/>
          <w:sz w:val="24"/>
          <w:szCs w:val="24"/>
          <w:u w:val="single"/>
        </w:rPr>
        <w:t>, as reported to MRR;</w:t>
      </w:r>
    </w:p>
    <w:p w14:paraId="3AFFDFEB"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053E1051" w14:textId="41C40FE4"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“E</w:t>
      </w:r>
      <w:r w:rsidRPr="00B61FF1">
        <w:rPr>
          <w:rFonts w:ascii="Arial" w:eastAsia="Times New Roman" w:hAnsi="Arial" w:cs="Arial"/>
          <w:sz w:val="24"/>
          <w:szCs w:val="24"/>
          <w:u w:val="single"/>
          <w:vertAlign w:val="subscript"/>
        </w:rPr>
        <w:t>lc</w:t>
      </w:r>
      <w:r w:rsidRPr="00B61FF1">
        <w:rPr>
          <w:rFonts w:ascii="Arial" w:eastAsia="Times New Roman" w:hAnsi="Arial" w:cs="Arial"/>
          <w:sz w:val="24"/>
          <w:szCs w:val="24"/>
          <w:u w:val="single"/>
        </w:rPr>
        <w:t>” is the electricity, in MWh, sold under the legacy contract in data year 201</w:t>
      </w:r>
      <w:r w:rsidR="00C12618">
        <w:rPr>
          <w:rFonts w:ascii="Arial" w:eastAsia="Times New Roman" w:hAnsi="Arial" w:cs="Arial"/>
          <w:sz w:val="24"/>
          <w:szCs w:val="24"/>
          <w:u w:val="single"/>
        </w:rPr>
        <w:t>2</w:t>
      </w:r>
      <w:r w:rsidRPr="00B61FF1">
        <w:rPr>
          <w:rFonts w:ascii="Arial" w:eastAsia="Times New Roman" w:hAnsi="Arial" w:cs="Arial"/>
          <w:sz w:val="24"/>
          <w:szCs w:val="24"/>
          <w:u w:val="single"/>
        </w:rPr>
        <w:t>;</w:t>
      </w:r>
    </w:p>
    <w:p w14:paraId="3904B404"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047AC6F6" w14:textId="146F93DC" w:rsidR="00111CCD" w:rsidRPr="00B61FF1" w:rsidRDefault="00C03C82"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w:t>
      </w:r>
      <w:r w:rsidR="00111CCD" w:rsidRPr="00B61FF1">
        <w:rPr>
          <w:rFonts w:ascii="Arial" w:eastAsia="Times New Roman" w:hAnsi="Arial" w:cs="Arial"/>
          <w:sz w:val="24"/>
          <w:szCs w:val="24"/>
          <w:u w:val="single"/>
        </w:rPr>
        <w:t>B</w:t>
      </w:r>
      <w:r w:rsidR="00111CCD" w:rsidRPr="00B61FF1">
        <w:rPr>
          <w:rFonts w:ascii="Arial" w:eastAsia="Times New Roman" w:hAnsi="Arial" w:cs="Arial"/>
          <w:sz w:val="24"/>
          <w:szCs w:val="24"/>
          <w:u w:val="single"/>
          <w:vertAlign w:val="subscript"/>
        </w:rPr>
        <w:t>e</w:t>
      </w:r>
      <w:r w:rsidRPr="00B61FF1">
        <w:rPr>
          <w:rFonts w:ascii="Arial" w:eastAsia="Times New Roman" w:hAnsi="Arial" w:cs="Arial"/>
          <w:sz w:val="24"/>
          <w:szCs w:val="24"/>
          <w:u w:val="single"/>
        </w:rPr>
        <w:t>”</w:t>
      </w:r>
      <w:r w:rsidR="00111CCD" w:rsidRPr="00B61FF1">
        <w:rPr>
          <w:rFonts w:ascii="Arial" w:eastAsia="Times New Roman" w:hAnsi="Arial" w:cs="Arial"/>
          <w:sz w:val="24"/>
          <w:szCs w:val="24"/>
          <w:u w:val="single"/>
        </w:rPr>
        <w:t xml:space="preserve">  is the emissions efficiency benchmark per unit of electricity sold or provided to off-site end users, 0.431 California GHG Allowances/MWh;</w:t>
      </w:r>
    </w:p>
    <w:p w14:paraId="752F861C"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3B38C999"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“B</w:t>
      </w:r>
      <w:r w:rsidRPr="00B61FF1">
        <w:rPr>
          <w:rFonts w:ascii="Arial" w:eastAsia="Times New Roman" w:hAnsi="Arial" w:cs="Arial"/>
          <w:sz w:val="24"/>
          <w:szCs w:val="24"/>
          <w:u w:val="single"/>
          <w:vertAlign w:val="subscript"/>
        </w:rPr>
        <w:t>s</w:t>
      </w:r>
      <w:r w:rsidRPr="00B61FF1">
        <w:rPr>
          <w:rFonts w:ascii="Arial" w:eastAsia="Times New Roman" w:hAnsi="Arial" w:cs="Arial"/>
          <w:sz w:val="24"/>
          <w:szCs w:val="24"/>
          <w:u w:val="single"/>
        </w:rPr>
        <w:t>” is the emissions efficiency benchmark per unit of Qualified Thermal Output, 0.06244 California GHG Allowances/MMBtu thermal; and</w:t>
      </w:r>
    </w:p>
    <w:p w14:paraId="0C9ABBF1"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2728B95C"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r w:rsidRPr="00B61FF1">
        <w:rPr>
          <w:rFonts w:ascii="Arial" w:eastAsia="Times New Roman" w:hAnsi="Arial" w:cs="Arial"/>
          <w:sz w:val="24"/>
          <w:szCs w:val="24"/>
          <w:u w:val="single"/>
        </w:rPr>
        <w:t>“C</w:t>
      </w:r>
      <w:r w:rsidRPr="00B61FF1">
        <w:rPr>
          <w:rFonts w:ascii="Arial" w:eastAsia="Times New Roman" w:hAnsi="Arial" w:cs="Arial"/>
          <w:sz w:val="24"/>
          <w:szCs w:val="24"/>
          <w:u w:val="single"/>
          <w:vertAlign w:val="subscript"/>
        </w:rPr>
        <w:t>a,t</w:t>
      </w:r>
      <w:r w:rsidRPr="00B61FF1">
        <w:rPr>
          <w:rFonts w:ascii="Arial" w:eastAsia="Times New Roman" w:hAnsi="Arial" w:cs="Arial"/>
          <w:sz w:val="24"/>
          <w:szCs w:val="24"/>
          <w:u w:val="single"/>
        </w:rPr>
        <w:t>”  is the cap decline factor for budget year “t” as specified in table 9-2.</w:t>
      </w:r>
    </w:p>
    <w:p w14:paraId="605BC9B9" w14:textId="77777777" w:rsidR="00111CCD" w:rsidRPr="00B61FF1" w:rsidRDefault="00111CCD" w:rsidP="00111CCD">
      <w:pPr>
        <w:tabs>
          <w:tab w:val="left" w:pos="990"/>
        </w:tabs>
        <w:autoSpaceDE/>
        <w:autoSpaceDN/>
        <w:adjustRightInd/>
        <w:spacing w:line="360" w:lineRule="auto"/>
        <w:ind w:left="1080"/>
        <w:rPr>
          <w:rFonts w:ascii="Arial" w:eastAsia="Times New Roman" w:hAnsi="Arial" w:cs="Arial"/>
          <w:sz w:val="24"/>
          <w:szCs w:val="24"/>
          <w:u w:val="single"/>
        </w:rPr>
      </w:pPr>
    </w:p>
    <w:p w14:paraId="13D48CD3" w14:textId="071820D8" w:rsidR="00111CCD" w:rsidRPr="00B61FF1" w:rsidRDefault="00111CCD" w:rsidP="007B1C27">
      <w:pPr>
        <w:tabs>
          <w:tab w:val="left" w:pos="-1440"/>
        </w:tabs>
        <w:autoSpaceDE/>
        <w:autoSpaceDN/>
        <w:adjustRightInd/>
        <w:spacing w:line="360" w:lineRule="auto"/>
        <w:ind w:left="720" w:hanging="720"/>
        <w:rPr>
          <w:rFonts w:ascii="Arial" w:eastAsia="Times New Roman" w:hAnsi="Arial" w:cs="Arial"/>
          <w:sz w:val="24"/>
          <w:szCs w:val="24"/>
          <w:u w:val="single"/>
        </w:rPr>
      </w:pPr>
      <w:r w:rsidRPr="00B61FF1">
        <w:rPr>
          <w:rFonts w:ascii="Arial" w:eastAsia="Times New Roman" w:hAnsi="Arial" w:cs="Arial"/>
          <w:sz w:val="24"/>
          <w:szCs w:val="24"/>
          <w:u w:val="single"/>
        </w:rPr>
        <w:t>(e)</w:t>
      </w:r>
      <w:r w:rsidRPr="00B61FF1">
        <w:rPr>
          <w:rFonts w:ascii="Arial" w:eastAsia="Times New Roman" w:hAnsi="Arial" w:cs="Arial"/>
          <w:sz w:val="24"/>
          <w:szCs w:val="24"/>
        </w:rPr>
        <w:t xml:space="preserve"> </w:t>
      </w:r>
      <w:r w:rsidR="007B1C27" w:rsidRPr="00B61FF1">
        <w:rPr>
          <w:rFonts w:ascii="Arial" w:eastAsia="Times New Roman" w:hAnsi="Arial" w:cs="Arial"/>
          <w:sz w:val="24"/>
          <w:szCs w:val="24"/>
        </w:rPr>
        <w:tab/>
      </w:r>
      <w:r w:rsidRPr="00B61FF1">
        <w:rPr>
          <w:rFonts w:ascii="Arial" w:eastAsia="Times New Roman" w:hAnsi="Arial" w:cs="Arial"/>
          <w:sz w:val="24"/>
          <w:szCs w:val="24"/>
          <w:u w:val="single"/>
        </w:rPr>
        <w:t>Data Sources.</w:t>
      </w:r>
      <w:r w:rsidR="007B1C27" w:rsidRPr="00B61FF1">
        <w:rPr>
          <w:rFonts w:ascii="Arial" w:eastAsia="Times New Roman" w:hAnsi="Arial" w:cs="Arial"/>
          <w:sz w:val="24"/>
          <w:szCs w:val="24"/>
          <w:u w:val="single"/>
        </w:rPr>
        <w:t xml:space="preserve"> </w:t>
      </w:r>
      <w:r w:rsidRPr="00B61FF1">
        <w:rPr>
          <w:rFonts w:ascii="Arial" w:eastAsia="Times New Roman" w:hAnsi="Arial" w:cs="Arial"/>
          <w:sz w:val="24"/>
          <w:szCs w:val="24"/>
          <w:u w:val="single"/>
        </w:rPr>
        <w:t>In determining the appropriate values for section 95894(c), the Executive Officer may employ all available data reported to ARB under MRR for 201</w:t>
      </w:r>
      <w:r w:rsidR="00C12618">
        <w:rPr>
          <w:rFonts w:ascii="Arial" w:eastAsia="Times New Roman" w:hAnsi="Arial" w:cs="Arial"/>
          <w:sz w:val="24"/>
          <w:szCs w:val="24"/>
          <w:u w:val="single"/>
        </w:rPr>
        <w:t>2</w:t>
      </w:r>
      <w:r w:rsidRPr="00B61FF1">
        <w:rPr>
          <w:rFonts w:ascii="Arial" w:eastAsia="Times New Roman" w:hAnsi="Arial" w:cs="Arial"/>
          <w:sz w:val="24"/>
          <w:szCs w:val="24"/>
          <w:u w:val="single"/>
        </w:rPr>
        <w:t xml:space="preserve"> and all other relevant data, including invoices, </w:t>
      </w:r>
      <w:r w:rsidRPr="00B61FF1">
        <w:rPr>
          <w:rFonts w:ascii="Arial" w:eastAsia="Times New Roman" w:hAnsi="Arial" w:cs="Arial"/>
          <w:sz w:val="24"/>
          <w:szCs w:val="24"/>
          <w:u w:val="single"/>
        </w:rPr>
        <w:lastRenderedPageBreak/>
        <w:t>demonstrating the amount of electricity and Qualified Thermal Output sold or provided for off-site use that does not include a carbon cost in the budget year for which it is seeking an allocation. If necessary, the Executive Officer will solicit additional data to establish</w:t>
      </w:r>
      <w:r w:rsidRPr="00B61FF1">
        <w:rPr>
          <w:rFonts w:ascii="Arial" w:eastAsia="Times New Roman" w:hAnsi="Arial" w:cs="Arial"/>
          <w:color w:val="000000"/>
          <w:sz w:val="24"/>
          <w:szCs w:val="24"/>
          <w:u w:val="single"/>
        </w:rPr>
        <w:t xml:space="preserve"> a representative allocation.</w:t>
      </w:r>
    </w:p>
    <w:p w14:paraId="30F7BE8F" w14:textId="3D8656CB" w:rsidR="00111CCD" w:rsidRPr="00B61FF1" w:rsidRDefault="00111CCD" w:rsidP="007B1C27">
      <w:pPr>
        <w:autoSpaceDE/>
        <w:autoSpaceDN/>
        <w:adjustRightInd/>
        <w:spacing w:line="360" w:lineRule="auto"/>
        <w:ind w:left="720" w:hanging="720"/>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w:t>
      </w:r>
      <w:r w:rsidR="00B53227" w:rsidRPr="00B61FF1">
        <w:rPr>
          <w:rFonts w:ascii="Arial" w:eastAsia="Times New Roman" w:hAnsi="Arial" w:cs="Arial"/>
          <w:color w:val="000000"/>
          <w:sz w:val="24"/>
          <w:szCs w:val="24"/>
          <w:u w:val="single"/>
        </w:rPr>
        <w:t>f</w:t>
      </w:r>
      <w:r w:rsidRPr="00B61FF1">
        <w:rPr>
          <w:rFonts w:ascii="Arial" w:eastAsia="Times New Roman" w:hAnsi="Arial" w:cs="Arial"/>
          <w:color w:val="000000"/>
          <w:sz w:val="24"/>
          <w:szCs w:val="24"/>
          <w:u w:val="single"/>
        </w:rPr>
        <w:t>)</w:t>
      </w:r>
      <w:r w:rsidRPr="00B61FF1">
        <w:rPr>
          <w:rFonts w:ascii="Arial" w:eastAsia="Times New Roman" w:hAnsi="Arial" w:cs="Arial"/>
          <w:color w:val="000000"/>
          <w:sz w:val="24"/>
          <w:szCs w:val="24"/>
        </w:rPr>
        <w:t xml:space="preserve"> </w:t>
      </w:r>
      <w:r w:rsidR="007B1C27" w:rsidRPr="00B61FF1">
        <w:rPr>
          <w:rFonts w:ascii="Arial" w:eastAsia="Times New Roman" w:hAnsi="Arial" w:cs="Arial"/>
          <w:color w:val="000000"/>
          <w:sz w:val="24"/>
          <w:szCs w:val="24"/>
        </w:rPr>
        <w:tab/>
      </w:r>
      <w:r w:rsidRPr="00B61FF1">
        <w:rPr>
          <w:rFonts w:ascii="Arial" w:eastAsia="Times New Roman" w:hAnsi="Arial" w:cs="Arial"/>
          <w:color w:val="000000"/>
          <w:sz w:val="24"/>
          <w:szCs w:val="24"/>
          <w:u w:val="single"/>
        </w:rPr>
        <w:t>Contract Expiration or Amendment.</w:t>
      </w:r>
      <w:r w:rsidR="007B1C27" w:rsidRPr="00B61FF1">
        <w:rPr>
          <w:rFonts w:ascii="Arial" w:eastAsia="Times New Roman" w:hAnsi="Arial" w:cs="Arial"/>
          <w:sz w:val="24"/>
          <w:szCs w:val="24"/>
          <w:u w:val="single"/>
        </w:rPr>
        <w:t xml:space="preserve"> </w:t>
      </w:r>
      <w:r w:rsidR="00203780" w:rsidRPr="00B61FF1">
        <w:rPr>
          <w:rFonts w:ascii="Arial" w:eastAsia="Times New Roman" w:hAnsi="Arial" w:cs="Arial"/>
          <w:color w:val="000000"/>
          <w:sz w:val="24"/>
          <w:szCs w:val="24"/>
          <w:u w:val="single"/>
        </w:rPr>
        <w:t>Once a legacy contract expires or the legacy contract generator closes operations, the legacy contract generator will no longer be eligible for free allocation. If the legacy contract expires before 2015, the allocation will be prorated for the time in which the contract was eligible.</w:t>
      </w:r>
    </w:p>
    <w:p w14:paraId="3FD55FEC" w14:textId="77777777" w:rsidR="007B1C27" w:rsidRPr="00B61FF1" w:rsidRDefault="007B1C27" w:rsidP="007B1C27">
      <w:pPr>
        <w:autoSpaceDE/>
        <w:autoSpaceDN/>
        <w:adjustRightInd/>
        <w:spacing w:line="360" w:lineRule="auto"/>
        <w:ind w:left="720" w:hanging="720"/>
        <w:rPr>
          <w:rFonts w:ascii="Arial" w:eastAsia="Times New Roman" w:hAnsi="Arial" w:cs="Arial"/>
          <w:color w:val="000000"/>
          <w:sz w:val="24"/>
          <w:szCs w:val="24"/>
          <w:u w:val="single"/>
        </w:rPr>
      </w:pPr>
    </w:p>
    <w:p w14:paraId="7B2AF9BA" w14:textId="77777777" w:rsidR="007B1C27" w:rsidRPr="00B61FF1" w:rsidRDefault="007B1C27" w:rsidP="007B1C27">
      <w:pPr>
        <w:spacing w:line="360" w:lineRule="auto"/>
        <w:rPr>
          <w:rFonts w:ascii="Arial" w:hAnsi="Arial" w:cs="Arial"/>
          <w:u w:val="single"/>
        </w:rPr>
      </w:pPr>
      <w:r w:rsidRPr="00B61FF1">
        <w:rPr>
          <w:rFonts w:ascii="Arial" w:hAnsi="Arial" w:cs="Arial"/>
          <w:u w:val="single"/>
        </w:rPr>
        <w:t>NOTE:  Authority cited:  Sections 38510, 38560, 38562, 38570, 38571, 38580, 39600 and 39601, Health and Safety Code.</w:t>
      </w:r>
    </w:p>
    <w:p w14:paraId="3ABB55BF" w14:textId="77777777" w:rsidR="007B1C27" w:rsidRPr="00B61FF1" w:rsidRDefault="007B1C27" w:rsidP="007B1C27">
      <w:pPr>
        <w:spacing w:line="360" w:lineRule="auto"/>
        <w:rPr>
          <w:rFonts w:ascii="Arial" w:hAnsi="Arial" w:cs="Arial"/>
          <w:u w:val="single"/>
        </w:rPr>
      </w:pPr>
      <w:r w:rsidRPr="00B61FF1">
        <w:rPr>
          <w:rFonts w:ascii="Arial" w:hAnsi="Arial" w:cs="Arial"/>
          <w:u w:val="single"/>
        </w:rPr>
        <w:t>Reference:  Sections 38530, 38560.5, 38564, 38565, 38570 and 39600, Health and Safety Code.</w:t>
      </w:r>
    </w:p>
    <w:p w14:paraId="38BC278F" w14:textId="77777777" w:rsidR="00BD1FA4" w:rsidRPr="00B61FF1" w:rsidRDefault="00BD1FA4" w:rsidP="00111CCD">
      <w:pPr>
        <w:spacing w:line="360" w:lineRule="auto"/>
        <w:rPr>
          <w:rFonts w:ascii="Arial" w:hAnsi="Arial" w:cs="Arial"/>
        </w:rPr>
      </w:pPr>
    </w:p>
    <w:p w14:paraId="25466527" w14:textId="77777777" w:rsidR="00FE6B15" w:rsidRPr="00B61FF1" w:rsidRDefault="00FE6B15" w:rsidP="00CC193F">
      <w:pPr>
        <w:pStyle w:val="Heading1"/>
      </w:pPr>
      <w:bookmarkStart w:id="336" w:name="_Toc299094952"/>
      <w:bookmarkStart w:id="337" w:name="_Toc302746806"/>
      <w:bookmarkStart w:id="338" w:name="_Toc352146265"/>
      <w:bookmarkStart w:id="339" w:name="_Toc361659869"/>
      <w:r w:rsidRPr="00B61FF1">
        <w:t>Subarticle 10: Auction and Sale of California Greenhouse Gas Allowances</w:t>
      </w:r>
      <w:bookmarkEnd w:id="325"/>
      <w:bookmarkEnd w:id="336"/>
      <w:bookmarkEnd w:id="337"/>
      <w:bookmarkEnd w:id="338"/>
      <w:bookmarkEnd w:id="339"/>
    </w:p>
    <w:p w14:paraId="18A35898" w14:textId="77777777" w:rsidR="0013642B" w:rsidRPr="00B61FF1" w:rsidRDefault="0013642B" w:rsidP="0013642B">
      <w:pPr>
        <w:pStyle w:val="Heading2"/>
        <w:keepNext w:val="0"/>
        <w:rPr>
          <w:i/>
          <w:szCs w:val="24"/>
        </w:rPr>
      </w:pPr>
      <w:bookmarkStart w:id="340" w:name="_Toc299094953"/>
      <w:bookmarkStart w:id="341" w:name="_Toc302746807"/>
      <w:bookmarkStart w:id="342" w:name="_Toc352146266"/>
      <w:bookmarkStart w:id="343" w:name="_Toc361659870"/>
      <w:bookmarkStart w:id="344" w:name="_Toc240943337"/>
      <w:bookmarkStart w:id="345" w:name="_Toc245446876"/>
      <w:bookmarkStart w:id="346" w:name="_Toc246820605"/>
      <w:r w:rsidRPr="00B61FF1">
        <w:rPr>
          <w:szCs w:val="24"/>
        </w:rPr>
        <w:t>§ 95910</w:t>
      </w:r>
      <w:r w:rsidR="00717BB5" w:rsidRPr="00B61FF1">
        <w:rPr>
          <w:szCs w:val="24"/>
        </w:rPr>
        <w:t xml:space="preserve">.  </w:t>
      </w:r>
      <w:r w:rsidRPr="00B61FF1">
        <w:rPr>
          <w:szCs w:val="24"/>
        </w:rPr>
        <w:t>Auction of California GHG Allowances.</w:t>
      </w:r>
      <w:bookmarkEnd w:id="340"/>
      <w:bookmarkEnd w:id="341"/>
      <w:bookmarkEnd w:id="342"/>
      <w:bookmarkEnd w:id="343"/>
    </w:p>
    <w:p w14:paraId="4D8A8760" w14:textId="77777777" w:rsidR="0013642B" w:rsidRPr="00B61FF1" w:rsidRDefault="0013642B" w:rsidP="00FE6A4C">
      <w:pPr>
        <w:numPr>
          <w:ilvl w:val="0"/>
          <w:numId w:val="16"/>
        </w:numPr>
        <w:spacing w:line="360" w:lineRule="auto"/>
        <w:rPr>
          <w:rFonts w:ascii="Arial" w:hAnsi="Arial" w:cs="Arial"/>
          <w:sz w:val="24"/>
          <w:szCs w:val="24"/>
        </w:rPr>
      </w:pPr>
      <w:r w:rsidRPr="00B61FF1">
        <w:rPr>
          <w:rFonts w:ascii="Arial" w:hAnsi="Arial" w:cs="Arial"/>
          <w:sz w:val="24"/>
          <w:szCs w:val="24"/>
        </w:rPr>
        <w:t>Timing of the Allowance Auctions.</w:t>
      </w:r>
    </w:p>
    <w:p w14:paraId="567844A4" w14:textId="77777777" w:rsidR="0013642B" w:rsidRPr="00B61FF1" w:rsidRDefault="00EC4B32" w:rsidP="00FE6A4C">
      <w:pPr>
        <w:numPr>
          <w:ilvl w:val="1"/>
          <w:numId w:val="16"/>
        </w:numPr>
        <w:spacing w:line="360" w:lineRule="auto"/>
        <w:rPr>
          <w:rFonts w:ascii="Arial" w:hAnsi="Arial" w:cs="Arial"/>
          <w:sz w:val="24"/>
          <w:szCs w:val="24"/>
        </w:rPr>
      </w:pPr>
      <w:r w:rsidRPr="00B61FF1">
        <w:rPr>
          <w:rFonts w:ascii="Arial" w:hAnsi="Arial" w:cs="Arial"/>
          <w:sz w:val="24"/>
          <w:szCs w:val="24"/>
        </w:rPr>
        <w:t xml:space="preserve">In 2012, </w:t>
      </w:r>
      <w:r w:rsidR="004C0416" w:rsidRPr="00B61FF1">
        <w:rPr>
          <w:rFonts w:ascii="Arial" w:hAnsi="Arial" w:cs="Arial"/>
          <w:sz w:val="24"/>
          <w:szCs w:val="24"/>
        </w:rPr>
        <w:t>an auction will held on</w:t>
      </w:r>
      <w:r w:rsidRPr="00B61FF1">
        <w:rPr>
          <w:rFonts w:ascii="Arial" w:hAnsi="Arial" w:cs="Arial"/>
          <w:sz w:val="24"/>
          <w:szCs w:val="24"/>
        </w:rPr>
        <w:t xml:space="preserve"> November 14.  </w:t>
      </w:r>
    </w:p>
    <w:p w14:paraId="6A788EC8" w14:textId="6854B92A" w:rsidR="00746485" w:rsidRPr="00B61FF1" w:rsidRDefault="00EC4B32" w:rsidP="00FE6A4C">
      <w:pPr>
        <w:numPr>
          <w:ilvl w:val="1"/>
          <w:numId w:val="16"/>
        </w:numPr>
        <w:spacing w:line="360" w:lineRule="auto"/>
        <w:rPr>
          <w:rFonts w:ascii="Arial" w:hAnsi="Arial" w:cs="Arial"/>
          <w:sz w:val="24"/>
          <w:szCs w:val="24"/>
        </w:rPr>
      </w:pPr>
      <w:r w:rsidRPr="00B61FF1">
        <w:rPr>
          <w:rFonts w:ascii="Arial" w:hAnsi="Arial" w:cs="Arial"/>
          <w:sz w:val="24"/>
          <w:szCs w:val="24"/>
        </w:rPr>
        <w:t>Beginning in 201</w:t>
      </w:r>
      <w:r w:rsidR="0098716D" w:rsidRPr="00B61FF1">
        <w:rPr>
          <w:rFonts w:ascii="Arial" w:hAnsi="Arial" w:cs="Arial"/>
          <w:sz w:val="24"/>
          <w:szCs w:val="24"/>
        </w:rPr>
        <w:t xml:space="preserve">3 </w:t>
      </w:r>
      <w:r w:rsidR="0098716D" w:rsidRPr="00B61FF1">
        <w:rPr>
          <w:rFonts w:ascii="Arial" w:hAnsi="Arial" w:cs="Arial"/>
          <w:sz w:val="24"/>
          <w:szCs w:val="24"/>
          <w:u w:val="single"/>
        </w:rPr>
        <w:t>and through 2014</w:t>
      </w:r>
      <w:r w:rsidRPr="00B61FF1">
        <w:rPr>
          <w:rFonts w:ascii="Arial" w:hAnsi="Arial" w:cs="Arial"/>
          <w:sz w:val="24"/>
          <w:szCs w:val="24"/>
        </w:rPr>
        <w:t xml:space="preserve">, </w:t>
      </w:r>
      <w:r w:rsidR="0098716D" w:rsidRPr="00B61FF1">
        <w:rPr>
          <w:rFonts w:ascii="Arial" w:hAnsi="Arial" w:cs="Arial"/>
          <w:sz w:val="24"/>
          <w:szCs w:val="24"/>
        </w:rPr>
        <w:t xml:space="preserve">the auctions shall be conducted on the </w:t>
      </w:r>
      <w:r w:rsidR="0013642B" w:rsidRPr="00B61FF1">
        <w:rPr>
          <w:rFonts w:ascii="Arial" w:hAnsi="Arial" w:cs="Arial"/>
          <w:sz w:val="24"/>
          <w:szCs w:val="24"/>
        </w:rPr>
        <w:t>twelfth business day</w:t>
      </w:r>
      <w:r w:rsidR="004228DD" w:rsidRPr="00B61FF1">
        <w:rPr>
          <w:rFonts w:ascii="Arial" w:hAnsi="Arial" w:cs="Arial"/>
          <w:sz w:val="24"/>
          <w:szCs w:val="24"/>
        </w:rPr>
        <w:t xml:space="preserve"> in California or a jurisdiction operating an External GHG ETS to which California has linked pursuant to subarticle 12</w:t>
      </w:r>
      <w:r w:rsidR="0013642B" w:rsidRPr="00B61FF1">
        <w:rPr>
          <w:rFonts w:ascii="Arial" w:hAnsi="Arial" w:cs="Arial"/>
          <w:sz w:val="24"/>
          <w:szCs w:val="24"/>
        </w:rPr>
        <w:t xml:space="preserve"> of the second month of each calendar quarter.</w:t>
      </w:r>
      <w:r w:rsidR="00746485" w:rsidRPr="00B61FF1">
        <w:rPr>
          <w:rFonts w:ascii="Arial" w:hAnsi="Arial" w:cs="Arial"/>
          <w:sz w:val="24"/>
          <w:szCs w:val="24"/>
        </w:rPr>
        <w:t xml:space="preserve"> </w:t>
      </w:r>
    </w:p>
    <w:p w14:paraId="04926FDE" w14:textId="3963A8BF" w:rsidR="003224DA" w:rsidRPr="00B61FF1" w:rsidRDefault="00AC2930" w:rsidP="00AC2930">
      <w:pPr>
        <w:spacing w:line="360" w:lineRule="auto"/>
        <w:ind w:left="1080" w:hanging="630"/>
        <w:rPr>
          <w:rFonts w:ascii="Arial" w:hAnsi="Arial" w:cs="Arial"/>
          <w:sz w:val="24"/>
          <w:szCs w:val="24"/>
        </w:rPr>
      </w:pPr>
      <w:r w:rsidRPr="00B61FF1">
        <w:rPr>
          <w:rFonts w:ascii="Arial" w:hAnsi="Arial" w:cs="Arial"/>
          <w:sz w:val="24"/>
          <w:szCs w:val="24"/>
          <w:u w:val="single"/>
        </w:rPr>
        <w:t>(3)</w:t>
      </w:r>
      <w:r w:rsidRPr="00B61FF1">
        <w:rPr>
          <w:rFonts w:ascii="Arial" w:hAnsi="Arial" w:cs="Arial"/>
          <w:sz w:val="24"/>
          <w:szCs w:val="24"/>
        </w:rPr>
        <w:tab/>
      </w:r>
      <w:r w:rsidR="003224DA" w:rsidRPr="00B61FF1">
        <w:rPr>
          <w:rFonts w:ascii="Arial" w:hAnsi="Arial" w:cs="Arial"/>
          <w:sz w:val="24"/>
          <w:szCs w:val="24"/>
          <w:u w:val="single"/>
        </w:rPr>
        <w:t>Beginning in</w:t>
      </w:r>
      <w:r w:rsidR="003224DA" w:rsidRPr="00B61FF1">
        <w:rPr>
          <w:rFonts w:ascii="Arial" w:hAnsi="Arial" w:cs="Arial"/>
          <w:sz w:val="24"/>
          <w:szCs w:val="24"/>
        </w:rPr>
        <w:t xml:space="preserve"> </w:t>
      </w:r>
      <w:r w:rsidR="003224DA" w:rsidRPr="00B61FF1">
        <w:rPr>
          <w:rFonts w:ascii="Arial" w:hAnsi="Arial" w:cs="Arial"/>
          <w:sz w:val="24"/>
          <w:szCs w:val="24"/>
          <w:u w:val="single"/>
        </w:rPr>
        <w:t>2015</w:t>
      </w:r>
      <w:r w:rsidR="003224DA" w:rsidRPr="00B61FF1">
        <w:rPr>
          <w:rFonts w:ascii="Arial" w:hAnsi="Arial" w:cs="Arial"/>
          <w:sz w:val="24"/>
          <w:szCs w:val="24"/>
        </w:rPr>
        <w:t xml:space="preserve">, </w:t>
      </w:r>
      <w:r w:rsidR="003224DA" w:rsidRPr="00B61FF1">
        <w:rPr>
          <w:rFonts w:ascii="Arial" w:hAnsi="Arial" w:cs="Arial"/>
          <w:sz w:val="24"/>
          <w:szCs w:val="24"/>
          <w:u w:val="single"/>
        </w:rPr>
        <w:t xml:space="preserve">auctions shall be conducted on the schedule </w:t>
      </w:r>
      <w:r w:rsidR="0098716D" w:rsidRPr="00B61FF1">
        <w:rPr>
          <w:rFonts w:ascii="Arial" w:hAnsi="Arial" w:cs="Arial"/>
          <w:sz w:val="24"/>
          <w:szCs w:val="24"/>
          <w:u w:val="single"/>
        </w:rPr>
        <w:t>according to</w:t>
      </w:r>
      <w:r w:rsidR="003224DA" w:rsidRPr="00B61FF1">
        <w:rPr>
          <w:rFonts w:ascii="Arial" w:hAnsi="Arial" w:cs="Arial"/>
          <w:sz w:val="24"/>
          <w:szCs w:val="24"/>
          <w:u w:val="single"/>
        </w:rPr>
        <w:t xml:space="preserve"> Appendix C.</w:t>
      </w:r>
    </w:p>
    <w:p w14:paraId="7279010A" w14:textId="77777777" w:rsidR="00FE6B15" w:rsidRPr="00B61FF1" w:rsidRDefault="004C0416" w:rsidP="00FE6A4C">
      <w:pPr>
        <w:numPr>
          <w:ilvl w:val="0"/>
          <w:numId w:val="16"/>
        </w:numPr>
        <w:spacing w:line="360" w:lineRule="auto"/>
        <w:rPr>
          <w:rFonts w:ascii="Arial" w:hAnsi="Arial" w:cs="Arial"/>
          <w:sz w:val="24"/>
          <w:szCs w:val="24"/>
        </w:rPr>
      </w:pPr>
      <w:r w:rsidRPr="00B61FF1">
        <w:rPr>
          <w:rFonts w:ascii="Arial" w:hAnsi="Arial" w:cs="Arial"/>
          <w:sz w:val="24"/>
          <w:szCs w:val="24"/>
        </w:rPr>
        <w:t>General Requirements.</w:t>
      </w:r>
    </w:p>
    <w:p w14:paraId="2729C1DD" w14:textId="49307A6B" w:rsidR="004C0416" w:rsidRPr="00B61FF1" w:rsidRDefault="004C0416" w:rsidP="00FE6A4C">
      <w:pPr>
        <w:numPr>
          <w:ilvl w:val="1"/>
          <w:numId w:val="16"/>
        </w:numPr>
        <w:spacing w:line="360" w:lineRule="auto"/>
        <w:rPr>
          <w:rFonts w:ascii="Arial" w:hAnsi="Arial" w:cs="Arial"/>
          <w:sz w:val="24"/>
          <w:szCs w:val="24"/>
        </w:rPr>
      </w:pPr>
      <w:r w:rsidRPr="00B61FF1">
        <w:rPr>
          <w:rFonts w:ascii="Arial" w:hAnsi="Arial" w:cs="Arial"/>
          <w:sz w:val="24"/>
          <w:szCs w:val="24"/>
        </w:rPr>
        <w:t>Allowances allocated to the Auction Holding Account pursuant to section 95870</w:t>
      </w:r>
      <w:r w:rsidR="00F942D8" w:rsidRPr="00B61FF1">
        <w:rPr>
          <w:rFonts w:ascii="Arial" w:hAnsi="Arial" w:cs="Arial"/>
          <w:sz w:val="24"/>
          <w:szCs w:val="24"/>
          <w:u w:val="single"/>
        </w:rPr>
        <w:t>(b)</w:t>
      </w:r>
      <w:r w:rsidR="009673C0" w:rsidRPr="00B61FF1">
        <w:rPr>
          <w:rFonts w:ascii="Arial" w:hAnsi="Arial" w:cs="Arial"/>
          <w:sz w:val="24"/>
          <w:szCs w:val="24"/>
          <w:u w:val="single"/>
        </w:rPr>
        <w:t>(1)</w:t>
      </w:r>
      <w:r w:rsidR="00E85500" w:rsidRPr="00B61FF1">
        <w:rPr>
          <w:rFonts w:ascii="Arial" w:hAnsi="Arial" w:cs="Arial"/>
          <w:sz w:val="24"/>
          <w:szCs w:val="24"/>
          <w:u w:val="single"/>
        </w:rPr>
        <w:t>-(2)</w:t>
      </w:r>
      <w:r w:rsidR="00F942D8" w:rsidRPr="00B61FF1">
        <w:rPr>
          <w:rFonts w:ascii="Arial" w:hAnsi="Arial" w:cs="Arial"/>
          <w:sz w:val="24"/>
          <w:szCs w:val="24"/>
          <w:u w:val="single"/>
        </w:rPr>
        <w:t xml:space="preserve"> and </w:t>
      </w:r>
      <w:r w:rsidRPr="00B61FF1">
        <w:rPr>
          <w:rFonts w:ascii="Arial" w:hAnsi="Arial" w:cs="Arial"/>
          <w:sz w:val="24"/>
          <w:szCs w:val="24"/>
        </w:rPr>
        <w:t>(</w:t>
      </w:r>
      <w:r w:rsidRPr="00B61FF1">
        <w:rPr>
          <w:rFonts w:ascii="Arial" w:hAnsi="Arial" w:cs="Arial"/>
          <w:strike/>
          <w:sz w:val="24"/>
          <w:szCs w:val="24"/>
        </w:rPr>
        <w:t>f</w:t>
      </w:r>
      <w:r w:rsidR="00E85500" w:rsidRPr="00B61FF1">
        <w:rPr>
          <w:rFonts w:ascii="Arial" w:hAnsi="Arial" w:cs="Arial"/>
          <w:sz w:val="24"/>
          <w:szCs w:val="24"/>
          <w:u w:val="single"/>
        </w:rPr>
        <w:t>j</w:t>
      </w:r>
      <w:r w:rsidRPr="00B61FF1">
        <w:rPr>
          <w:rFonts w:ascii="Arial" w:hAnsi="Arial" w:cs="Arial"/>
          <w:sz w:val="24"/>
          <w:szCs w:val="24"/>
        </w:rPr>
        <w:t>) will be designated to specific auctions pursuant to section 95910(c).</w:t>
      </w:r>
    </w:p>
    <w:p w14:paraId="07FEFE0D" w14:textId="77777777" w:rsidR="004C0416" w:rsidRPr="00B61FF1" w:rsidRDefault="004C0416" w:rsidP="00FE6A4C">
      <w:pPr>
        <w:numPr>
          <w:ilvl w:val="1"/>
          <w:numId w:val="16"/>
        </w:numPr>
        <w:spacing w:line="360" w:lineRule="auto"/>
        <w:rPr>
          <w:rFonts w:ascii="Arial" w:hAnsi="Arial" w:cs="Arial"/>
          <w:sz w:val="24"/>
          <w:szCs w:val="24"/>
        </w:rPr>
      </w:pPr>
      <w:r w:rsidRPr="00B61FF1">
        <w:rPr>
          <w:rFonts w:ascii="Arial" w:hAnsi="Arial" w:cs="Arial"/>
          <w:sz w:val="24"/>
          <w:szCs w:val="24"/>
        </w:rPr>
        <w:lastRenderedPageBreak/>
        <w:t>An allowance may be designated for auction prior to or after its vintage year.</w:t>
      </w:r>
    </w:p>
    <w:p w14:paraId="5C64E621" w14:textId="77777777" w:rsidR="00FE6B15" w:rsidRPr="00B61FF1" w:rsidRDefault="004C0416" w:rsidP="00FE6A4C">
      <w:pPr>
        <w:numPr>
          <w:ilvl w:val="0"/>
          <w:numId w:val="16"/>
        </w:numPr>
        <w:spacing w:line="360" w:lineRule="auto"/>
        <w:rPr>
          <w:rFonts w:ascii="Arial" w:hAnsi="Arial" w:cs="Arial"/>
          <w:sz w:val="24"/>
          <w:szCs w:val="24"/>
        </w:rPr>
      </w:pPr>
      <w:r w:rsidRPr="00B61FF1">
        <w:rPr>
          <w:rFonts w:ascii="Arial" w:hAnsi="Arial" w:cs="Arial"/>
          <w:sz w:val="24"/>
          <w:szCs w:val="24"/>
        </w:rPr>
        <w:t>Allowances from future vintages will be auctioned separately from allowances from current and previous vintages each quarter</w:t>
      </w:r>
      <w:r w:rsidR="0015151E" w:rsidRPr="00B61FF1">
        <w:rPr>
          <w:rFonts w:ascii="Arial" w:hAnsi="Arial" w:cs="Arial"/>
          <w:sz w:val="24"/>
          <w:szCs w:val="24"/>
        </w:rPr>
        <w:t xml:space="preserve">.  </w:t>
      </w:r>
    </w:p>
    <w:p w14:paraId="25DD5CAD" w14:textId="77777777" w:rsidR="00FE6B15" w:rsidRPr="00B61FF1" w:rsidRDefault="00FE6B15" w:rsidP="00FE6A4C">
      <w:pPr>
        <w:numPr>
          <w:ilvl w:val="1"/>
          <w:numId w:val="16"/>
        </w:numPr>
        <w:spacing w:line="360" w:lineRule="auto"/>
        <w:rPr>
          <w:rFonts w:ascii="Arial" w:hAnsi="Arial" w:cs="Arial"/>
          <w:sz w:val="24"/>
          <w:szCs w:val="24"/>
        </w:rPr>
      </w:pPr>
      <w:r w:rsidRPr="00B61FF1">
        <w:rPr>
          <w:rFonts w:ascii="Arial" w:hAnsi="Arial" w:cs="Arial"/>
          <w:sz w:val="24"/>
          <w:szCs w:val="24"/>
        </w:rPr>
        <w:t xml:space="preserve">Auction of Allowances from </w:t>
      </w:r>
      <w:r w:rsidR="0015151E" w:rsidRPr="00B61FF1">
        <w:rPr>
          <w:rFonts w:ascii="Arial" w:hAnsi="Arial" w:cs="Arial"/>
          <w:sz w:val="24"/>
          <w:szCs w:val="24"/>
        </w:rPr>
        <w:t xml:space="preserve">the </w:t>
      </w:r>
      <w:r w:rsidRPr="00B61FF1">
        <w:rPr>
          <w:rFonts w:ascii="Arial" w:hAnsi="Arial" w:cs="Arial"/>
          <w:sz w:val="24"/>
          <w:szCs w:val="24"/>
        </w:rPr>
        <w:t xml:space="preserve">Current </w:t>
      </w:r>
      <w:r w:rsidR="00326248" w:rsidRPr="00B61FF1">
        <w:rPr>
          <w:rFonts w:ascii="Arial" w:hAnsi="Arial" w:cs="Arial"/>
          <w:sz w:val="24"/>
          <w:szCs w:val="24"/>
        </w:rPr>
        <w:t>and P</w:t>
      </w:r>
      <w:r w:rsidR="0015151E" w:rsidRPr="00B61FF1">
        <w:rPr>
          <w:rFonts w:ascii="Arial" w:hAnsi="Arial" w:cs="Arial"/>
          <w:sz w:val="24"/>
          <w:szCs w:val="24"/>
        </w:rPr>
        <w:t xml:space="preserve">revious </w:t>
      </w:r>
      <w:r w:rsidRPr="00B61FF1">
        <w:rPr>
          <w:rFonts w:ascii="Arial" w:hAnsi="Arial" w:cs="Arial"/>
          <w:sz w:val="24"/>
          <w:szCs w:val="24"/>
        </w:rPr>
        <w:t>Budget Year</w:t>
      </w:r>
      <w:r w:rsidR="0015151E" w:rsidRPr="00B61FF1">
        <w:rPr>
          <w:rFonts w:ascii="Arial" w:hAnsi="Arial" w:cs="Arial"/>
          <w:sz w:val="24"/>
          <w:szCs w:val="24"/>
        </w:rPr>
        <w:t>s</w:t>
      </w:r>
      <w:r w:rsidRPr="00B61FF1">
        <w:rPr>
          <w:rFonts w:ascii="Arial" w:hAnsi="Arial" w:cs="Arial"/>
          <w:sz w:val="24"/>
          <w:szCs w:val="24"/>
        </w:rPr>
        <w:t xml:space="preserve">.  </w:t>
      </w:r>
    </w:p>
    <w:p w14:paraId="383926C6" w14:textId="77777777" w:rsidR="0015151E" w:rsidRPr="00B61FF1" w:rsidRDefault="004C0416" w:rsidP="00FE6A4C">
      <w:pPr>
        <w:numPr>
          <w:ilvl w:val="2"/>
          <w:numId w:val="16"/>
        </w:numPr>
        <w:spacing w:line="360" w:lineRule="auto"/>
        <w:rPr>
          <w:rFonts w:ascii="Arial" w:hAnsi="Arial" w:cs="Arial"/>
          <w:sz w:val="24"/>
          <w:szCs w:val="24"/>
        </w:rPr>
      </w:pPr>
      <w:r w:rsidRPr="00B61FF1">
        <w:rPr>
          <w:rFonts w:ascii="Arial" w:hAnsi="Arial" w:cs="Arial"/>
          <w:sz w:val="24"/>
          <w:szCs w:val="24"/>
        </w:rPr>
        <w:t>This auction will be known as the Current Auction</w:t>
      </w:r>
      <w:r w:rsidR="0015151E" w:rsidRPr="00B61FF1">
        <w:rPr>
          <w:rFonts w:ascii="Arial" w:hAnsi="Arial" w:cs="Arial"/>
          <w:sz w:val="24"/>
          <w:szCs w:val="24"/>
        </w:rPr>
        <w:t>.</w:t>
      </w:r>
    </w:p>
    <w:p w14:paraId="0391502D" w14:textId="77777777" w:rsidR="004C0416" w:rsidRPr="00B61FF1" w:rsidRDefault="00C154C8" w:rsidP="00FE6A4C">
      <w:pPr>
        <w:numPr>
          <w:ilvl w:val="2"/>
          <w:numId w:val="16"/>
        </w:numPr>
        <w:spacing w:line="360" w:lineRule="auto"/>
        <w:rPr>
          <w:rFonts w:ascii="Arial" w:hAnsi="Arial" w:cs="Arial"/>
          <w:sz w:val="24"/>
          <w:szCs w:val="24"/>
        </w:rPr>
      </w:pPr>
      <w:r w:rsidRPr="00B61FF1">
        <w:rPr>
          <w:rFonts w:ascii="Arial" w:hAnsi="Arial" w:cs="Arial"/>
          <w:sz w:val="24"/>
          <w:szCs w:val="24"/>
        </w:rPr>
        <w:t xml:space="preserve">Beginning in 2013, one quarter of the allowances allocated for auction from the current calendar year’s budget </w:t>
      </w:r>
      <w:r w:rsidR="00A812DF" w:rsidRPr="00B61FF1">
        <w:rPr>
          <w:rFonts w:ascii="Arial" w:hAnsi="Arial" w:cs="Arial"/>
          <w:sz w:val="24"/>
          <w:szCs w:val="24"/>
          <w:u w:val="single"/>
        </w:rPr>
        <w:t>and the allowances designated pursuant to Section 95911(f)(3)(D)</w:t>
      </w:r>
      <w:r w:rsidR="00A812DF" w:rsidRPr="00B61FF1">
        <w:rPr>
          <w:rFonts w:ascii="Arial" w:hAnsi="Arial" w:cs="Arial"/>
          <w:sz w:val="24"/>
          <w:szCs w:val="24"/>
        </w:rPr>
        <w:t xml:space="preserve"> </w:t>
      </w:r>
      <w:r w:rsidRPr="00B61FF1">
        <w:rPr>
          <w:rFonts w:ascii="Arial" w:hAnsi="Arial" w:cs="Arial"/>
          <w:sz w:val="24"/>
          <w:szCs w:val="24"/>
        </w:rPr>
        <w:t>will be designated for sale at each Current Auction.</w:t>
      </w:r>
    </w:p>
    <w:p w14:paraId="78BD8471" w14:textId="77777777" w:rsidR="0015151E" w:rsidRPr="00B61FF1" w:rsidRDefault="00C154C8" w:rsidP="00FE6A4C">
      <w:pPr>
        <w:numPr>
          <w:ilvl w:val="2"/>
          <w:numId w:val="16"/>
        </w:numPr>
        <w:spacing w:line="360" w:lineRule="auto"/>
        <w:rPr>
          <w:rFonts w:ascii="Arial" w:hAnsi="Arial" w:cs="Arial"/>
          <w:sz w:val="24"/>
          <w:szCs w:val="24"/>
        </w:rPr>
      </w:pPr>
      <w:r w:rsidRPr="00B61FF1">
        <w:rPr>
          <w:rFonts w:ascii="Arial" w:hAnsi="Arial" w:cs="Arial"/>
          <w:sz w:val="24"/>
          <w:szCs w:val="24"/>
        </w:rPr>
        <w:t>The Current Auction</w:t>
      </w:r>
      <w:r w:rsidR="0015151E" w:rsidRPr="00B61FF1">
        <w:rPr>
          <w:rFonts w:ascii="Arial" w:hAnsi="Arial" w:cs="Arial"/>
          <w:sz w:val="24"/>
          <w:szCs w:val="24"/>
        </w:rPr>
        <w:t xml:space="preserve"> will include allowances consigned to auction pursuant to section 95910(d).</w:t>
      </w:r>
    </w:p>
    <w:p w14:paraId="198EE8CD" w14:textId="035FFC4F" w:rsidR="0015151E" w:rsidRPr="00B61FF1" w:rsidRDefault="00C154C8" w:rsidP="00FE6A4C">
      <w:pPr>
        <w:numPr>
          <w:ilvl w:val="2"/>
          <w:numId w:val="16"/>
        </w:numPr>
        <w:spacing w:line="360" w:lineRule="auto"/>
        <w:rPr>
          <w:rFonts w:ascii="Arial" w:hAnsi="Arial" w:cs="Arial"/>
          <w:sz w:val="24"/>
          <w:szCs w:val="24"/>
        </w:rPr>
      </w:pPr>
      <w:r w:rsidRPr="00B61FF1">
        <w:rPr>
          <w:rFonts w:ascii="Arial" w:hAnsi="Arial" w:cs="Arial"/>
          <w:sz w:val="24"/>
          <w:szCs w:val="24"/>
        </w:rPr>
        <w:t>The Current Auction</w:t>
      </w:r>
      <w:r w:rsidR="0015151E" w:rsidRPr="00B61FF1">
        <w:rPr>
          <w:rFonts w:ascii="Arial" w:hAnsi="Arial" w:cs="Arial"/>
          <w:sz w:val="24"/>
          <w:szCs w:val="24"/>
        </w:rPr>
        <w:t xml:space="preserve"> </w:t>
      </w:r>
      <w:r w:rsidR="00EA1DAF" w:rsidRPr="00B61FF1">
        <w:rPr>
          <w:rFonts w:ascii="Arial" w:hAnsi="Arial" w:cs="Arial"/>
          <w:sz w:val="24"/>
          <w:szCs w:val="24"/>
        </w:rPr>
        <w:t>may</w:t>
      </w:r>
      <w:r w:rsidR="0015151E" w:rsidRPr="00B61FF1">
        <w:rPr>
          <w:rFonts w:ascii="Arial" w:hAnsi="Arial" w:cs="Arial"/>
          <w:sz w:val="24"/>
          <w:szCs w:val="24"/>
        </w:rPr>
        <w:t xml:space="preserve"> include allowances </w:t>
      </w:r>
      <w:r w:rsidRPr="00B61FF1">
        <w:rPr>
          <w:rFonts w:ascii="Arial" w:hAnsi="Arial" w:cs="Arial"/>
          <w:sz w:val="24"/>
          <w:szCs w:val="24"/>
        </w:rPr>
        <w:t>from the current and previous budget years which remained unsold at previous auctions</w:t>
      </w:r>
      <w:r w:rsidR="0015151E" w:rsidRPr="00B61FF1">
        <w:rPr>
          <w:rFonts w:ascii="Arial" w:hAnsi="Arial" w:cs="Arial"/>
          <w:sz w:val="24"/>
          <w:szCs w:val="24"/>
        </w:rPr>
        <w:t xml:space="preserve"> and which are </w:t>
      </w:r>
      <w:r w:rsidRPr="00B61FF1">
        <w:rPr>
          <w:rFonts w:ascii="Arial" w:hAnsi="Arial" w:cs="Arial"/>
          <w:sz w:val="24"/>
          <w:szCs w:val="24"/>
        </w:rPr>
        <w:t>designated for auction pursuant to section</w:t>
      </w:r>
      <w:r w:rsidR="0015151E" w:rsidRPr="00B61FF1">
        <w:rPr>
          <w:rFonts w:ascii="Arial" w:hAnsi="Arial" w:cs="Arial"/>
          <w:sz w:val="24"/>
          <w:szCs w:val="24"/>
        </w:rPr>
        <w:t xml:space="preserve"> 95911(</w:t>
      </w:r>
      <w:r w:rsidRPr="00B61FF1">
        <w:rPr>
          <w:rFonts w:ascii="Arial" w:hAnsi="Arial" w:cs="Arial"/>
          <w:sz w:val="24"/>
          <w:szCs w:val="24"/>
        </w:rPr>
        <w:t>f</w:t>
      </w:r>
      <w:r w:rsidR="002535D2" w:rsidRPr="00B61FF1">
        <w:rPr>
          <w:rFonts w:ascii="Arial" w:hAnsi="Arial" w:cs="Arial"/>
          <w:sz w:val="24"/>
          <w:szCs w:val="24"/>
        </w:rPr>
        <w:t>)(3</w:t>
      </w:r>
      <w:r w:rsidR="0015151E" w:rsidRPr="00B61FF1">
        <w:rPr>
          <w:rFonts w:ascii="Arial" w:hAnsi="Arial" w:cs="Arial"/>
          <w:sz w:val="24"/>
          <w:szCs w:val="24"/>
        </w:rPr>
        <w:t>).</w:t>
      </w:r>
      <w:r w:rsidR="00BD74AD">
        <w:rPr>
          <w:rFonts w:ascii="Arial" w:hAnsi="Arial" w:cs="Arial"/>
          <w:sz w:val="24"/>
          <w:szCs w:val="24"/>
        </w:rPr>
        <w:t xml:space="preserve"> [staff considering multiple “current auctions.”]</w:t>
      </w:r>
    </w:p>
    <w:p w14:paraId="1A85BCCB" w14:textId="77777777" w:rsidR="00FE6B15" w:rsidRPr="00B61FF1" w:rsidRDefault="00FE6B15" w:rsidP="00FE6A4C">
      <w:pPr>
        <w:numPr>
          <w:ilvl w:val="1"/>
          <w:numId w:val="16"/>
        </w:numPr>
        <w:spacing w:line="360" w:lineRule="auto"/>
        <w:rPr>
          <w:rFonts w:ascii="Arial" w:hAnsi="Arial" w:cs="Arial"/>
          <w:sz w:val="24"/>
          <w:szCs w:val="24"/>
        </w:rPr>
      </w:pPr>
      <w:r w:rsidRPr="00B61FF1">
        <w:rPr>
          <w:rFonts w:ascii="Arial" w:hAnsi="Arial" w:cs="Arial"/>
          <w:sz w:val="24"/>
          <w:szCs w:val="24"/>
        </w:rPr>
        <w:t>Auction of Allowa</w:t>
      </w:r>
      <w:r w:rsidR="00905CB2" w:rsidRPr="00B61FF1">
        <w:rPr>
          <w:rFonts w:ascii="Arial" w:hAnsi="Arial" w:cs="Arial"/>
          <w:sz w:val="24"/>
          <w:szCs w:val="24"/>
        </w:rPr>
        <w:t>nces from Future Budget Years.</w:t>
      </w:r>
    </w:p>
    <w:p w14:paraId="17A873B1" w14:textId="77777777" w:rsidR="00C154C8" w:rsidRPr="00B61FF1" w:rsidRDefault="00C154C8" w:rsidP="002A7976">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This auction will be known as the Advance Auction.</w:t>
      </w:r>
    </w:p>
    <w:p w14:paraId="346B0CC4" w14:textId="77777777" w:rsidR="00EC4B32" w:rsidRPr="00B61FF1" w:rsidRDefault="002A7976" w:rsidP="002A7976">
      <w:pPr>
        <w:spacing w:line="360" w:lineRule="auto"/>
        <w:ind w:left="1800" w:hanging="720"/>
        <w:rPr>
          <w:rFonts w:ascii="Arial" w:hAnsi="Arial" w:cs="Arial"/>
          <w:strike/>
          <w:sz w:val="24"/>
          <w:szCs w:val="24"/>
        </w:rPr>
      </w:pPr>
      <w:r w:rsidRPr="00B61FF1">
        <w:rPr>
          <w:rFonts w:ascii="Arial" w:hAnsi="Arial" w:cs="Arial"/>
          <w:sz w:val="24"/>
          <w:szCs w:val="24"/>
        </w:rPr>
        <w:t>(</w:t>
      </w:r>
      <w:r w:rsidR="00C154C8"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EC4B32" w:rsidRPr="00B61FF1">
        <w:rPr>
          <w:rFonts w:ascii="Arial" w:hAnsi="Arial" w:cs="Arial"/>
          <w:sz w:val="24"/>
          <w:szCs w:val="24"/>
        </w:rPr>
        <w:t xml:space="preserve">At </w:t>
      </w:r>
      <w:r w:rsidR="00C154C8" w:rsidRPr="00B61FF1">
        <w:rPr>
          <w:rFonts w:ascii="Arial" w:hAnsi="Arial" w:cs="Arial"/>
          <w:sz w:val="24"/>
          <w:szCs w:val="24"/>
        </w:rPr>
        <w:t>the one Advance Auction</w:t>
      </w:r>
      <w:r w:rsidR="00EC4B32" w:rsidRPr="00B61FF1">
        <w:rPr>
          <w:rFonts w:ascii="Arial" w:hAnsi="Arial" w:cs="Arial"/>
          <w:sz w:val="24"/>
          <w:szCs w:val="24"/>
        </w:rPr>
        <w:t xml:space="preserve"> taking place in 2012, </w:t>
      </w:r>
      <w:r w:rsidR="00C154C8" w:rsidRPr="00B61FF1">
        <w:rPr>
          <w:rFonts w:ascii="Arial" w:hAnsi="Arial" w:cs="Arial"/>
          <w:sz w:val="24"/>
          <w:szCs w:val="24"/>
        </w:rPr>
        <w:t>the Executive Officer will designate for sale all</w:t>
      </w:r>
      <w:r w:rsidR="00EC4B32" w:rsidRPr="00B61FF1">
        <w:rPr>
          <w:rFonts w:ascii="Arial" w:hAnsi="Arial" w:cs="Arial"/>
          <w:sz w:val="24"/>
          <w:szCs w:val="24"/>
        </w:rPr>
        <w:t xml:space="preserve"> of the allowances </w:t>
      </w:r>
      <w:r w:rsidR="00C154C8" w:rsidRPr="00B61FF1">
        <w:rPr>
          <w:rFonts w:ascii="Arial" w:hAnsi="Arial" w:cs="Arial"/>
          <w:sz w:val="24"/>
          <w:szCs w:val="24"/>
        </w:rPr>
        <w:t>allocated</w:t>
      </w:r>
      <w:r w:rsidR="00EC4B32" w:rsidRPr="00B61FF1">
        <w:rPr>
          <w:rFonts w:ascii="Arial" w:hAnsi="Arial" w:cs="Arial"/>
          <w:sz w:val="24"/>
          <w:szCs w:val="24"/>
        </w:rPr>
        <w:t xml:space="preserve"> for </w:t>
      </w:r>
      <w:r w:rsidR="00C154C8" w:rsidRPr="00B61FF1">
        <w:rPr>
          <w:rFonts w:ascii="Arial" w:hAnsi="Arial" w:cs="Arial"/>
          <w:sz w:val="24"/>
          <w:szCs w:val="24"/>
        </w:rPr>
        <w:t>A</w:t>
      </w:r>
      <w:r w:rsidR="00EC4B32" w:rsidRPr="00B61FF1">
        <w:rPr>
          <w:rFonts w:ascii="Arial" w:hAnsi="Arial" w:cs="Arial"/>
          <w:sz w:val="24"/>
          <w:szCs w:val="24"/>
        </w:rPr>
        <w:t xml:space="preserve">dvance </w:t>
      </w:r>
      <w:r w:rsidR="00C154C8" w:rsidRPr="00B61FF1">
        <w:rPr>
          <w:rFonts w:ascii="Arial" w:hAnsi="Arial" w:cs="Arial"/>
          <w:sz w:val="24"/>
          <w:szCs w:val="24"/>
        </w:rPr>
        <w:t>A</w:t>
      </w:r>
      <w:r w:rsidR="00EC4B32" w:rsidRPr="00B61FF1">
        <w:rPr>
          <w:rFonts w:ascii="Arial" w:hAnsi="Arial" w:cs="Arial"/>
          <w:sz w:val="24"/>
          <w:szCs w:val="24"/>
        </w:rPr>
        <w:t xml:space="preserve">uction </w:t>
      </w:r>
      <w:r w:rsidR="000242BB" w:rsidRPr="00B61FF1">
        <w:rPr>
          <w:rFonts w:ascii="Arial" w:hAnsi="Arial" w:cs="Arial"/>
          <w:sz w:val="24"/>
          <w:szCs w:val="24"/>
        </w:rPr>
        <w:t>from the 2015 budget</w:t>
      </w:r>
      <w:r w:rsidR="00EC4B32" w:rsidRPr="00B61FF1">
        <w:rPr>
          <w:rFonts w:ascii="Arial" w:hAnsi="Arial" w:cs="Arial"/>
          <w:sz w:val="24"/>
          <w:szCs w:val="24"/>
        </w:rPr>
        <w:t>.</w:t>
      </w:r>
    </w:p>
    <w:p w14:paraId="09D58F47" w14:textId="77777777" w:rsidR="00EC4B32" w:rsidRPr="00B61FF1" w:rsidRDefault="002A7976" w:rsidP="002A7976">
      <w:pPr>
        <w:spacing w:line="360" w:lineRule="auto"/>
        <w:ind w:left="1800" w:hanging="720"/>
        <w:rPr>
          <w:rFonts w:ascii="Arial" w:hAnsi="Arial" w:cs="Arial"/>
          <w:sz w:val="24"/>
          <w:szCs w:val="24"/>
        </w:rPr>
      </w:pPr>
      <w:r w:rsidRPr="00B61FF1">
        <w:rPr>
          <w:rFonts w:ascii="Arial" w:hAnsi="Arial" w:cs="Arial"/>
          <w:sz w:val="24"/>
          <w:szCs w:val="24"/>
        </w:rPr>
        <w:t>(</w:t>
      </w:r>
      <w:r w:rsidR="00C154C8" w:rsidRPr="00B61FF1">
        <w:rPr>
          <w:rFonts w:ascii="Arial" w:hAnsi="Arial" w:cs="Arial"/>
          <w:sz w:val="24"/>
          <w:szCs w:val="24"/>
        </w:rPr>
        <w:t>C</w:t>
      </w:r>
      <w:r w:rsidRPr="00B61FF1">
        <w:rPr>
          <w:rFonts w:ascii="Arial" w:hAnsi="Arial" w:cs="Arial"/>
          <w:sz w:val="24"/>
          <w:szCs w:val="24"/>
        </w:rPr>
        <w:t>)</w:t>
      </w:r>
      <w:r w:rsidRPr="00B61FF1">
        <w:rPr>
          <w:rFonts w:ascii="Arial" w:hAnsi="Arial" w:cs="Arial"/>
          <w:sz w:val="24"/>
          <w:szCs w:val="24"/>
        </w:rPr>
        <w:tab/>
      </w:r>
      <w:r w:rsidR="00EC4B32" w:rsidRPr="00B61FF1">
        <w:rPr>
          <w:rFonts w:ascii="Arial" w:hAnsi="Arial" w:cs="Arial"/>
          <w:sz w:val="24"/>
          <w:szCs w:val="24"/>
        </w:rPr>
        <w:t xml:space="preserve">Beginning in 2013, one quarter of the allowances </w:t>
      </w:r>
      <w:r w:rsidR="00C154C8" w:rsidRPr="00B61FF1">
        <w:rPr>
          <w:rFonts w:ascii="Arial" w:hAnsi="Arial" w:cs="Arial"/>
          <w:sz w:val="24"/>
          <w:szCs w:val="24"/>
        </w:rPr>
        <w:t>allocat</w:t>
      </w:r>
      <w:r w:rsidR="00EC4B32" w:rsidRPr="00B61FF1">
        <w:rPr>
          <w:rFonts w:ascii="Arial" w:hAnsi="Arial" w:cs="Arial"/>
          <w:sz w:val="24"/>
          <w:szCs w:val="24"/>
        </w:rPr>
        <w:t xml:space="preserve">ed for </w:t>
      </w:r>
      <w:r w:rsidR="00C154C8" w:rsidRPr="00B61FF1">
        <w:rPr>
          <w:rFonts w:ascii="Arial" w:hAnsi="Arial" w:cs="Arial"/>
          <w:sz w:val="24"/>
          <w:szCs w:val="24"/>
        </w:rPr>
        <w:t>A</w:t>
      </w:r>
      <w:r w:rsidR="00EC4B32" w:rsidRPr="00B61FF1">
        <w:rPr>
          <w:rFonts w:ascii="Arial" w:hAnsi="Arial" w:cs="Arial"/>
          <w:sz w:val="24"/>
          <w:szCs w:val="24"/>
        </w:rPr>
        <w:t xml:space="preserve">dvance </w:t>
      </w:r>
      <w:r w:rsidR="00C154C8" w:rsidRPr="00B61FF1">
        <w:rPr>
          <w:rFonts w:ascii="Arial" w:hAnsi="Arial" w:cs="Arial"/>
          <w:sz w:val="24"/>
          <w:szCs w:val="24"/>
        </w:rPr>
        <w:t>A</w:t>
      </w:r>
      <w:r w:rsidR="00EC4B32" w:rsidRPr="00B61FF1">
        <w:rPr>
          <w:rFonts w:ascii="Arial" w:hAnsi="Arial" w:cs="Arial"/>
          <w:sz w:val="24"/>
          <w:szCs w:val="24"/>
        </w:rPr>
        <w:t xml:space="preserve">uction from the budget year three years subsequent to the current calendar year will be </w:t>
      </w:r>
      <w:r w:rsidR="00C154C8" w:rsidRPr="00B61FF1">
        <w:rPr>
          <w:rFonts w:ascii="Arial" w:hAnsi="Arial" w:cs="Arial"/>
          <w:sz w:val="24"/>
          <w:szCs w:val="24"/>
        </w:rPr>
        <w:t>designated for sale</w:t>
      </w:r>
      <w:r w:rsidR="0015151E" w:rsidRPr="00B61FF1">
        <w:rPr>
          <w:rFonts w:ascii="Arial" w:hAnsi="Arial" w:cs="Arial"/>
          <w:sz w:val="24"/>
          <w:szCs w:val="24"/>
        </w:rPr>
        <w:t xml:space="preserve"> at each </w:t>
      </w:r>
      <w:r w:rsidR="00C154C8" w:rsidRPr="00B61FF1">
        <w:rPr>
          <w:rFonts w:ascii="Arial" w:hAnsi="Arial" w:cs="Arial"/>
          <w:sz w:val="24"/>
          <w:szCs w:val="24"/>
        </w:rPr>
        <w:t>Advance A</w:t>
      </w:r>
      <w:r w:rsidR="0015151E" w:rsidRPr="00B61FF1">
        <w:rPr>
          <w:rFonts w:ascii="Arial" w:hAnsi="Arial" w:cs="Arial"/>
          <w:sz w:val="24"/>
          <w:szCs w:val="24"/>
        </w:rPr>
        <w:t>uction</w:t>
      </w:r>
      <w:r w:rsidR="00EC4B32" w:rsidRPr="00B61FF1">
        <w:rPr>
          <w:rFonts w:ascii="Arial" w:hAnsi="Arial" w:cs="Arial"/>
          <w:sz w:val="24"/>
          <w:szCs w:val="24"/>
        </w:rPr>
        <w:t>.</w:t>
      </w:r>
    </w:p>
    <w:p w14:paraId="60E642A0" w14:textId="77777777" w:rsidR="0015151E" w:rsidRPr="00B61FF1" w:rsidRDefault="00C154C8" w:rsidP="002A7976">
      <w:pPr>
        <w:spacing w:line="360" w:lineRule="auto"/>
        <w:ind w:left="1800" w:hanging="720"/>
        <w:rPr>
          <w:rFonts w:ascii="Arial" w:hAnsi="Arial" w:cs="Arial"/>
          <w:sz w:val="24"/>
          <w:szCs w:val="24"/>
        </w:rPr>
      </w:pPr>
      <w:r w:rsidRPr="00B61FF1">
        <w:rPr>
          <w:rFonts w:ascii="Arial" w:hAnsi="Arial" w:cs="Arial"/>
          <w:sz w:val="24"/>
          <w:szCs w:val="24"/>
        </w:rPr>
        <w:t>(</w:t>
      </w:r>
      <w:r w:rsidR="002D3A8D" w:rsidRPr="00B61FF1">
        <w:rPr>
          <w:rFonts w:ascii="Arial" w:hAnsi="Arial" w:cs="Arial"/>
          <w:sz w:val="24"/>
          <w:szCs w:val="24"/>
        </w:rPr>
        <w:t>D</w:t>
      </w:r>
      <w:r w:rsidRPr="00B61FF1">
        <w:rPr>
          <w:rFonts w:ascii="Arial" w:hAnsi="Arial" w:cs="Arial"/>
          <w:sz w:val="24"/>
          <w:szCs w:val="24"/>
        </w:rPr>
        <w:t>)</w:t>
      </w:r>
      <w:r w:rsidRPr="00B61FF1">
        <w:rPr>
          <w:rFonts w:ascii="Arial" w:hAnsi="Arial" w:cs="Arial"/>
          <w:sz w:val="24"/>
          <w:szCs w:val="24"/>
        </w:rPr>
        <w:tab/>
        <w:t>The Advance</w:t>
      </w:r>
      <w:r w:rsidR="0015151E" w:rsidRPr="00B61FF1">
        <w:rPr>
          <w:rFonts w:ascii="Arial" w:hAnsi="Arial" w:cs="Arial"/>
          <w:sz w:val="24"/>
          <w:szCs w:val="24"/>
        </w:rPr>
        <w:t xml:space="preserve"> </w:t>
      </w:r>
      <w:r w:rsidRPr="00B61FF1">
        <w:rPr>
          <w:rFonts w:ascii="Arial" w:hAnsi="Arial" w:cs="Arial"/>
          <w:sz w:val="24"/>
          <w:szCs w:val="24"/>
        </w:rPr>
        <w:t>A</w:t>
      </w:r>
      <w:r w:rsidR="0015151E" w:rsidRPr="00B61FF1">
        <w:rPr>
          <w:rFonts w:ascii="Arial" w:hAnsi="Arial" w:cs="Arial"/>
          <w:sz w:val="24"/>
          <w:szCs w:val="24"/>
        </w:rPr>
        <w:t>uction will include allowances which</w:t>
      </w:r>
      <w:r w:rsidR="00326248" w:rsidRPr="00B61FF1">
        <w:rPr>
          <w:rFonts w:ascii="Arial" w:hAnsi="Arial" w:cs="Arial"/>
          <w:sz w:val="24"/>
          <w:szCs w:val="24"/>
        </w:rPr>
        <w:t xml:space="preserve"> were returned to the Auction </w:t>
      </w:r>
      <w:r w:rsidR="0015151E" w:rsidRPr="00B61FF1">
        <w:rPr>
          <w:rFonts w:ascii="Arial" w:hAnsi="Arial" w:cs="Arial"/>
          <w:sz w:val="24"/>
          <w:szCs w:val="24"/>
        </w:rPr>
        <w:t xml:space="preserve">Holding Account following an </w:t>
      </w:r>
      <w:r w:rsidRPr="00B61FF1">
        <w:rPr>
          <w:rFonts w:ascii="Arial" w:hAnsi="Arial" w:cs="Arial"/>
          <w:sz w:val="24"/>
          <w:szCs w:val="24"/>
        </w:rPr>
        <w:t>Advance A</w:t>
      </w:r>
      <w:r w:rsidR="0015151E" w:rsidRPr="00B61FF1">
        <w:rPr>
          <w:rFonts w:ascii="Arial" w:hAnsi="Arial" w:cs="Arial"/>
          <w:sz w:val="24"/>
          <w:szCs w:val="24"/>
        </w:rPr>
        <w:t xml:space="preserve">uction which resulted in unsold allowances, and which are </w:t>
      </w:r>
      <w:r w:rsidRPr="00B61FF1">
        <w:rPr>
          <w:rFonts w:ascii="Arial" w:hAnsi="Arial" w:cs="Arial"/>
          <w:sz w:val="24"/>
          <w:szCs w:val="24"/>
        </w:rPr>
        <w:t>designated for</w:t>
      </w:r>
      <w:r w:rsidR="0015151E" w:rsidRPr="00B61FF1">
        <w:rPr>
          <w:rFonts w:ascii="Arial" w:hAnsi="Arial" w:cs="Arial"/>
          <w:sz w:val="24"/>
          <w:szCs w:val="24"/>
        </w:rPr>
        <w:t xml:space="preserve"> auction pursuant to</w:t>
      </w:r>
      <w:r w:rsidRPr="00B61FF1">
        <w:rPr>
          <w:rFonts w:ascii="Arial" w:hAnsi="Arial" w:cs="Arial"/>
          <w:sz w:val="24"/>
          <w:szCs w:val="24"/>
        </w:rPr>
        <w:t xml:space="preserve"> section</w:t>
      </w:r>
      <w:r w:rsidR="0015151E" w:rsidRPr="00B61FF1">
        <w:rPr>
          <w:rFonts w:ascii="Arial" w:hAnsi="Arial" w:cs="Arial"/>
          <w:sz w:val="24"/>
          <w:szCs w:val="24"/>
        </w:rPr>
        <w:t xml:space="preserve"> 95911(</w:t>
      </w:r>
      <w:r w:rsidRPr="00B61FF1">
        <w:rPr>
          <w:rFonts w:ascii="Arial" w:hAnsi="Arial" w:cs="Arial"/>
          <w:sz w:val="24"/>
          <w:szCs w:val="24"/>
        </w:rPr>
        <w:t>f</w:t>
      </w:r>
      <w:r w:rsidR="0015151E" w:rsidRPr="00B61FF1">
        <w:rPr>
          <w:rFonts w:ascii="Arial" w:hAnsi="Arial" w:cs="Arial"/>
          <w:sz w:val="24"/>
          <w:szCs w:val="24"/>
        </w:rPr>
        <w:t>)(</w:t>
      </w:r>
      <w:r w:rsidRPr="00B61FF1">
        <w:rPr>
          <w:rFonts w:ascii="Arial" w:hAnsi="Arial" w:cs="Arial"/>
          <w:sz w:val="24"/>
          <w:szCs w:val="24"/>
        </w:rPr>
        <w:t>3</w:t>
      </w:r>
      <w:r w:rsidR="0015151E" w:rsidRPr="00B61FF1">
        <w:rPr>
          <w:rFonts w:ascii="Arial" w:hAnsi="Arial" w:cs="Arial"/>
          <w:sz w:val="24"/>
          <w:szCs w:val="24"/>
        </w:rPr>
        <w:t>).</w:t>
      </w:r>
    </w:p>
    <w:p w14:paraId="7C96D7ED" w14:textId="77777777" w:rsidR="00FE6B15" w:rsidRPr="00B61FF1" w:rsidRDefault="00FE6B15" w:rsidP="00FE6A4C">
      <w:pPr>
        <w:keepNext/>
        <w:numPr>
          <w:ilvl w:val="0"/>
          <w:numId w:val="16"/>
        </w:numPr>
        <w:spacing w:line="360" w:lineRule="auto"/>
        <w:rPr>
          <w:rFonts w:ascii="Arial" w:hAnsi="Arial" w:cs="Arial"/>
          <w:sz w:val="24"/>
          <w:szCs w:val="24"/>
        </w:rPr>
      </w:pPr>
      <w:r w:rsidRPr="00B61FF1">
        <w:rPr>
          <w:rFonts w:ascii="Arial" w:hAnsi="Arial" w:cs="Arial"/>
          <w:sz w:val="24"/>
          <w:szCs w:val="24"/>
        </w:rPr>
        <w:lastRenderedPageBreak/>
        <w:t xml:space="preserve">Auction of Consigned Allowances.  </w:t>
      </w:r>
    </w:p>
    <w:p w14:paraId="41E69D34" w14:textId="77777777" w:rsidR="00FE6B15" w:rsidRPr="00B61FF1" w:rsidRDefault="00FE6B15" w:rsidP="00FE6A4C">
      <w:pPr>
        <w:numPr>
          <w:ilvl w:val="1"/>
          <w:numId w:val="16"/>
        </w:numPr>
        <w:spacing w:line="360" w:lineRule="auto"/>
        <w:rPr>
          <w:rFonts w:ascii="Arial" w:hAnsi="Arial" w:cs="Arial"/>
          <w:sz w:val="24"/>
          <w:szCs w:val="24"/>
        </w:rPr>
      </w:pPr>
      <w:r w:rsidRPr="00B61FF1">
        <w:rPr>
          <w:rFonts w:ascii="Arial" w:hAnsi="Arial" w:cs="Arial"/>
          <w:sz w:val="24"/>
          <w:szCs w:val="24"/>
        </w:rPr>
        <w:t>An entity may consign allowances to the Executive Officer for sale at the quarterly auctions only from a limited use holding account.</w:t>
      </w:r>
    </w:p>
    <w:p w14:paraId="4729A257" w14:textId="4D8BB623" w:rsidR="00FE6B15" w:rsidRPr="00B61FF1" w:rsidRDefault="00FE6B15" w:rsidP="00FE6A4C">
      <w:pPr>
        <w:numPr>
          <w:ilvl w:val="1"/>
          <w:numId w:val="16"/>
        </w:numPr>
        <w:spacing w:line="360" w:lineRule="auto"/>
        <w:rPr>
          <w:rFonts w:ascii="Arial" w:hAnsi="Arial" w:cs="Arial"/>
          <w:sz w:val="24"/>
          <w:szCs w:val="24"/>
        </w:rPr>
      </w:pPr>
      <w:r w:rsidRPr="00B61FF1">
        <w:rPr>
          <w:rFonts w:ascii="Arial" w:hAnsi="Arial" w:cs="Arial"/>
          <w:sz w:val="24"/>
          <w:szCs w:val="24"/>
        </w:rPr>
        <w:t xml:space="preserve">When the Executive Officer withdraws </w:t>
      </w:r>
      <w:r w:rsidR="000242BB" w:rsidRPr="00B61FF1">
        <w:rPr>
          <w:rFonts w:ascii="Arial" w:hAnsi="Arial" w:cs="Arial"/>
          <w:sz w:val="24"/>
          <w:szCs w:val="24"/>
        </w:rPr>
        <w:t xml:space="preserve">compliance instruments </w:t>
      </w:r>
      <w:r w:rsidRPr="00B61FF1">
        <w:rPr>
          <w:rFonts w:ascii="Arial" w:hAnsi="Arial" w:cs="Arial"/>
          <w:sz w:val="24"/>
          <w:szCs w:val="24"/>
        </w:rPr>
        <w:t xml:space="preserve">from </w:t>
      </w:r>
      <w:r w:rsidR="0015151E" w:rsidRPr="00B61FF1">
        <w:rPr>
          <w:rFonts w:ascii="Arial" w:hAnsi="Arial" w:cs="Arial"/>
          <w:sz w:val="24"/>
          <w:szCs w:val="24"/>
        </w:rPr>
        <w:t>accounts closed pursuant to section 95831(c)</w:t>
      </w:r>
      <w:r w:rsidR="000165CD" w:rsidRPr="00B61FF1">
        <w:rPr>
          <w:rFonts w:ascii="Arial" w:hAnsi="Arial" w:cs="Arial"/>
          <w:sz w:val="24"/>
          <w:szCs w:val="24"/>
        </w:rPr>
        <w:t>, accounts containing allowances in excess of the holding limit pursuant to section 95920(b)(5),</w:t>
      </w:r>
      <w:r w:rsidR="0015151E" w:rsidRPr="00B61FF1">
        <w:rPr>
          <w:rFonts w:ascii="Arial" w:hAnsi="Arial" w:cs="Arial"/>
          <w:sz w:val="24"/>
          <w:szCs w:val="24"/>
        </w:rPr>
        <w:t xml:space="preserve"> or accounts </w:t>
      </w:r>
      <w:r w:rsidRPr="00B61FF1">
        <w:rPr>
          <w:rFonts w:ascii="Arial" w:hAnsi="Arial" w:cs="Arial"/>
          <w:sz w:val="24"/>
          <w:szCs w:val="24"/>
        </w:rPr>
        <w:t xml:space="preserve">suspended or revoked pursuant to </w:t>
      </w:r>
      <w:r w:rsidR="00756EB0" w:rsidRPr="00B61FF1">
        <w:rPr>
          <w:rFonts w:ascii="Arial" w:hAnsi="Arial" w:cs="Arial"/>
          <w:sz w:val="24"/>
          <w:szCs w:val="24"/>
        </w:rPr>
        <w:t>section</w:t>
      </w:r>
      <w:r w:rsidR="00A246D9" w:rsidRPr="00B61FF1">
        <w:rPr>
          <w:rFonts w:ascii="Arial" w:hAnsi="Arial" w:cs="Arial"/>
          <w:sz w:val="24"/>
          <w:szCs w:val="24"/>
        </w:rPr>
        <w:t xml:space="preserve"> 95921(</w:t>
      </w:r>
      <w:r w:rsidR="000165CD" w:rsidRPr="00B61FF1">
        <w:rPr>
          <w:rFonts w:ascii="Arial" w:hAnsi="Arial" w:cs="Arial"/>
          <w:sz w:val="24"/>
          <w:szCs w:val="24"/>
        </w:rPr>
        <w:t>g</w:t>
      </w:r>
      <w:r w:rsidR="00A246D9" w:rsidRPr="00B61FF1">
        <w:rPr>
          <w:rFonts w:ascii="Arial" w:hAnsi="Arial" w:cs="Arial"/>
          <w:sz w:val="24"/>
          <w:szCs w:val="24"/>
        </w:rPr>
        <w:t>)</w:t>
      </w:r>
      <w:r w:rsidR="001A5D45" w:rsidRPr="00B61FF1">
        <w:rPr>
          <w:rFonts w:ascii="Arial" w:hAnsi="Arial" w:cs="Arial"/>
          <w:sz w:val="24"/>
          <w:szCs w:val="24"/>
        </w:rPr>
        <w:t>(3)</w:t>
      </w:r>
      <w:r w:rsidRPr="00B61FF1">
        <w:rPr>
          <w:rFonts w:ascii="Arial" w:hAnsi="Arial" w:cs="Arial"/>
          <w:sz w:val="24"/>
          <w:szCs w:val="24"/>
        </w:rPr>
        <w:t>:</w:t>
      </w:r>
    </w:p>
    <w:p w14:paraId="2345C444" w14:textId="77777777" w:rsidR="00FE6B15" w:rsidRPr="00B61FF1" w:rsidRDefault="0015151E" w:rsidP="0015151E">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Allowances shall be consigned to the next auction</w:t>
      </w:r>
      <w:r w:rsidR="000242BB" w:rsidRPr="00B61FF1">
        <w:rPr>
          <w:rFonts w:ascii="Arial" w:hAnsi="Arial" w:cs="Arial"/>
          <w:sz w:val="24"/>
          <w:szCs w:val="24"/>
        </w:rPr>
        <w:t>;</w:t>
      </w:r>
    </w:p>
    <w:p w14:paraId="46872451" w14:textId="77777777" w:rsidR="00FE6B15" w:rsidRPr="00B61FF1" w:rsidRDefault="0015151E" w:rsidP="0015151E">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If</w:t>
      </w:r>
      <w:r w:rsidR="00186542" w:rsidRPr="00B61FF1">
        <w:rPr>
          <w:rFonts w:ascii="Arial" w:hAnsi="Arial" w:cs="Arial"/>
          <w:sz w:val="24"/>
          <w:szCs w:val="24"/>
        </w:rPr>
        <w:t>,</w:t>
      </w:r>
      <w:r w:rsidR="00FE6B15" w:rsidRPr="00B61FF1">
        <w:rPr>
          <w:rFonts w:ascii="Arial" w:hAnsi="Arial" w:cs="Arial"/>
          <w:sz w:val="24"/>
          <w:szCs w:val="24"/>
        </w:rPr>
        <w:t xml:space="preserve"> after review</w:t>
      </w:r>
      <w:r w:rsidR="00186542" w:rsidRPr="00B61FF1">
        <w:rPr>
          <w:rFonts w:ascii="Arial" w:hAnsi="Arial" w:cs="Arial"/>
          <w:sz w:val="24"/>
          <w:szCs w:val="24"/>
        </w:rPr>
        <w:t>,</w:t>
      </w:r>
      <w:r w:rsidR="00FE6B15" w:rsidRPr="00B61FF1">
        <w:rPr>
          <w:rFonts w:ascii="Arial" w:hAnsi="Arial" w:cs="Arial"/>
          <w:sz w:val="24"/>
          <w:szCs w:val="24"/>
        </w:rPr>
        <w:t xml:space="preserve"> the Executive Officer determines the withdrawn </w:t>
      </w:r>
      <w:r w:rsidR="00AB2DA5" w:rsidRPr="00B61FF1">
        <w:rPr>
          <w:rFonts w:ascii="Arial" w:hAnsi="Arial" w:cs="Arial"/>
          <w:sz w:val="24"/>
          <w:szCs w:val="24"/>
        </w:rPr>
        <w:t xml:space="preserve">ARB </w:t>
      </w:r>
      <w:r w:rsidR="00FE6B15" w:rsidRPr="00B61FF1">
        <w:rPr>
          <w:rFonts w:ascii="Arial" w:hAnsi="Arial" w:cs="Arial"/>
          <w:sz w:val="24"/>
          <w:szCs w:val="24"/>
        </w:rPr>
        <w:t xml:space="preserve">offset credits are valid, the Executive Officer will retire them, withdraw a similar number of allowances from the Auction Holding Account, and consign those allowances to auction in place of the retired </w:t>
      </w:r>
      <w:r w:rsidR="00AB2DA5" w:rsidRPr="00B61FF1">
        <w:rPr>
          <w:rFonts w:ascii="Arial" w:hAnsi="Arial" w:cs="Arial"/>
          <w:sz w:val="24"/>
          <w:szCs w:val="24"/>
        </w:rPr>
        <w:t xml:space="preserve">ARB </w:t>
      </w:r>
      <w:r w:rsidR="00FE6B15" w:rsidRPr="00B61FF1">
        <w:rPr>
          <w:rFonts w:ascii="Arial" w:hAnsi="Arial" w:cs="Arial"/>
          <w:sz w:val="24"/>
          <w:szCs w:val="24"/>
        </w:rPr>
        <w:t>offset credits.</w:t>
      </w:r>
    </w:p>
    <w:p w14:paraId="4989196F" w14:textId="77777777" w:rsidR="00FE6B15" w:rsidRPr="00B61FF1" w:rsidRDefault="00FE6B15" w:rsidP="00FE6A4C">
      <w:pPr>
        <w:numPr>
          <w:ilvl w:val="1"/>
          <w:numId w:val="16"/>
        </w:numPr>
        <w:spacing w:line="360" w:lineRule="auto"/>
        <w:rPr>
          <w:rFonts w:ascii="Arial" w:hAnsi="Arial" w:cs="Arial"/>
          <w:sz w:val="24"/>
          <w:szCs w:val="24"/>
        </w:rPr>
      </w:pPr>
      <w:r w:rsidRPr="00B61FF1">
        <w:rPr>
          <w:rFonts w:ascii="Arial" w:hAnsi="Arial" w:cs="Arial"/>
          <w:sz w:val="24"/>
          <w:szCs w:val="24"/>
        </w:rPr>
        <w:t>Each consigning entity agrees to accept the auction settlement price for allowances sold at auction.</w:t>
      </w:r>
    </w:p>
    <w:p w14:paraId="2BA18148" w14:textId="77777777" w:rsidR="00FE6B15" w:rsidRPr="00B61FF1" w:rsidRDefault="002F2A83" w:rsidP="00FE6A4C">
      <w:pPr>
        <w:numPr>
          <w:ilvl w:val="1"/>
          <w:numId w:val="16"/>
        </w:numPr>
        <w:spacing w:line="360" w:lineRule="auto"/>
        <w:rPr>
          <w:rFonts w:ascii="Arial" w:hAnsi="Arial" w:cs="Arial"/>
          <w:sz w:val="24"/>
          <w:szCs w:val="24"/>
        </w:rPr>
      </w:pPr>
      <w:r w:rsidRPr="00B61FF1">
        <w:rPr>
          <w:rFonts w:ascii="Arial" w:hAnsi="Arial" w:cs="Arial"/>
          <w:sz w:val="24"/>
          <w:szCs w:val="24"/>
        </w:rPr>
        <w:t xml:space="preserve">Deadline for Consignment.  </w:t>
      </w:r>
    </w:p>
    <w:p w14:paraId="6DE96558" w14:textId="77777777" w:rsidR="002F2A83" w:rsidRPr="00B61FF1" w:rsidRDefault="002A7976" w:rsidP="002A7976">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2D3A8D" w:rsidRPr="00B61FF1">
        <w:rPr>
          <w:rFonts w:ascii="Arial" w:hAnsi="Arial" w:cs="Arial"/>
          <w:sz w:val="24"/>
          <w:szCs w:val="24"/>
        </w:rPr>
        <w:t>For the auction</w:t>
      </w:r>
      <w:r w:rsidR="002F2A83" w:rsidRPr="00B61FF1">
        <w:rPr>
          <w:rFonts w:ascii="Arial" w:hAnsi="Arial" w:cs="Arial"/>
          <w:sz w:val="24"/>
          <w:szCs w:val="24"/>
        </w:rPr>
        <w:t xml:space="preserve"> conducted in 2012, allowances designated for consignment pursuant to section 95892(c) must be transferred to the Auction Holding Account at least 10 days before </w:t>
      </w:r>
      <w:r w:rsidR="000165CD" w:rsidRPr="00B61FF1">
        <w:rPr>
          <w:rFonts w:ascii="Arial" w:hAnsi="Arial" w:cs="Arial"/>
          <w:sz w:val="24"/>
          <w:szCs w:val="24"/>
        </w:rPr>
        <w:t>the</w:t>
      </w:r>
      <w:r w:rsidR="002F2A83" w:rsidRPr="00B61FF1">
        <w:rPr>
          <w:rFonts w:ascii="Arial" w:hAnsi="Arial" w:cs="Arial"/>
          <w:sz w:val="24"/>
          <w:szCs w:val="24"/>
        </w:rPr>
        <w:t xml:space="preserve"> auction.</w:t>
      </w:r>
    </w:p>
    <w:p w14:paraId="2DE1D808" w14:textId="602355CC" w:rsidR="002F2A83" w:rsidRPr="00B61FF1" w:rsidRDefault="002A7976" w:rsidP="002A7976">
      <w:pPr>
        <w:spacing w:line="360" w:lineRule="auto"/>
        <w:ind w:left="1800" w:hanging="720"/>
        <w:rPr>
          <w:rFonts w:ascii="Arial" w:hAnsi="Arial" w:cs="Arial"/>
          <w:sz w:val="24"/>
          <w:szCs w:val="24"/>
          <w:u w:val="single"/>
        </w:rPr>
      </w:pPr>
      <w:r w:rsidRPr="00B61FF1">
        <w:rPr>
          <w:rFonts w:ascii="Arial" w:hAnsi="Arial" w:cs="Arial"/>
          <w:sz w:val="24"/>
          <w:szCs w:val="24"/>
        </w:rPr>
        <w:t>(B)</w:t>
      </w:r>
      <w:r w:rsidRPr="00B61FF1">
        <w:rPr>
          <w:rFonts w:ascii="Arial" w:hAnsi="Arial" w:cs="Arial"/>
          <w:sz w:val="24"/>
          <w:szCs w:val="24"/>
        </w:rPr>
        <w:tab/>
      </w:r>
      <w:r w:rsidR="002F2A83" w:rsidRPr="00B61FF1">
        <w:rPr>
          <w:rFonts w:ascii="Arial" w:hAnsi="Arial" w:cs="Arial"/>
          <w:sz w:val="24"/>
          <w:szCs w:val="24"/>
        </w:rPr>
        <w:t>Beginning in 2013</w:t>
      </w:r>
      <w:r w:rsidR="00601D34" w:rsidRPr="00B61FF1">
        <w:rPr>
          <w:rFonts w:ascii="Arial" w:hAnsi="Arial" w:cs="Arial"/>
          <w:sz w:val="24"/>
          <w:szCs w:val="24"/>
          <w:u w:val="single"/>
        </w:rPr>
        <w:t xml:space="preserve"> and through 2014</w:t>
      </w:r>
      <w:r w:rsidR="002F2A83" w:rsidRPr="00B61FF1">
        <w:rPr>
          <w:rFonts w:ascii="Arial" w:hAnsi="Arial" w:cs="Arial"/>
          <w:sz w:val="24"/>
          <w:szCs w:val="24"/>
        </w:rPr>
        <w:t xml:space="preserve">, allowances consigned to auction through a transfer to the Auction Holding Account at least 75 days prior to the regular quarterly auction will be offered for sale at that auction. </w:t>
      </w:r>
      <w:r w:rsidR="00A812DF" w:rsidRPr="00B61FF1">
        <w:rPr>
          <w:rFonts w:ascii="Arial" w:hAnsi="Arial" w:cs="Arial"/>
          <w:sz w:val="24"/>
          <w:szCs w:val="24"/>
          <w:u w:val="single"/>
        </w:rPr>
        <w:t>This transfer must be completed by 5 p.m. Pacific Standard Time (or Pacific Daylight Time, when in effect) on the 75</w:t>
      </w:r>
      <w:r w:rsidR="00A812DF" w:rsidRPr="00B61FF1">
        <w:rPr>
          <w:rFonts w:ascii="Arial" w:hAnsi="Arial" w:cs="Arial"/>
          <w:sz w:val="24"/>
          <w:szCs w:val="24"/>
          <w:u w:val="single"/>
          <w:vertAlign w:val="superscript"/>
        </w:rPr>
        <w:t>th</w:t>
      </w:r>
      <w:r w:rsidR="00A812DF" w:rsidRPr="00B61FF1">
        <w:rPr>
          <w:rFonts w:ascii="Arial" w:hAnsi="Arial" w:cs="Arial"/>
          <w:sz w:val="24"/>
          <w:szCs w:val="24"/>
          <w:u w:val="single"/>
        </w:rPr>
        <w:t xml:space="preserve"> day before the auction.</w:t>
      </w:r>
    </w:p>
    <w:p w14:paraId="7CD4554C" w14:textId="145F132E" w:rsidR="00601D34" w:rsidRPr="00B61FF1" w:rsidRDefault="00601D34" w:rsidP="002A7976">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Beginning in 2015, allowances designated for consignment pursuant to section 95892(c) and 95893(c) must be transferred to the Auction Holding Account at least 75 days before the auction</w:t>
      </w:r>
      <w:r w:rsidR="00BD74AD">
        <w:rPr>
          <w:rFonts w:ascii="Arial" w:hAnsi="Arial" w:cs="Arial"/>
          <w:sz w:val="24"/>
          <w:szCs w:val="24"/>
          <w:u w:val="single"/>
        </w:rPr>
        <w:t xml:space="preserve"> as scheduled in Appendix C</w:t>
      </w:r>
      <w:r w:rsidRPr="00B61FF1">
        <w:rPr>
          <w:rFonts w:ascii="Arial" w:hAnsi="Arial" w:cs="Arial"/>
          <w:sz w:val="24"/>
          <w:szCs w:val="24"/>
          <w:u w:val="single"/>
        </w:rPr>
        <w:t xml:space="preserve">. This transfer must be </w:t>
      </w:r>
      <w:r w:rsidRPr="00B61FF1">
        <w:rPr>
          <w:rFonts w:ascii="Arial" w:hAnsi="Arial" w:cs="Arial"/>
          <w:sz w:val="24"/>
          <w:szCs w:val="24"/>
          <w:u w:val="single"/>
        </w:rPr>
        <w:lastRenderedPageBreak/>
        <w:t>completed by 5 p.m. Pacific Standard Time (or Pacific Daylight Time, when in effect) on the 75</w:t>
      </w:r>
      <w:r w:rsidRPr="00B61FF1">
        <w:rPr>
          <w:rFonts w:ascii="Arial" w:hAnsi="Arial" w:cs="Arial"/>
          <w:sz w:val="24"/>
          <w:szCs w:val="24"/>
          <w:u w:val="single"/>
          <w:vertAlign w:val="superscript"/>
        </w:rPr>
        <w:t>th</w:t>
      </w:r>
      <w:r w:rsidRPr="00B61FF1">
        <w:rPr>
          <w:rFonts w:ascii="Arial" w:hAnsi="Arial" w:cs="Arial"/>
          <w:sz w:val="24"/>
          <w:szCs w:val="24"/>
          <w:u w:val="single"/>
        </w:rPr>
        <w:t xml:space="preserve"> day before the auction.</w:t>
      </w:r>
    </w:p>
    <w:p w14:paraId="4C297682" w14:textId="77777777" w:rsidR="00006979" w:rsidRPr="00B61FF1" w:rsidRDefault="00006979" w:rsidP="002A7976">
      <w:pPr>
        <w:spacing w:line="360" w:lineRule="auto"/>
        <w:ind w:left="1800" w:hanging="720"/>
        <w:rPr>
          <w:rFonts w:ascii="Arial" w:hAnsi="Arial" w:cs="Arial"/>
          <w:strike/>
          <w:sz w:val="24"/>
          <w:szCs w:val="24"/>
        </w:rPr>
      </w:pPr>
    </w:p>
    <w:p w14:paraId="6DB43DA1"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36AD329D"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2D7B84E2" w14:textId="77777777" w:rsidR="00BD1FA4" w:rsidRPr="00B61FF1" w:rsidRDefault="00BD1FA4" w:rsidP="00EC7AFC">
      <w:pPr>
        <w:rPr>
          <w:rFonts w:ascii="Arial" w:hAnsi="Arial" w:cs="Arial"/>
        </w:rPr>
      </w:pPr>
    </w:p>
    <w:p w14:paraId="76A58F64" w14:textId="77777777" w:rsidR="00FE6B15" w:rsidRPr="00B61FF1" w:rsidRDefault="00FE6B15" w:rsidP="004E3B67">
      <w:pPr>
        <w:pStyle w:val="Heading2"/>
        <w:keepNext w:val="0"/>
        <w:rPr>
          <w:i/>
          <w:szCs w:val="24"/>
        </w:rPr>
      </w:pPr>
      <w:bookmarkStart w:id="347" w:name="_Toc259776454"/>
      <w:bookmarkStart w:id="348" w:name="_Toc265660925"/>
      <w:bookmarkStart w:id="349" w:name="_Toc269798087"/>
      <w:bookmarkStart w:id="350" w:name="_Toc299094954"/>
      <w:bookmarkStart w:id="351" w:name="_Toc302746808"/>
      <w:bookmarkStart w:id="352" w:name="_Toc352146267"/>
      <w:bookmarkStart w:id="353" w:name="_Toc361659871"/>
      <w:r w:rsidRPr="00B61FF1">
        <w:rPr>
          <w:szCs w:val="24"/>
        </w:rPr>
        <w:t>§ 95911.  Format for Auction of California GHG Allowances</w:t>
      </w:r>
      <w:bookmarkEnd w:id="347"/>
      <w:bookmarkEnd w:id="348"/>
      <w:bookmarkEnd w:id="349"/>
      <w:r w:rsidR="00A26C38" w:rsidRPr="00B61FF1">
        <w:rPr>
          <w:szCs w:val="24"/>
        </w:rPr>
        <w:t>.</w:t>
      </w:r>
      <w:bookmarkEnd w:id="350"/>
      <w:bookmarkEnd w:id="351"/>
      <w:bookmarkEnd w:id="352"/>
      <w:bookmarkEnd w:id="353"/>
    </w:p>
    <w:p w14:paraId="487ADF7F" w14:textId="77777777" w:rsidR="00FE6B15" w:rsidRPr="00B61FF1" w:rsidRDefault="00612B13" w:rsidP="00612B13">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Auction </w:t>
      </w:r>
      <w:r w:rsidR="005C0D5B" w:rsidRPr="00B61FF1">
        <w:rPr>
          <w:rFonts w:ascii="Arial" w:hAnsi="Arial" w:cs="Arial"/>
          <w:sz w:val="24"/>
          <w:szCs w:val="24"/>
        </w:rPr>
        <w:t xml:space="preserve">Bidding </w:t>
      </w:r>
      <w:r w:rsidR="00FE6B15" w:rsidRPr="00B61FF1">
        <w:rPr>
          <w:rFonts w:ascii="Arial" w:hAnsi="Arial" w:cs="Arial"/>
          <w:sz w:val="24"/>
          <w:szCs w:val="24"/>
        </w:rPr>
        <w:t>Format.</w:t>
      </w:r>
    </w:p>
    <w:p w14:paraId="2CDCE1D5"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The auction will consist of a single round of bidding.</w:t>
      </w:r>
    </w:p>
    <w:p w14:paraId="30D061ED"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Bids will be sealed.</w:t>
      </w:r>
    </w:p>
    <w:p w14:paraId="454987C1"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E6B15" w:rsidRPr="00B61FF1">
        <w:rPr>
          <w:rFonts w:ascii="Arial" w:hAnsi="Arial" w:cs="Arial"/>
          <w:sz w:val="24"/>
          <w:szCs w:val="24"/>
        </w:rPr>
        <w:t xml:space="preserve">Bid quantities must be submitted as multiples of 1,000 </w:t>
      </w:r>
      <w:r w:rsidR="00633D10" w:rsidRPr="00B61FF1">
        <w:rPr>
          <w:rFonts w:ascii="Arial" w:hAnsi="Arial" w:cs="Arial"/>
          <w:sz w:val="24"/>
          <w:szCs w:val="24"/>
        </w:rPr>
        <w:t>California GHG allowances</w:t>
      </w:r>
      <w:r w:rsidR="00FE6B15" w:rsidRPr="00B61FF1">
        <w:rPr>
          <w:rFonts w:ascii="Arial" w:hAnsi="Arial" w:cs="Arial"/>
          <w:sz w:val="24"/>
          <w:szCs w:val="24"/>
        </w:rPr>
        <w:t>.</w:t>
      </w:r>
    </w:p>
    <w:p w14:paraId="30E9DBF8"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0165CD" w:rsidRPr="00B61FF1">
        <w:rPr>
          <w:rFonts w:ascii="Arial" w:hAnsi="Arial" w:cs="Arial"/>
          <w:sz w:val="24"/>
          <w:szCs w:val="24"/>
        </w:rPr>
        <w:t>Entities registered into the California Cap-and-Trade Program must submit bids in whole U.S. dollars and whole cents</w:t>
      </w:r>
      <w:r w:rsidR="00FE6B15" w:rsidRPr="00B61FF1">
        <w:rPr>
          <w:rFonts w:ascii="Arial" w:hAnsi="Arial" w:cs="Arial"/>
          <w:sz w:val="24"/>
          <w:szCs w:val="24"/>
        </w:rPr>
        <w:t>.</w:t>
      </w:r>
    </w:p>
    <w:p w14:paraId="16A87F4E" w14:textId="77777777" w:rsidR="004228DD" w:rsidRPr="00B61FF1" w:rsidRDefault="004228DD" w:rsidP="004228DD">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The allowances for auction in section 95911(a)(3) will also include allowances from a jurisdiction operating an External GHG ETS system to which California has linked pursuant to subarticle 12.</w:t>
      </w:r>
    </w:p>
    <w:p w14:paraId="59288E61" w14:textId="77777777" w:rsidR="00FE6B15" w:rsidRPr="00B61FF1" w:rsidRDefault="00612B13" w:rsidP="00612B13">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Auction Reserve Price Schedule.</w:t>
      </w:r>
    </w:p>
    <w:p w14:paraId="03EAFE2D"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Each auction will be conducted with an auction reserve price.</w:t>
      </w:r>
    </w:p>
    <w:p w14:paraId="6925BD24"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 xml:space="preserve">No allowances will be </w:t>
      </w:r>
      <w:r w:rsidR="00FF69AC" w:rsidRPr="00B61FF1">
        <w:rPr>
          <w:rFonts w:ascii="Arial" w:hAnsi="Arial" w:cs="Arial"/>
          <w:sz w:val="24"/>
          <w:szCs w:val="24"/>
        </w:rPr>
        <w:t xml:space="preserve">sold at </w:t>
      </w:r>
      <w:r w:rsidR="00FE6B15" w:rsidRPr="00B61FF1">
        <w:rPr>
          <w:rFonts w:ascii="Arial" w:hAnsi="Arial" w:cs="Arial"/>
          <w:sz w:val="24"/>
          <w:szCs w:val="24"/>
        </w:rPr>
        <w:t>bids lower than the auction reserve price.</w:t>
      </w:r>
    </w:p>
    <w:p w14:paraId="67D60224" w14:textId="77777777" w:rsidR="000165CD" w:rsidRPr="00B61FF1" w:rsidRDefault="000165CD" w:rsidP="00635712">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Method for Setting the Auction Reserve Price</w:t>
      </w:r>
      <w:r w:rsidR="002D3A8D" w:rsidRPr="00B61FF1">
        <w:rPr>
          <w:rFonts w:ascii="Arial" w:hAnsi="Arial" w:cs="Arial"/>
          <w:sz w:val="24"/>
          <w:szCs w:val="24"/>
        </w:rPr>
        <w:t>.</w:t>
      </w:r>
    </w:p>
    <w:p w14:paraId="181D06C8" w14:textId="77777777" w:rsidR="000165CD" w:rsidRPr="00B61FF1" w:rsidRDefault="000165CD" w:rsidP="00FE6A4C">
      <w:pPr>
        <w:pStyle w:val="ListParagraph"/>
        <w:numPr>
          <w:ilvl w:val="0"/>
          <w:numId w:val="43"/>
        </w:numPr>
        <w:spacing w:line="360" w:lineRule="auto"/>
        <w:ind w:left="1080" w:hanging="720"/>
        <w:rPr>
          <w:rFonts w:ascii="Arial" w:hAnsi="Arial" w:cs="Arial"/>
          <w:sz w:val="24"/>
          <w:szCs w:val="24"/>
        </w:rPr>
      </w:pPr>
      <w:r w:rsidRPr="00B61FF1">
        <w:rPr>
          <w:rFonts w:ascii="Arial" w:hAnsi="Arial" w:cs="Arial"/>
          <w:sz w:val="24"/>
          <w:szCs w:val="24"/>
        </w:rPr>
        <w:t>The Auction Reserve Price for vintage 2013 allowances auctioned in 2012 will be $10 per allowance.  For Advance Auctions conducted in 2012, the Reserve Price shall be $10 per allowance for vintage 2015 allowances.</w:t>
      </w:r>
    </w:p>
    <w:p w14:paraId="2C99E91F" w14:textId="77777777" w:rsidR="000165CD" w:rsidRPr="00B61FF1" w:rsidRDefault="000165CD" w:rsidP="00FE6A4C">
      <w:pPr>
        <w:pStyle w:val="ListParagraph"/>
        <w:numPr>
          <w:ilvl w:val="0"/>
          <w:numId w:val="43"/>
        </w:numPr>
        <w:spacing w:line="360" w:lineRule="auto"/>
        <w:ind w:left="1080" w:hanging="720"/>
        <w:rPr>
          <w:rFonts w:ascii="Arial" w:hAnsi="Arial" w:cs="Arial"/>
          <w:sz w:val="24"/>
          <w:szCs w:val="24"/>
        </w:rPr>
      </w:pPr>
      <w:r w:rsidRPr="00B61FF1">
        <w:rPr>
          <w:rFonts w:ascii="Arial" w:hAnsi="Arial" w:cs="Arial"/>
          <w:sz w:val="24"/>
          <w:szCs w:val="24"/>
        </w:rPr>
        <w:t>Beginning in 2012, and each year thereafter, the Auction Administrator will announce the Auction Reserve Price for auctions to be conducted the following calendar year on the first day in December that is a business day in California.  The Reserve Price shall be state</w:t>
      </w:r>
      <w:r w:rsidR="00F942D8" w:rsidRPr="00B61FF1">
        <w:rPr>
          <w:rFonts w:ascii="Arial" w:hAnsi="Arial" w:cs="Arial"/>
          <w:sz w:val="24"/>
          <w:szCs w:val="24"/>
          <w:u w:val="single"/>
        </w:rPr>
        <w:t>d</w:t>
      </w:r>
      <w:r w:rsidRPr="00B61FF1">
        <w:rPr>
          <w:rFonts w:ascii="Arial" w:hAnsi="Arial" w:cs="Arial"/>
          <w:sz w:val="24"/>
          <w:szCs w:val="24"/>
        </w:rPr>
        <w:t xml:space="preserve"> in U.S. dollars.</w:t>
      </w:r>
    </w:p>
    <w:p w14:paraId="27910229" w14:textId="77777777" w:rsidR="000165CD" w:rsidRPr="00B61FF1" w:rsidRDefault="000165CD" w:rsidP="00FE6A4C">
      <w:pPr>
        <w:pStyle w:val="ListParagraph"/>
        <w:numPr>
          <w:ilvl w:val="0"/>
          <w:numId w:val="43"/>
        </w:numPr>
        <w:spacing w:line="360" w:lineRule="auto"/>
        <w:ind w:left="1080" w:hanging="720"/>
        <w:rPr>
          <w:rFonts w:ascii="Arial" w:hAnsi="Arial" w:cs="Arial"/>
          <w:sz w:val="24"/>
          <w:szCs w:val="24"/>
        </w:rPr>
      </w:pPr>
      <w:r w:rsidRPr="00B61FF1">
        <w:rPr>
          <w:rFonts w:ascii="Arial" w:hAnsi="Arial" w:cs="Arial"/>
          <w:sz w:val="24"/>
          <w:szCs w:val="24"/>
        </w:rPr>
        <w:lastRenderedPageBreak/>
        <w:t xml:space="preserve">The </w:t>
      </w:r>
      <w:r w:rsidR="00E5480C" w:rsidRPr="00B61FF1">
        <w:rPr>
          <w:rFonts w:ascii="Arial" w:hAnsi="Arial" w:cs="Arial"/>
          <w:sz w:val="24"/>
          <w:szCs w:val="24"/>
        </w:rPr>
        <w:t>A</w:t>
      </w:r>
      <w:r w:rsidRPr="00B61FF1">
        <w:rPr>
          <w:rFonts w:ascii="Arial" w:hAnsi="Arial" w:cs="Arial"/>
          <w:sz w:val="24"/>
          <w:szCs w:val="24"/>
        </w:rPr>
        <w:t xml:space="preserve">uction </w:t>
      </w:r>
      <w:r w:rsidR="00E5480C" w:rsidRPr="00B61FF1">
        <w:rPr>
          <w:rFonts w:ascii="Arial" w:hAnsi="Arial" w:cs="Arial"/>
          <w:sz w:val="24"/>
          <w:szCs w:val="24"/>
        </w:rPr>
        <w:t>A</w:t>
      </w:r>
      <w:r w:rsidRPr="00B61FF1">
        <w:rPr>
          <w:rFonts w:ascii="Arial" w:hAnsi="Arial" w:cs="Arial"/>
          <w:sz w:val="24"/>
          <w:szCs w:val="24"/>
        </w:rPr>
        <w:t>dministrator</w:t>
      </w:r>
      <w:r w:rsidR="00E5480C" w:rsidRPr="00B61FF1">
        <w:rPr>
          <w:rFonts w:ascii="Arial" w:hAnsi="Arial" w:cs="Arial"/>
          <w:sz w:val="24"/>
          <w:szCs w:val="24"/>
        </w:rPr>
        <w:t xml:space="preserve"> will calculate the Auction Reserve Price using the following procedure:</w:t>
      </w:r>
    </w:p>
    <w:p w14:paraId="010CA5B5" w14:textId="77777777" w:rsidR="00E5480C" w:rsidRPr="00B61FF1" w:rsidRDefault="00E5480C" w:rsidP="00FE6A4C">
      <w:pPr>
        <w:pStyle w:val="ListParagraph"/>
        <w:numPr>
          <w:ilvl w:val="1"/>
          <w:numId w:val="43"/>
        </w:numPr>
        <w:spacing w:line="360" w:lineRule="auto"/>
        <w:ind w:left="1800" w:hanging="720"/>
        <w:rPr>
          <w:rFonts w:ascii="Arial" w:hAnsi="Arial" w:cs="Arial"/>
          <w:sz w:val="24"/>
          <w:szCs w:val="24"/>
        </w:rPr>
      </w:pPr>
      <w:r w:rsidRPr="00B61FF1">
        <w:rPr>
          <w:rFonts w:ascii="Arial" w:hAnsi="Arial" w:cs="Arial"/>
          <w:sz w:val="24"/>
          <w:szCs w:val="24"/>
        </w:rPr>
        <w:t>The Auction Reserve Price in U.S. dollars shall be the U.S. dollar Auction Reserve Price for the previous calendar year increased annually by 5 percent plus the rate of inflation as measured by the most recently available twelve months of the Consumer Price Index for All Urban Consumers.</w:t>
      </w:r>
    </w:p>
    <w:p w14:paraId="5D3DB6D1" w14:textId="77777777" w:rsidR="00E5480C" w:rsidRPr="00B61FF1" w:rsidRDefault="00E5480C" w:rsidP="00FE6A4C">
      <w:pPr>
        <w:pStyle w:val="ListParagraph"/>
        <w:numPr>
          <w:ilvl w:val="1"/>
          <w:numId w:val="43"/>
        </w:numPr>
        <w:spacing w:line="360" w:lineRule="auto"/>
        <w:ind w:left="1800" w:hanging="720"/>
        <w:rPr>
          <w:rFonts w:ascii="Arial" w:hAnsi="Arial" w:cs="Arial"/>
          <w:sz w:val="24"/>
          <w:szCs w:val="24"/>
        </w:rPr>
      </w:pPr>
      <w:r w:rsidRPr="00B61FF1">
        <w:rPr>
          <w:rFonts w:ascii="Arial" w:hAnsi="Arial" w:cs="Arial"/>
          <w:sz w:val="24"/>
          <w:szCs w:val="24"/>
        </w:rPr>
        <w:t>Prior to the opening of the auction window on the day of the auction, the Auction Administrator shall announce the Auction Reserve Price.</w:t>
      </w:r>
    </w:p>
    <w:p w14:paraId="239B5442" w14:textId="77777777" w:rsidR="004228DD" w:rsidRPr="00B61FF1" w:rsidRDefault="004228DD" w:rsidP="00FE6A4C">
      <w:pPr>
        <w:pStyle w:val="ListParagraph"/>
        <w:numPr>
          <w:ilvl w:val="1"/>
          <w:numId w:val="43"/>
        </w:numPr>
        <w:spacing w:line="360" w:lineRule="auto"/>
        <w:ind w:left="1800" w:hanging="720"/>
        <w:rPr>
          <w:rFonts w:ascii="Arial" w:hAnsi="Arial" w:cs="Arial"/>
          <w:sz w:val="24"/>
          <w:szCs w:val="24"/>
        </w:rPr>
      </w:pPr>
      <w:r w:rsidRPr="00B61FF1">
        <w:rPr>
          <w:rFonts w:ascii="Arial" w:hAnsi="Arial" w:cs="Arial"/>
          <w:sz w:val="24"/>
          <w:szCs w:val="24"/>
        </w:rPr>
        <w:t xml:space="preserve">The auction administrator shall set the exchange rate as the most recently available noon daily buying rate for U.S. and Canadian dollars as published by the Bank of Canada, and shall announce the exchange rate prior to the opening of the auction window. </w:t>
      </w:r>
    </w:p>
    <w:p w14:paraId="18FC2F3C" w14:textId="77777777" w:rsidR="004228DD" w:rsidRPr="00B61FF1" w:rsidRDefault="004228DD" w:rsidP="00FE6A4C">
      <w:pPr>
        <w:pStyle w:val="ListParagraph"/>
        <w:numPr>
          <w:ilvl w:val="1"/>
          <w:numId w:val="43"/>
        </w:numPr>
        <w:spacing w:line="360" w:lineRule="auto"/>
        <w:ind w:left="1800" w:hanging="720"/>
        <w:rPr>
          <w:rFonts w:ascii="Arial" w:hAnsi="Arial" w:cs="Arial"/>
          <w:sz w:val="24"/>
          <w:szCs w:val="24"/>
        </w:rPr>
      </w:pPr>
      <w:r w:rsidRPr="00B61FF1">
        <w:rPr>
          <w:rFonts w:ascii="Arial" w:hAnsi="Arial" w:cs="Arial"/>
          <w:sz w:val="24"/>
          <w:szCs w:val="24"/>
        </w:rPr>
        <w:t xml:space="preserve">The Auction Reserve Price in Canadian dollars shall be the Canadian dollar Auction Reserve Price for the previous calendar year increased annually by 5 percent plus adjusted in the manner provided for in section 83.3 of the Financial Administration Act (R.S.Q., c. A-6.001) of Quebec. </w:t>
      </w:r>
    </w:p>
    <w:p w14:paraId="1DACE0AC" w14:textId="77777777" w:rsidR="004228DD" w:rsidRPr="00B61FF1" w:rsidRDefault="004228DD" w:rsidP="00FE6A4C">
      <w:pPr>
        <w:pStyle w:val="ListParagraph"/>
        <w:numPr>
          <w:ilvl w:val="1"/>
          <w:numId w:val="43"/>
        </w:numPr>
        <w:spacing w:line="360" w:lineRule="auto"/>
        <w:ind w:left="1800" w:hanging="720"/>
        <w:rPr>
          <w:rFonts w:ascii="Arial" w:hAnsi="Arial" w:cs="Arial"/>
          <w:sz w:val="24"/>
          <w:szCs w:val="24"/>
        </w:rPr>
      </w:pPr>
      <w:r w:rsidRPr="00B61FF1">
        <w:rPr>
          <w:rFonts w:ascii="Arial" w:hAnsi="Arial" w:cs="Arial"/>
          <w:sz w:val="24"/>
          <w:szCs w:val="24"/>
        </w:rPr>
        <w:t>The auction administrator will use the announced exchange rate to convert to a common currency the Auction Reserve Prices previously calculated separately in U.S. and Canadian dollars. The auction administrator will set the Auction Reserve Price equal to the higher of the two values.</w:t>
      </w:r>
    </w:p>
    <w:p w14:paraId="0C33F217" w14:textId="77777777" w:rsidR="00E5480C" w:rsidRPr="00B61FF1" w:rsidRDefault="00E5480C" w:rsidP="00FE6A4C">
      <w:pPr>
        <w:pStyle w:val="ListParagraph"/>
        <w:numPr>
          <w:ilvl w:val="0"/>
          <w:numId w:val="43"/>
        </w:numPr>
        <w:spacing w:line="360" w:lineRule="auto"/>
        <w:ind w:left="1080" w:hanging="720"/>
        <w:rPr>
          <w:rFonts w:ascii="Arial" w:hAnsi="Arial" w:cs="Arial"/>
          <w:sz w:val="24"/>
          <w:szCs w:val="24"/>
        </w:rPr>
      </w:pPr>
      <w:r w:rsidRPr="00B61FF1">
        <w:rPr>
          <w:rFonts w:ascii="Arial" w:hAnsi="Arial" w:cs="Arial"/>
          <w:sz w:val="24"/>
          <w:szCs w:val="24"/>
        </w:rPr>
        <w:t>The Auction Reserve Price will be announced prior to the opening of the auction window at 10 a.m. Pacific Standard Time (or Pacific Daylight Time when in effect) on the day of the auction, and will be in effect until the window closes at 1 p.m. Pacific Standard Time (or Pacific Daylight Time when in effect).</w:t>
      </w:r>
    </w:p>
    <w:p w14:paraId="3FDB1A65" w14:textId="77777777" w:rsidR="004228DD" w:rsidRPr="00B61FF1" w:rsidRDefault="004228DD" w:rsidP="00FE6A4C">
      <w:pPr>
        <w:pStyle w:val="ListParagraph"/>
        <w:numPr>
          <w:ilvl w:val="0"/>
          <w:numId w:val="43"/>
        </w:numPr>
        <w:spacing w:line="360" w:lineRule="auto"/>
        <w:ind w:left="1080" w:hanging="720"/>
        <w:rPr>
          <w:rFonts w:ascii="Arial" w:hAnsi="Arial" w:cs="Arial"/>
          <w:sz w:val="24"/>
          <w:szCs w:val="24"/>
        </w:rPr>
      </w:pPr>
      <w:r w:rsidRPr="00B61FF1">
        <w:rPr>
          <w:rFonts w:ascii="Arial" w:hAnsi="Arial" w:cs="Arial"/>
          <w:sz w:val="24"/>
          <w:szCs w:val="24"/>
        </w:rPr>
        <w:lastRenderedPageBreak/>
        <w:t>The Auction Reserve Price in section 95911(c)(2) will be announced on the first day in December that is a business day in California and in any jurisdiction operating an External GHG ETS to which California has linked pursuant to subarticle 12 and the Reserve Price shall also be stated in the currency (or currencies) used in an External GHG ETS to which California has linked pursuant to subarticle 12.</w:t>
      </w:r>
    </w:p>
    <w:p w14:paraId="53907DD1" w14:textId="77777777" w:rsidR="00635712" w:rsidRPr="00B61FF1" w:rsidRDefault="00612B13" w:rsidP="00635712">
      <w:pPr>
        <w:spacing w:line="360" w:lineRule="auto"/>
        <w:ind w:left="720" w:hanging="720"/>
        <w:rPr>
          <w:rFonts w:ascii="Arial" w:hAnsi="Arial" w:cs="Arial"/>
          <w:sz w:val="24"/>
          <w:szCs w:val="24"/>
        </w:rPr>
      </w:pPr>
      <w:r w:rsidRPr="00B61FF1">
        <w:rPr>
          <w:rFonts w:ascii="Arial" w:hAnsi="Arial" w:cs="Arial"/>
          <w:sz w:val="24"/>
          <w:szCs w:val="24"/>
        </w:rPr>
        <w:t>(</w:t>
      </w:r>
      <w:r w:rsidR="00E5480C" w:rsidRPr="00B61FF1">
        <w:rPr>
          <w:rFonts w:ascii="Arial" w:hAnsi="Arial" w:cs="Arial"/>
          <w:sz w:val="24"/>
          <w:szCs w:val="24"/>
        </w:rPr>
        <w:t>d</w:t>
      </w:r>
      <w:r w:rsidRPr="00B61FF1">
        <w:rPr>
          <w:rFonts w:ascii="Arial" w:hAnsi="Arial" w:cs="Arial"/>
          <w:sz w:val="24"/>
          <w:szCs w:val="24"/>
        </w:rPr>
        <w:t>)</w:t>
      </w:r>
      <w:r w:rsidRPr="00B61FF1">
        <w:rPr>
          <w:rFonts w:ascii="Arial" w:hAnsi="Arial" w:cs="Arial"/>
          <w:sz w:val="24"/>
          <w:szCs w:val="24"/>
        </w:rPr>
        <w:tab/>
        <w:t>Auction Purchase Limit</w:t>
      </w:r>
      <w:r w:rsidR="00635712" w:rsidRPr="00B61FF1">
        <w:rPr>
          <w:rFonts w:ascii="Arial" w:hAnsi="Arial" w:cs="Arial"/>
          <w:sz w:val="24"/>
          <w:szCs w:val="24"/>
        </w:rPr>
        <w:t>.</w:t>
      </w:r>
    </w:p>
    <w:p w14:paraId="69378EB2" w14:textId="77777777" w:rsidR="00635712" w:rsidRPr="00B61FF1" w:rsidRDefault="006B08C2" w:rsidP="006B08C2">
      <w:pPr>
        <w:pStyle w:val="ListParagraph"/>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635712" w:rsidRPr="00B61FF1">
        <w:rPr>
          <w:rFonts w:ascii="Arial" w:hAnsi="Arial" w:cs="Arial"/>
          <w:sz w:val="24"/>
          <w:szCs w:val="24"/>
        </w:rPr>
        <w:t>The auction purchase limit is the maximum number of allowances offered at each quarterly auction which can be purchased by any entity or group of entities with a di</w:t>
      </w:r>
      <w:r w:rsidR="00E5480C" w:rsidRPr="00B61FF1">
        <w:rPr>
          <w:rFonts w:ascii="Arial" w:hAnsi="Arial" w:cs="Arial"/>
          <w:sz w:val="24"/>
          <w:szCs w:val="24"/>
        </w:rPr>
        <w:t>rect</w:t>
      </w:r>
      <w:r w:rsidR="00635712" w:rsidRPr="00B61FF1">
        <w:rPr>
          <w:rFonts w:ascii="Arial" w:hAnsi="Arial" w:cs="Arial"/>
          <w:sz w:val="24"/>
          <w:szCs w:val="24"/>
        </w:rPr>
        <w:t xml:space="preserve"> corporate association pursuant to </w:t>
      </w:r>
      <w:r w:rsidRPr="00B61FF1">
        <w:rPr>
          <w:rFonts w:ascii="Arial" w:hAnsi="Arial" w:cs="Arial"/>
          <w:sz w:val="24"/>
          <w:szCs w:val="24"/>
        </w:rPr>
        <w:t xml:space="preserve">section </w:t>
      </w:r>
      <w:r w:rsidR="00635712" w:rsidRPr="00B61FF1">
        <w:rPr>
          <w:rFonts w:ascii="Arial" w:hAnsi="Arial" w:cs="Arial"/>
          <w:sz w:val="24"/>
          <w:szCs w:val="24"/>
        </w:rPr>
        <w:t>95833</w:t>
      </w:r>
      <w:r w:rsidR="002F2A83" w:rsidRPr="00B61FF1">
        <w:rPr>
          <w:rFonts w:ascii="Arial" w:hAnsi="Arial" w:cs="Arial"/>
          <w:sz w:val="24"/>
          <w:szCs w:val="24"/>
        </w:rPr>
        <w:t>.</w:t>
      </w:r>
    </w:p>
    <w:p w14:paraId="136A1F5A" w14:textId="77777777" w:rsidR="00635712" w:rsidRPr="00B61FF1" w:rsidRDefault="006B08C2" w:rsidP="006B08C2">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635712" w:rsidRPr="00B61FF1">
        <w:rPr>
          <w:rFonts w:ascii="Arial" w:hAnsi="Arial" w:cs="Arial"/>
          <w:sz w:val="24"/>
          <w:szCs w:val="24"/>
        </w:rPr>
        <w:t xml:space="preserve">The </w:t>
      </w:r>
      <w:r w:rsidR="00C27120" w:rsidRPr="00B61FF1">
        <w:rPr>
          <w:rFonts w:ascii="Arial" w:hAnsi="Arial" w:cs="Arial"/>
          <w:sz w:val="24"/>
          <w:szCs w:val="24"/>
        </w:rPr>
        <w:t xml:space="preserve">auction </w:t>
      </w:r>
      <w:r w:rsidR="00635712" w:rsidRPr="00B61FF1">
        <w:rPr>
          <w:rFonts w:ascii="Arial" w:hAnsi="Arial" w:cs="Arial"/>
          <w:sz w:val="24"/>
          <w:szCs w:val="24"/>
        </w:rPr>
        <w:t>purchase limit will apply to auctions conducted from January 1, 2012 through December 31, 201</w:t>
      </w:r>
      <w:r w:rsidR="002F2A83" w:rsidRPr="00B61FF1">
        <w:rPr>
          <w:rFonts w:ascii="Arial" w:hAnsi="Arial" w:cs="Arial"/>
          <w:sz w:val="24"/>
          <w:szCs w:val="24"/>
        </w:rPr>
        <w:t>4</w:t>
      </w:r>
      <w:r w:rsidR="00635712" w:rsidRPr="00B61FF1">
        <w:rPr>
          <w:rFonts w:ascii="Arial" w:hAnsi="Arial" w:cs="Arial"/>
          <w:sz w:val="24"/>
          <w:szCs w:val="24"/>
        </w:rPr>
        <w:t xml:space="preserve">. </w:t>
      </w:r>
    </w:p>
    <w:p w14:paraId="69418D9E" w14:textId="77777777" w:rsidR="00635712" w:rsidRPr="00B61FF1" w:rsidRDefault="006B08C2" w:rsidP="006B08C2">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635712" w:rsidRPr="00B61FF1">
        <w:rPr>
          <w:rFonts w:ascii="Arial" w:hAnsi="Arial" w:cs="Arial"/>
          <w:sz w:val="24"/>
          <w:szCs w:val="24"/>
        </w:rPr>
        <w:t xml:space="preserve">For the </w:t>
      </w:r>
      <w:r w:rsidR="00E5480C" w:rsidRPr="00B61FF1">
        <w:rPr>
          <w:rFonts w:ascii="Arial" w:hAnsi="Arial" w:cs="Arial"/>
          <w:sz w:val="24"/>
          <w:szCs w:val="24"/>
        </w:rPr>
        <w:t>A</w:t>
      </w:r>
      <w:r w:rsidR="00635712" w:rsidRPr="00B61FF1">
        <w:rPr>
          <w:rFonts w:ascii="Arial" w:hAnsi="Arial" w:cs="Arial"/>
          <w:sz w:val="24"/>
          <w:szCs w:val="24"/>
        </w:rPr>
        <w:t xml:space="preserve">dvance </w:t>
      </w:r>
      <w:r w:rsidR="00E5480C" w:rsidRPr="00B61FF1">
        <w:rPr>
          <w:rFonts w:ascii="Arial" w:hAnsi="Arial" w:cs="Arial"/>
          <w:sz w:val="24"/>
          <w:szCs w:val="24"/>
        </w:rPr>
        <w:t>A</w:t>
      </w:r>
      <w:r w:rsidR="00635712" w:rsidRPr="00B61FF1">
        <w:rPr>
          <w:rFonts w:ascii="Arial" w:hAnsi="Arial" w:cs="Arial"/>
          <w:sz w:val="24"/>
          <w:szCs w:val="24"/>
        </w:rPr>
        <w:t xml:space="preserve">uction of future vintage allowances conducted pursuant to </w:t>
      </w:r>
      <w:r w:rsidRPr="00B61FF1">
        <w:rPr>
          <w:rFonts w:ascii="Arial" w:hAnsi="Arial" w:cs="Arial"/>
          <w:sz w:val="24"/>
          <w:szCs w:val="24"/>
        </w:rPr>
        <w:t xml:space="preserve">section </w:t>
      </w:r>
      <w:r w:rsidR="00635712" w:rsidRPr="00B61FF1">
        <w:rPr>
          <w:rFonts w:ascii="Arial" w:hAnsi="Arial" w:cs="Arial"/>
          <w:sz w:val="24"/>
          <w:szCs w:val="24"/>
        </w:rPr>
        <w:t>95910(c)</w:t>
      </w:r>
      <w:r w:rsidR="00E5480C" w:rsidRPr="00B61FF1">
        <w:rPr>
          <w:rFonts w:ascii="Arial" w:hAnsi="Arial" w:cs="Arial"/>
          <w:sz w:val="24"/>
          <w:szCs w:val="24"/>
        </w:rPr>
        <w:t>(2)</w:t>
      </w:r>
      <w:r w:rsidR="00635712" w:rsidRPr="00B61FF1">
        <w:rPr>
          <w:rFonts w:ascii="Arial" w:hAnsi="Arial" w:cs="Arial"/>
          <w:sz w:val="24"/>
          <w:szCs w:val="24"/>
        </w:rPr>
        <w:t xml:space="preserve"> the purchase limit is </w:t>
      </w:r>
      <w:r w:rsidRPr="00B61FF1">
        <w:rPr>
          <w:rFonts w:ascii="Arial" w:hAnsi="Arial" w:cs="Arial"/>
          <w:sz w:val="24"/>
          <w:szCs w:val="24"/>
        </w:rPr>
        <w:t>2</w:t>
      </w:r>
      <w:r w:rsidR="00807B40" w:rsidRPr="00B61FF1">
        <w:rPr>
          <w:rFonts w:ascii="Arial" w:hAnsi="Arial" w:cs="Arial"/>
          <w:sz w:val="24"/>
          <w:szCs w:val="24"/>
        </w:rPr>
        <w:t>5</w:t>
      </w:r>
      <w:r w:rsidR="00635712" w:rsidRPr="00B61FF1">
        <w:rPr>
          <w:rFonts w:ascii="Arial" w:hAnsi="Arial" w:cs="Arial"/>
          <w:sz w:val="24"/>
          <w:szCs w:val="24"/>
        </w:rPr>
        <w:t xml:space="preserve"> percent</w:t>
      </w:r>
      <w:r w:rsidR="00E5480C" w:rsidRPr="00B61FF1">
        <w:rPr>
          <w:rFonts w:ascii="Arial" w:hAnsi="Arial" w:cs="Arial"/>
          <w:sz w:val="24"/>
          <w:szCs w:val="24"/>
        </w:rPr>
        <w:t xml:space="preserve"> of the allowances offered for auction</w:t>
      </w:r>
      <w:r w:rsidR="00635712" w:rsidRPr="00B61FF1">
        <w:rPr>
          <w:rFonts w:ascii="Arial" w:hAnsi="Arial" w:cs="Arial"/>
          <w:sz w:val="24"/>
          <w:szCs w:val="24"/>
        </w:rPr>
        <w:t xml:space="preserve">. </w:t>
      </w:r>
    </w:p>
    <w:p w14:paraId="12E2E302" w14:textId="77777777" w:rsidR="00635712" w:rsidRPr="00B61FF1" w:rsidRDefault="006B08C2" w:rsidP="006B08C2">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635712" w:rsidRPr="00B61FF1">
        <w:rPr>
          <w:rFonts w:ascii="Arial" w:hAnsi="Arial" w:cs="Arial"/>
          <w:sz w:val="24"/>
          <w:szCs w:val="24"/>
        </w:rPr>
        <w:t>For the auction of current vintage allowances</w:t>
      </w:r>
      <w:r w:rsidR="00E5480C" w:rsidRPr="00B61FF1">
        <w:rPr>
          <w:rFonts w:ascii="Arial" w:hAnsi="Arial" w:cs="Arial"/>
          <w:sz w:val="24"/>
          <w:szCs w:val="24"/>
        </w:rPr>
        <w:t xml:space="preserve"> conducted pursuant to section 95910(c)(1)</w:t>
      </w:r>
      <w:r w:rsidR="00635712" w:rsidRPr="00B61FF1">
        <w:rPr>
          <w:rFonts w:ascii="Arial" w:hAnsi="Arial" w:cs="Arial"/>
          <w:sz w:val="24"/>
          <w:szCs w:val="24"/>
        </w:rPr>
        <w:t>:</w:t>
      </w:r>
    </w:p>
    <w:p w14:paraId="252B79D4" w14:textId="77777777" w:rsidR="00635712" w:rsidRPr="00B61FF1" w:rsidRDefault="006B08C2" w:rsidP="006B08C2">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635712" w:rsidRPr="00B61FF1">
        <w:rPr>
          <w:rFonts w:ascii="Arial" w:hAnsi="Arial" w:cs="Arial"/>
          <w:sz w:val="24"/>
          <w:szCs w:val="24"/>
        </w:rPr>
        <w:t xml:space="preserve">The purchase limit for covered entities and opt-in covered entities will be </w:t>
      </w:r>
      <w:r w:rsidR="00D85860" w:rsidRPr="00B61FF1">
        <w:rPr>
          <w:rFonts w:ascii="Arial" w:hAnsi="Arial" w:cs="Arial"/>
          <w:sz w:val="24"/>
          <w:szCs w:val="24"/>
        </w:rPr>
        <w:t>15</w:t>
      </w:r>
      <w:r w:rsidR="00635712" w:rsidRPr="00B61FF1">
        <w:rPr>
          <w:rFonts w:ascii="Arial" w:hAnsi="Arial" w:cs="Arial"/>
          <w:sz w:val="24"/>
          <w:szCs w:val="24"/>
        </w:rPr>
        <w:t xml:space="preserve"> percent of the allowances offered for </w:t>
      </w:r>
      <w:r w:rsidRPr="00B61FF1">
        <w:rPr>
          <w:rFonts w:ascii="Arial" w:hAnsi="Arial" w:cs="Arial"/>
          <w:sz w:val="24"/>
          <w:szCs w:val="24"/>
        </w:rPr>
        <w:t>auction;</w:t>
      </w:r>
    </w:p>
    <w:p w14:paraId="0FED730A" w14:textId="77777777" w:rsidR="00635712" w:rsidRPr="00B61FF1" w:rsidRDefault="006B08C2" w:rsidP="006B08C2">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635712" w:rsidRPr="00B61FF1">
        <w:rPr>
          <w:rFonts w:ascii="Arial" w:hAnsi="Arial" w:cs="Arial"/>
          <w:sz w:val="24"/>
          <w:szCs w:val="24"/>
        </w:rPr>
        <w:t xml:space="preserve">The purchase limit </w:t>
      </w:r>
      <w:r w:rsidR="00E5480C" w:rsidRPr="00B61FF1">
        <w:rPr>
          <w:rFonts w:ascii="Arial" w:hAnsi="Arial" w:cs="Arial"/>
          <w:sz w:val="24"/>
          <w:szCs w:val="24"/>
        </w:rPr>
        <w:t>for</w:t>
      </w:r>
      <w:r w:rsidR="00635712" w:rsidRPr="00B61FF1">
        <w:rPr>
          <w:rFonts w:ascii="Arial" w:hAnsi="Arial" w:cs="Arial"/>
          <w:sz w:val="24"/>
          <w:szCs w:val="24"/>
        </w:rPr>
        <w:t xml:space="preserve"> electrical </w:t>
      </w:r>
      <w:r w:rsidRPr="00B61FF1">
        <w:rPr>
          <w:rFonts w:ascii="Arial" w:hAnsi="Arial" w:cs="Arial"/>
          <w:sz w:val="24"/>
          <w:szCs w:val="24"/>
        </w:rPr>
        <w:t xml:space="preserve">distribution </w:t>
      </w:r>
      <w:r w:rsidR="00635712" w:rsidRPr="00B61FF1">
        <w:rPr>
          <w:rFonts w:ascii="Arial" w:hAnsi="Arial" w:cs="Arial"/>
          <w:sz w:val="24"/>
          <w:szCs w:val="24"/>
        </w:rPr>
        <w:t xml:space="preserve">utilities </w:t>
      </w:r>
      <w:r w:rsidR="00E5480C" w:rsidRPr="00B61FF1">
        <w:rPr>
          <w:rFonts w:ascii="Arial" w:hAnsi="Arial" w:cs="Arial"/>
          <w:sz w:val="24"/>
          <w:szCs w:val="24"/>
        </w:rPr>
        <w:t>will be 40 percent of the allowances offered for auction;</w:t>
      </w:r>
      <w:r w:rsidRPr="00B61FF1">
        <w:rPr>
          <w:rFonts w:ascii="Arial" w:hAnsi="Arial" w:cs="Arial"/>
          <w:sz w:val="24"/>
          <w:szCs w:val="24"/>
        </w:rPr>
        <w:t xml:space="preserve"> and </w:t>
      </w:r>
    </w:p>
    <w:p w14:paraId="236302E1" w14:textId="77777777" w:rsidR="00635712" w:rsidRPr="00B61FF1" w:rsidRDefault="006B08C2" w:rsidP="006B08C2">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635712" w:rsidRPr="00B61FF1">
        <w:rPr>
          <w:rFonts w:ascii="Arial" w:hAnsi="Arial" w:cs="Arial"/>
          <w:sz w:val="24"/>
          <w:szCs w:val="24"/>
        </w:rPr>
        <w:t>The purchase limit for all other auction participants is four percent of the allowances offered for auction.</w:t>
      </w:r>
    </w:p>
    <w:p w14:paraId="287226B7" w14:textId="77777777" w:rsidR="00FE6B15" w:rsidRPr="00B61FF1" w:rsidRDefault="00612B13" w:rsidP="00612B13">
      <w:pPr>
        <w:spacing w:line="360" w:lineRule="auto"/>
        <w:ind w:left="720" w:hanging="720"/>
        <w:rPr>
          <w:rFonts w:ascii="Arial" w:hAnsi="Arial" w:cs="Arial"/>
          <w:sz w:val="24"/>
          <w:szCs w:val="24"/>
        </w:rPr>
      </w:pPr>
      <w:r w:rsidRPr="00B61FF1">
        <w:rPr>
          <w:rFonts w:ascii="Arial" w:hAnsi="Arial" w:cs="Arial"/>
          <w:sz w:val="24"/>
          <w:szCs w:val="24"/>
        </w:rPr>
        <w:t>(</w:t>
      </w:r>
      <w:r w:rsidR="00E5480C" w:rsidRPr="00B61FF1">
        <w:rPr>
          <w:rFonts w:ascii="Arial" w:hAnsi="Arial" w:cs="Arial"/>
          <w:sz w:val="24"/>
          <w:szCs w:val="24"/>
        </w:rPr>
        <w:t>e</w:t>
      </w:r>
      <w:r w:rsidRPr="00B61FF1">
        <w:rPr>
          <w:rFonts w:ascii="Arial" w:hAnsi="Arial" w:cs="Arial"/>
          <w:sz w:val="24"/>
          <w:szCs w:val="24"/>
        </w:rPr>
        <w:t>)</w:t>
      </w:r>
      <w:r w:rsidRPr="00B61FF1">
        <w:rPr>
          <w:rFonts w:ascii="Arial" w:hAnsi="Arial" w:cs="Arial"/>
          <w:sz w:val="24"/>
          <w:szCs w:val="24"/>
        </w:rPr>
        <w:tab/>
      </w:r>
      <w:r w:rsidR="00FE6B15" w:rsidRPr="00B61FF1">
        <w:rPr>
          <w:rFonts w:ascii="Arial" w:hAnsi="Arial" w:cs="Arial"/>
          <w:sz w:val="24"/>
          <w:szCs w:val="24"/>
        </w:rPr>
        <w:t>Determination of Winning Bidders and Settlement Price.  The following process shall be used to determine winning bidders, amounts won, and a single auction settlement price:</w:t>
      </w:r>
    </w:p>
    <w:p w14:paraId="3E43FE11"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E6B15" w:rsidRPr="00B61FF1">
        <w:rPr>
          <w:rFonts w:ascii="Arial" w:hAnsi="Arial" w:cs="Arial"/>
          <w:sz w:val="24"/>
          <w:szCs w:val="24"/>
        </w:rPr>
        <w:t>Each bid will consist of a price and the quantity of allowances, in multiples of 1,000</w:t>
      </w:r>
      <w:r w:rsidR="00C27120" w:rsidRPr="00B61FF1">
        <w:rPr>
          <w:rFonts w:ascii="Arial" w:hAnsi="Arial" w:cs="Arial"/>
          <w:sz w:val="24"/>
          <w:szCs w:val="24"/>
        </w:rPr>
        <w:t xml:space="preserve"> CA GHG Allowances</w:t>
      </w:r>
      <w:r w:rsidR="00FE6B15" w:rsidRPr="00B61FF1">
        <w:rPr>
          <w:rFonts w:ascii="Arial" w:hAnsi="Arial" w:cs="Arial"/>
          <w:sz w:val="24"/>
          <w:szCs w:val="24"/>
        </w:rPr>
        <w:t>, desired at that price.</w:t>
      </w:r>
    </w:p>
    <w:p w14:paraId="5176A5DF"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E6B15" w:rsidRPr="00B61FF1">
        <w:rPr>
          <w:rFonts w:ascii="Arial" w:hAnsi="Arial" w:cs="Arial"/>
          <w:sz w:val="24"/>
          <w:szCs w:val="24"/>
        </w:rPr>
        <w:t>Each bidder may submit multiple bids.</w:t>
      </w:r>
    </w:p>
    <w:p w14:paraId="4FC631BB"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lastRenderedPageBreak/>
        <w:t>(3)</w:t>
      </w:r>
      <w:r w:rsidRPr="00B61FF1">
        <w:rPr>
          <w:rFonts w:ascii="Arial" w:hAnsi="Arial" w:cs="Arial"/>
          <w:sz w:val="24"/>
          <w:szCs w:val="24"/>
        </w:rPr>
        <w:tab/>
      </w:r>
      <w:r w:rsidR="00FE6B15" w:rsidRPr="00B61FF1">
        <w:rPr>
          <w:rFonts w:ascii="Arial" w:hAnsi="Arial" w:cs="Arial"/>
          <w:sz w:val="24"/>
          <w:szCs w:val="24"/>
        </w:rPr>
        <w:t xml:space="preserve">Beginning with the highest bid price, bids </w:t>
      </w:r>
      <w:r w:rsidR="00E5480C" w:rsidRPr="00B61FF1">
        <w:rPr>
          <w:rFonts w:ascii="Arial" w:hAnsi="Arial" w:cs="Arial"/>
          <w:sz w:val="24"/>
          <w:szCs w:val="24"/>
        </w:rPr>
        <w:t xml:space="preserve">from each bidder </w:t>
      </w:r>
      <w:r w:rsidR="00FE6B15" w:rsidRPr="00B61FF1">
        <w:rPr>
          <w:rFonts w:ascii="Arial" w:hAnsi="Arial" w:cs="Arial"/>
          <w:sz w:val="24"/>
          <w:szCs w:val="24"/>
        </w:rPr>
        <w:t>will be considered in declining order by price, and the auction operator shall reject a bid</w:t>
      </w:r>
      <w:r w:rsidR="00E5480C" w:rsidRPr="00B61FF1">
        <w:rPr>
          <w:rFonts w:ascii="Arial" w:hAnsi="Arial" w:cs="Arial"/>
          <w:sz w:val="24"/>
          <w:szCs w:val="24"/>
        </w:rPr>
        <w:t xml:space="preserve"> for a bundle of 1,000 allowances</w:t>
      </w:r>
      <w:r w:rsidR="00FE6B15" w:rsidRPr="00B61FF1">
        <w:rPr>
          <w:rFonts w:ascii="Arial" w:hAnsi="Arial" w:cs="Arial"/>
          <w:sz w:val="24"/>
          <w:szCs w:val="24"/>
        </w:rPr>
        <w:t xml:space="preserve">: </w:t>
      </w:r>
    </w:p>
    <w:p w14:paraId="016EA4FC"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If acceptance of the bid would result in violation of the purchase limit pursuant to sections 95911(</w:t>
      </w:r>
      <w:r w:rsidR="00D943D1" w:rsidRPr="00B61FF1">
        <w:rPr>
          <w:rFonts w:ascii="Arial" w:hAnsi="Arial" w:cs="Arial"/>
          <w:sz w:val="24"/>
          <w:szCs w:val="24"/>
        </w:rPr>
        <w:t>d</w:t>
      </w:r>
      <w:r w:rsidR="00FE6B15" w:rsidRPr="00B61FF1">
        <w:rPr>
          <w:rFonts w:ascii="Arial" w:hAnsi="Arial" w:cs="Arial"/>
          <w:sz w:val="24"/>
          <w:szCs w:val="24"/>
        </w:rPr>
        <w:t xml:space="preserve">) </w:t>
      </w:r>
      <w:r w:rsidR="001D0E6F" w:rsidRPr="00B61FF1">
        <w:rPr>
          <w:rFonts w:ascii="Arial" w:hAnsi="Arial" w:cs="Arial"/>
          <w:sz w:val="24"/>
          <w:szCs w:val="24"/>
        </w:rPr>
        <w:t xml:space="preserve">and </w:t>
      </w:r>
      <w:r w:rsidR="00FE6B15" w:rsidRPr="00B61FF1">
        <w:rPr>
          <w:rFonts w:ascii="Arial" w:hAnsi="Arial" w:cs="Arial"/>
          <w:sz w:val="24"/>
          <w:szCs w:val="24"/>
        </w:rPr>
        <w:t xml:space="preserve">95914; </w:t>
      </w:r>
    </w:p>
    <w:p w14:paraId="0CBC070E"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If acceptance of the bid would result in violation of the holding limit pursuant to section</w:t>
      </w:r>
      <w:r w:rsidR="00FE6B15" w:rsidRPr="00B61FF1">
        <w:rPr>
          <w:rFonts w:ascii="Arial" w:hAnsi="Arial" w:cs="Arial"/>
          <w:strike/>
          <w:sz w:val="24"/>
          <w:szCs w:val="24"/>
        </w:rPr>
        <w:t>s</w:t>
      </w:r>
      <w:r w:rsidR="00FE6B15" w:rsidRPr="00B61FF1">
        <w:rPr>
          <w:rFonts w:ascii="Arial" w:hAnsi="Arial" w:cs="Arial"/>
          <w:sz w:val="24"/>
          <w:szCs w:val="24"/>
        </w:rPr>
        <w:t xml:space="preserve"> </w:t>
      </w:r>
      <w:r w:rsidR="00FE6B15" w:rsidRPr="00B61FF1">
        <w:rPr>
          <w:rFonts w:ascii="Arial" w:hAnsi="Arial" w:cs="Arial"/>
          <w:strike/>
          <w:sz w:val="24"/>
          <w:szCs w:val="24"/>
        </w:rPr>
        <w:t>95914 and</w:t>
      </w:r>
      <w:r w:rsidR="00FE6B15" w:rsidRPr="00B61FF1">
        <w:rPr>
          <w:rFonts w:ascii="Arial" w:hAnsi="Arial" w:cs="Arial"/>
          <w:sz w:val="24"/>
          <w:szCs w:val="24"/>
        </w:rPr>
        <w:t xml:space="preserve"> 95920(b); or</w:t>
      </w:r>
    </w:p>
    <w:p w14:paraId="24675DB5"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FE6B15" w:rsidRPr="00B61FF1">
        <w:rPr>
          <w:rFonts w:ascii="Arial" w:hAnsi="Arial" w:cs="Arial"/>
          <w:sz w:val="24"/>
          <w:szCs w:val="24"/>
        </w:rPr>
        <w:t>If acceptance of the bid would result in a total value of accepted bids for an auction participant greater than the value of the bid guarantee submitted by the auction participant pursuant to section 95912(</w:t>
      </w:r>
      <w:r w:rsidR="00D943D1" w:rsidRPr="00B61FF1">
        <w:rPr>
          <w:rFonts w:ascii="Arial" w:hAnsi="Arial" w:cs="Arial"/>
          <w:strike/>
          <w:sz w:val="24"/>
          <w:szCs w:val="24"/>
        </w:rPr>
        <w:t>i</w:t>
      </w:r>
      <w:r w:rsidR="00F942D8" w:rsidRPr="00B61FF1">
        <w:rPr>
          <w:rFonts w:ascii="Arial" w:hAnsi="Arial" w:cs="Arial"/>
          <w:sz w:val="24"/>
          <w:szCs w:val="24"/>
          <w:u w:val="single"/>
        </w:rPr>
        <w:t>j</w:t>
      </w:r>
      <w:r w:rsidR="00FE6B15" w:rsidRPr="00B61FF1">
        <w:rPr>
          <w:rFonts w:ascii="Arial" w:hAnsi="Arial" w:cs="Arial"/>
          <w:sz w:val="24"/>
          <w:szCs w:val="24"/>
        </w:rPr>
        <w:t>).</w:t>
      </w:r>
    </w:p>
    <w:p w14:paraId="2C82C1E2"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D943D1" w:rsidRPr="00B61FF1">
        <w:rPr>
          <w:rFonts w:ascii="Arial" w:hAnsi="Arial" w:cs="Arial"/>
          <w:sz w:val="24"/>
          <w:szCs w:val="24"/>
        </w:rPr>
        <w:t>Bids from all bidders will be ranked from highest to lowest by price.  Beginning with the highest bid and proceeding to successively lower bids, entities submitting bids at each price will be sold allowances until</w:t>
      </w:r>
      <w:r w:rsidR="00FE6B15" w:rsidRPr="00B61FF1">
        <w:rPr>
          <w:rFonts w:ascii="Arial" w:hAnsi="Arial" w:cs="Arial"/>
          <w:sz w:val="24"/>
          <w:szCs w:val="24"/>
        </w:rPr>
        <w:t>:</w:t>
      </w:r>
    </w:p>
    <w:p w14:paraId="2F54C41F"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E6B15" w:rsidRPr="00B61FF1">
        <w:rPr>
          <w:rFonts w:ascii="Arial" w:hAnsi="Arial" w:cs="Arial"/>
          <w:sz w:val="24"/>
          <w:szCs w:val="24"/>
        </w:rPr>
        <w:t xml:space="preserve">The next </w:t>
      </w:r>
      <w:r w:rsidR="00FE6B15" w:rsidRPr="00B61FF1" w:rsidDel="00033149">
        <w:rPr>
          <w:rFonts w:ascii="Arial" w:hAnsi="Arial" w:cs="Arial"/>
          <w:sz w:val="24"/>
          <w:szCs w:val="24"/>
        </w:rPr>
        <w:t xml:space="preserve">lower </w:t>
      </w:r>
      <w:r w:rsidR="00FE6B15" w:rsidRPr="00B61FF1">
        <w:rPr>
          <w:rFonts w:ascii="Arial" w:hAnsi="Arial" w:cs="Arial"/>
          <w:sz w:val="24"/>
          <w:szCs w:val="24"/>
        </w:rPr>
        <w:t>bid price is less than the auction reserve price, in which case the current price becomes the auction settlement price; or</w:t>
      </w:r>
    </w:p>
    <w:p w14:paraId="61F4A041"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E6B15" w:rsidRPr="00B61FF1">
        <w:rPr>
          <w:rFonts w:ascii="Arial" w:hAnsi="Arial" w:cs="Arial"/>
          <w:sz w:val="24"/>
          <w:szCs w:val="24"/>
        </w:rPr>
        <w:t xml:space="preserve">The total quantity of allowances contained in the bids at the next lower bid price is greater than or equal to the number of allowances yet to be </w:t>
      </w:r>
      <w:r w:rsidR="00A55EBB" w:rsidRPr="00B61FF1">
        <w:rPr>
          <w:rFonts w:ascii="Arial" w:hAnsi="Arial" w:cs="Arial"/>
          <w:sz w:val="24"/>
          <w:szCs w:val="24"/>
        </w:rPr>
        <w:t>sold</w:t>
      </w:r>
      <w:r w:rsidR="00FE6B15" w:rsidRPr="00B61FF1">
        <w:rPr>
          <w:rFonts w:ascii="Arial" w:hAnsi="Arial" w:cs="Arial"/>
          <w:sz w:val="24"/>
          <w:szCs w:val="24"/>
        </w:rPr>
        <w:t>, in which instance, the next lower bid price becomes the auction settlement price and the procedure for resolution of tie bids in section 95911(</w:t>
      </w:r>
      <w:r w:rsidR="00D943D1" w:rsidRPr="00B61FF1">
        <w:rPr>
          <w:rFonts w:ascii="Arial" w:hAnsi="Arial" w:cs="Arial"/>
          <w:sz w:val="24"/>
          <w:szCs w:val="24"/>
        </w:rPr>
        <w:t>e</w:t>
      </w:r>
      <w:r w:rsidR="00FE6B15" w:rsidRPr="00B61FF1">
        <w:rPr>
          <w:rFonts w:ascii="Arial" w:hAnsi="Arial" w:cs="Arial"/>
          <w:sz w:val="24"/>
          <w:szCs w:val="24"/>
        </w:rPr>
        <w:t>)(5) shall apply.</w:t>
      </w:r>
    </w:p>
    <w:p w14:paraId="00B4CEA6" w14:textId="77777777" w:rsidR="00FE6B15" w:rsidRPr="00B61FF1" w:rsidRDefault="00612B13" w:rsidP="00612B13">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FE6B15" w:rsidRPr="00B61FF1">
        <w:rPr>
          <w:rFonts w:ascii="Arial" w:hAnsi="Arial" w:cs="Arial"/>
          <w:sz w:val="24"/>
          <w:szCs w:val="24"/>
        </w:rPr>
        <w:t>Resolution of tie bids</w:t>
      </w:r>
      <w:r w:rsidR="00D943D1" w:rsidRPr="00B61FF1">
        <w:rPr>
          <w:rFonts w:ascii="Arial" w:hAnsi="Arial" w:cs="Arial"/>
          <w:sz w:val="24"/>
          <w:szCs w:val="24"/>
        </w:rPr>
        <w:t>.  If the quantity of allowances contained in the bids placed at the auction settlement price is greater than the quantity of allowances available to be sold at that price, then</w:t>
      </w:r>
      <w:r w:rsidR="00FE6B15" w:rsidRPr="00B61FF1">
        <w:rPr>
          <w:rFonts w:ascii="Arial" w:hAnsi="Arial" w:cs="Arial"/>
          <w:sz w:val="24"/>
          <w:szCs w:val="24"/>
        </w:rPr>
        <w:t xml:space="preserve">: </w:t>
      </w:r>
    </w:p>
    <w:p w14:paraId="336856D3"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D943D1" w:rsidRPr="00B61FF1">
        <w:rPr>
          <w:rFonts w:ascii="Arial" w:hAnsi="Arial" w:cs="Arial"/>
          <w:sz w:val="24"/>
          <w:szCs w:val="24"/>
        </w:rPr>
        <w:t xml:space="preserve">The </w:t>
      </w:r>
      <w:r w:rsidR="002D3A8D" w:rsidRPr="00B61FF1">
        <w:rPr>
          <w:rFonts w:ascii="Arial" w:hAnsi="Arial" w:cs="Arial"/>
          <w:sz w:val="24"/>
          <w:szCs w:val="24"/>
        </w:rPr>
        <w:t>a</w:t>
      </w:r>
      <w:r w:rsidR="00D943D1" w:rsidRPr="00B61FF1">
        <w:rPr>
          <w:rFonts w:ascii="Arial" w:hAnsi="Arial" w:cs="Arial"/>
          <w:sz w:val="24"/>
          <w:szCs w:val="24"/>
        </w:rPr>
        <w:t xml:space="preserve">uction </w:t>
      </w:r>
      <w:r w:rsidR="002D3A8D" w:rsidRPr="00B61FF1">
        <w:rPr>
          <w:rFonts w:ascii="Arial" w:hAnsi="Arial" w:cs="Arial"/>
          <w:sz w:val="24"/>
          <w:szCs w:val="24"/>
        </w:rPr>
        <w:t>a</w:t>
      </w:r>
      <w:r w:rsidR="00D943D1" w:rsidRPr="00B61FF1">
        <w:rPr>
          <w:rFonts w:ascii="Arial" w:hAnsi="Arial" w:cs="Arial"/>
          <w:sz w:val="24"/>
          <w:szCs w:val="24"/>
        </w:rPr>
        <w:t xml:space="preserve">dministrator will calculate the share of the remaining allowances to be distributed to each entity bidding at the auction settlement price by dividing the quantity bid by that entity and accepted by the </w:t>
      </w:r>
      <w:r w:rsidR="002D3A8D" w:rsidRPr="00B61FF1">
        <w:rPr>
          <w:rFonts w:ascii="Arial" w:hAnsi="Arial" w:cs="Arial"/>
          <w:sz w:val="24"/>
          <w:szCs w:val="24"/>
        </w:rPr>
        <w:t>a</w:t>
      </w:r>
      <w:r w:rsidR="00D943D1" w:rsidRPr="00B61FF1">
        <w:rPr>
          <w:rFonts w:ascii="Arial" w:hAnsi="Arial" w:cs="Arial"/>
          <w:sz w:val="24"/>
          <w:szCs w:val="24"/>
        </w:rPr>
        <w:t xml:space="preserve">uction </w:t>
      </w:r>
      <w:r w:rsidR="002D3A8D" w:rsidRPr="00B61FF1">
        <w:rPr>
          <w:rFonts w:ascii="Arial" w:hAnsi="Arial" w:cs="Arial"/>
          <w:sz w:val="24"/>
          <w:szCs w:val="24"/>
        </w:rPr>
        <w:t>a</w:t>
      </w:r>
      <w:r w:rsidR="00D943D1" w:rsidRPr="00B61FF1">
        <w:rPr>
          <w:rFonts w:ascii="Arial" w:hAnsi="Arial" w:cs="Arial"/>
          <w:sz w:val="24"/>
          <w:szCs w:val="24"/>
        </w:rPr>
        <w:t xml:space="preserve">dministrator by the total quantity of bids at the settlement price which were accepted by the </w:t>
      </w:r>
      <w:r w:rsidR="002D3A8D" w:rsidRPr="00B61FF1">
        <w:rPr>
          <w:rFonts w:ascii="Arial" w:hAnsi="Arial" w:cs="Arial"/>
          <w:sz w:val="24"/>
          <w:szCs w:val="24"/>
        </w:rPr>
        <w:t>a</w:t>
      </w:r>
      <w:r w:rsidR="00D943D1" w:rsidRPr="00B61FF1">
        <w:rPr>
          <w:rFonts w:ascii="Arial" w:hAnsi="Arial" w:cs="Arial"/>
          <w:sz w:val="24"/>
          <w:szCs w:val="24"/>
        </w:rPr>
        <w:t xml:space="preserve">uction </w:t>
      </w:r>
      <w:r w:rsidR="002D3A8D" w:rsidRPr="00B61FF1">
        <w:rPr>
          <w:rFonts w:ascii="Arial" w:hAnsi="Arial" w:cs="Arial"/>
          <w:sz w:val="24"/>
          <w:szCs w:val="24"/>
        </w:rPr>
        <w:t>a</w:t>
      </w:r>
      <w:r w:rsidR="00D943D1" w:rsidRPr="00B61FF1">
        <w:rPr>
          <w:rFonts w:ascii="Arial" w:hAnsi="Arial" w:cs="Arial"/>
          <w:sz w:val="24"/>
          <w:szCs w:val="24"/>
        </w:rPr>
        <w:t>dministrator</w:t>
      </w:r>
      <w:r w:rsidR="002D3A8D" w:rsidRPr="00B61FF1">
        <w:rPr>
          <w:rFonts w:ascii="Arial" w:hAnsi="Arial" w:cs="Arial"/>
          <w:sz w:val="24"/>
          <w:szCs w:val="24"/>
        </w:rPr>
        <w:t>;</w:t>
      </w:r>
    </w:p>
    <w:p w14:paraId="44D7B00C" w14:textId="77777777" w:rsidR="00FE6B15"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2D3A8D" w:rsidRPr="00B61FF1">
        <w:rPr>
          <w:rFonts w:ascii="Arial" w:hAnsi="Arial" w:cs="Arial"/>
          <w:sz w:val="24"/>
          <w:szCs w:val="24"/>
        </w:rPr>
        <w:t>The auction a</w:t>
      </w:r>
      <w:r w:rsidR="00D943D1" w:rsidRPr="00B61FF1">
        <w:rPr>
          <w:rFonts w:ascii="Arial" w:hAnsi="Arial" w:cs="Arial"/>
          <w:sz w:val="24"/>
          <w:szCs w:val="24"/>
        </w:rPr>
        <w:t>dministrator will calculate the number of allowances distributed to each bidding entity by multiplying the bidding entity’s share calculated in section 95911(e)(5)(A) above by the number of allowances remaining, rounding the number down to the nearest whole number; and</w:t>
      </w:r>
    </w:p>
    <w:p w14:paraId="2189A812" w14:textId="77777777" w:rsidR="00D943D1" w:rsidRPr="00B61FF1" w:rsidRDefault="00D943D1" w:rsidP="00D943D1">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To distribute any remaining allowances, the </w:t>
      </w:r>
      <w:r w:rsidR="002D3A8D" w:rsidRPr="00B61FF1">
        <w:rPr>
          <w:rFonts w:ascii="Arial" w:hAnsi="Arial" w:cs="Arial"/>
          <w:sz w:val="24"/>
          <w:szCs w:val="24"/>
        </w:rPr>
        <w:t>a</w:t>
      </w:r>
      <w:r w:rsidRPr="00B61FF1">
        <w:rPr>
          <w:rFonts w:ascii="Arial" w:hAnsi="Arial" w:cs="Arial"/>
          <w:sz w:val="24"/>
          <w:szCs w:val="24"/>
        </w:rPr>
        <w:t xml:space="preserve">uction </w:t>
      </w:r>
      <w:r w:rsidR="002D3A8D" w:rsidRPr="00B61FF1">
        <w:rPr>
          <w:rFonts w:ascii="Arial" w:hAnsi="Arial" w:cs="Arial"/>
          <w:sz w:val="24"/>
          <w:szCs w:val="24"/>
        </w:rPr>
        <w:t>a</w:t>
      </w:r>
      <w:r w:rsidRPr="00B61FF1">
        <w:rPr>
          <w:rFonts w:ascii="Arial" w:hAnsi="Arial" w:cs="Arial"/>
          <w:sz w:val="24"/>
          <w:szCs w:val="24"/>
        </w:rPr>
        <w:t xml:space="preserve">dministrator will assign a random number to each entity bidding at the auction settlement price.  Beginning with the lowest random number, the </w:t>
      </w:r>
      <w:r w:rsidR="002D3A8D" w:rsidRPr="00B61FF1">
        <w:rPr>
          <w:rFonts w:ascii="Arial" w:hAnsi="Arial" w:cs="Arial"/>
          <w:sz w:val="24"/>
          <w:szCs w:val="24"/>
        </w:rPr>
        <w:t>a</w:t>
      </w:r>
      <w:r w:rsidRPr="00B61FF1">
        <w:rPr>
          <w:rFonts w:ascii="Arial" w:hAnsi="Arial" w:cs="Arial"/>
          <w:sz w:val="24"/>
          <w:szCs w:val="24"/>
        </w:rPr>
        <w:t xml:space="preserve">uction </w:t>
      </w:r>
      <w:r w:rsidR="002D3A8D" w:rsidRPr="00B61FF1">
        <w:rPr>
          <w:rFonts w:ascii="Arial" w:hAnsi="Arial" w:cs="Arial"/>
          <w:sz w:val="24"/>
          <w:szCs w:val="24"/>
        </w:rPr>
        <w:t>a</w:t>
      </w:r>
      <w:r w:rsidRPr="00B61FF1">
        <w:rPr>
          <w:rFonts w:ascii="Arial" w:hAnsi="Arial" w:cs="Arial"/>
          <w:sz w:val="24"/>
          <w:szCs w:val="24"/>
        </w:rPr>
        <w:t>dministrator will assign one allowance to the last bundle purchased by each entity until the remaining allowances have been assigned.</w:t>
      </w:r>
    </w:p>
    <w:p w14:paraId="39018551" w14:textId="77777777" w:rsidR="00852617" w:rsidRPr="00B61FF1" w:rsidRDefault="00852617" w:rsidP="00852617">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If the quantity of bids accepted by the Auction Administrator is less than the number of allowances offered for sale then some allowances will remain unsold.</w:t>
      </w:r>
    </w:p>
    <w:p w14:paraId="0A6458E9" w14:textId="77777777" w:rsidR="00852617" w:rsidRPr="00B61FF1" w:rsidRDefault="00852617" w:rsidP="00FE6A4C">
      <w:pPr>
        <w:pStyle w:val="ListParagraph"/>
        <w:numPr>
          <w:ilvl w:val="0"/>
          <w:numId w:val="44"/>
        </w:numPr>
        <w:spacing w:line="360" w:lineRule="auto"/>
        <w:ind w:hanging="720"/>
        <w:rPr>
          <w:rFonts w:ascii="Arial" w:hAnsi="Arial" w:cs="Arial"/>
          <w:sz w:val="24"/>
          <w:szCs w:val="24"/>
        </w:rPr>
      </w:pPr>
      <w:r w:rsidRPr="00B61FF1">
        <w:rPr>
          <w:rFonts w:ascii="Arial" w:hAnsi="Arial" w:cs="Arial"/>
          <w:sz w:val="24"/>
          <w:szCs w:val="24"/>
        </w:rPr>
        <w:t>If allowances remain unsold at auction, the Auction Administrator will fulfill winning bids with allowances from consignment sources in the following order:</w:t>
      </w:r>
    </w:p>
    <w:p w14:paraId="46B38603" w14:textId="77777777" w:rsidR="00852617" w:rsidRPr="00B61FF1" w:rsidRDefault="00852617" w:rsidP="00FE6A4C">
      <w:pPr>
        <w:pStyle w:val="ListParagraph"/>
        <w:numPr>
          <w:ilvl w:val="0"/>
          <w:numId w:val="45"/>
        </w:numPr>
        <w:spacing w:line="360" w:lineRule="auto"/>
        <w:ind w:hanging="720"/>
        <w:rPr>
          <w:rFonts w:ascii="Arial" w:hAnsi="Arial" w:cs="Arial"/>
          <w:sz w:val="24"/>
          <w:szCs w:val="24"/>
        </w:rPr>
      </w:pPr>
      <w:r w:rsidRPr="00B61FF1">
        <w:rPr>
          <w:rFonts w:ascii="Arial" w:hAnsi="Arial" w:cs="Arial"/>
          <w:sz w:val="24"/>
          <w:szCs w:val="24"/>
        </w:rPr>
        <w:t>Allowances consigned to auction pursuant to section 95910(d)(2);</w:t>
      </w:r>
    </w:p>
    <w:p w14:paraId="7028F0BC" w14:textId="77777777" w:rsidR="00852617" w:rsidRPr="00B61FF1" w:rsidRDefault="00852617" w:rsidP="00FE6A4C">
      <w:pPr>
        <w:pStyle w:val="ListParagraph"/>
        <w:numPr>
          <w:ilvl w:val="0"/>
          <w:numId w:val="45"/>
        </w:numPr>
        <w:spacing w:line="360" w:lineRule="auto"/>
        <w:ind w:hanging="720"/>
        <w:rPr>
          <w:rFonts w:ascii="Arial" w:hAnsi="Arial" w:cs="Arial"/>
          <w:sz w:val="24"/>
          <w:szCs w:val="24"/>
        </w:rPr>
      </w:pPr>
      <w:r w:rsidRPr="00B61FF1">
        <w:rPr>
          <w:rFonts w:ascii="Arial" w:hAnsi="Arial" w:cs="Arial"/>
          <w:sz w:val="24"/>
          <w:szCs w:val="24"/>
        </w:rPr>
        <w:t>Allowances consigned from limited use holding accounts pursuant to section 95910(d)(1);</w:t>
      </w:r>
    </w:p>
    <w:p w14:paraId="6DA85FB8" w14:textId="77777777" w:rsidR="00852617" w:rsidRPr="00B61FF1" w:rsidRDefault="00852617" w:rsidP="00FE6A4C">
      <w:pPr>
        <w:pStyle w:val="ListParagraph"/>
        <w:numPr>
          <w:ilvl w:val="0"/>
          <w:numId w:val="45"/>
        </w:numPr>
        <w:spacing w:line="360" w:lineRule="auto"/>
        <w:ind w:hanging="720"/>
        <w:rPr>
          <w:rFonts w:ascii="Arial" w:hAnsi="Arial" w:cs="Arial"/>
          <w:sz w:val="24"/>
          <w:szCs w:val="24"/>
        </w:rPr>
      </w:pPr>
      <w:r w:rsidRPr="00B61FF1">
        <w:rPr>
          <w:rFonts w:ascii="Arial" w:hAnsi="Arial" w:cs="Arial"/>
          <w:sz w:val="24"/>
          <w:szCs w:val="24"/>
        </w:rPr>
        <w:t>Allowances redesignated to the auction pursuant to section 95911(f)(3); and</w:t>
      </w:r>
    </w:p>
    <w:p w14:paraId="6F6D06C2" w14:textId="77777777" w:rsidR="00852617" w:rsidRPr="00B61FF1" w:rsidRDefault="00852617" w:rsidP="00FE6A4C">
      <w:pPr>
        <w:pStyle w:val="ListParagraph"/>
        <w:numPr>
          <w:ilvl w:val="0"/>
          <w:numId w:val="45"/>
        </w:numPr>
        <w:spacing w:line="360" w:lineRule="auto"/>
        <w:ind w:hanging="720"/>
        <w:rPr>
          <w:rFonts w:ascii="Arial" w:hAnsi="Arial" w:cs="Arial"/>
          <w:sz w:val="24"/>
          <w:szCs w:val="24"/>
        </w:rPr>
      </w:pPr>
      <w:r w:rsidRPr="00B61FF1">
        <w:rPr>
          <w:rFonts w:ascii="Arial" w:hAnsi="Arial" w:cs="Arial"/>
          <w:sz w:val="24"/>
          <w:szCs w:val="24"/>
        </w:rPr>
        <w:t>Allowances designated by ARB for auction pursuant to section 95910(c)(1)(B) and (c)(2)(B) and (C).</w:t>
      </w:r>
    </w:p>
    <w:p w14:paraId="44A9367D" w14:textId="77777777" w:rsidR="00852617" w:rsidRPr="00B61FF1" w:rsidRDefault="00852617" w:rsidP="00FE6A4C">
      <w:pPr>
        <w:pStyle w:val="ListParagraph"/>
        <w:numPr>
          <w:ilvl w:val="0"/>
          <w:numId w:val="44"/>
        </w:numPr>
        <w:spacing w:line="360" w:lineRule="auto"/>
        <w:ind w:hanging="720"/>
        <w:rPr>
          <w:rFonts w:ascii="Arial" w:hAnsi="Arial" w:cs="Arial"/>
          <w:sz w:val="24"/>
          <w:szCs w:val="24"/>
        </w:rPr>
      </w:pPr>
      <w:r w:rsidRPr="00B61FF1">
        <w:rPr>
          <w:rFonts w:ascii="Arial" w:hAnsi="Arial" w:cs="Arial"/>
          <w:sz w:val="24"/>
          <w:szCs w:val="24"/>
        </w:rPr>
        <w:t>When there are insufficient winning bids to exhaust the allowances from a consignment source in section 95911(f)(1), the auction operator will sell an equal proportion of allowances from each consigning entity in that source.</w:t>
      </w:r>
    </w:p>
    <w:p w14:paraId="2A9C368C" w14:textId="77777777" w:rsidR="00852617" w:rsidRPr="00B61FF1" w:rsidRDefault="0040209E" w:rsidP="00FE6A4C">
      <w:pPr>
        <w:pStyle w:val="ListParagraph"/>
        <w:numPr>
          <w:ilvl w:val="0"/>
          <w:numId w:val="44"/>
        </w:numPr>
        <w:spacing w:line="360" w:lineRule="auto"/>
        <w:ind w:hanging="720"/>
        <w:rPr>
          <w:rFonts w:ascii="Arial" w:hAnsi="Arial" w:cs="Arial"/>
          <w:sz w:val="24"/>
          <w:szCs w:val="24"/>
        </w:rPr>
      </w:pPr>
      <w:r w:rsidRPr="00B61FF1">
        <w:rPr>
          <w:rFonts w:ascii="Arial" w:hAnsi="Arial" w:cs="Arial"/>
          <w:sz w:val="24"/>
          <w:szCs w:val="24"/>
        </w:rPr>
        <w:t>Disposition of Allowances Designated by ARB for Auction Which Remain Unsold.</w:t>
      </w:r>
    </w:p>
    <w:p w14:paraId="45E56A3B" w14:textId="77777777" w:rsidR="0040209E" w:rsidRPr="00B61FF1" w:rsidRDefault="0040209E" w:rsidP="00FE6A4C">
      <w:pPr>
        <w:pStyle w:val="ListParagraph"/>
        <w:numPr>
          <w:ilvl w:val="1"/>
          <w:numId w:val="44"/>
        </w:numPr>
        <w:spacing w:line="360" w:lineRule="auto"/>
        <w:ind w:hanging="720"/>
        <w:rPr>
          <w:rFonts w:ascii="Arial" w:hAnsi="Arial" w:cs="Arial"/>
          <w:sz w:val="24"/>
          <w:szCs w:val="24"/>
        </w:rPr>
      </w:pPr>
      <w:r w:rsidRPr="00B61FF1">
        <w:rPr>
          <w:rFonts w:ascii="Arial" w:hAnsi="Arial" w:cs="Arial"/>
          <w:sz w:val="24"/>
          <w:szCs w:val="24"/>
        </w:rPr>
        <w:t>Allowances designated by ARB pursuant to section 95910(c)(1)(B) and (c)(2)(B) and (c)(2)(C) for an auction which remain unsold shall be kept in the Auction Holding Account for later auction.</w:t>
      </w:r>
    </w:p>
    <w:p w14:paraId="0D293D51" w14:textId="77777777" w:rsidR="0040209E" w:rsidRPr="00B61FF1" w:rsidRDefault="0040209E" w:rsidP="00FE6A4C">
      <w:pPr>
        <w:pStyle w:val="ListParagraph"/>
        <w:numPr>
          <w:ilvl w:val="1"/>
          <w:numId w:val="44"/>
        </w:numPr>
        <w:spacing w:line="360" w:lineRule="auto"/>
        <w:ind w:hanging="720"/>
        <w:rPr>
          <w:rFonts w:ascii="Arial" w:hAnsi="Arial" w:cs="Arial"/>
          <w:sz w:val="24"/>
          <w:szCs w:val="24"/>
        </w:rPr>
      </w:pPr>
      <w:r w:rsidRPr="00B61FF1">
        <w:rPr>
          <w:rFonts w:ascii="Arial" w:hAnsi="Arial" w:cs="Arial"/>
          <w:sz w:val="24"/>
          <w:szCs w:val="24"/>
        </w:rPr>
        <w:t>Allowances designated by ARB for auction which remain unsold will be re-designated for auction after two consecutive auctions have resulted in an auction settlement price above the Auction Reserve Price.  If future vintage allowances remain unsold at the end of the calendar year for which they were designated for sale at Advance Auction, they will remain in the Auction Holding Account until their vintage year.  They will then be designated for the Current Auction.</w:t>
      </w:r>
    </w:p>
    <w:p w14:paraId="022204C7" w14:textId="77777777" w:rsidR="0040209E" w:rsidRPr="00B61FF1" w:rsidRDefault="0040209E" w:rsidP="00FE6A4C">
      <w:pPr>
        <w:pStyle w:val="ListParagraph"/>
        <w:numPr>
          <w:ilvl w:val="1"/>
          <w:numId w:val="44"/>
        </w:numPr>
        <w:spacing w:line="360" w:lineRule="auto"/>
        <w:ind w:hanging="720"/>
        <w:rPr>
          <w:rFonts w:ascii="Arial" w:hAnsi="Arial" w:cs="Arial"/>
          <w:sz w:val="24"/>
          <w:szCs w:val="24"/>
        </w:rPr>
      </w:pPr>
      <w:r w:rsidRPr="00B61FF1">
        <w:rPr>
          <w:rFonts w:ascii="Arial" w:hAnsi="Arial" w:cs="Arial"/>
          <w:sz w:val="24"/>
          <w:szCs w:val="24"/>
        </w:rPr>
        <w:t xml:space="preserve">The number of allowances re-designated to a subsequent </w:t>
      </w:r>
      <w:r w:rsidR="002D3A8D" w:rsidRPr="00B61FF1">
        <w:rPr>
          <w:rFonts w:ascii="Arial" w:hAnsi="Arial" w:cs="Arial"/>
          <w:sz w:val="24"/>
          <w:szCs w:val="24"/>
        </w:rPr>
        <w:t>c</w:t>
      </w:r>
      <w:r w:rsidRPr="00B61FF1">
        <w:rPr>
          <w:rFonts w:ascii="Arial" w:hAnsi="Arial" w:cs="Arial"/>
          <w:sz w:val="24"/>
          <w:szCs w:val="24"/>
        </w:rPr>
        <w:t>urrent or Advance Auction will not exceed 25 percent of allowances already designated by ARB for that auction.  Allowances which remain unsold above that level will be held in the Auction Account for later auction.</w:t>
      </w:r>
    </w:p>
    <w:p w14:paraId="6E1DEA2E" w14:textId="77777777" w:rsidR="0040209E" w:rsidRPr="00B61FF1" w:rsidRDefault="0040209E" w:rsidP="00FE6A4C">
      <w:pPr>
        <w:pStyle w:val="ListParagraph"/>
        <w:numPr>
          <w:ilvl w:val="1"/>
          <w:numId w:val="44"/>
        </w:numPr>
        <w:spacing w:line="360" w:lineRule="auto"/>
        <w:ind w:hanging="720"/>
        <w:rPr>
          <w:rFonts w:ascii="Arial" w:hAnsi="Arial" w:cs="Arial"/>
          <w:sz w:val="24"/>
          <w:szCs w:val="24"/>
        </w:rPr>
      </w:pPr>
      <w:r w:rsidRPr="00B61FF1">
        <w:rPr>
          <w:rFonts w:ascii="Arial" w:hAnsi="Arial" w:cs="Arial"/>
          <w:sz w:val="24"/>
          <w:szCs w:val="24"/>
        </w:rPr>
        <w:t>Allowances designated for Advance Auction which remain unsold until their vintage year equals the current calendar year will be designated for Current Auction pursuant to section 95910(c)(1)(B).</w:t>
      </w:r>
    </w:p>
    <w:p w14:paraId="0CADE725" w14:textId="77777777" w:rsidR="0040209E" w:rsidRPr="00B61FF1" w:rsidRDefault="0028428D" w:rsidP="00FE6A4C">
      <w:pPr>
        <w:pStyle w:val="ListParagraph"/>
        <w:numPr>
          <w:ilvl w:val="0"/>
          <w:numId w:val="44"/>
        </w:numPr>
        <w:spacing w:line="360" w:lineRule="auto"/>
        <w:ind w:leftChars="180" w:hangingChars="300" w:hanging="720"/>
        <w:rPr>
          <w:rFonts w:ascii="Arial" w:hAnsi="Arial" w:cs="Arial"/>
          <w:sz w:val="24"/>
          <w:szCs w:val="24"/>
        </w:rPr>
      </w:pPr>
      <w:r w:rsidRPr="00B61FF1">
        <w:rPr>
          <w:rFonts w:ascii="Arial" w:hAnsi="Arial" w:cs="Arial"/>
          <w:sz w:val="24"/>
          <w:szCs w:val="24"/>
        </w:rPr>
        <w:t>Disposition of Consigned Allowances Remaining Unsold at Auction.</w:t>
      </w:r>
    </w:p>
    <w:p w14:paraId="06892760" w14:textId="77777777" w:rsidR="0028428D" w:rsidRPr="00B61FF1" w:rsidRDefault="0028428D" w:rsidP="00FE6A4C">
      <w:pPr>
        <w:pStyle w:val="ListParagraph"/>
        <w:numPr>
          <w:ilvl w:val="1"/>
          <w:numId w:val="44"/>
        </w:numPr>
        <w:spacing w:line="360" w:lineRule="auto"/>
        <w:ind w:leftChars="540" w:hangingChars="300" w:hanging="720"/>
        <w:rPr>
          <w:rFonts w:ascii="Arial" w:hAnsi="Arial" w:cs="Arial"/>
          <w:sz w:val="24"/>
          <w:szCs w:val="24"/>
        </w:rPr>
      </w:pPr>
      <w:r w:rsidRPr="00B61FF1">
        <w:rPr>
          <w:rFonts w:ascii="Arial" w:hAnsi="Arial" w:cs="Arial"/>
          <w:sz w:val="24"/>
          <w:szCs w:val="24"/>
        </w:rPr>
        <w:t>Allowances consigned to auction from limited use holding accounts that remain unsold at auction will be held in the Auction Holding Account until the next auction.</w:t>
      </w:r>
    </w:p>
    <w:p w14:paraId="56B83270" w14:textId="77777777" w:rsidR="0028428D" w:rsidRPr="00B61FF1" w:rsidRDefault="0028428D" w:rsidP="00FE6A4C">
      <w:pPr>
        <w:pStyle w:val="ListParagraph"/>
        <w:numPr>
          <w:ilvl w:val="1"/>
          <w:numId w:val="44"/>
        </w:numPr>
        <w:spacing w:line="360" w:lineRule="auto"/>
        <w:ind w:leftChars="540" w:hangingChars="300" w:hanging="720"/>
        <w:rPr>
          <w:rFonts w:ascii="Arial" w:hAnsi="Arial" w:cs="Arial"/>
          <w:sz w:val="24"/>
          <w:szCs w:val="24"/>
        </w:rPr>
      </w:pPr>
      <w:r w:rsidRPr="00B61FF1">
        <w:rPr>
          <w:rFonts w:ascii="Arial" w:hAnsi="Arial" w:cs="Arial"/>
          <w:sz w:val="24"/>
          <w:szCs w:val="24"/>
        </w:rPr>
        <w:t>Allowances consigned to auction pursuant to section 95921(g)(3) that remain unsold at auction will be held in the Auction Holding Account until the next auction.</w:t>
      </w:r>
    </w:p>
    <w:p w14:paraId="7373E51A" w14:textId="77777777" w:rsidR="00FE6B15" w:rsidRPr="00B61FF1" w:rsidRDefault="00FE6B15" w:rsidP="004E3B67">
      <w:pPr>
        <w:spacing w:line="360" w:lineRule="auto"/>
        <w:rPr>
          <w:rFonts w:ascii="Arial" w:hAnsi="Arial" w:cs="Arial"/>
          <w:sz w:val="24"/>
          <w:szCs w:val="24"/>
        </w:rPr>
      </w:pPr>
    </w:p>
    <w:p w14:paraId="4028FE4C"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7FB07A27"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304B347D" w14:textId="77777777" w:rsidR="00BD1FA4" w:rsidRPr="00B61FF1" w:rsidRDefault="00BD1FA4" w:rsidP="00EC7AFC">
      <w:pPr>
        <w:rPr>
          <w:rFonts w:ascii="Arial" w:hAnsi="Arial" w:cs="Arial"/>
        </w:rPr>
      </w:pPr>
    </w:p>
    <w:p w14:paraId="50295EE0" w14:textId="77777777" w:rsidR="002245B3" w:rsidRPr="00B61FF1" w:rsidRDefault="002245B3" w:rsidP="002245B3">
      <w:pPr>
        <w:pStyle w:val="Heading2"/>
        <w:rPr>
          <w:i/>
          <w:szCs w:val="24"/>
        </w:rPr>
      </w:pPr>
      <w:bookmarkStart w:id="354" w:name="_Toc299094955"/>
      <w:bookmarkStart w:id="355" w:name="_Toc302746809"/>
      <w:bookmarkStart w:id="356" w:name="_Toc352146268"/>
      <w:bookmarkStart w:id="357" w:name="_Toc361659872"/>
      <w:bookmarkEnd w:id="344"/>
      <w:bookmarkEnd w:id="345"/>
      <w:bookmarkEnd w:id="346"/>
      <w:r w:rsidRPr="00B61FF1">
        <w:rPr>
          <w:szCs w:val="24"/>
        </w:rPr>
        <w:t xml:space="preserve">§ 95912.  Auction Administration and </w:t>
      </w:r>
      <w:r w:rsidR="00BE52EF" w:rsidRPr="00B61FF1">
        <w:rPr>
          <w:szCs w:val="24"/>
        </w:rPr>
        <w:t>Participant Application</w:t>
      </w:r>
      <w:r w:rsidR="00C27120" w:rsidRPr="00B61FF1">
        <w:rPr>
          <w:szCs w:val="24"/>
        </w:rPr>
        <w:t>.</w:t>
      </w:r>
      <w:bookmarkEnd w:id="354"/>
      <w:bookmarkEnd w:id="355"/>
      <w:bookmarkEnd w:id="356"/>
      <w:bookmarkEnd w:id="357"/>
    </w:p>
    <w:p w14:paraId="5E298B71" w14:textId="77777777" w:rsidR="00093AE2" w:rsidRPr="00B61FF1" w:rsidRDefault="00612B13" w:rsidP="00612B13">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093AE2" w:rsidRPr="00B61FF1">
        <w:rPr>
          <w:rFonts w:ascii="Arial" w:hAnsi="Arial" w:cs="Arial"/>
          <w:sz w:val="24"/>
          <w:szCs w:val="24"/>
        </w:rPr>
        <w:t>Administration</w:t>
      </w:r>
      <w:r w:rsidR="00C27120" w:rsidRPr="00B61FF1">
        <w:rPr>
          <w:rFonts w:ascii="Arial" w:hAnsi="Arial" w:cs="Arial"/>
          <w:sz w:val="24"/>
          <w:szCs w:val="24"/>
        </w:rPr>
        <w:t xml:space="preserve"> of the Auctions</w:t>
      </w:r>
      <w:r w:rsidR="00BE1E1B" w:rsidRPr="00B61FF1">
        <w:rPr>
          <w:rFonts w:ascii="Arial" w:hAnsi="Arial" w:cs="Arial"/>
          <w:sz w:val="24"/>
          <w:szCs w:val="24"/>
        </w:rPr>
        <w:t>.</w:t>
      </w:r>
    </w:p>
    <w:p w14:paraId="7AD7669B" w14:textId="77777777" w:rsidR="002245B3" w:rsidRPr="00B61FF1" w:rsidRDefault="00093AE2" w:rsidP="00093AE2">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The </w:t>
      </w:r>
      <w:r w:rsidR="002245B3" w:rsidRPr="00B61FF1">
        <w:rPr>
          <w:rFonts w:ascii="Arial" w:hAnsi="Arial" w:cs="Arial"/>
          <w:sz w:val="24"/>
          <w:szCs w:val="24"/>
        </w:rPr>
        <w:t xml:space="preserve">Executive Officer </w:t>
      </w:r>
      <w:r w:rsidR="00232081" w:rsidRPr="00B61FF1">
        <w:rPr>
          <w:rFonts w:ascii="Arial" w:hAnsi="Arial" w:cs="Arial"/>
          <w:sz w:val="24"/>
          <w:szCs w:val="24"/>
        </w:rPr>
        <w:t xml:space="preserve">may serve as </w:t>
      </w:r>
      <w:r w:rsidR="00BE52EF" w:rsidRPr="00B61FF1">
        <w:rPr>
          <w:rFonts w:ascii="Arial" w:hAnsi="Arial" w:cs="Arial"/>
          <w:sz w:val="24"/>
          <w:szCs w:val="24"/>
        </w:rPr>
        <w:t>a</w:t>
      </w:r>
      <w:r w:rsidRPr="00B61FF1">
        <w:rPr>
          <w:rFonts w:ascii="Arial" w:hAnsi="Arial" w:cs="Arial"/>
          <w:sz w:val="24"/>
          <w:szCs w:val="24"/>
        </w:rPr>
        <w:t xml:space="preserve">uction </w:t>
      </w:r>
      <w:r w:rsidR="00BE52EF" w:rsidRPr="00B61FF1">
        <w:rPr>
          <w:rFonts w:ascii="Arial" w:hAnsi="Arial" w:cs="Arial"/>
          <w:sz w:val="24"/>
          <w:szCs w:val="24"/>
        </w:rPr>
        <w:t>a</w:t>
      </w:r>
      <w:r w:rsidRPr="00B61FF1">
        <w:rPr>
          <w:rFonts w:ascii="Arial" w:hAnsi="Arial" w:cs="Arial"/>
          <w:sz w:val="24"/>
          <w:szCs w:val="24"/>
        </w:rPr>
        <w:t xml:space="preserve">dministrator or designate an entity to serve as </w:t>
      </w:r>
      <w:r w:rsidR="00BE52EF" w:rsidRPr="00B61FF1">
        <w:rPr>
          <w:rFonts w:ascii="Arial" w:hAnsi="Arial" w:cs="Arial"/>
          <w:sz w:val="24"/>
          <w:szCs w:val="24"/>
        </w:rPr>
        <w:t>a</w:t>
      </w:r>
      <w:r w:rsidRPr="00B61FF1">
        <w:rPr>
          <w:rFonts w:ascii="Arial" w:hAnsi="Arial" w:cs="Arial"/>
          <w:sz w:val="24"/>
          <w:szCs w:val="24"/>
        </w:rPr>
        <w:t xml:space="preserve">uction </w:t>
      </w:r>
      <w:r w:rsidR="00BE52EF" w:rsidRPr="00B61FF1">
        <w:rPr>
          <w:rFonts w:ascii="Arial" w:hAnsi="Arial" w:cs="Arial"/>
          <w:sz w:val="24"/>
          <w:szCs w:val="24"/>
        </w:rPr>
        <w:t>a</w:t>
      </w:r>
      <w:r w:rsidRPr="00B61FF1">
        <w:rPr>
          <w:rFonts w:ascii="Arial" w:hAnsi="Arial" w:cs="Arial"/>
          <w:sz w:val="24"/>
          <w:szCs w:val="24"/>
        </w:rPr>
        <w:t>dministrator.</w:t>
      </w:r>
    </w:p>
    <w:p w14:paraId="3488527A" w14:textId="77777777" w:rsidR="00093AE2" w:rsidRPr="00B61FF1" w:rsidRDefault="00093AE2" w:rsidP="00093AE2">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Executive Officer may serve as financial services administrator or may designate a qualified financial services administrator to conduct all financial t</w:t>
      </w:r>
      <w:r w:rsidR="00C27120" w:rsidRPr="00B61FF1">
        <w:rPr>
          <w:rFonts w:ascii="Arial" w:hAnsi="Arial" w:cs="Arial"/>
          <w:sz w:val="24"/>
          <w:szCs w:val="24"/>
        </w:rPr>
        <w:t xml:space="preserve">ransactions required by this </w:t>
      </w:r>
      <w:r w:rsidRPr="00B61FF1">
        <w:rPr>
          <w:rFonts w:ascii="Arial" w:hAnsi="Arial" w:cs="Arial"/>
          <w:sz w:val="24"/>
          <w:szCs w:val="24"/>
        </w:rPr>
        <w:t>article.</w:t>
      </w:r>
    </w:p>
    <w:p w14:paraId="6CD0EA0F" w14:textId="77777777" w:rsidR="002245B3" w:rsidRPr="00B61FF1" w:rsidRDefault="00612B13" w:rsidP="00612B13">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2245B3" w:rsidRPr="00B61FF1">
        <w:rPr>
          <w:rFonts w:ascii="Arial" w:hAnsi="Arial" w:cs="Arial"/>
          <w:sz w:val="24"/>
          <w:szCs w:val="24"/>
        </w:rPr>
        <w:t xml:space="preserve">The Executive Officer may direct that the California </w:t>
      </w:r>
      <w:r w:rsidR="00C27120" w:rsidRPr="00B61FF1">
        <w:rPr>
          <w:rFonts w:ascii="Arial" w:hAnsi="Arial" w:cs="Arial"/>
          <w:sz w:val="24"/>
          <w:szCs w:val="24"/>
        </w:rPr>
        <w:t xml:space="preserve">GHG </w:t>
      </w:r>
      <w:r w:rsidR="002245B3" w:rsidRPr="00B61FF1">
        <w:rPr>
          <w:rFonts w:ascii="Arial" w:hAnsi="Arial" w:cs="Arial"/>
          <w:sz w:val="24"/>
          <w:szCs w:val="24"/>
        </w:rPr>
        <w:t xml:space="preserve">allowances designated for auction be offered through an auction conducted jointly with other jurisdictions to which California links pursuant to subarticle 12, provided the joint auction conforms </w:t>
      </w:r>
      <w:r w:rsidR="002245B3" w:rsidRPr="00B61FF1">
        <w:rPr>
          <w:rFonts w:ascii="Arial" w:hAnsi="Arial" w:cs="Arial"/>
          <w:strike/>
          <w:sz w:val="24"/>
          <w:szCs w:val="24"/>
        </w:rPr>
        <w:t>with</w:t>
      </w:r>
      <w:r w:rsidR="00FA01E9" w:rsidRPr="00B61FF1">
        <w:rPr>
          <w:rFonts w:ascii="Arial" w:hAnsi="Arial" w:cs="Arial"/>
          <w:sz w:val="24"/>
          <w:szCs w:val="24"/>
          <w:u w:val="single"/>
        </w:rPr>
        <w:t>to</w:t>
      </w:r>
      <w:r w:rsidR="002245B3" w:rsidRPr="00B61FF1">
        <w:rPr>
          <w:rFonts w:ascii="Arial" w:hAnsi="Arial" w:cs="Arial"/>
          <w:sz w:val="24"/>
          <w:szCs w:val="24"/>
        </w:rPr>
        <w:t xml:space="preserve"> this article. </w:t>
      </w:r>
    </w:p>
    <w:p w14:paraId="25B03630" w14:textId="77777777" w:rsidR="0028428D" w:rsidRPr="00B61FF1" w:rsidRDefault="0028428D" w:rsidP="00612B13">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Auction Notification.  At least 60 days prior to each auction, the </w:t>
      </w:r>
      <w:r w:rsidR="00BE52EF" w:rsidRPr="00B61FF1">
        <w:rPr>
          <w:rFonts w:ascii="Arial" w:hAnsi="Arial" w:cs="Arial"/>
          <w:sz w:val="24"/>
          <w:szCs w:val="24"/>
        </w:rPr>
        <w:t>a</w:t>
      </w:r>
      <w:r w:rsidRPr="00B61FF1">
        <w:rPr>
          <w:rFonts w:ascii="Arial" w:hAnsi="Arial" w:cs="Arial"/>
          <w:sz w:val="24"/>
          <w:szCs w:val="24"/>
        </w:rPr>
        <w:t xml:space="preserve">uction </w:t>
      </w:r>
      <w:r w:rsidR="00BE52EF" w:rsidRPr="00B61FF1">
        <w:rPr>
          <w:rFonts w:ascii="Arial" w:hAnsi="Arial" w:cs="Arial"/>
          <w:sz w:val="24"/>
          <w:szCs w:val="24"/>
        </w:rPr>
        <w:t>a</w:t>
      </w:r>
      <w:r w:rsidRPr="00B61FF1">
        <w:rPr>
          <w:rFonts w:ascii="Arial" w:hAnsi="Arial" w:cs="Arial"/>
          <w:sz w:val="24"/>
          <w:szCs w:val="24"/>
        </w:rPr>
        <w:t>dministrator shall publish the following information:</w:t>
      </w:r>
    </w:p>
    <w:p w14:paraId="741BA946"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The date and time of the auction;</w:t>
      </w:r>
    </w:p>
    <w:p w14:paraId="6439DA77"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Auction application requirements and instructions;</w:t>
      </w:r>
    </w:p>
    <w:p w14:paraId="1A7EE0C6"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The form and manner for submitting bids;</w:t>
      </w:r>
    </w:p>
    <w:p w14:paraId="1081C1BB"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The procedures for conducting the auction;</w:t>
      </w:r>
    </w:p>
    <w:p w14:paraId="5CF1E671"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The administrative requirements for participation; and</w:t>
      </w:r>
    </w:p>
    <w:p w14:paraId="47227024"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The number of allowances from California that will be available at the auction.</w:t>
      </w:r>
    </w:p>
    <w:p w14:paraId="0F34EEEC" w14:textId="77777777" w:rsidR="0028428D" w:rsidRPr="00B61FF1" w:rsidRDefault="0028428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For the announcement of the first quarter auction, the number of allowances to be available for sale during the calendar year and the Auction Reserve Price in effect for the calendar year pursuant to section 95911(c).</w:t>
      </w:r>
    </w:p>
    <w:p w14:paraId="7CBE7F0A" w14:textId="77777777" w:rsidR="004228DD" w:rsidRPr="00B61FF1" w:rsidRDefault="004228DD" w:rsidP="00FE6A4C">
      <w:pPr>
        <w:pStyle w:val="ListParagraph"/>
        <w:numPr>
          <w:ilvl w:val="0"/>
          <w:numId w:val="46"/>
        </w:numPr>
        <w:spacing w:line="360" w:lineRule="auto"/>
        <w:ind w:hanging="720"/>
        <w:rPr>
          <w:rFonts w:ascii="Arial" w:hAnsi="Arial" w:cs="Arial"/>
          <w:sz w:val="24"/>
          <w:szCs w:val="24"/>
        </w:rPr>
      </w:pPr>
      <w:r w:rsidRPr="00B61FF1">
        <w:rPr>
          <w:rFonts w:ascii="Arial" w:hAnsi="Arial" w:cs="Arial"/>
          <w:sz w:val="24"/>
          <w:szCs w:val="24"/>
        </w:rPr>
        <w:t>If California has linked</w:t>
      </w:r>
      <w:r w:rsidR="006B1EEB" w:rsidRPr="00B61FF1">
        <w:rPr>
          <w:rFonts w:ascii="Arial" w:hAnsi="Arial" w:cs="Arial"/>
          <w:sz w:val="24"/>
          <w:szCs w:val="24"/>
        </w:rPr>
        <w:t xml:space="preserve"> to a jurisdiction operating an</w:t>
      </w:r>
      <w:r w:rsidRPr="00B61FF1">
        <w:rPr>
          <w:rFonts w:ascii="Arial" w:hAnsi="Arial" w:cs="Arial"/>
          <w:sz w:val="24"/>
          <w:szCs w:val="24"/>
        </w:rPr>
        <w:t xml:space="preserve"> External GHG ETS pursuant to subarticle 12, the number of allowances in section 95912(c)(6) will also include the allowances made available by the linked jurisdiction.</w:t>
      </w:r>
    </w:p>
    <w:p w14:paraId="331CA263" w14:textId="77777777" w:rsidR="002245B3" w:rsidRPr="00B61FF1" w:rsidRDefault="00612B13" w:rsidP="00612B13">
      <w:pPr>
        <w:spacing w:line="360" w:lineRule="auto"/>
        <w:ind w:left="720" w:hanging="720"/>
        <w:rPr>
          <w:rFonts w:ascii="Arial" w:hAnsi="Arial" w:cs="Arial"/>
          <w:sz w:val="24"/>
          <w:szCs w:val="24"/>
        </w:rPr>
      </w:pPr>
      <w:r w:rsidRPr="00B61FF1">
        <w:rPr>
          <w:rFonts w:ascii="Arial" w:hAnsi="Arial" w:cs="Arial"/>
          <w:sz w:val="24"/>
          <w:szCs w:val="24"/>
        </w:rPr>
        <w:t>(</w:t>
      </w:r>
      <w:r w:rsidR="0028428D" w:rsidRPr="00B61FF1">
        <w:rPr>
          <w:rFonts w:ascii="Arial" w:hAnsi="Arial" w:cs="Arial"/>
          <w:sz w:val="24"/>
          <w:szCs w:val="24"/>
        </w:rPr>
        <w:t>d</w:t>
      </w:r>
      <w:r w:rsidRPr="00B61FF1">
        <w:rPr>
          <w:rFonts w:ascii="Arial" w:hAnsi="Arial" w:cs="Arial"/>
          <w:sz w:val="24"/>
          <w:szCs w:val="24"/>
        </w:rPr>
        <w:t>)</w:t>
      </w:r>
      <w:r w:rsidRPr="00B61FF1">
        <w:rPr>
          <w:rFonts w:ascii="Arial" w:hAnsi="Arial" w:cs="Arial"/>
          <w:sz w:val="24"/>
          <w:szCs w:val="24"/>
        </w:rPr>
        <w:tab/>
      </w:r>
      <w:r w:rsidR="002245B3" w:rsidRPr="00B61FF1">
        <w:rPr>
          <w:rFonts w:ascii="Arial" w:hAnsi="Arial" w:cs="Arial"/>
          <w:sz w:val="24"/>
          <w:szCs w:val="24"/>
        </w:rPr>
        <w:t xml:space="preserve">Auction </w:t>
      </w:r>
      <w:r w:rsidR="0028428D" w:rsidRPr="00B61FF1">
        <w:rPr>
          <w:rFonts w:ascii="Arial" w:hAnsi="Arial" w:cs="Arial"/>
          <w:sz w:val="24"/>
          <w:szCs w:val="24"/>
        </w:rPr>
        <w:t xml:space="preserve">Participation Application </w:t>
      </w:r>
      <w:r w:rsidR="002245B3" w:rsidRPr="00B61FF1">
        <w:rPr>
          <w:rFonts w:ascii="Arial" w:hAnsi="Arial" w:cs="Arial"/>
          <w:sz w:val="24"/>
          <w:szCs w:val="24"/>
        </w:rPr>
        <w:t xml:space="preserve">Requirements. </w:t>
      </w:r>
    </w:p>
    <w:p w14:paraId="6C8E7E43" w14:textId="77777777" w:rsidR="002245B3" w:rsidRPr="00B61FF1" w:rsidRDefault="0028428D" w:rsidP="00FE6A4C">
      <w:pPr>
        <w:pStyle w:val="ListParagraph"/>
        <w:numPr>
          <w:ilvl w:val="1"/>
          <w:numId w:val="47"/>
        </w:numPr>
        <w:spacing w:line="360" w:lineRule="auto"/>
        <w:ind w:left="1080" w:hanging="720"/>
        <w:rPr>
          <w:rFonts w:ascii="Arial" w:hAnsi="Arial" w:cs="Arial"/>
          <w:sz w:val="24"/>
          <w:szCs w:val="24"/>
        </w:rPr>
      </w:pPr>
      <w:r w:rsidRPr="00B61FF1">
        <w:rPr>
          <w:rFonts w:ascii="Arial" w:hAnsi="Arial" w:cs="Arial"/>
          <w:sz w:val="24"/>
          <w:szCs w:val="24"/>
        </w:rPr>
        <w:t>The Executive Officer must approve an entity’s auction participant application before that entity may participate in an auction.</w:t>
      </w:r>
    </w:p>
    <w:p w14:paraId="318EC96D" w14:textId="77777777" w:rsidR="00480703" w:rsidRPr="00B61FF1" w:rsidRDefault="00480703" w:rsidP="00FE6A4C">
      <w:pPr>
        <w:pStyle w:val="ListParagraph"/>
        <w:numPr>
          <w:ilvl w:val="1"/>
          <w:numId w:val="47"/>
        </w:numPr>
        <w:spacing w:line="360" w:lineRule="auto"/>
        <w:ind w:left="1080" w:hanging="720"/>
        <w:rPr>
          <w:rFonts w:ascii="Arial" w:hAnsi="Arial" w:cs="Arial"/>
          <w:sz w:val="24"/>
          <w:szCs w:val="24"/>
        </w:rPr>
      </w:pPr>
      <w:r w:rsidRPr="00B61FF1">
        <w:rPr>
          <w:rFonts w:ascii="Arial" w:hAnsi="Arial" w:cs="Arial"/>
          <w:sz w:val="24"/>
          <w:szCs w:val="24"/>
        </w:rPr>
        <w:t>An entity applying for approval as an auction participant must be registered into the Cap-and-Trade Program as provided in section 95830.</w:t>
      </w:r>
    </w:p>
    <w:p w14:paraId="4DD22274" w14:textId="77777777" w:rsidR="00480703" w:rsidRPr="00B61FF1" w:rsidRDefault="00480703" w:rsidP="00FE6A4C">
      <w:pPr>
        <w:pStyle w:val="ListParagraph"/>
        <w:numPr>
          <w:ilvl w:val="1"/>
          <w:numId w:val="47"/>
        </w:numPr>
        <w:spacing w:line="360" w:lineRule="auto"/>
        <w:ind w:left="1080" w:hanging="720"/>
        <w:rPr>
          <w:rFonts w:ascii="Arial" w:hAnsi="Arial" w:cs="Arial"/>
          <w:sz w:val="24"/>
          <w:szCs w:val="24"/>
        </w:rPr>
      </w:pPr>
      <w:r w:rsidRPr="00B61FF1">
        <w:rPr>
          <w:rFonts w:ascii="Arial" w:hAnsi="Arial" w:cs="Arial"/>
          <w:sz w:val="24"/>
          <w:szCs w:val="24"/>
        </w:rPr>
        <w:t>An entity whose holding account has been revoked or is currently suspended pursuant to section 96011 cannot participate in an auction.  An individual associated pursuant to section 95830, 95832, and 95833 with an entity whose holding account has been revoked or is currently suspended pursuant to section 96011 cannot participate in an auction.</w:t>
      </w:r>
    </w:p>
    <w:p w14:paraId="11809D67" w14:textId="77777777" w:rsidR="00480703" w:rsidRPr="00B61FF1" w:rsidRDefault="00480703" w:rsidP="00FE6A4C">
      <w:pPr>
        <w:pStyle w:val="ListParagraph"/>
        <w:numPr>
          <w:ilvl w:val="1"/>
          <w:numId w:val="47"/>
        </w:numPr>
        <w:spacing w:line="360" w:lineRule="auto"/>
        <w:ind w:left="1080" w:hanging="720"/>
        <w:rPr>
          <w:rFonts w:ascii="Arial" w:hAnsi="Arial" w:cs="Arial"/>
          <w:sz w:val="24"/>
          <w:szCs w:val="24"/>
        </w:rPr>
      </w:pPr>
      <w:r w:rsidRPr="00B61FF1">
        <w:rPr>
          <w:rFonts w:ascii="Arial" w:hAnsi="Arial" w:cs="Arial"/>
          <w:sz w:val="24"/>
          <w:szCs w:val="24"/>
        </w:rPr>
        <w:t>An entity will be required to complete an</w:t>
      </w:r>
      <w:r w:rsidRPr="00B61FF1">
        <w:rPr>
          <w:rFonts w:ascii="Arial" w:hAnsi="Arial" w:cs="Arial"/>
          <w:strike/>
          <w:sz w:val="24"/>
          <w:szCs w:val="24"/>
        </w:rPr>
        <w:t>d</w:t>
      </w:r>
      <w:r w:rsidRPr="00B61FF1">
        <w:rPr>
          <w:rFonts w:ascii="Arial" w:hAnsi="Arial" w:cs="Arial"/>
          <w:sz w:val="24"/>
          <w:szCs w:val="24"/>
        </w:rPr>
        <w:t xml:space="preserve"> auction participant application at least 30 days prior to an auction in which it intends to participate.  </w:t>
      </w:r>
      <w:r w:rsidR="00A812DF" w:rsidRPr="00B61FF1">
        <w:rPr>
          <w:rFonts w:ascii="Arial" w:hAnsi="Arial" w:cs="Arial"/>
          <w:sz w:val="24"/>
          <w:szCs w:val="24"/>
          <w:u w:val="single"/>
        </w:rPr>
        <w:t>This application must be completed by 5 p.m. Pacific Standard Time (or Pacific Daylight Time, when in effect).</w:t>
      </w:r>
      <w:r w:rsidR="00A812DF" w:rsidRPr="00B61FF1">
        <w:rPr>
          <w:rFonts w:ascii="Arial" w:hAnsi="Arial" w:cs="Arial"/>
          <w:sz w:val="24"/>
          <w:szCs w:val="24"/>
        </w:rPr>
        <w:t xml:space="preserve">  </w:t>
      </w:r>
      <w:r w:rsidRPr="00B61FF1">
        <w:rPr>
          <w:rFonts w:ascii="Arial" w:hAnsi="Arial" w:cs="Arial"/>
          <w:sz w:val="24"/>
          <w:szCs w:val="24"/>
        </w:rPr>
        <w:t>The entity must provide information and documentation including:</w:t>
      </w:r>
    </w:p>
    <w:p w14:paraId="0E23230E" w14:textId="77777777" w:rsidR="00480703" w:rsidRPr="00B61FF1" w:rsidRDefault="00480703" w:rsidP="00FE6A4C">
      <w:pPr>
        <w:pStyle w:val="ListParagraph"/>
        <w:numPr>
          <w:ilvl w:val="0"/>
          <w:numId w:val="48"/>
        </w:numPr>
        <w:spacing w:line="360" w:lineRule="auto"/>
        <w:ind w:left="1800" w:hanging="720"/>
        <w:rPr>
          <w:rFonts w:ascii="Arial" w:hAnsi="Arial" w:cs="Arial"/>
          <w:sz w:val="24"/>
          <w:szCs w:val="24"/>
        </w:rPr>
      </w:pPr>
      <w:r w:rsidRPr="00B61FF1">
        <w:rPr>
          <w:rFonts w:ascii="Arial" w:hAnsi="Arial" w:cs="Arial"/>
          <w:sz w:val="24"/>
          <w:szCs w:val="24"/>
        </w:rPr>
        <w:t>Information and documentation regarding the corporate identity, ownership, and capital structure of the applicant;</w:t>
      </w:r>
    </w:p>
    <w:p w14:paraId="7504911F" w14:textId="77777777" w:rsidR="002245B3" w:rsidRPr="00B61FF1" w:rsidRDefault="00232081" w:rsidP="00FE6A4C">
      <w:pPr>
        <w:pStyle w:val="ListParagraph"/>
        <w:numPr>
          <w:ilvl w:val="0"/>
          <w:numId w:val="48"/>
        </w:numPr>
        <w:spacing w:line="360" w:lineRule="auto"/>
        <w:ind w:left="1800" w:hanging="720"/>
        <w:rPr>
          <w:rFonts w:ascii="Arial" w:hAnsi="Arial" w:cs="Arial"/>
          <w:sz w:val="24"/>
          <w:szCs w:val="24"/>
        </w:rPr>
      </w:pPr>
      <w:r w:rsidRPr="00B61FF1">
        <w:rPr>
          <w:rFonts w:ascii="Arial" w:hAnsi="Arial" w:cs="Arial"/>
          <w:sz w:val="24"/>
          <w:szCs w:val="24"/>
        </w:rPr>
        <w:t>T</w:t>
      </w:r>
      <w:r w:rsidR="002245B3" w:rsidRPr="00B61FF1">
        <w:rPr>
          <w:rFonts w:ascii="Arial" w:hAnsi="Arial" w:cs="Arial"/>
          <w:sz w:val="24"/>
          <w:szCs w:val="24"/>
        </w:rPr>
        <w:t xml:space="preserve">he existence of any direct or indirect corporate associations pursuant to </w:t>
      </w:r>
      <w:r w:rsidR="002D3BA2" w:rsidRPr="00B61FF1">
        <w:rPr>
          <w:rFonts w:ascii="Arial" w:hAnsi="Arial" w:cs="Arial"/>
          <w:sz w:val="24"/>
          <w:szCs w:val="24"/>
        </w:rPr>
        <w:t>section</w:t>
      </w:r>
      <w:r w:rsidR="00DC752C" w:rsidRPr="00B61FF1">
        <w:rPr>
          <w:rFonts w:ascii="Arial" w:hAnsi="Arial" w:cs="Arial"/>
          <w:sz w:val="24"/>
          <w:szCs w:val="24"/>
        </w:rPr>
        <w:t>s 95833 and</w:t>
      </w:r>
      <w:r w:rsidR="002D3BA2" w:rsidRPr="00B61FF1">
        <w:rPr>
          <w:rFonts w:ascii="Arial" w:hAnsi="Arial" w:cs="Arial"/>
          <w:sz w:val="24"/>
          <w:szCs w:val="24"/>
        </w:rPr>
        <w:t xml:space="preserve"> </w:t>
      </w:r>
      <w:r w:rsidR="002245B3" w:rsidRPr="00B61FF1">
        <w:rPr>
          <w:rFonts w:ascii="Arial" w:hAnsi="Arial" w:cs="Arial"/>
          <w:sz w:val="24"/>
          <w:szCs w:val="24"/>
        </w:rPr>
        <w:t>95914</w:t>
      </w:r>
      <w:r w:rsidR="00DC752C" w:rsidRPr="00B61FF1">
        <w:rPr>
          <w:rFonts w:ascii="Arial" w:hAnsi="Arial" w:cs="Arial"/>
          <w:sz w:val="24"/>
          <w:szCs w:val="24"/>
        </w:rPr>
        <w:t>(</w:t>
      </w:r>
      <w:r w:rsidR="00480703" w:rsidRPr="00B61FF1">
        <w:rPr>
          <w:rFonts w:ascii="Arial" w:hAnsi="Arial" w:cs="Arial"/>
          <w:sz w:val="24"/>
          <w:szCs w:val="24"/>
        </w:rPr>
        <w:t>d</w:t>
      </w:r>
      <w:r w:rsidR="00DC752C" w:rsidRPr="00B61FF1">
        <w:rPr>
          <w:rFonts w:ascii="Arial" w:hAnsi="Arial" w:cs="Arial"/>
          <w:sz w:val="24"/>
          <w:szCs w:val="24"/>
        </w:rPr>
        <w:t>)</w:t>
      </w:r>
      <w:r w:rsidR="002245B3" w:rsidRPr="00B61FF1">
        <w:rPr>
          <w:rFonts w:ascii="Arial" w:hAnsi="Arial" w:cs="Arial"/>
          <w:sz w:val="24"/>
          <w:szCs w:val="24"/>
        </w:rPr>
        <w:t>;</w:t>
      </w:r>
    </w:p>
    <w:p w14:paraId="4B404593" w14:textId="7629A9F3" w:rsidR="00CE415C" w:rsidRPr="00B61FF1" w:rsidRDefault="00AD3EB6" w:rsidP="00A45C35">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00CE415C" w:rsidRPr="00B61FF1">
        <w:rPr>
          <w:rFonts w:ascii="Arial" w:hAnsi="Arial" w:cs="Arial"/>
          <w:sz w:val="24"/>
          <w:szCs w:val="24"/>
          <w:u w:val="single"/>
        </w:rPr>
        <w:t>An allocation of the purchase limit among associated entities</w:t>
      </w:r>
      <w:r w:rsidR="00746CC1" w:rsidRPr="00B61FF1">
        <w:rPr>
          <w:rFonts w:ascii="Arial" w:hAnsi="Arial" w:cs="Arial"/>
          <w:sz w:val="24"/>
          <w:szCs w:val="24"/>
          <w:u w:val="single"/>
        </w:rPr>
        <w:t xml:space="preserve"> as defined in section 95833</w:t>
      </w:r>
      <w:r w:rsidR="006150D8" w:rsidRPr="00B61FF1">
        <w:rPr>
          <w:rFonts w:ascii="Arial" w:hAnsi="Arial" w:cs="Arial"/>
          <w:sz w:val="24"/>
          <w:szCs w:val="24"/>
          <w:u w:val="single"/>
        </w:rPr>
        <w:t>, or change in the existing allocation of the purchase limit among associated entities</w:t>
      </w:r>
      <w:r w:rsidR="00CE415C" w:rsidRPr="00B61FF1">
        <w:rPr>
          <w:rFonts w:ascii="Arial" w:hAnsi="Arial" w:cs="Arial"/>
          <w:sz w:val="24"/>
          <w:szCs w:val="24"/>
          <w:u w:val="single"/>
        </w:rPr>
        <w:t>, if applicable;</w:t>
      </w:r>
    </w:p>
    <w:p w14:paraId="7BBA0738" w14:textId="3769B927" w:rsidR="00CE415C" w:rsidRPr="00B61FF1" w:rsidRDefault="00D76FA7" w:rsidP="00A45C35">
      <w:pPr>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 xml:space="preserve">     </w:t>
      </w:r>
      <w:r w:rsidR="00A45C35" w:rsidRPr="00B61FF1">
        <w:rPr>
          <w:rFonts w:ascii="Arial" w:hAnsi="Arial" w:cs="Arial"/>
          <w:sz w:val="24"/>
          <w:szCs w:val="24"/>
          <w:u w:val="single"/>
        </w:rPr>
        <w:t xml:space="preserve"> </w:t>
      </w:r>
      <w:r w:rsidR="00CE415C" w:rsidRPr="00B61FF1">
        <w:rPr>
          <w:rFonts w:ascii="Arial" w:hAnsi="Arial" w:cs="Arial"/>
          <w:sz w:val="24"/>
          <w:szCs w:val="24"/>
          <w:u w:val="single"/>
        </w:rPr>
        <w:t>An allocation of the holding limit among associated entities</w:t>
      </w:r>
      <w:r w:rsidR="00746CC1" w:rsidRPr="00B61FF1">
        <w:rPr>
          <w:rFonts w:ascii="Arial" w:hAnsi="Arial" w:cs="Arial"/>
          <w:sz w:val="24"/>
          <w:szCs w:val="24"/>
          <w:u w:val="single"/>
        </w:rPr>
        <w:t xml:space="preserve"> as defined in section 95833</w:t>
      </w:r>
      <w:r w:rsidR="006150D8" w:rsidRPr="00B61FF1">
        <w:rPr>
          <w:rFonts w:ascii="Arial" w:hAnsi="Arial" w:cs="Arial"/>
          <w:sz w:val="24"/>
          <w:szCs w:val="24"/>
          <w:u w:val="single"/>
        </w:rPr>
        <w:t>, or a change in the existing alloc</w:t>
      </w:r>
      <w:r w:rsidR="00F942D8" w:rsidRPr="00B61FF1">
        <w:rPr>
          <w:rFonts w:ascii="Arial" w:hAnsi="Arial" w:cs="Arial"/>
          <w:sz w:val="24"/>
          <w:szCs w:val="24"/>
          <w:u w:val="single"/>
        </w:rPr>
        <w:t>ation of the holding limit among</w:t>
      </w:r>
      <w:r w:rsidR="006150D8" w:rsidRPr="00B61FF1">
        <w:rPr>
          <w:rFonts w:ascii="Arial" w:hAnsi="Arial" w:cs="Arial"/>
          <w:sz w:val="24"/>
          <w:szCs w:val="24"/>
          <w:u w:val="single"/>
        </w:rPr>
        <w:t xml:space="preserve"> associated entities</w:t>
      </w:r>
      <w:r w:rsidR="00CE415C" w:rsidRPr="00B61FF1">
        <w:rPr>
          <w:rFonts w:ascii="Arial" w:hAnsi="Arial" w:cs="Arial"/>
          <w:sz w:val="24"/>
          <w:szCs w:val="24"/>
          <w:u w:val="single"/>
        </w:rPr>
        <w:t>, if applicable;</w:t>
      </w:r>
    </w:p>
    <w:p w14:paraId="2AB3E1FC" w14:textId="6CA54A11" w:rsidR="002245B3" w:rsidRPr="00B61FF1" w:rsidRDefault="00612B13" w:rsidP="00612B13">
      <w:pPr>
        <w:spacing w:line="360" w:lineRule="auto"/>
        <w:ind w:left="1800" w:hanging="720"/>
        <w:rPr>
          <w:rFonts w:ascii="Arial" w:hAnsi="Arial" w:cs="Arial"/>
          <w:sz w:val="24"/>
          <w:szCs w:val="24"/>
        </w:rPr>
      </w:pPr>
      <w:r w:rsidRPr="00B61FF1">
        <w:rPr>
          <w:rFonts w:ascii="Arial" w:hAnsi="Arial" w:cs="Arial"/>
          <w:sz w:val="24"/>
          <w:szCs w:val="24"/>
          <w:u w:val="single"/>
        </w:rPr>
        <w:t>(</w:t>
      </w:r>
      <w:r w:rsidR="00CE415C" w:rsidRPr="00B61FF1">
        <w:rPr>
          <w:rFonts w:ascii="Arial" w:hAnsi="Arial" w:cs="Arial"/>
          <w:sz w:val="24"/>
          <w:szCs w:val="24"/>
          <w:u w:val="single"/>
        </w:rPr>
        <w:t>E</w:t>
      </w:r>
      <w:r w:rsidRPr="00B61FF1">
        <w:rPr>
          <w:rFonts w:ascii="Arial" w:hAnsi="Arial" w:cs="Arial"/>
          <w:sz w:val="24"/>
          <w:szCs w:val="24"/>
          <w:u w:val="single"/>
        </w:rPr>
        <w:t>)</w:t>
      </w:r>
      <w:r w:rsidR="00D77A04" w:rsidRPr="00B61FF1">
        <w:rPr>
          <w:rFonts w:ascii="Arial" w:hAnsi="Arial" w:cs="Arial"/>
          <w:strike/>
          <w:sz w:val="24"/>
          <w:szCs w:val="24"/>
        </w:rPr>
        <w:t>(C)</w:t>
      </w:r>
      <w:r w:rsidRPr="00B61FF1">
        <w:rPr>
          <w:rFonts w:ascii="Arial" w:hAnsi="Arial" w:cs="Arial"/>
          <w:sz w:val="24"/>
          <w:szCs w:val="24"/>
        </w:rPr>
        <w:tab/>
      </w:r>
      <w:r w:rsidR="002245B3" w:rsidRPr="00B61FF1">
        <w:rPr>
          <w:rFonts w:ascii="Arial" w:hAnsi="Arial" w:cs="Arial"/>
          <w:sz w:val="24"/>
          <w:szCs w:val="24"/>
        </w:rPr>
        <w:t>The identification of any previous or</w:t>
      </w:r>
      <w:r w:rsidR="007B30FD" w:rsidRPr="00B61FF1">
        <w:rPr>
          <w:rFonts w:ascii="Arial" w:hAnsi="Arial" w:cs="Arial"/>
          <w:sz w:val="24"/>
          <w:szCs w:val="24"/>
        </w:rPr>
        <w:t xml:space="preserve"> </w:t>
      </w:r>
      <w:r w:rsidR="007B30FD" w:rsidRPr="00B61FF1">
        <w:rPr>
          <w:rFonts w:ascii="Arial" w:hAnsi="Arial" w:cs="Arial"/>
          <w:sz w:val="24"/>
          <w:szCs w:val="24"/>
          <w:u w:val="single"/>
        </w:rPr>
        <w:t>ongoing</w:t>
      </w:r>
      <w:r w:rsidR="002245B3" w:rsidRPr="00B61FF1">
        <w:rPr>
          <w:rFonts w:ascii="Arial" w:hAnsi="Arial" w:cs="Arial"/>
          <w:sz w:val="24"/>
          <w:szCs w:val="24"/>
        </w:rPr>
        <w:t xml:space="preserve"> </w:t>
      </w:r>
      <w:r w:rsidR="002245B3" w:rsidRPr="00B61FF1">
        <w:rPr>
          <w:rFonts w:ascii="Arial" w:hAnsi="Arial" w:cs="Arial"/>
          <w:strike/>
          <w:sz w:val="24"/>
          <w:szCs w:val="24"/>
        </w:rPr>
        <w:t>pending</w:t>
      </w:r>
      <w:r w:rsidR="002245B3" w:rsidRPr="00B61FF1">
        <w:rPr>
          <w:rFonts w:ascii="Arial" w:hAnsi="Arial" w:cs="Arial"/>
          <w:sz w:val="24"/>
          <w:szCs w:val="24"/>
        </w:rPr>
        <w:t xml:space="preserve"> investigation with respect to any alleged violation of any rule, regulation, or law associated with any commodity</w:t>
      </w:r>
      <w:r w:rsidR="00480703" w:rsidRPr="00B61FF1">
        <w:rPr>
          <w:rFonts w:ascii="Arial" w:hAnsi="Arial" w:cs="Arial"/>
          <w:sz w:val="24"/>
          <w:szCs w:val="24"/>
        </w:rPr>
        <w:t>, securities, or financial</w:t>
      </w:r>
      <w:r w:rsidR="002245B3" w:rsidRPr="00B61FF1">
        <w:rPr>
          <w:rFonts w:ascii="Arial" w:hAnsi="Arial" w:cs="Arial"/>
          <w:sz w:val="24"/>
          <w:szCs w:val="24"/>
        </w:rPr>
        <w:t xml:space="preserve"> market</w:t>
      </w:r>
      <w:r w:rsidR="00CE415C" w:rsidRPr="00B61FF1">
        <w:rPr>
          <w:rFonts w:ascii="Arial" w:hAnsi="Arial" w:cs="Arial"/>
          <w:sz w:val="24"/>
          <w:szCs w:val="24"/>
          <w:u w:val="single"/>
        </w:rPr>
        <w:t>,</w:t>
      </w:r>
      <w:r w:rsidR="00CE415C" w:rsidRPr="00B61FF1">
        <w:rPr>
          <w:rFonts w:cs="Arial"/>
          <w:szCs w:val="24"/>
          <w:u w:val="single"/>
        </w:rPr>
        <w:t xml:space="preserve"> </w:t>
      </w:r>
      <w:r w:rsidR="00CE415C" w:rsidRPr="00B61FF1">
        <w:rPr>
          <w:rFonts w:ascii="Arial" w:hAnsi="Arial" w:cs="Arial"/>
          <w:sz w:val="24"/>
          <w:szCs w:val="24"/>
          <w:u w:val="single"/>
        </w:rPr>
        <w:t>including a change in the status of an ongoing investigation</w:t>
      </w:r>
      <w:r w:rsidR="00C27120" w:rsidRPr="00B61FF1">
        <w:rPr>
          <w:rFonts w:ascii="Arial" w:hAnsi="Arial" w:cs="Arial"/>
          <w:sz w:val="24"/>
          <w:szCs w:val="24"/>
        </w:rPr>
        <w:t>; and</w:t>
      </w:r>
    </w:p>
    <w:p w14:paraId="51F15717" w14:textId="77777777" w:rsidR="00E412E4" w:rsidRPr="00B61FF1" w:rsidRDefault="00BE1E1B" w:rsidP="006150D8">
      <w:pPr>
        <w:spacing w:line="360" w:lineRule="auto"/>
        <w:ind w:left="1800" w:hanging="720"/>
        <w:rPr>
          <w:rFonts w:ascii="Arial" w:hAnsi="Arial" w:cs="Arial"/>
          <w:sz w:val="24"/>
          <w:szCs w:val="24"/>
        </w:rPr>
      </w:pPr>
      <w:r w:rsidRPr="00B61FF1">
        <w:rPr>
          <w:rFonts w:ascii="Arial" w:hAnsi="Arial" w:cs="Arial"/>
          <w:sz w:val="24"/>
          <w:szCs w:val="24"/>
          <w:u w:val="single"/>
        </w:rPr>
        <w:t>(</w:t>
      </w:r>
      <w:r w:rsidR="00CE415C" w:rsidRPr="00B61FF1">
        <w:rPr>
          <w:rFonts w:ascii="Arial" w:hAnsi="Arial" w:cs="Arial"/>
          <w:sz w:val="24"/>
          <w:szCs w:val="24"/>
          <w:u w:val="single"/>
        </w:rPr>
        <w:t>F</w:t>
      </w:r>
      <w:r w:rsidR="00520B12" w:rsidRPr="00B61FF1">
        <w:rPr>
          <w:rFonts w:ascii="Arial" w:hAnsi="Arial" w:cs="Arial"/>
          <w:sz w:val="24"/>
          <w:szCs w:val="24"/>
          <w:u w:val="single"/>
        </w:rPr>
        <w:t>)</w:t>
      </w:r>
      <w:r w:rsidR="00D77A04" w:rsidRPr="00B61FF1">
        <w:rPr>
          <w:rFonts w:ascii="Arial" w:hAnsi="Arial" w:cs="Arial"/>
          <w:strike/>
          <w:sz w:val="24"/>
          <w:szCs w:val="24"/>
        </w:rPr>
        <w:t>(D)</w:t>
      </w:r>
      <w:r w:rsidR="00612B13" w:rsidRPr="00B61FF1">
        <w:rPr>
          <w:rFonts w:ascii="Arial" w:hAnsi="Arial" w:cs="Arial"/>
          <w:sz w:val="24"/>
          <w:szCs w:val="24"/>
        </w:rPr>
        <w:tab/>
      </w:r>
      <w:r w:rsidR="002245B3" w:rsidRPr="00B61FF1">
        <w:rPr>
          <w:rFonts w:ascii="Arial" w:hAnsi="Arial" w:cs="Arial"/>
          <w:sz w:val="24"/>
          <w:szCs w:val="24"/>
        </w:rPr>
        <w:t>The applicant’s holding account number.</w:t>
      </w:r>
    </w:p>
    <w:p w14:paraId="32A6DF54" w14:textId="338C4CDA" w:rsidR="00CE415C" w:rsidRPr="00B61FF1" w:rsidRDefault="00D76FA7" w:rsidP="00A45C35">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 xml:space="preserve">     </w:t>
      </w:r>
      <w:r w:rsidR="00A45C35" w:rsidRPr="00B61FF1">
        <w:rPr>
          <w:rFonts w:ascii="Arial" w:hAnsi="Arial" w:cs="Arial"/>
          <w:sz w:val="24"/>
          <w:szCs w:val="24"/>
        </w:rPr>
        <w:t xml:space="preserve"> </w:t>
      </w:r>
      <w:r w:rsidR="00A812DF" w:rsidRPr="00B61FF1">
        <w:rPr>
          <w:rFonts w:ascii="Arial" w:hAnsi="Arial" w:cs="Arial"/>
          <w:sz w:val="24"/>
          <w:szCs w:val="24"/>
          <w:u w:val="single"/>
        </w:rPr>
        <w:t>An entity with any changes to the auction application information listed in subsection 95912(d)(</w:t>
      </w:r>
      <w:r w:rsidR="00333434" w:rsidRPr="00B61FF1">
        <w:rPr>
          <w:rFonts w:ascii="Arial" w:hAnsi="Arial" w:cs="Arial"/>
          <w:sz w:val="24"/>
          <w:szCs w:val="24"/>
          <w:u w:val="single"/>
        </w:rPr>
        <w:t xml:space="preserve">4) 30 days </w:t>
      </w:r>
      <w:r w:rsidR="007B30FD" w:rsidRPr="00B61FF1">
        <w:rPr>
          <w:rFonts w:ascii="Arial" w:hAnsi="Arial" w:cs="Arial"/>
          <w:sz w:val="24"/>
          <w:szCs w:val="24"/>
          <w:u w:val="single"/>
        </w:rPr>
        <w:t>prior to</w:t>
      </w:r>
      <w:r w:rsidR="00333434" w:rsidRPr="00B61FF1">
        <w:rPr>
          <w:rFonts w:ascii="Arial" w:hAnsi="Arial" w:cs="Arial"/>
          <w:sz w:val="24"/>
          <w:szCs w:val="24"/>
          <w:u w:val="single"/>
        </w:rPr>
        <w:t xml:space="preserve"> an auction, </w:t>
      </w:r>
      <w:r w:rsidR="00A812DF" w:rsidRPr="00B61FF1">
        <w:rPr>
          <w:rFonts w:ascii="Arial" w:hAnsi="Arial" w:cs="Arial"/>
          <w:sz w:val="24"/>
          <w:szCs w:val="24"/>
          <w:u w:val="single"/>
        </w:rPr>
        <w:t xml:space="preserve">or an entity </w:t>
      </w:r>
      <w:r w:rsidR="00AF78F9" w:rsidRPr="00B61FF1">
        <w:rPr>
          <w:rFonts w:ascii="Arial" w:hAnsi="Arial" w:cs="Arial"/>
          <w:sz w:val="24"/>
          <w:szCs w:val="24"/>
          <w:u w:val="single"/>
        </w:rPr>
        <w:t>whose</w:t>
      </w:r>
      <w:r w:rsidR="005D0598" w:rsidRPr="00B61FF1">
        <w:rPr>
          <w:rFonts w:ascii="Arial" w:hAnsi="Arial" w:cs="Arial"/>
          <w:sz w:val="24"/>
          <w:szCs w:val="24"/>
          <w:u w:val="single"/>
        </w:rPr>
        <w:t xml:space="preserve"> auction application</w:t>
      </w:r>
      <w:r w:rsidR="00A812DF" w:rsidRPr="00B61FF1">
        <w:rPr>
          <w:rFonts w:ascii="Arial" w:hAnsi="Arial" w:cs="Arial"/>
          <w:sz w:val="24"/>
          <w:szCs w:val="24"/>
          <w:u w:val="single"/>
        </w:rPr>
        <w:t xml:space="preserve"> information will c</w:t>
      </w:r>
      <w:r w:rsidR="00333434" w:rsidRPr="00B61FF1">
        <w:rPr>
          <w:rFonts w:ascii="Arial" w:hAnsi="Arial" w:cs="Arial"/>
          <w:sz w:val="24"/>
          <w:szCs w:val="24"/>
          <w:u w:val="single"/>
        </w:rPr>
        <w:t>hange 15 days after an auction,</w:t>
      </w:r>
      <w:r w:rsidR="00A812DF" w:rsidRPr="00B61FF1">
        <w:rPr>
          <w:rFonts w:ascii="Arial" w:hAnsi="Arial" w:cs="Arial"/>
          <w:sz w:val="24"/>
          <w:szCs w:val="24"/>
          <w:u w:val="single"/>
        </w:rPr>
        <w:t xml:space="preserve"> </w:t>
      </w:r>
      <w:r w:rsidR="00103C04" w:rsidRPr="00B61FF1">
        <w:rPr>
          <w:rFonts w:ascii="Arial" w:hAnsi="Arial" w:cs="Arial"/>
          <w:sz w:val="24"/>
          <w:szCs w:val="24"/>
          <w:u w:val="single"/>
        </w:rPr>
        <w:t>will</w:t>
      </w:r>
      <w:r w:rsidR="00A812DF" w:rsidRPr="00B61FF1">
        <w:rPr>
          <w:rFonts w:ascii="Arial" w:hAnsi="Arial" w:cs="Arial"/>
          <w:sz w:val="24"/>
          <w:szCs w:val="24"/>
          <w:u w:val="single"/>
        </w:rPr>
        <w:t xml:space="preserve"> be denied participation in the auction.</w:t>
      </w:r>
    </w:p>
    <w:p w14:paraId="46D2686A" w14:textId="77777777" w:rsidR="00480703" w:rsidRPr="00B61FF1" w:rsidRDefault="00D76FA7" w:rsidP="00A45C35">
      <w:pPr>
        <w:spacing w:line="360" w:lineRule="auto"/>
        <w:ind w:left="1080" w:hanging="720"/>
        <w:rPr>
          <w:rFonts w:ascii="Arial" w:hAnsi="Arial" w:cs="Arial"/>
          <w:sz w:val="24"/>
          <w:szCs w:val="24"/>
        </w:rPr>
      </w:pPr>
      <w:r w:rsidRPr="00B61FF1">
        <w:rPr>
          <w:rFonts w:ascii="Arial" w:hAnsi="Arial" w:cs="Arial"/>
          <w:sz w:val="24"/>
          <w:szCs w:val="24"/>
          <w:u w:val="single"/>
        </w:rPr>
        <w:t>(6)</w:t>
      </w:r>
      <w:r w:rsidRPr="00B61FF1">
        <w:rPr>
          <w:rFonts w:ascii="Arial" w:hAnsi="Arial" w:cs="Arial"/>
          <w:strike/>
          <w:sz w:val="24"/>
          <w:szCs w:val="24"/>
        </w:rPr>
        <w:t>(5)</w:t>
      </w:r>
      <w:r w:rsidRPr="00B61FF1">
        <w:rPr>
          <w:rFonts w:ascii="Arial" w:hAnsi="Arial" w:cs="Arial"/>
          <w:sz w:val="24"/>
          <w:szCs w:val="24"/>
        </w:rPr>
        <w:t xml:space="preserve"> </w:t>
      </w:r>
      <w:r w:rsidR="00A45C35" w:rsidRPr="00B61FF1">
        <w:rPr>
          <w:rFonts w:ascii="Arial" w:hAnsi="Arial" w:cs="Arial"/>
          <w:sz w:val="24"/>
          <w:szCs w:val="24"/>
        </w:rPr>
        <w:t xml:space="preserve"> </w:t>
      </w:r>
      <w:r w:rsidR="00480703" w:rsidRPr="00B61FF1">
        <w:rPr>
          <w:rFonts w:ascii="Arial" w:hAnsi="Arial" w:cs="Arial"/>
          <w:sz w:val="24"/>
          <w:szCs w:val="24"/>
        </w:rPr>
        <w:t>Prior to participating in an auction, any primary or alternate account representative that will be submitting bids on behalf of entities eligible to participate in</w:t>
      </w:r>
      <w:r w:rsidR="00567C42" w:rsidRPr="00B61FF1">
        <w:rPr>
          <w:rFonts w:ascii="Arial" w:hAnsi="Arial" w:cs="Arial"/>
          <w:sz w:val="24"/>
          <w:szCs w:val="24"/>
        </w:rPr>
        <w:t xml:space="preserve"> </w:t>
      </w:r>
      <w:r w:rsidR="00567C42" w:rsidRPr="00B61FF1">
        <w:rPr>
          <w:rFonts w:ascii="Arial" w:hAnsi="Arial" w:cs="Arial"/>
          <w:sz w:val="24"/>
          <w:szCs w:val="24"/>
          <w:u w:val="single"/>
        </w:rPr>
        <w:t>an auction</w:t>
      </w:r>
      <w:r w:rsidR="00480703" w:rsidRPr="00B61FF1">
        <w:rPr>
          <w:rFonts w:ascii="Arial" w:hAnsi="Arial" w:cs="Arial"/>
          <w:sz w:val="24"/>
          <w:szCs w:val="24"/>
        </w:rPr>
        <w:t xml:space="preserve"> </w:t>
      </w:r>
      <w:r w:rsidR="00480703" w:rsidRPr="00B61FF1">
        <w:rPr>
          <w:rFonts w:ascii="Arial" w:hAnsi="Arial" w:cs="Arial"/>
          <w:strike/>
          <w:sz w:val="24"/>
          <w:szCs w:val="24"/>
        </w:rPr>
        <w:t xml:space="preserve">Reserve sales </w:t>
      </w:r>
      <w:r w:rsidR="00480703" w:rsidRPr="00B61FF1">
        <w:rPr>
          <w:rFonts w:ascii="Arial" w:hAnsi="Arial" w:cs="Arial"/>
          <w:sz w:val="24"/>
          <w:szCs w:val="24"/>
        </w:rPr>
        <w:t>must have already:</w:t>
      </w:r>
    </w:p>
    <w:p w14:paraId="10FC8E9D" w14:textId="77777777" w:rsidR="00480703" w:rsidRPr="00B61FF1" w:rsidRDefault="006E20AD" w:rsidP="00FE6A4C">
      <w:pPr>
        <w:pStyle w:val="ListParagraph"/>
        <w:numPr>
          <w:ilvl w:val="2"/>
          <w:numId w:val="47"/>
        </w:numPr>
        <w:spacing w:line="360" w:lineRule="auto"/>
        <w:ind w:left="1800" w:hanging="720"/>
        <w:rPr>
          <w:rFonts w:ascii="Arial" w:hAnsi="Arial" w:cs="Arial"/>
          <w:sz w:val="24"/>
          <w:szCs w:val="24"/>
        </w:rPr>
      </w:pPr>
      <w:r w:rsidRPr="00B61FF1">
        <w:rPr>
          <w:rFonts w:ascii="Arial" w:hAnsi="Arial" w:cs="Arial"/>
          <w:sz w:val="24"/>
          <w:szCs w:val="24"/>
        </w:rPr>
        <w:t>Complied with the Know-Your-Customer requirements of section 95834; and</w:t>
      </w:r>
    </w:p>
    <w:p w14:paraId="43F7EA49" w14:textId="77777777" w:rsidR="006E20AD" w:rsidRPr="00B61FF1" w:rsidRDefault="006E20AD" w:rsidP="00FE6A4C">
      <w:pPr>
        <w:pStyle w:val="ListParagraph"/>
        <w:numPr>
          <w:ilvl w:val="2"/>
          <w:numId w:val="47"/>
        </w:numPr>
        <w:spacing w:line="360" w:lineRule="auto"/>
        <w:ind w:left="1800" w:hanging="720"/>
        <w:rPr>
          <w:rFonts w:ascii="Arial" w:hAnsi="Arial" w:cs="Arial"/>
          <w:sz w:val="24"/>
          <w:szCs w:val="24"/>
        </w:rPr>
      </w:pPr>
      <w:r w:rsidRPr="00B61FF1">
        <w:rPr>
          <w:rFonts w:ascii="Arial" w:hAnsi="Arial" w:cs="Arial"/>
          <w:sz w:val="24"/>
          <w:szCs w:val="24"/>
        </w:rPr>
        <w:t>Submitted the additional information required by the financial services administrator contained in Appendix A of this subarticle.</w:t>
      </w:r>
    </w:p>
    <w:p w14:paraId="18E3D6C7" w14:textId="77777777" w:rsidR="002245B3" w:rsidRPr="00B61FF1" w:rsidRDefault="00480703" w:rsidP="00134AB0">
      <w:pPr>
        <w:spacing w:line="360" w:lineRule="auto"/>
        <w:ind w:left="720" w:hanging="720"/>
        <w:rPr>
          <w:rFonts w:ascii="Arial" w:hAnsi="Arial" w:cs="Arial"/>
          <w:sz w:val="24"/>
          <w:szCs w:val="24"/>
        </w:rPr>
      </w:pPr>
      <w:r w:rsidRPr="00B61FF1">
        <w:rPr>
          <w:rFonts w:ascii="Arial" w:hAnsi="Arial" w:cs="Arial"/>
          <w:sz w:val="24"/>
          <w:szCs w:val="24"/>
        </w:rPr>
        <w:t xml:space="preserve"> </w:t>
      </w:r>
      <w:r w:rsidR="00134AB0" w:rsidRPr="00B61FF1">
        <w:rPr>
          <w:rFonts w:ascii="Arial" w:hAnsi="Arial" w:cs="Arial"/>
          <w:sz w:val="24"/>
          <w:szCs w:val="24"/>
        </w:rPr>
        <w:t>(</w:t>
      </w:r>
      <w:r w:rsidR="006E20AD" w:rsidRPr="00B61FF1">
        <w:rPr>
          <w:rFonts w:ascii="Arial" w:hAnsi="Arial" w:cs="Arial"/>
          <w:sz w:val="24"/>
          <w:szCs w:val="24"/>
        </w:rPr>
        <w:t>e</w:t>
      </w:r>
      <w:r w:rsidR="00134AB0" w:rsidRPr="00B61FF1">
        <w:rPr>
          <w:rFonts w:ascii="Arial" w:hAnsi="Arial" w:cs="Arial"/>
          <w:sz w:val="24"/>
          <w:szCs w:val="24"/>
        </w:rPr>
        <w:t>)</w:t>
      </w:r>
      <w:r w:rsidR="00134AB0" w:rsidRPr="00B61FF1">
        <w:rPr>
          <w:rFonts w:ascii="Arial" w:hAnsi="Arial" w:cs="Arial"/>
          <w:sz w:val="24"/>
          <w:szCs w:val="24"/>
        </w:rPr>
        <w:tab/>
      </w:r>
      <w:r w:rsidR="00093AE2" w:rsidRPr="00B61FF1">
        <w:rPr>
          <w:rFonts w:ascii="Arial" w:hAnsi="Arial" w:cs="Arial"/>
          <w:sz w:val="24"/>
          <w:szCs w:val="24"/>
        </w:rPr>
        <w:t xml:space="preserve">Maintenance and Modification of </w:t>
      </w:r>
      <w:r w:rsidR="00C27120" w:rsidRPr="00B61FF1">
        <w:rPr>
          <w:rFonts w:ascii="Arial" w:hAnsi="Arial" w:cs="Arial"/>
          <w:sz w:val="24"/>
          <w:szCs w:val="24"/>
        </w:rPr>
        <w:t xml:space="preserve">Auction </w:t>
      </w:r>
      <w:r w:rsidR="006E20AD" w:rsidRPr="00B61FF1">
        <w:rPr>
          <w:rFonts w:ascii="Arial" w:hAnsi="Arial" w:cs="Arial"/>
          <w:sz w:val="24"/>
          <w:szCs w:val="24"/>
        </w:rPr>
        <w:t>Participation Approval</w:t>
      </w:r>
      <w:r w:rsidR="002245B3" w:rsidRPr="00B61FF1">
        <w:rPr>
          <w:rFonts w:ascii="Arial" w:hAnsi="Arial" w:cs="Arial"/>
          <w:sz w:val="24"/>
          <w:szCs w:val="24"/>
        </w:rPr>
        <w:t>.</w:t>
      </w:r>
    </w:p>
    <w:p w14:paraId="77B3451D" w14:textId="77777777" w:rsidR="00093AE2" w:rsidRPr="00B61FF1" w:rsidRDefault="00093AE2" w:rsidP="00FE6A4C">
      <w:pPr>
        <w:numPr>
          <w:ilvl w:val="1"/>
          <w:numId w:val="34"/>
        </w:numPr>
        <w:spacing w:line="360" w:lineRule="auto"/>
        <w:rPr>
          <w:rFonts w:ascii="Arial" w:hAnsi="Arial" w:cs="Arial"/>
          <w:sz w:val="24"/>
          <w:szCs w:val="24"/>
        </w:rPr>
      </w:pPr>
      <w:r w:rsidRPr="00B61FF1">
        <w:rPr>
          <w:rFonts w:ascii="Arial" w:hAnsi="Arial" w:cs="Arial"/>
          <w:sz w:val="24"/>
          <w:szCs w:val="24"/>
        </w:rPr>
        <w:t xml:space="preserve">Once the Executive Officer has approved an </w:t>
      </w:r>
      <w:r w:rsidR="00C27120" w:rsidRPr="00B61FF1">
        <w:rPr>
          <w:rFonts w:ascii="Arial" w:hAnsi="Arial" w:cs="Arial"/>
          <w:sz w:val="24"/>
          <w:szCs w:val="24"/>
        </w:rPr>
        <w:t>entity’s auction</w:t>
      </w:r>
      <w:r w:rsidRPr="00B61FF1">
        <w:rPr>
          <w:rFonts w:ascii="Arial" w:hAnsi="Arial" w:cs="Arial"/>
          <w:sz w:val="24"/>
          <w:szCs w:val="24"/>
        </w:rPr>
        <w:t xml:space="preserve"> </w:t>
      </w:r>
      <w:r w:rsidR="006E20AD" w:rsidRPr="00B61FF1">
        <w:rPr>
          <w:rFonts w:ascii="Arial" w:hAnsi="Arial" w:cs="Arial"/>
          <w:sz w:val="24"/>
          <w:szCs w:val="24"/>
        </w:rPr>
        <w:t>participant application</w:t>
      </w:r>
      <w:r w:rsidRPr="00B61FF1">
        <w:rPr>
          <w:rFonts w:ascii="Arial" w:hAnsi="Arial" w:cs="Arial"/>
          <w:sz w:val="24"/>
          <w:szCs w:val="24"/>
        </w:rPr>
        <w:t>, the entity need not complete another application for subsequent auctions unless there is a material change to the information contained in the</w:t>
      </w:r>
      <w:r w:rsidR="006E20AD" w:rsidRPr="00B61FF1">
        <w:rPr>
          <w:rFonts w:ascii="Arial" w:hAnsi="Arial" w:cs="Arial"/>
          <w:sz w:val="24"/>
          <w:szCs w:val="24"/>
        </w:rPr>
        <w:t xml:space="preserve"> approved</w:t>
      </w:r>
      <w:r w:rsidRPr="00B61FF1">
        <w:rPr>
          <w:rFonts w:ascii="Arial" w:hAnsi="Arial" w:cs="Arial"/>
          <w:sz w:val="24"/>
          <w:szCs w:val="24"/>
        </w:rPr>
        <w:t xml:space="preserve"> application</w:t>
      </w:r>
      <w:r w:rsidR="006E20AD" w:rsidRPr="00B61FF1">
        <w:rPr>
          <w:rFonts w:ascii="Arial" w:hAnsi="Arial" w:cs="Arial"/>
          <w:sz w:val="24"/>
          <w:szCs w:val="24"/>
        </w:rPr>
        <w:t>, there is a material change in the entity’s Cap-and-Trade Program registration pursuant to section 95830,</w:t>
      </w:r>
      <w:r w:rsidRPr="00B61FF1">
        <w:rPr>
          <w:rFonts w:ascii="Arial" w:hAnsi="Arial" w:cs="Arial"/>
          <w:sz w:val="24"/>
          <w:szCs w:val="24"/>
        </w:rPr>
        <w:t xml:space="preserve"> or the Executive Officer has made a determination restricting an entity’s auction participation pursuant to section 95914.</w:t>
      </w:r>
    </w:p>
    <w:p w14:paraId="336F6BE9" w14:textId="77777777" w:rsidR="00093AE2" w:rsidRPr="00B61FF1" w:rsidRDefault="00093AE2" w:rsidP="00FE6A4C">
      <w:pPr>
        <w:numPr>
          <w:ilvl w:val="1"/>
          <w:numId w:val="34"/>
        </w:numPr>
        <w:spacing w:line="360" w:lineRule="auto"/>
        <w:rPr>
          <w:rFonts w:ascii="Arial" w:hAnsi="Arial" w:cs="Arial"/>
          <w:sz w:val="24"/>
          <w:szCs w:val="24"/>
        </w:rPr>
      </w:pPr>
      <w:r w:rsidRPr="00B61FF1">
        <w:rPr>
          <w:rFonts w:ascii="Arial" w:hAnsi="Arial" w:cs="Arial"/>
          <w:sz w:val="24"/>
          <w:szCs w:val="24"/>
        </w:rPr>
        <w:t xml:space="preserve">An entity approved for auction participation must inform the </w:t>
      </w:r>
      <w:r w:rsidR="006E20AD" w:rsidRPr="00B61FF1">
        <w:rPr>
          <w:rFonts w:ascii="Arial" w:hAnsi="Arial" w:cs="Arial"/>
          <w:sz w:val="24"/>
          <w:szCs w:val="24"/>
        </w:rPr>
        <w:t>A</w:t>
      </w:r>
      <w:r w:rsidRPr="00B61FF1">
        <w:rPr>
          <w:rFonts w:ascii="Arial" w:hAnsi="Arial" w:cs="Arial"/>
          <w:sz w:val="24"/>
          <w:szCs w:val="24"/>
        </w:rPr>
        <w:t xml:space="preserve">uction </w:t>
      </w:r>
      <w:r w:rsidR="006E20AD" w:rsidRPr="00B61FF1">
        <w:rPr>
          <w:rFonts w:ascii="Arial" w:hAnsi="Arial" w:cs="Arial"/>
          <w:sz w:val="24"/>
          <w:szCs w:val="24"/>
        </w:rPr>
        <w:t>Administrator</w:t>
      </w:r>
      <w:r w:rsidRPr="00B61FF1">
        <w:rPr>
          <w:rFonts w:ascii="Arial" w:hAnsi="Arial" w:cs="Arial"/>
          <w:sz w:val="24"/>
          <w:szCs w:val="24"/>
        </w:rPr>
        <w:t xml:space="preserve"> at least 30 days prior to an auction when reporting a change to the information disclosed, otherwise the entity may not participate in that auction.</w:t>
      </w:r>
      <w:r w:rsidR="00A812DF" w:rsidRPr="00B61FF1">
        <w:rPr>
          <w:rFonts w:ascii="Arial" w:hAnsi="Arial" w:cs="Arial"/>
          <w:sz w:val="24"/>
          <w:szCs w:val="24"/>
          <w:u w:val="single"/>
        </w:rPr>
        <w:t xml:space="preserve">  The change should be reported by 5 p.m. Pacific Standard Time (or Pacific Daylight Time, when in effect) on the 30</w:t>
      </w:r>
      <w:r w:rsidR="00A812DF" w:rsidRPr="00B61FF1">
        <w:rPr>
          <w:rFonts w:ascii="Arial" w:hAnsi="Arial" w:cs="Arial"/>
          <w:sz w:val="24"/>
          <w:szCs w:val="24"/>
          <w:u w:val="single"/>
          <w:vertAlign w:val="superscript"/>
        </w:rPr>
        <w:t>th</w:t>
      </w:r>
      <w:r w:rsidR="00A812DF" w:rsidRPr="00B61FF1">
        <w:rPr>
          <w:rFonts w:ascii="Arial" w:hAnsi="Arial" w:cs="Arial"/>
          <w:sz w:val="24"/>
          <w:szCs w:val="24"/>
          <w:u w:val="single"/>
        </w:rPr>
        <w:t xml:space="preserve"> day before an auction.</w:t>
      </w:r>
      <w:r w:rsidR="00A812DF" w:rsidRPr="00B61FF1">
        <w:rPr>
          <w:rFonts w:ascii="Arial" w:hAnsi="Arial" w:cs="Arial"/>
          <w:sz w:val="24"/>
          <w:szCs w:val="24"/>
        </w:rPr>
        <w:t xml:space="preserve">  </w:t>
      </w:r>
    </w:p>
    <w:p w14:paraId="0C5C1A1A" w14:textId="4B38E95B" w:rsidR="00A812DF" w:rsidRPr="00B61FF1" w:rsidRDefault="00A812DF" w:rsidP="00103C04">
      <w:pPr>
        <w:tabs>
          <w:tab w:val="left" w:pos="450"/>
          <w:tab w:val="left" w:pos="720"/>
        </w:tabs>
        <w:spacing w:line="360" w:lineRule="auto"/>
        <w:ind w:left="72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ab/>
      </w:r>
      <w:r w:rsidR="00103C04" w:rsidRPr="00B61FF1">
        <w:rPr>
          <w:rFonts w:ascii="Arial" w:hAnsi="Arial" w:cs="Arial"/>
          <w:sz w:val="24"/>
          <w:szCs w:val="24"/>
        </w:rPr>
        <w:tab/>
      </w:r>
      <w:r w:rsidRPr="00B61FF1">
        <w:rPr>
          <w:rFonts w:ascii="Arial" w:hAnsi="Arial" w:cs="Arial"/>
          <w:sz w:val="24"/>
          <w:szCs w:val="24"/>
          <w:u w:val="single"/>
        </w:rPr>
        <w:t>Auction Intent to Bid Notification Requirements</w:t>
      </w:r>
      <w:r w:rsidR="00103C04" w:rsidRPr="00B61FF1">
        <w:rPr>
          <w:rFonts w:ascii="Arial" w:hAnsi="Arial" w:cs="Arial"/>
          <w:sz w:val="24"/>
          <w:szCs w:val="24"/>
          <w:u w:val="single"/>
        </w:rPr>
        <w:t xml:space="preserve">.  </w:t>
      </w:r>
      <w:r w:rsidRPr="00B61FF1">
        <w:rPr>
          <w:rFonts w:ascii="Arial" w:hAnsi="Arial" w:cs="Arial"/>
          <w:sz w:val="24"/>
          <w:szCs w:val="24"/>
          <w:u w:val="single"/>
        </w:rPr>
        <w:t xml:space="preserve">An entity that intends to participate in an auction must inform the Auction Administrator at least 30 days prior to an auction of </w:t>
      </w:r>
      <w:r w:rsidR="00103C04" w:rsidRPr="00B61FF1">
        <w:rPr>
          <w:rFonts w:ascii="Arial" w:hAnsi="Arial" w:cs="Arial"/>
          <w:sz w:val="24"/>
          <w:szCs w:val="24"/>
          <w:u w:val="single"/>
        </w:rPr>
        <w:t>its</w:t>
      </w:r>
      <w:r w:rsidRPr="00B61FF1">
        <w:rPr>
          <w:rFonts w:ascii="Arial" w:hAnsi="Arial" w:cs="Arial"/>
          <w:sz w:val="24"/>
          <w:szCs w:val="24"/>
          <w:u w:val="single"/>
        </w:rPr>
        <w:t xml:space="preserve"> intent to bid in an auction, otherwise the entity may not participate in that auction.</w:t>
      </w:r>
    </w:p>
    <w:p w14:paraId="44620A2C" w14:textId="77777777" w:rsidR="001B04EF" w:rsidRPr="00B61FF1" w:rsidRDefault="001B04EF" w:rsidP="006E20AD">
      <w:pPr>
        <w:spacing w:line="360" w:lineRule="auto"/>
        <w:ind w:left="720" w:hanging="720"/>
        <w:rPr>
          <w:rFonts w:ascii="Arial" w:hAnsi="Arial" w:cs="Arial"/>
          <w:sz w:val="24"/>
          <w:szCs w:val="24"/>
        </w:rPr>
      </w:pPr>
      <w:r w:rsidRPr="00B61FF1">
        <w:rPr>
          <w:rFonts w:ascii="Arial" w:hAnsi="Arial" w:cs="Arial"/>
          <w:sz w:val="24"/>
          <w:szCs w:val="24"/>
          <w:u w:val="single"/>
        </w:rPr>
        <w:t>(</w:t>
      </w:r>
      <w:r w:rsidR="00520E5C" w:rsidRPr="00B61FF1">
        <w:rPr>
          <w:rFonts w:ascii="Arial" w:hAnsi="Arial" w:cs="Arial"/>
          <w:strike/>
          <w:sz w:val="24"/>
          <w:szCs w:val="24"/>
        </w:rPr>
        <w:t>f</w:t>
      </w:r>
      <w:r w:rsidR="00A812DF" w:rsidRPr="00B61FF1">
        <w:rPr>
          <w:rFonts w:ascii="Arial" w:hAnsi="Arial" w:cs="Arial"/>
          <w:sz w:val="24"/>
          <w:szCs w:val="24"/>
          <w:u w:val="single"/>
        </w:rPr>
        <w:t>g</w:t>
      </w:r>
      <w:r w:rsidRPr="00B61FF1">
        <w:rPr>
          <w:rFonts w:ascii="Arial" w:hAnsi="Arial" w:cs="Arial"/>
          <w:sz w:val="24"/>
          <w:szCs w:val="24"/>
          <w:u w:val="single"/>
        </w:rPr>
        <w:t>)</w:t>
      </w:r>
      <w:r w:rsidRPr="00B61FF1">
        <w:rPr>
          <w:rFonts w:ascii="Arial" w:hAnsi="Arial" w:cs="Arial"/>
          <w:sz w:val="24"/>
          <w:szCs w:val="24"/>
        </w:rPr>
        <w:tab/>
        <w:t>A</w:t>
      </w:r>
      <w:r w:rsidR="006E20AD" w:rsidRPr="00B61FF1">
        <w:rPr>
          <w:rFonts w:ascii="Arial" w:hAnsi="Arial" w:cs="Arial"/>
          <w:sz w:val="24"/>
          <w:szCs w:val="24"/>
        </w:rPr>
        <w:t>n</w:t>
      </w:r>
      <w:r w:rsidRPr="00B61FF1">
        <w:rPr>
          <w:rFonts w:ascii="Arial" w:hAnsi="Arial" w:cs="Arial"/>
          <w:sz w:val="24"/>
          <w:szCs w:val="24"/>
        </w:rPr>
        <w:t xml:space="preserve"> entity</w:t>
      </w:r>
      <w:r w:rsidR="006E20AD" w:rsidRPr="00B61FF1">
        <w:rPr>
          <w:rFonts w:ascii="Arial" w:hAnsi="Arial" w:cs="Arial"/>
          <w:sz w:val="24"/>
          <w:szCs w:val="24"/>
        </w:rPr>
        <w:t xml:space="preserve"> approved for auction participation</w:t>
      </w:r>
      <w:r w:rsidRPr="00B61FF1">
        <w:rPr>
          <w:rFonts w:ascii="Arial" w:hAnsi="Arial" w:cs="Arial"/>
          <w:sz w:val="24"/>
          <w:szCs w:val="24"/>
        </w:rPr>
        <w:t xml:space="preserve"> may not comm</w:t>
      </w:r>
      <w:r w:rsidR="006E20AD" w:rsidRPr="00B61FF1">
        <w:rPr>
          <w:rFonts w:ascii="Arial" w:hAnsi="Arial" w:cs="Arial"/>
          <w:sz w:val="24"/>
          <w:szCs w:val="24"/>
        </w:rPr>
        <w:t xml:space="preserve">unicate information on auction </w:t>
      </w:r>
      <w:r w:rsidRPr="00B61FF1">
        <w:rPr>
          <w:rFonts w:ascii="Arial" w:hAnsi="Arial" w:cs="Arial"/>
          <w:sz w:val="24"/>
          <w:szCs w:val="24"/>
        </w:rPr>
        <w:t xml:space="preserve">participation with any other entity that is not part of an association disclosed pursuant to section 95914, except as requested by the </w:t>
      </w:r>
      <w:r w:rsidR="006E20AD" w:rsidRPr="00B61FF1">
        <w:rPr>
          <w:rFonts w:ascii="Arial" w:hAnsi="Arial" w:cs="Arial"/>
          <w:sz w:val="24"/>
          <w:szCs w:val="24"/>
        </w:rPr>
        <w:t>A</w:t>
      </w:r>
      <w:r w:rsidRPr="00B61FF1">
        <w:rPr>
          <w:rFonts w:ascii="Arial" w:hAnsi="Arial" w:cs="Arial"/>
          <w:sz w:val="24"/>
          <w:szCs w:val="24"/>
        </w:rPr>
        <w:t xml:space="preserve">uction </w:t>
      </w:r>
      <w:r w:rsidR="006E20AD" w:rsidRPr="00B61FF1">
        <w:rPr>
          <w:rFonts w:ascii="Arial" w:hAnsi="Arial" w:cs="Arial"/>
          <w:sz w:val="24"/>
          <w:szCs w:val="24"/>
        </w:rPr>
        <w:t>Administrator</w:t>
      </w:r>
      <w:r w:rsidRPr="00B61FF1">
        <w:rPr>
          <w:rFonts w:ascii="Arial" w:hAnsi="Arial" w:cs="Arial"/>
          <w:sz w:val="24"/>
          <w:szCs w:val="24"/>
        </w:rPr>
        <w:t xml:space="preserve"> to remediate an auction application. </w:t>
      </w:r>
    </w:p>
    <w:p w14:paraId="002D12B4" w14:textId="77777777" w:rsidR="001B04EF" w:rsidRPr="00B61FF1" w:rsidRDefault="001B04EF" w:rsidP="001B04EF">
      <w:pPr>
        <w:spacing w:line="360" w:lineRule="auto"/>
        <w:ind w:left="720" w:hanging="720"/>
        <w:rPr>
          <w:rFonts w:ascii="Arial" w:hAnsi="Arial" w:cs="Arial"/>
          <w:sz w:val="24"/>
          <w:szCs w:val="24"/>
        </w:rPr>
      </w:pPr>
      <w:r w:rsidRPr="00B61FF1">
        <w:rPr>
          <w:rFonts w:ascii="Arial" w:hAnsi="Arial" w:cs="Arial"/>
          <w:sz w:val="24"/>
          <w:szCs w:val="24"/>
          <w:u w:val="single"/>
        </w:rPr>
        <w:t>(</w:t>
      </w:r>
      <w:r w:rsidR="00520E5C" w:rsidRPr="00B61FF1">
        <w:rPr>
          <w:rFonts w:ascii="Arial" w:hAnsi="Arial" w:cs="Arial"/>
          <w:strike/>
          <w:sz w:val="24"/>
          <w:szCs w:val="24"/>
        </w:rPr>
        <w:t>g</w:t>
      </w:r>
      <w:r w:rsidR="00A812DF" w:rsidRPr="00B61FF1">
        <w:rPr>
          <w:rFonts w:ascii="Arial" w:hAnsi="Arial" w:cs="Arial"/>
          <w:sz w:val="24"/>
          <w:szCs w:val="24"/>
          <w:u w:val="single"/>
        </w:rPr>
        <w:t>h</w:t>
      </w:r>
      <w:r w:rsidRPr="00B61FF1">
        <w:rPr>
          <w:rFonts w:ascii="Arial" w:hAnsi="Arial" w:cs="Arial"/>
          <w:sz w:val="24"/>
          <w:szCs w:val="24"/>
          <w:u w:val="single"/>
        </w:rPr>
        <w:t>)</w:t>
      </w:r>
      <w:r w:rsidRPr="00B61FF1">
        <w:rPr>
          <w:rFonts w:ascii="Arial" w:hAnsi="Arial" w:cs="Arial"/>
          <w:sz w:val="24"/>
          <w:szCs w:val="24"/>
        </w:rPr>
        <w:tab/>
        <w:t>Protection of Confidential Information.</w:t>
      </w:r>
      <w:r w:rsidR="006E20AD" w:rsidRPr="00B61FF1">
        <w:rPr>
          <w:rFonts w:ascii="Arial" w:hAnsi="Arial" w:cs="Arial"/>
          <w:sz w:val="24"/>
          <w:szCs w:val="24"/>
        </w:rPr>
        <w:t xml:space="preserve">  To the extent permitted by state law, the Executive Officer, the Auction Administrator, and the financial services administrator will treat the information contained in the auction application and not listed for release pursuant to section 95912(</w:t>
      </w:r>
      <w:r w:rsidR="006E20AD" w:rsidRPr="00B61FF1">
        <w:rPr>
          <w:rFonts w:ascii="Arial" w:hAnsi="Arial" w:cs="Arial"/>
          <w:strike/>
          <w:sz w:val="24"/>
          <w:szCs w:val="24"/>
        </w:rPr>
        <w:t>j</w:t>
      </w:r>
      <w:r w:rsidR="00AF78F9" w:rsidRPr="00B61FF1">
        <w:rPr>
          <w:rFonts w:ascii="Arial" w:hAnsi="Arial" w:cs="Arial"/>
          <w:sz w:val="24"/>
          <w:szCs w:val="24"/>
          <w:u w:val="single"/>
        </w:rPr>
        <w:t>k</w:t>
      </w:r>
      <w:r w:rsidR="006E20AD" w:rsidRPr="00B61FF1">
        <w:rPr>
          <w:rFonts w:ascii="Arial" w:hAnsi="Arial" w:cs="Arial"/>
          <w:sz w:val="24"/>
          <w:szCs w:val="24"/>
        </w:rPr>
        <w:t>)(5) as confidential business information.</w:t>
      </w:r>
    </w:p>
    <w:p w14:paraId="5C333943" w14:textId="77777777" w:rsidR="002245B3" w:rsidRPr="00B61FF1" w:rsidRDefault="00134AB0" w:rsidP="00134AB0">
      <w:pPr>
        <w:spacing w:line="360" w:lineRule="auto"/>
        <w:ind w:left="720" w:hanging="720"/>
        <w:rPr>
          <w:rFonts w:ascii="Arial" w:hAnsi="Arial" w:cs="Arial"/>
          <w:sz w:val="24"/>
          <w:szCs w:val="24"/>
        </w:rPr>
      </w:pPr>
      <w:r w:rsidRPr="00B61FF1">
        <w:rPr>
          <w:rFonts w:ascii="Arial" w:hAnsi="Arial" w:cs="Arial"/>
          <w:sz w:val="24"/>
          <w:szCs w:val="24"/>
          <w:u w:val="single"/>
        </w:rPr>
        <w:t>(</w:t>
      </w:r>
      <w:r w:rsidR="00520E5C" w:rsidRPr="00B61FF1">
        <w:rPr>
          <w:rFonts w:ascii="Arial" w:hAnsi="Arial" w:cs="Arial"/>
          <w:strike/>
          <w:sz w:val="24"/>
          <w:szCs w:val="24"/>
        </w:rPr>
        <w:t>h</w:t>
      </w:r>
      <w:r w:rsidR="00A812DF" w:rsidRPr="00B61FF1">
        <w:rPr>
          <w:rFonts w:ascii="Arial" w:hAnsi="Arial" w:cs="Arial"/>
          <w:sz w:val="24"/>
          <w:szCs w:val="24"/>
          <w:u w:val="single"/>
        </w:rPr>
        <w:t>i</w:t>
      </w:r>
      <w:r w:rsidRPr="00B61FF1">
        <w:rPr>
          <w:rFonts w:ascii="Arial" w:hAnsi="Arial" w:cs="Arial"/>
          <w:sz w:val="24"/>
          <w:szCs w:val="24"/>
          <w:u w:val="single"/>
        </w:rPr>
        <w:t>)</w:t>
      </w:r>
      <w:r w:rsidRPr="00B61FF1">
        <w:rPr>
          <w:rFonts w:ascii="Arial" w:hAnsi="Arial" w:cs="Arial"/>
          <w:sz w:val="24"/>
          <w:szCs w:val="24"/>
        </w:rPr>
        <w:tab/>
      </w:r>
      <w:r w:rsidR="002245B3" w:rsidRPr="00B61FF1">
        <w:rPr>
          <w:rFonts w:ascii="Arial" w:hAnsi="Arial" w:cs="Arial"/>
          <w:sz w:val="24"/>
          <w:szCs w:val="24"/>
        </w:rPr>
        <w:t>All bids will be considered binding offers for the purchase of allowances under the rules of the auction.</w:t>
      </w:r>
    </w:p>
    <w:p w14:paraId="3428B02F" w14:textId="77777777" w:rsidR="002245B3" w:rsidRPr="00B61FF1" w:rsidRDefault="00134AB0" w:rsidP="00134AB0">
      <w:pPr>
        <w:spacing w:line="360" w:lineRule="auto"/>
        <w:ind w:left="720" w:hanging="720"/>
        <w:rPr>
          <w:rFonts w:ascii="Arial" w:hAnsi="Arial" w:cs="Arial"/>
          <w:sz w:val="24"/>
          <w:szCs w:val="24"/>
        </w:rPr>
      </w:pPr>
      <w:r w:rsidRPr="00B61FF1">
        <w:rPr>
          <w:rFonts w:ascii="Arial" w:hAnsi="Arial" w:cs="Arial"/>
          <w:sz w:val="24"/>
          <w:szCs w:val="24"/>
        </w:rPr>
        <w:t>(</w:t>
      </w:r>
      <w:r w:rsidR="00520E5C" w:rsidRPr="00B61FF1">
        <w:rPr>
          <w:rFonts w:ascii="Arial" w:hAnsi="Arial" w:cs="Arial"/>
          <w:strike/>
          <w:sz w:val="24"/>
          <w:szCs w:val="24"/>
        </w:rPr>
        <w:t>i</w:t>
      </w:r>
      <w:r w:rsidR="00A812DF" w:rsidRPr="00B61FF1">
        <w:rPr>
          <w:rFonts w:ascii="Arial" w:hAnsi="Arial" w:cs="Arial"/>
          <w:sz w:val="24"/>
          <w:szCs w:val="24"/>
          <w:u w:val="single"/>
        </w:rPr>
        <w:t>j</w:t>
      </w:r>
      <w:r w:rsidRPr="00B61FF1">
        <w:rPr>
          <w:rFonts w:ascii="Arial" w:hAnsi="Arial" w:cs="Arial"/>
          <w:sz w:val="24"/>
          <w:szCs w:val="24"/>
        </w:rPr>
        <w:t>)</w:t>
      </w:r>
      <w:r w:rsidRPr="00B61FF1">
        <w:rPr>
          <w:rFonts w:ascii="Arial" w:hAnsi="Arial" w:cs="Arial"/>
          <w:sz w:val="24"/>
          <w:szCs w:val="24"/>
        </w:rPr>
        <w:tab/>
      </w:r>
      <w:r w:rsidR="007A2079" w:rsidRPr="00B61FF1">
        <w:rPr>
          <w:rFonts w:ascii="Arial" w:hAnsi="Arial" w:cs="Arial"/>
          <w:sz w:val="24"/>
          <w:szCs w:val="24"/>
        </w:rPr>
        <w:t>Auction participants</w:t>
      </w:r>
      <w:r w:rsidR="002245B3" w:rsidRPr="00B61FF1">
        <w:rPr>
          <w:rFonts w:ascii="Arial" w:hAnsi="Arial" w:cs="Arial"/>
          <w:sz w:val="24"/>
          <w:szCs w:val="24"/>
        </w:rPr>
        <w:t xml:space="preserve"> must provide a bid guarantee to the financial services administrator at least </w:t>
      </w:r>
      <w:r w:rsidR="007A2079" w:rsidRPr="00B61FF1">
        <w:rPr>
          <w:rFonts w:ascii="Arial" w:hAnsi="Arial" w:cs="Arial"/>
          <w:sz w:val="24"/>
          <w:szCs w:val="24"/>
        </w:rPr>
        <w:t>12 days</w:t>
      </w:r>
      <w:r w:rsidR="002245B3" w:rsidRPr="00B61FF1">
        <w:rPr>
          <w:rFonts w:ascii="Arial" w:hAnsi="Arial" w:cs="Arial"/>
          <w:sz w:val="24"/>
          <w:szCs w:val="24"/>
        </w:rPr>
        <w:t xml:space="preserve"> prior to the auction.</w:t>
      </w:r>
      <w:r w:rsidR="00ED3E22" w:rsidRPr="00B61FF1">
        <w:rPr>
          <w:rFonts w:ascii="Arial" w:hAnsi="Arial" w:cs="Arial"/>
          <w:sz w:val="24"/>
          <w:szCs w:val="24"/>
          <w:u w:val="single"/>
        </w:rPr>
        <w:t xml:space="preserve">  This bid guarantee must be submitted by 5 p.m. Pacific Standard Time (or Pacific Daylight Time, when in effect) on the 12</w:t>
      </w:r>
      <w:r w:rsidR="00ED3E22" w:rsidRPr="00B61FF1">
        <w:rPr>
          <w:rFonts w:ascii="Arial" w:hAnsi="Arial" w:cs="Arial"/>
          <w:sz w:val="24"/>
          <w:szCs w:val="24"/>
          <w:u w:val="single"/>
          <w:vertAlign w:val="superscript"/>
        </w:rPr>
        <w:t>th</w:t>
      </w:r>
      <w:r w:rsidR="00ED3E22" w:rsidRPr="00B61FF1">
        <w:rPr>
          <w:rFonts w:ascii="Arial" w:hAnsi="Arial" w:cs="Arial"/>
          <w:sz w:val="24"/>
          <w:szCs w:val="24"/>
          <w:u w:val="single"/>
        </w:rPr>
        <w:t xml:space="preserve"> day before an auction.</w:t>
      </w:r>
      <w:r w:rsidR="00ED3E22" w:rsidRPr="00B61FF1">
        <w:rPr>
          <w:rFonts w:ascii="Arial" w:hAnsi="Arial" w:cs="Arial"/>
          <w:sz w:val="24"/>
          <w:szCs w:val="24"/>
        </w:rPr>
        <w:t xml:space="preserve">  </w:t>
      </w:r>
    </w:p>
    <w:p w14:paraId="17FBD212" w14:textId="77777777" w:rsidR="002245B3" w:rsidRPr="00B61FF1" w:rsidRDefault="00134AB0" w:rsidP="00134AB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2245B3" w:rsidRPr="00B61FF1">
        <w:rPr>
          <w:rFonts w:ascii="Arial" w:hAnsi="Arial" w:cs="Arial"/>
          <w:sz w:val="24"/>
          <w:szCs w:val="24"/>
        </w:rPr>
        <w:t>The bid guarantee must be in one or a combination of the following forms:</w:t>
      </w:r>
    </w:p>
    <w:p w14:paraId="32B6AB98" w14:textId="77777777" w:rsidR="002245B3" w:rsidRPr="00B61FF1" w:rsidRDefault="00134AB0" w:rsidP="00134AB0">
      <w:pPr>
        <w:spacing w:line="360" w:lineRule="auto"/>
        <w:ind w:left="1800" w:hanging="720"/>
        <w:rPr>
          <w:rFonts w:ascii="Arial" w:hAnsi="Arial" w:cs="Arial"/>
          <w:sz w:val="24"/>
          <w:szCs w:val="24"/>
          <w:u w:val="single"/>
        </w:rPr>
      </w:pPr>
      <w:r w:rsidRPr="00B61FF1">
        <w:rPr>
          <w:rFonts w:ascii="Arial" w:hAnsi="Arial" w:cs="Arial"/>
          <w:sz w:val="24"/>
          <w:szCs w:val="24"/>
        </w:rPr>
        <w:t>(</w:t>
      </w:r>
      <w:r w:rsidR="007A2079" w:rsidRPr="00B61FF1">
        <w:rPr>
          <w:rFonts w:ascii="Arial" w:hAnsi="Arial" w:cs="Arial"/>
          <w:sz w:val="24"/>
          <w:szCs w:val="24"/>
        </w:rPr>
        <w:t>A</w:t>
      </w:r>
      <w:r w:rsidRPr="00B61FF1">
        <w:rPr>
          <w:rFonts w:ascii="Arial" w:hAnsi="Arial" w:cs="Arial"/>
          <w:sz w:val="24"/>
          <w:szCs w:val="24"/>
        </w:rPr>
        <w:t>)</w:t>
      </w:r>
      <w:r w:rsidRPr="00B61FF1">
        <w:rPr>
          <w:rFonts w:ascii="Arial" w:hAnsi="Arial" w:cs="Arial"/>
          <w:sz w:val="24"/>
          <w:szCs w:val="24"/>
        </w:rPr>
        <w:tab/>
      </w:r>
      <w:r w:rsidR="002245B3" w:rsidRPr="00B61FF1">
        <w:rPr>
          <w:rFonts w:ascii="Arial" w:hAnsi="Arial" w:cs="Arial"/>
          <w:sz w:val="24"/>
          <w:szCs w:val="24"/>
        </w:rPr>
        <w:t>Cash in the form of a wire transfer</w:t>
      </w:r>
      <w:r w:rsidR="002245B3" w:rsidRPr="00B61FF1">
        <w:rPr>
          <w:rFonts w:ascii="Arial" w:hAnsi="Arial" w:cs="Arial"/>
          <w:strike/>
          <w:sz w:val="24"/>
          <w:szCs w:val="24"/>
        </w:rPr>
        <w:t xml:space="preserve"> or certified funds, such as a bank check or cashier’s check</w:t>
      </w:r>
      <w:r w:rsidR="00C27120" w:rsidRPr="00B61FF1">
        <w:rPr>
          <w:rFonts w:ascii="Arial" w:hAnsi="Arial" w:cs="Arial"/>
          <w:sz w:val="24"/>
          <w:szCs w:val="24"/>
        </w:rPr>
        <w:t>;</w:t>
      </w:r>
      <w:r w:rsidR="002245B3" w:rsidRPr="00B61FF1">
        <w:rPr>
          <w:rFonts w:ascii="Arial" w:hAnsi="Arial" w:cs="Arial"/>
          <w:sz w:val="24"/>
          <w:szCs w:val="24"/>
        </w:rPr>
        <w:t xml:space="preserve"> </w:t>
      </w:r>
      <w:r w:rsidR="00AF78F9" w:rsidRPr="00B61FF1">
        <w:rPr>
          <w:rFonts w:ascii="Arial" w:hAnsi="Arial" w:cs="Arial"/>
          <w:sz w:val="24"/>
          <w:szCs w:val="24"/>
          <w:u w:val="single"/>
        </w:rPr>
        <w:t>or</w:t>
      </w:r>
    </w:p>
    <w:p w14:paraId="24E1C2C2" w14:textId="77777777" w:rsidR="002245B3" w:rsidRPr="00B61FF1" w:rsidRDefault="00134AB0" w:rsidP="00134AB0">
      <w:pPr>
        <w:spacing w:line="360" w:lineRule="auto"/>
        <w:ind w:left="1800" w:hanging="720"/>
        <w:rPr>
          <w:rFonts w:ascii="Arial" w:hAnsi="Arial" w:cs="Arial"/>
          <w:sz w:val="24"/>
          <w:szCs w:val="24"/>
        </w:rPr>
      </w:pPr>
      <w:r w:rsidRPr="00B61FF1">
        <w:rPr>
          <w:rFonts w:ascii="Arial" w:hAnsi="Arial" w:cs="Arial"/>
          <w:sz w:val="24"/>
          <w:szCs w:val="24"/>
        </w:rPr>
        <w:t>(</w:t>
      </w:r>
      <w:r w:rsidR="007A2079" w:rsidRPr="00B61FF1">
        <w:rPr>
          <w:rFonts w:ascii="Arial" w:hAnsi="Arial" w:cs="Arial"/>
          <w:sz w:val="24"/>
          <w:szCs w:val="24"/>
        </w:rPr>
        <w:t>B</w:t>
      </w:r>
      <w:r w:rsidRPr="00B61FF1">
        <w:rPr>
          <w:rFonts w:ascii="Arial" w:hAnsi="Arial" w:cs="Arial"/>
          <w:sz w:val="24"/>
          <w:szCs w:val="24"/>
        </w:rPr>
        <w:t>)</w:t>
      </w:r>
      <w:r w:rsidRPr="00B61FF1">
        <w:rPr>
          <w:rFonts w:ascii="Arial" w:hAnsi="Arial" w:cs="Arial"/>
          <w:sz w:val="24"/>
          <w:szCs w:val="24"/>
        </w:rPr>
        <w:tab/>
      </w:r>
      <w:r w:rsidR="002245B3" w:rsidRPr="00B61FF1">
        <w:rPr>
          <w:rFonts w:ascii="Arial" w:hAnsi="Arial" w:cs="Arial"/>
          <w:sz w:val="24"/>
          <w:szCs w:val="24"/>
        </w:rPr>
        <w:t>An irrevocable letter of credit issued by a financial institution with a United States banking license</w:t>
      </w:r>
      <w:r w:rsidR="00C27120" w:rsidRPr="00B61FF1">
        <w:rPr>
          <w:rFonts w:ascii="Arial" w:hAnsi="Arial" w:cs="Arial"/>
          <w:sz w:val="24"/>
          <w:szCs w:val="24"/>
        </w:rPr>
        <w:t>;</w:t>
      </w:r>
      <w:r w:rsidR="00C15B92" w:rsidRPr="00B61FF1">
        <w:rPr>
          <w:rFonts w:ascii="Arial" w:hAnsi="Arial" w:cs="Arial"/>
          <w:sz w:val="24"/>
          <w:szCs w:val="24"/>
        </w:rPr>
        <w:t xml:space="preserve"> or</w:t>
      </w:r>
    </w:p>
    <w:p w14:paraId="03F94C78" w14:textId="77777777" w:rsidR="007A2079" w:rsidRPr="00B61FF1" w:rsidRDefault="007A2079" w:rsidP="00134AB0">
      <w:pPr>
        <w:spacing w:line="360" w:lineRule="auto"/>
        <w:ind w:left="1800" w:hanging="720"/>
        <w:rPr>
          <w:rFonts w:ascii="Arial" w:hAnsi="Arial" w:cs="Arial"/>
          <w:sz w:val="24"/>
          <w:szCs w:val="24"/>
          <w:u w:val="single"/>
        </w:rPr>
      </w:pPr>
      <w:r w:rsidRPr="00B61FF1">
        <w:rPr>
          <w:rFonts w:ascii="Arial" w:hAnsi="Arial" w:cs="Arial"/>
          <w:sz w:val="24"/>
          <w:szCs w:val="24"/>
        </w:rPr>
        <w:t>(C)</w:t>
      </w:r>
      <w:r w:rsidRPr="00B61FF1">
        <w:rPr>
          <w:rFonts w:ascii="Arial" w:hAnsi="Arial" w:cs="Arial"/>
          <w:sz w:val="24"/>
          <w:szCs w:val="24"/>
        </w:rPr>
        <w:tab/>
        <w:t>A bond issued by a financial institution with a United States banking license</w:t>
      </w:r>
      <w:r w:rsidRPr="00B61FF1">
        <w:rPr>
          <w:rFonts w:ascii="Arial" w:hAnsi="Arial" w:cs="Arial"/>
          <w:strike/>
          <w:sz w:val="24"/>
          <w:szCs w:val="24"/>
        </w:rPr>
        <w:t>.</w:t>
      </w:r>
      <w:r w:rsidR="00EB55A5" w:rsidRPr="00B61FF1">
        <w:rPr>
          <w:rFonts w:ascii="Arial" w:hAnsi="Arial" w:cs="Arial"/>
          <w:sz w:val="24"/>
          <w:szCs w:val="24"/>
          <w:u w:val="single"/>
        </w:rPr>
        <w:t>; or</w:t>
      </w:r>
    </w:p>
    <w:p w14:paraId="0DF74FB8" w14:textId="77777777" w:rsidR="00EB55A5" w:rsidRPr="00B61FF1" w:rsidRDefault="00EB55A5" w:rsidP="00EB55A5">
      <w:pPr>
        <w:spacing w:line="360" w:lineRule="auto"/>
        <w:ind w:left="1800" w:hanging="720"/>
        <w:rPr>
          <w:rFonts w:ascii="Arial" w:hAnsi="Arial" w:cs="Arial"/>
          <w:sz w:val="24"/>
          <w:szCs w:val="24"/>
        </w:rPr>
      </w:pPr>
      <w:r w:rsidRPr="00B61FF1">
        <w:rPr>
          <w:rFonts w:ascii="Arial" w:hAnsi="Arial" w:cs="Arial"/>
          <w:sz w:val="24"/>
          <w:szCs w:val="24"/>
          <w:u w:val="single"/>
        </w:rPr>
        <w:t>(D)</w:t>
      </w:r>
      <w:r w:rsidRPr="00E244E6">
        <w:rPr>
          <w:rFonts w:ascii="Arial" w:hAnsi="Arial" w:cs="Arial"/>
          <w:sz w:val="24"/>
          <w:szCs w:val="24"/>
        </w:rPr>
        <w:tab/>
      </w:r>
      <w:r w:rsidRPr="00B61FF1">
        <w:rPr>
          <w:rFonts w:ascii="Arial" w:hAnsi="Arial" w:cs="Arial"/>
          <w:sz w:val="24"/>
          <w:szCs w:val="24"/>
          <w:u w:val="single"/>
        </w:rPr>
        <w:t>A Surety Bond issued by an institution named in the current list of “Surety Companies Acceptable in Federal Bonds” as published in the Federal Register by the Audit Staff Bureau of Accounts, U.S. Treasury Department.</w:t>
      </w:r>
    </w:p>
    <w:p w14:paraId="63B9FB31" w14:textId="77777777" w:rsidR="002245B3" w:rsidRPr="00B61FF1" w:rsidRDefault="00EB55A5" w:rsidP="00EB55A5">
      <w:pPr>
        <w:spacing w:line="360" w:lineRule="auto"/>
        <w:ind w:left="1080" w:hanging="720"/>
        <w:rPr>
          <w:rFonts w:ascii="Arial" w:hAnsi="Arial" w:cs="Arial"/>
          <w:sz w:val="24"/>
          <w:szCs w:val="24"/>
        </w:rPr>
      </w:pPr>
      <w:r w:rsidRPr="00B61FF1">
        <w:rPr>
          <w:rFonts w:ascii="Arial" w:hAnsi="Arial" w:cs="Arial"/>
          <w:sz w:val="24"/>
          <w:szCs w:val="24"/>
          <w:u w:val="single"/>
        </w:rPr>
        <w:t>(2)</w:t>
      </w:r>
      <w:r w:rsidR="00134AB0" w:rsidRPr="00B61FF1">
        <w:rPr>
          <w:rFonts w:ascii="Arial" w:hAnsi="Arial" w:cs="Arial"/>
          <w:strike/>
          <w:sz w:val="24"/>
          <w:szCs w:val="24"/>
        </w:rPr>
        <w:t>(D)</w:t>
      </w:r>
      <w:r w:rsidR="00134AB0" w:rsidRPr="00B61FF1">
        <w:rPr>
          <w:rFonts w:ascii="Arial" w:hAnsi="Arial" w:cs="Arial"/>
          <w:sz w:val="24"/>
          <w:szCs w:val="24"/>
        </w:rPr>
        <w:tab/>
      </w:r>
      <w:r w:rsidR="00C849FA" w:rsidRPr="00B61FF1">
        <w:rPr>
          <w:rFonts w:ascii="Arial" w:hAnsi="Arial" w:cs="Arial"/>
          <w:sz w:val="24"/>
          <w:szCs w:val="24"/>
        </w:rPr>
        <w:t>The bid guarantee submitted by any entity registered with California will be in U.S. dollars.</w:t>
      </w:r>
    </w:p>
    <w:p w14:paraId="70E66D3A" w14:textId="390A92B7" w:rsidR="00EB55A5" w:rsidRPr="00B61FF1" w:rsidRDefault="00EB55A5" w:rsidP="00EB55A5">
      <w:pPr>
        <w:spacing w:line="360" w:lineRule="auto"/>
        <w:ind w:left="1080" w:hanging="720"/>
        <w:rPr>
          <w:rFonts w:ascii="Arial" w:hAnsi="Arial" w:cs="Arial"/>
          <w:sz w:val="24"/>
          <w:szCs w:val="24"/>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A bid guarantee submitted in any form other than cash must be payable within one business day</w:t>
      </w:r>
      <w:r w:rsidR="005C1CBA" w:rsidRPr="00B61FF1">
        <w:rPr>
          <w:rFonts w:ascii="Arial" w:hAnsi="Arial" w:cs="Arial"/>
          <w:sz w:val="24"/>
          <w:szCs w:val="24"/>
          <w:u w:val="single"/>
        </w:rPr>
        <w:t xml:space="preserve"> of payment request</w:t>
      </w:r>
      <w:r w:rsidRPr="00B61FF1">
        <w:rPr>
          <w:rFonts w:ascii="Arial" w:hAnsi="Arial" w:cs="Arial"/>
          <w:sz w:val="24"/>
          <w:szCs w:val="24"/>
          <w:u w:val="single"/>
        </w:rPr>
        <w:t>.</w:t>
      </w:r>
    </w:p>
    <w:p w14:paraId="52F92F86" w14:textId="77777777" w:rsidR="00E16E77" w:rsidRPr="00B61FF1" w:rsidRDefault="00EB55A5" w:rsidP="00EB55A5">
      <w:pPr>
        <w:spacing w:line="360" w:lineRule="auto"/>
        <w:ind w:left="1080" w:hanging="720"/>
        <w:rPr>
          <w:rFonts w:ascii="Arial" w:hAnsi="Arial" w:cs="Arial"/>
          <w:sz w:val="24"/>
          <w:szCs w:val="24"/>
        </w:rPr>
      </w:pPr>
      <w:r w:rsidRPr="00B61FF1">
        <w:rPr>
          <w:rFonts w:ascii="Arial" w:hAnsi="Arial" w:cs="Arial"/>
          <w:sz w:val="24"/>
          <w:szCs w:val="24"/>
          <w:u w:val="single"/>
        </w:rPr>
        <w:t>(4)</w:t>
      </w:r>
      <w:r w:rsidR="00E16E77" w:rsidRPr="00B61FF1">
        <w:rPr>
          <w:rFonts w:ascii="Arial" w:hAnsi="Arial" w:cs="Arial"/>
          <w:strike/>
          <w:sz w:val="24"/>
          <w:szCs w:val="24"/>
        </w:rPr>
        <w:t>(E)</w:t>
      </w:r>
      <w:r w:rsidR="00E16E77" w:rsidRPr="00B61FF1">
        <w:rPr>
          <w:rFonts w:ascii="Arial" w:hAnsi="Arial" w:cs="Arial"/>
          <w:sz w:val="24"/>
          <w:szCs w:val="24"/>
        </w:rPr>
        <w:tab/>
        <w:t>The bid guarantee will be in the currency used by the jurisdiction with which the entity has registered.</w:t>
      </w:r>
    </w:p>
    <w:p w14:paraId="3CA0FF6C" w14:textId="77777777" w:rsidR="002245B3" w:rsidRPr="00B61FF1" w:rsidRDefault="00134AB0" w:rsidP="00134AB0">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2</w:t>
      </w:r>
      <w:r w:rsidR="00520E5C" w:rsidRPr="00B61FF1">
        <w:rPr>
          <w:rFonts w:ascii="Arial" w:hAnsi="Arial" w:cs="Arial"/>
          <w:sz w:val="24"/>
          <w:szCs w:val="24"/>
          <w:u w:val="single"/>
        </w:rPr>
        <w:t>5</w:t>
      </w:r>
      <w:r w:rsidRPr="00B61FF1">
        <w:rPr>
          <w:rFonts w:ascii="Arial" w:hAnsi="Arial" w:cs="Arial"/>
          <w:sz w:val="24"/>
          <w:szCs w:val="24"/>
        </w:rPr>
        <w:t>)</w:t>
      </w:r>
      <w:r w:rsidRPr="00B61FF1">
        <w:rPr>
          <w:rFonts w:ascii="Arial" w:hAnsi="Arial" w:cs="Arial"/>
          <w:sz w:val="24"/>
          <w:szCs w:val="24"/>
        </w:rPr>
        <w:tab/>
      </w:r>
      <w:r w:rsidR="002245B3" w:rsidRPr="00B61FF1">
        <w:rPr>
          <w:rFonts w:ascii="Arial" w:hAnsi="Arial" w:cs="Arial"/>
          <w:sz w:val="24"/>
          <w:szCs w:val="24"/>
        </w:rPr>
        <w:t xml:space="preserve">The amount of the bid guarantee must be greater than or equal to the </w:t>
      </w:r>
      <w:r w:rsidR="007A2079" w:rsidRPr="00B61FF1">
        <w:rPr>
          <w:rFonts w:ascii="Arial" w:hAnsi="Arial" w:cs="Arial"/>
          <w:sz w:val="24"/>
          <w:szCs w:val="24"/>
        </w:rPr>
        <w:t>maximum value of the bids to be submitted.</w:t>
      </w:r>
    </w:p>
    <w:p w14:paraId="0773A09D" w14:textId="77777777" w:rsidR="007A2079" w:rsidRPr="00B61FF1" w:rsidRDefault="007A2079" w:rsidP="00FE6A4C">
      <w:pPr>
        <w:pStyle w:val="ListParagraph"/>
        <w:numPr>
          <w:ilvl w:val="0"/>
          <w:numId w:val="49"/>
        </w:numPr>
        <w:spacing w:line="360" w:lineRule="auto"/>
        <w:ind w:left="1800" w:hanging="720"/>
        <w:rPr>
          <w:rFonts w:ascii="Arial" w:hAnsi="Arial" w:cs="Arial"/>
          <w:sz w:val="24"/>
          <w:szCs w:val="24"/>
        </w:rPr>
      </w:pPr>
      <w:r w:rsidRPr="00B61FF1">
        <w:rPr>
          <w:rFonts w:ascii="Arial" w:hAnsi="Arial" w:cs="Arial"/>
          <w:sz w:val="24"/>
          <w:szCs w:val="24"/>
        </w:rPr>
        <w:t>The value of a set of bids equals the cumulative quantity of bids submitted at or above a price times that price.  The value of the set of bids is calculated at each price at which the bidder will submit a bid.</w:t>
      </w:r>
    </w:p>
    <w:p w14:paraId="79E55A5C" w14:textId="77777777" w:rsidR="007A2079" w:rsidRPr="00B61FF1" w:rsidRDefault="007A2079" w:rsidP="00FE6A4C">
      <w:pPr>
        <w:pStyle w:val="ListParagraph"/>
        <w:numPr>
          <w:ilvl w:val="0"/>
          <w:numId w:val="49"/>
        </w:numPr>
        <w:spacing w:line="360" w:lineRule="auto"/>
        <w:ind w:left="1800" w:hanging="720"/>
        <w:rPr>
          <w:rFonts w:ascii="Arial" w:hAnsi="Arial" w:cs="Arial"/>
          <w:sz w:val="24"/>
          <w:szCs w:val="24"/>
        </w:rPr>
      </w:pPr>
      <w:r w:rsidRPr="00B61FF1">
        <w:rPr>
          <w:rFonts w:ascii="Arial" w:hAnsi="Arial" w:cs="Arial"/>
          <w:sz w:val="24"/>
          <w:szCs w:val="24"/>
        </w:rPr>
        <w:t>The maximum value of a set of bids is the highest value of a set of bids calculated at each price at which the bidder will submit a bid.</w:t>
      </w:r>
    </w:p>
    <w:p w14:paraId="6EC86585" w14:textId="77777777" w:rsidR="007A2079" w:rsidRPr="00B61FF1" w:rsidRDefault="004D11E7" w:rsidP="004D11E7">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3</w:t>
      </w:r>
      <w:r w:rsidRPr="00B61FF1">
        <w:rPr>
          <w:rFonts w:ascii="Arial" w:hAnsi="Arial" w:cs="Arial"/>
          <w:sz w:val="24"/>
          <w:szCs w:val="24"/>
          <w:u w:val="single"/>
        </w:rPr>
        <w:t>6)</w:t>
      </w:r>
      <w:r w:rsidRPr="00B61FF1">
        <w:rPr>
          <w:rFonts w:ascii="Arial" w:hAnsi="Arial" w:cs="Arial"/>
          <w:sz w:val="24"/>
          <w:szCs w:val="24"/>
        </w:rPr>
        <w:t xml:space="preserve">    </w:t>
      </w:r>
      <w:r w:rsidR="007A2079" w:rsidRPr="00B61FF1">
        <w:rPr>
          <w:rFonts w:ascii="Arial" w:hAnsi="Arial" w:cs="Arial"/>
          <w:sz w:val="24"/>
          <w:szCs w:val="24"/>
        </w:rPr>
        <w:t>The bid guarantee will be made payable to the financial services administrator.</w:t>
      </w:r>
    </w:p>
    <w:p w14:paraId="18EB80F3" w14:textId="77777777" w:rsidR="007A2079" w:rsidRPr="00B61FF1" w:rsidRDefault="004D11E7" w:rsidP="004D11E7">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4</w:t>
      </w:r>
      <w:r w:rsidRPr="00B61FF1">
        <w:rPr>
          <w:rFonts w:ascii="Arial" w:hAnsi="Arial" w:cs="Arial"/>
          <w:sz w:val="24"/>
          <w:szCs w:val="24"/>
          <w:u w:val="single"/>
        </w:rPr>
        <w:t>7</w:t>
      </w:r>
      <w:r w:rsidRPr="00B61FF1">
        <w:rPr>
          <w:rFonts w:ascii="Arial" w:hAnsi="Arial" w:cs="Arial"/>
          <w:sz w:val="24"/>
          <w:szCs w:val="24"/>
        </w:rPr>
        <w:t xml:space="preserve">)    </w:t>
      </w:r>
      <w:r w:rsidR="0034344A" w:rsidRPr="00B61FF1">
        <w:rPr>
          <w:rFonts w:ascii="Arial" w:hAnsi="Arial" w:cs="Arial"/>
          <w:sz w:val="24"/>
          <w:szCs w:val="24"/>
        </w:rPr>
        <w:t>The bid guarantee will expire no sooner than 21 days after the auction date.</w:t>
      </w:r>
    </w:p>
    <w:p w14:paraId="1DBEB7D5" w14:textId="77777777" w:rsidR="0034344A" w:rsidRPr="00B61FF1" w:rsidRDefault="004F7B28" w:rsidP="004F7B28">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5</w:t>
      </w:r>
      <w:r w:rsidRPr="00B61FF1">
        <w:rPr>
          <w:rFonts w:ascii="Arial" w:hAnsi="Arial" w:cs="Arial"/>
          <w:sz w:val="24"/>
          <w:szCs w:val="24"/>
          <w:u w:val="single"/>
        </w:rPr>
        <w:t>8</w:t>
      </w:r>
      <w:r w:rsidRPr="00B61FF1">
        <w:rPr>
          <w:rFonts w:ascii="Arial" w:hAnsi="Arial" w:cs="Arial"/>
          <w:sz w:val="24"/>
          <w:szCs w:val="24"/>
        </w:rPr>
        <w:t xml:space="preserve">)    </w:t>
      </w:r>
      <w:r w:rsidR="0034344A" w:rsidRPr="00B61FF1">
        <w:rPr>
          <w:rFonts w:ascii="Arial" w:hAnsi="Arial" w:cs="Arial"/>
          <w:sz w:val="24"/>
          <w:szCs w:val="24"/>
        </w:rPr>
        <w:t>The financial services administrator will evaluate the bid guarantee and inform the auction administrator of the value of the bid guarantee once it is found to conform to this section and is accepted by the Executive Officer.</w:t>
      </w:r>
    </w:p>
    <w:p w14:paraId="389F19C8" w14:textId="77777777" w:rsidR="0034344A" w:rsidRPr="00B61FF1" w:rsidRDefault="004F7B28" w:rsidP="004F7B28">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6</w:t>
      </w:r>
      <w:r w:rsidRPr="00B61FF1">
        <w:rPr>
          <w:rFonts w:ascii="Arial" w:hAnsi="Arial" w:cs="Arial"/>
          <w:sz w:val="24"/>
          <w:szCs w:val="24"/>
          <w:u w:val="single"/>
        </w:rPr>
        <w:t>9</w:t>
      </w:r>
      <w:r w:rsidRPr="00B61FF1">
        <w:rPr>
          <w:rFonts w:ascii="Arial" w:hAnsi="Arial" w:cs="Arial"/>
          <w:sz w:val="24"/>
          <w:szCs w:val="24"/>
        </w:rPr>
        <w:t xml:space="preserve">)    </w:t>
      </w:r>
      <w:r w:rsidR="0034344A" w:rsidRPr="00B61FF1">
        <w:rPr>
          <w:rFonts w:ascii="Arial" w:hAnsi="Arial" w:cs="Arial"/>
          <w:sz w:val="24"/>
          <w:szCs w:val="24"/>
        </w:rPr>
        <w:t xml:space="preserve">If an entity has submitted more than one form of bid guarantee then the financial services administrator </w:t>
      </w:r>
      <w:r w:rsidR="00BA2CE1" w:rsidRPr="00B61FF1">
        <w:rPr>
          <w:rFonts w:ascii="Arial" w:hAnsi="Arial" w:cs="Arial"/>
          <w:sz w:val="24"/>
          <w:szCs w:val="24"/>
        </w:rPr>
        <w:t>will apply the instruments to the unpaid balance in the order the instruments are listed in section 95912(</w:t>
      </w:r>
      <w:r w:rsidR="00BA2CE1" w:rsidRPr="00B61FF1">
        <w:rPr>
          <w:rFonts w:ascii="Arial" w:hAnsi="Arial" w:cs="Arial"/>
          <w:strike/>
          <w:sz w:val="24"/>
          <w:szCs w:val="24"/>
        </w:rPr>
        <w:t>i</w:t>
      </w:r>
      <w:r w:rsidR="00AF78F9" w:rsidRPr="00B61FF1">
        <w:rPr>
          <w:rFonts w:ascii="Arial" w:hAnsi="Arial" w:cs="Arial"/>
          <w:sz w:val="24"/>
          <w:szCs w:val="24"/>
          <w:u w:val="single"/>
        </w:rPr>
        <w:t>j</w:t>
      </w:r>
      <w:r w:rsidR="00BA2CE1" w:rsidRPr="00B61FF1">
        <w:rPr>
          <w:rFonts w:ascii="Arial" w:hAnsi="Arial" w:cs="Arial"/>
          <w:sz w:val="24"/>
          <w:szCs w:val="24"/>
        </w:rPr>
        <w:t>)(1).</w:t>
      </w:r>
    </w:p>
    <w:p w14:paraId="4AACD85C" w14:textId="77777777" w:rsidR="00BA2CE1" w:rsidRPr="00B61FF1" w:rsidRDefault="004F7B28" w:rsidP="004F7B28">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7</w:t>
      </w:r>
      <w:r w:rsidRPr="00B61FF1">
        <w:rPr>
          <w:rFonts w:ascii="Arial" w:hAnsi="Arial" w:cs="Arial"/>
          <w:sz w:val="24"/>
          <w:szCs w:val="24"/>
          <w:u w:val="single"/>
        </w:rPr>
        <w:t>10</w:t>
      </w:r>
      <w:r w:rsidRPr="00B61FF1">
        <w:rPr>
          <w:rFonts w:ascii="Arial" w:hAnsi="Arial" w:cs="Arial"/>
          <w:sz w:val="24"/>
          <w:szCs w:val="24"/>
        </w:rPr>
        <w:t xml:space="preserve">)  </w:t>
      </w:r>
      <w:r w:rsidR="00BA2CE1" w:rsidRPr="00B61FF1">
        <w:rPr>
          <w:rFonts w:ascii="Arial" w:hAnsi="Arial" w:cs="Arial"/>
          <w:sz w:val="24"/>
          <w:szCs w:val="24"/>
        </w:rPr>
        <w:t xml:space="preserve">If the auction participant submits a single bid guarantee instrument to cover bids in both the Current and Advance Auctions, the </w:t>
      </w:r>
      <w:r w:rsidR="00BE52EF" w:rsidRPr="00B61FF1">
        <w:rPr>
          <w:rFonts w:ascii="Arial" w:hAnsi="Arial" w:cs="Arial"/>
          <w:sz w:val="24"/>
          <w:szCs w:val="24"/>
        </w:rPr>
        <w:t>a</w:t>
      </w:r>
      <w:r w:rsidR="00BA2CE1" w:rsidRPr="00B61FF1">
        <w:rPr>
          <w:rFonts w:ascii="Arial" w:hAnsi="Arial" w:cs="Arial"/>
          <w:sz w:val="24"/>
          <w:szCs w:val="24"/>
        </w:rPr>
        <w:t xml:space="preserve">uction </w:t>
      </w:r>
      <w:r w:rsidR="00BE52EF" w:rsidRPr="00B61FF1">
        <w:rPr>
          <w:rFonts w:ascii="Arial" w:hAnsi="Arial" w:cs="Arial"/>
          <w:sz w:val="24"/>
          <w:szCs w:val="24"/>
        </w:rPr>
        <w:t>a</w:t>
      </w:r>
      <w:r w:rsidR="00BA2CE1" w:rsidRPr="00B61FF1">
        <w:rPr>
          <w:rFonts w:ascii="Arial" w:hAnsi="Arial" w:cs="Arial"/>
          <w:sz w:val="24"/>
          <w:szCs w:val="24"/>
        </w:rPr>
        <w:t>dministrator will apply the value of the bid guarantee to the Current Auction first when accepting bids pursuant to section 95911(e)(3).  The remaining value of the bid guarantee will be used to determine acceptance of bids into the Advance Auction.</w:t>
      </w:r>
    </w:p>
    <w:p w14:paraId="63F51EEE" w14:textId="77777777" w:rsidR="002245B3" w:rsidRPr="00B61FF1" w:rsidRDefault="004F7B28" w:rsidP="004F7B28">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j</w:t>
      </w:r>
      <w:r w:rsidRPr="00B61FF1">
        <w:rPr>
          <w:rFonts w:ascii="Arial" w:hAnsi="Arial" w:cs="Arial"/>
          <w:sz w:val="24"/>
          <w:szCs w:val="24"/>
          <w:u w:val="single"/>
        </w:rPr>
        <w:t>k</w:t>
      </w:r>
      <w:r w:rsidRPr="00B61FF1">
        <w:rPr>
          <w:rFonts w:ascii="Arial" w:hAnsi="Arial" w:cs="Arial"/>
          <w:sz w:val="24"/>
          <w:szCs w:val="24"/>
        </w:rPr>
        <w:t>)</w:t>
      </w:r>
      <w:r w:rsidRPr="00B61FF1">
        <w:rPr>
          <w:rFonts w:ascii="Arial" w:hAnsi="Arial" w:cs="Arial"/>
          <w:sz w:val="24"/>
          <w:szCs w:val="24"/>
        </w:rPr>
        <w:tab/>
      </w:r>
      <w:r w:rsidR="00BA2CE1" w:rsidRPr="00B61FF1">
        <w:rPr>
          <w:rFonts w:ascii="Arial" w:hAnsi="Arial" w:cs="Arial"/>
          <w:sz w:val="24"/>
          <w:szCs w:val="24"/>
        </w:rPr>
        <w:t xml:space="preserve">After the </w:t>
      </w:r>
      <w:r w:rsidR="00BE52EF" w:rsidRPr="00B61FF1">
        <w:rPr>
          <w:rFonts w:ascii="Arial" w:hAnsi="Arial" w:cs="Arial"/>
          <w:sz w:val="24"/>
          <w:szCs w:val="24"/>
        </w:rPr>
        <w:t>a</w:t>
      </w:r>
      <w:r w:rsidR="00BA2CE1" w:rsidRPr="00B61FF1">
        <w:rPr>
          <w:rFonts w:ascii="Arial" w:hAnsi="Arial" w:cs="Arial"/>
          <w:sz w:val="24"/>
          <w:szCs w:val="24"/>
        </w:rPr>
        <w:t xml:space="preserve">uction </w:t>
      </w:r>
      <w:r w:rsidR="00BE52EF" w:rsidRPr="00B61FF1">
        <w:rPr>
          <w:rFonts w:ascii="Arial" w:hAnsi="Arial" w:cs="Arial"/>
          <w:sz w:val="24"/>
          <w:szCs w:val="24"/>
        </w:rPr>
        <w:t>a</w:t>
      </w:r>
      <w:r w:rsidR="00BA2CE1" w:rsidRPr="00B61FF1">
        <w:rPr>
          <w:rFonts w:ascii="Arial" w:hAnsi="Arial" w:cs="Arial"/>
          <w:sz w:val="24"/>
          <w:szCs w:val="24"/>
        </w:rPr>
        <w:t xml:space="preserve">dministrator has notified the Executive </w:t>
      </w:r>
      <w:r w:rsidR="00BA2CE1" w:rsidRPr="00B61FF1">
        <w:rPr>
          <w:rFonts w:ascii="Arial" w:hAnsi="Arial" w:cs="Arial"/>
          <w:sz w:val="24"/>
          <w:szCs w:val="24"/>
          <w:u w:val="single"/>
        </w:rPr>
        <w:t>Offi</w:t>
      </w:r>
      <w:r w:rsidR="00EB55A5" w:rsidRPr="00B61FF1">
        <w:rPr>
          <w:rFonts w:ascii="Arial" w:hAnsi="Arial" w:cs="Arial"/>
          <w:sz w:val="24"/>
          <w:szCs w:val="24"/>
          <w:u w:val="single"/>
        </w:rPr>
        <w:t>c</w:t>
      </w:r>
      <w:r w:rsidR="00BA2CE1" w:rsidRPr="00B61FF1">
        <w:rPr>
          <w:rFonts w:ascii="Arial" w:hAnsi="Arial" w:cs="Arial"/>
          <w:sz w:val="24"/>
          <w:szCs w:val="24"/>
          <w:u w:val="single"/>
        </w:rPr>
        <w:t>er</w:t>
      </w:r>
      <w:r w:rsidR="00BA2CE1" w:rsidRPr="00B61FF1">
        <w:rPr>
          <w:rFonts w:ascii="Arial" w:hAnsi="Arial" w:cs="Arial"/>
          <w:sz w:val="24"/>
          <w:szCs w:val="24"/>
        </w:rPr>
        <w:t xml:space="preserve"> of the results of the auction the Executive Officer will:</w:t>
      </w:r>
    </w:p>
    <w:p w14:paraId="4DB084AD" w14:textId="77777777" w:rsidR="00BA2CE1" w:rsidRPr="00B61FF1" w:rsidRDefault="00BA2CE1" w:rsidP="00FE6A4C">
      <w:pPr>
        <w:pStyle w:val="ListParagraph"/>
        <w:numPr>
          <w:ilvl w:val="1"/>
          <w:numId w:val="50"/>
        </w:numPr>
        <w:spacing w:line="360" w:lineRule="auto"/>
        <w:rPr>
          <w:rFonts w:ascii="Arial" w:hAnsi="Arial" w:cs="Arial"/>
          <w:sz w:val="24"/>
          <w:szCs w:val="24"/>
        </w:rPr>
      </w:pPr>
      <w:r w:rsidRPr="00B61FF1">
        <w:rPr>
          <w:rFonts w:ascii="Arial" w:hAnsi="Arial" w:cs="Arial"/>
          <w:sz w:val="24"/>
          <w:szCs w:val="24"/>
        </w:rPr>
        <w:t>Review the conduct of the a</w:t>
      </w:r>
      <w:r w:rsidRPr="00B61FF1">
        <w:rPr>
          <w:rFonts w:ascii="Arial" w:hAnsi="Arial" w:cs="Arial"/>
          <w:strike/>
          <w:sz w:val="24"/>
          <w:szCs w:val="24"/>
        </w:rPr>
        <w:t>c</w:t>
      </w:r>
      <w:r w:rsidRPr="00B61FF1">
        <w:rPr>
          <w:rFonts w:ascii="Arial" w:hAnsi="Arial" w:cs="Arial"/>
          <w:sz w:val="24"/>
          <w:szCs w:val="24"/>
        </w:rPr>
        <w:t>u</w:t>
      </w:r>
      <w:r w:rsidR="00EB55A5" w:rsidRPr="00B61FF1">
        <w:rPr>
          <w:rFonts w:ascii="Arial" w:hAnsi="Arial" w:cs="Arial"/>
          <w:sz w:val="24"/>
          <w:szCs w:val="24"/>
        </w:rPr>
        <w:t>c</w:t>
      </w:r>
      <w:r w:rsidRPr="00B61FF1">
        <w:rPr>
          <w:rFonts w:ascii="Arial" w:hAnsi="Arial" w:cs="Arial"/>
          <w:sz w:val="24"/>
          <w:szCs w:val="24"/>
        </w:rPr>
        <w:t xml:space="preserve">tion by the </w:t>
      </w:r>
      <w:r w:rsidR="00BE52EF" w:rsidRPr="00B61FF1">
        <w:rPr>
          <w:rFonts w:ascii="Arial" w:hAnsi="Arial" w:cs="Arial"/>
          <w:sz w:val="24"/>
          <w:szCs w:val="24"/>
        </w:rPr>
        <w:t>a</w:t>
      </w:r>
      <w:r w:rsidRPr="00B61FF1">
        <w:rPr>
          <w:rFonts w:ascii="Arial" w:hAnsi="Arial" w:cs="Arial"/>
          <w:sz w:val="24"/>
          <w:szCs w:val="24"/>
        </w:rPr>
        <w:t xml:space="preserve">uction </w:t>
      </w:r>
      <w:r w:rsidR="00BE52EF" w:rsidRPr="00B61FF1">
        <w:rPr>
          <w:rFonts w:ascii="Arial" w:hAnsi="Arial" w:cs="Arial"/>
          <w:sz w:val="24"/>
          <w:szCs w:val="24"/>
        </w:rPr>
        <w:t>a</w:t>
      </w:r>
      <w:r w:rsidRPr="00B61FF1">
        <w:rPr>
          <w:rFonts w:ascii="Arial" w:hAnsi="Arial" w:cs="Arial"/>
          <w:sz w:val="24"/>
          <w:szCs w:val="24"/>
        </w:rPr>
        <w:t>dministrator, then certify whether the auction met the requirements of this article;</w:t>
      </w:r>
    </w:p>
    <w:p w14:paraId="07DEB020" w14:textId="77777777" w:rsidR="00BA2CE1" w:rsidRPr="00B61FF1" w:rsidRDefault="00BA2CE1" w:rsidP="00FE6A4C">
      <w:pPr>
        <w:pStyle w:val="ListParagraph"/>
        <w:numPr>
          <w:ilvl w:val="1"/>
          <w:numId w:val="50"/>
        </w:numPr>
        <w:spacing w:line="360" w:lineRule="auto"/>
        <w:rPr>
          <w:rFonts w:ascii="Arial" w:hAnsi="Arial" w:cs="Arial"/>
          <w:sz w:val="24"/>
          <w:szCs w:val="24"/>
        </w:rPr>
      </w:pPr>
      <w:r w:rsidRPr="00B61FF1">
        <w:rPr>
          <w:rFonts w:ascii="Arial" w:hAnsi="Arial" w:cs="Arial"/>
          <w:sz w:val="24"/>
          <w:szCs w:val="24"/>
        </w:rPr>
        <w:t>After certification, direct the financial services administrator to:</w:t>
      </w:r>
    </w:p>
    <w:p w14:paraId="051775D9" w14:textId="77777777" w:rsidR="00CA7453" w:rsidRPr="00B61FF1" w:rsidRDefault="00CA7453" w:rsidP="00FE6A4C">
      <w:pPr>
        <w:pStyle w:val="ListParagraph"/>
        <w:numPr>
          <w:ilvl w:val="2"/>
          <w:numId w:val="51"/>
        </w:numPr>
        <w:spacing w:line="360" w:lineRule="auto"/>
        <w:rPr>
          <w:rFonts w:ascii="Arial" w:hAnsi="Arial" w:cs="Arial"/>
          <w:sz w:val="24"/>
          <w:szCs w:val="24"/>
        </w:rPr>
      </w:pPr>
      <w:r w:rsidRPr="00B61FF1">
        <w:rPr>
          <w:rFonts w:ascii="Arial" w:hAnsi="Arial" w:cs="Arial"/>
          <w:sz w:val="24"/>
          <w:szCs w:val="24"/>
        </w:rPr>
        <w:t>Notify each winning bidder of the auction settlement price, the number of allowances purchased, the total purchase cost, and the deadline and method for submitting payment;</w:t>
      </w:r>
    </w:p>
    <w:p w14:paraId="7010BE7A" w14:textId="77777777" w:rsidR="00CA7453" w:rsidRPr="00B61FF1" w:rsidRDefault="00CA7453" w:rsidP="00FE6A4C">
      <w:pPr>
        <w:pStyle w:val="ListParagraph"/>
        <w:numPr>
          <w:ilvl w:val="2"/>
          <w:numId w:val="51"/>
        </w:numPr>
        <w:spacing w:line="360" w:lineRule="auto"/>
        <w:rPr>
          <w:rFonts w:ascii="Arial" w:hAnsi="Arial" w:cs="Arial"/>
          <w:sz w:val="24"/>
          <w:szCs w:val="24"/>
        </w:rPr>
      </w:pPr>
      <w:r w:rsidRPr="00B61FF1">
        <w:rPr>
          <w:rFonts w:ascii="Arial" w:hAnsi="Arial" w:cs="Arial"/>
          <w:sz w:val="24"/>
          <w:szCs w:val="24"/>
        </w:rPr>
        <w:t>Collect cash payments from winning bidders within seven days of notifying them of the auction results;</w:t>
      </w:r>
    </w:p>
    <w:p w14:paraId="4D683472" w14:textId="2D41B9BA" w:rsidR="00CA7453" w:rsidRPr="00B61FF1" w:rsidRDefault="00CA7453" w:rsidP="00FE6A4C">
      <w:pPr>
        <w:pStyle w:val="ListParagraph"/>
        <w:numPr>
          <w:ilvl w:val="2"/>
          <w:numId w:val="51"/>
        </w:numPr>
        <w:spacing w:line="360" w:lineRule="auto"/>
        <w:rPr>
          <w:rFonts w:ascii="Arial" w:hAnsi="Arial" w:cs="Arial"/>
          <w:sz w:val="24"/>
          <w:szCs w:val="24"/>
        </w:rPr>
      </w:pPr>
      <w:r w:rsidRPr="00B61FF1">
        <w:rPr>
          <w:rFonts w:ascii="Arial" w:hAnsi="Arial" w:cs="Arial"/>
          <w:sz w:val="24"/>
          <w:szCs w:val="24"/>
        </w:rPr>
        <w:t xml:space="preserve">Use the bid guarantee to cover payment for allowance purchases by any entity that fails to make cash payment within seven days after bidders are notified of results and place the proceeds into the </w:t>
      </w:r>
      <w:r w:rsidR="00E244E6" w:rsidRPr="00B61FF1">
        <w:rPr>
          <w:rFonts w:ascii="Arial" w:hAnsi="Arial" w:cs="Arial"/>
          <w:sz w:val="24"/>
          <w:szCs w:val="24"/>
          <w:u w:val="single"/>
        </w:rPr>
        <w:t>Greenhouse Gas Reduction Fund created pursuant to Government Code section 16428.8</w:t>
      </w:r>
      <w:r w:rsidR="00E244E6">
        <w:rPr>
          <w:rFonts w:ascii="Arial" w:hAnsi="Arial" w:cs="Arial"/>
          <w:sz w:val="24"/>
          <w:szCs w:val="24"/>
          <w:u w:val="single"/>
        </w:rPr>
        <w:t xml:space="preserve"> </w:t>
      </w:r>
      <w:r w:rsidRPr="00E244E6">
        <w:rPr>
          <w:rFonts w:ascii="Arial" w:hAnsi="Arial" w:cs="Arial"/>
          <w:strike/>
          <w:sz w:val="24"/>
          <w:szCs w:val="24"/>
        </w:rPr>
        <w:t>Air Pollution Control Fund</w:t>
      </w:r>
      <w:r w:rsidRPr="00B61FF1">
        <w:rPr>
          <w:rFonts w:ascii="Arial" w:hAnsi="Arial" w:cs="Arial"/>
          <w:sz w:val="24"/>
          <w:szCs w:val="24"/>
        </w:rPr>
        <w:t>;</w:t>
      </w:r>
    </w:p>
    <w:p w14:paraId="31B0E96F" w14:textId="15EC8D97" w:rsidR="00CA7453" w:rsidRPr="00B61FF1" w:rsidRDefault="00CA7453" w:rsidP="00FE6A4C">
      <w:pPr>
        <w:pStyle w:val="ListParagraph"/>
        <w:numPr>
          <w:ilvl w:val="2"/>
          <w:numId w:val="51"/>
        </w:numPr>
        <w:spacing w:line="360" w:lineRule="auto"/>
        <w:rPr>
          <w:rFonts w:ascii="Arial" w:hAnsi="Arial" w:cs="Arial"/>
          <w:sz w:val="24"/>
          <w:szCs w:val="24"/>
        </w:rPr>
      </w:pPr>
      <w:r w:rsidRPr="00B61FF1">
        <w:rPr>
          <w:rFonts w:ascii="Arial" w:hAnsi="Arial" w:cs="Arial"/>
          <w:sz w:val="24"/>
          <w:szCs w:val="24"/>
        </w:rPr>
        <w:t>Deposit auction proceeds from sales of ARB allowances sold at auction into the</w:t>
      </w:r>
      <w:r w:rsidR="00E244E6" w:rsidRPr="00E244E6">
        <w:rPr>
          <w:rFonts w:ascii="Arial" w:hAnsi="Arial" w:cs="Arial"/>
          <w:sz w:val="24"/>
          <w:szCs w:val="24"/>
          <w:u w:val="single"/>
        </w:rPr>
        <w:t xml:space="preserve"> </w:t>
      </w:r>
      <w:r w:rsidR="00E244E6" w:rsidRPr="00B61FF1">
        <w:rPr>
          <w:rFonts w:ascii="Arial" w:hAnsi="Arial" w:cs="Arial"/>
          <w:sz w:val="24"/>
          <w:szCs w:val="24"/>
          <w:u w:val="single"/>
        </w:rPr>
        <w:t>Greenhouse Gas Reduction Fund created pursuant to Government Code section 16428.8</w:t>
      </w:r>
      <w:r w:rsidRPr="00B61FF1">
        <w:rPr>
          <w:rFonts w:ascii="Arial" w:hAnsi="Arial" w:cs="Arial"/>
          <w:sz w:val="24"/>
          <w:szCs w:val="24"/>
        </w:rPr>
        <w:t xml:space="preserve"> </w:t>
      </w:r>
      <w:r w:rsidRPr="00E244E6">
        <w:rPr>
          <w:rFonts w:ascii="Arial" w:hAnsi="Arial" w:cs="Arial"/>
          <w:strike/>
          <w:sz w:val="24"/>
          <w:szCs w:val="24"/>
        </w:rPr>
        <w:t>Air Pollution Control Fund</w:t>
      </w:r>
      <w:r w:rsidRPr="00B61FF1">
        <w:rPr>
          <w:rFonts w:ascii="Arial" w:hAnsi="Arial" w:cs="Arial"/>
          <w:sz w:val="24"/>
          <w:szCs w:val="24"/>
        </w:rPr>
        <w:t>;</w:t>
      </w:r>
    </w:p>
    <w:p w14:paraId="6AF81001" w14:textId="77777777" w:rsidR="00CA7453" w:rsidRPr="00B61FF1" w:rsidRDefault="00CA7453" w:rsidP="00FE6A4C">
      <w:pPr>
        <w:pStyle w:val="ListParagraph"/>
        <w:numPr>
          <w:ilvl w:val="2"/>
          <w:numId w:val="51"/>
        </w:numPr>
        <w:spacing w:line="360" w:lineRule="auto"/>
        <w:rPr>
          <w:rFonts w:ascii="Arial" w:hAnsi="Arial" w:cs="Arial"/>
          <w:sz w:val="24"/>
          <w:szCs w:val="24"/>
        </w:rPr>
      </w:pPr>
      <w:r w:rsidRPr="00B61FF1">
        <w:rPr>
          <w:rFonts w:ascii="Arial" w:hAnsi="Arial" w:cs="Arial"/>
          <w:sz w:val="24"/>
          <w:szCs w:val="24"/>
        </w:rPr>
        <w:t>Distribute auction proceeds to entities that consigned allowances for auction pursuant to section 95910(d); and</w:t>
      </w:r>
    </w:p>
    <w:p w14:paraId="498AD78C" w14:textId="77777777" w:rsidR="00CA7453" w:rsidRPr="00B61FF1" w:rsidRDefault="00CA7453" w:rsidP="00FE6A4C">
      <w:pPr>
        <w:pStyle w:val="ListParagraph"/>
        <w:numPr>
          <w:ilvl w:val="2"/>
          <w:numId w:val="51"/>
        </w:numPr>
        <w:spacing w:line="360" w:lineRule="auto"/>
        <w:rPr>
          <w:rFonts w:ascii="Arial" w:hAnsi="Arial" w:cs="Arial"/>
          <w:sz w:val="24"/>
          <w:szCs w:val="24"/>
        </w:rPr>
      </w:pPr>
      <w:r w:rsidRPr="00B61FF1">
        <w:rPr>
          <w:rFonts w:ascii="Arial" w:hAnsi="Arial" w:cs="Arial"/>
          <w:sz w:val="24"/>
          <w:szCs w:val="24"/>
        </w:rPr>
        <w:t>Return any unused bid guarantee.</w:t>
      </w:r>
    </w:p>
    <w:p w14:paraId="6E7BDFF6" w14:textId="77777777" w:rsidR="002245B3" w:rsidRPr="00B61FF1" w:rsidRDefault="00CA7453" w:rsidP="00134AB0">
      <w:pPr>
        <w:spacing w:line="360" w:lineRule="auto"/>
        <w:ind w:left="1080" w:hanging="720"/>
        <w:rPr>
          <w:rFonts w:ascii="Arial" w:hAnsi="Arial" w:cs="Arial"/>
          <w:strike/>
          <w:sz w:val="24"/>
          <w:szCs w:val="24"/>
        </w:rPr>
      </w:pPr>
      <w:r w:rsidRPr="00B61FF1">
        <w:rPr>
          <w:rFonts w:ascii="Arial" w:hAnsi="Arial" w:cs="Arial"/>
          <w:sz w:val="24"/>
          <w:szCs w:val="24"/>
        </w:rPr>
        <w:t xml:space="preserve"> </w:t>
      </w:r>
      <w:r w:rsidR="00134AB0" w:rsidRPr="00B61FF1">
        <w:rPr>
          <w:rFonts w:ascii="Arial" w:hAnsi="Arial" w:cs="Arial"/>
          <w:sz w:val="24"/>
          <w:szCs w:val="24"/>
        </w:rPr>
        <w:t>(3)</w:t>
      </w:r>
      <w:r w:rsidR="00134AB0" w:rsidRPr="00B61FF1">
        <w:rPr>
          <w:rFonts w:ascii="Arial" w:hAnsi="Arial" w:cs="Arial"/>
          <w:sz w:val="24"/>
          <w:szCs w:val="24"/>
        </w:rPr>
        <w:tab/>
      </w:r>
      <w:r w:rsidR="002245B3" w:rsidRPr="00B61FF1">
        <w:rPr>
          <w:rFonts w:ascii="Arial" w:hAnsi="Arial" w:cs="Arial"/>
          <w:sz w:val="24"/>
          <w:szCs w:val="24"/>
        </w:rPr>
        <w:t>Upon determining that the payment for allowances has been deposited into the Air Pollution Control Fund or transferred to entities that consigned allowances</w:t>
      </w:r>
      <w:r w:rsidR="00633D10" w:rsidRPr="00B61FF1">
        <w:rPr>
          <w:rFonts w:ascii="Arial" w:hAnsi="Arial" w:cs="Arial"/>
          <w:sz w:val="24"/>
          <w:szCs w:val="24"/>
        </w:rPr>
        <w:t>,</w:t>
      </w:r>
      <w:r w:rsidR="002245B3" w:rsidRPr="00B61FF1">
        <w:rPr>
          <w:rFonts w:ascii="Arial" w:hAnsi="Arial" w:cs="Arial"/>
          <w:sz w:val="24"/>
          <w:szCs w:val="24"/>
        </w:rPr>
        <w:t xml:space="preserve"> transfer the </w:t>
      </w:r>
      <w:r w:rsidR="002245B3" w:rsidRPr="00B61FF1">
        <w:rPr>
          <w:rFonts w:ascii="Arial" w:hAnsi="Arial" w:cs="Arial"/>
          <w:strike/>
          <w:sz w:val="24"/>
          <w:szCs w:val="24"/>
        </w:rPr>
        <w:t>serial numbers of the</w:t>
      </w:r>
      <w:r w:rsidR="002245B3" w:rsidRPr="00B61FF1">
        <w:rPr>
          <w:rFonts w:ascii="Arial" w:hAnsi="Arial" w:cs="Arial"/>
          <w:sz w:val="24"/>
          <w:szCs w:val="24"/>
        </w:rPr>
        <w:t xml:space="preserve"> allowances purchased into each winning bidder’s Holding Account, or to its Compliance Account if needed to comply with the holding limit;</w:t>
      </w:r>
      <w:r w:rsidR="002245B3" w:rsidRPr="00B61FF1">
        <w:rPr>
          <w:rFonts w:ascii="Arial" w:hAnsi="Arial" w:cs="Arial"/>
          <w:strike/>
          <w:sz w:val="24"/>
          <w:szCs w:val="24"/>
        </w:rPr>
        <w:t xml:space="preserve"> </w:t>
      </w:r>
    </w:p>
    <w:p w14:paraId="214BD2DC" w14:textId="77777777" w:rsidR="002245B3" w:rsidRPr="00B61FF1" w:rsidRDefault="00134AB0" w:rsidP="00134AB0">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2245B3" w:rsidRPr="00B61FF1">
        <w:rPr>
          <w:rFonts w:ascii="Arial" w:hAnsi="Arial" w:cs="Arial"/>
          <w:sz w:val="24"/>
          <w:szCs w:val="24"/>
        </w:rPr>
        <w:t>Inform each approved external GHG emissions trading system and the associated tracking system of the serial numbers of allowances purchased at auction; and</w:t>
      </w:r>
    </w:p>
    <w:p w14:paraId="74E50A60" w14:textId="77777777" w:rsidR="002245B3" w:rsidRPr="00B61FF1" w:rsidRDefault="00134AB0" w:rsidP="00134AB0">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CA7453" w:rsidRPr="00B61FF1">
        <w:rPr>
          <w:rFonts w:ascii="Arial" w:hAnsi="Arial" w:cs="Arial"/>
          <w:sz w:val="24"/>
          <w:szCs w:val="24"/>
        </w:rPr>
        <w:t xml:space="preserve">Following the auction, the Executive Officer will publish at </w:t>
      </w:r>
      <w:hyperlink r:id="rId18" w:history="1">
        <w:r w:rsidR="00CA7453" w:rsidRPr="00B61FF1">
          <w:rPr>
            <w:rStyle w:val="Hyperlink"/>
            <w:rFonts w:ascii="Arial" w:hAnsi="Arial" w:cs="Arial"/>
            <w:sz w:val="24"/>
            <w:szCs w:val="24"/>
          </w:rPr>
          <w:t>www.arb.ca.gov</w:t>
        </w:r>
      </w:hyperlink>
      <w:r w:rsidR="00CA7453" w:rsidRPr="00B61FF1">
        <w:rPr>
          <w:rFonts w:ascii="Arial" w:hAnsi="Arial" w:cs="Arial"/>
          <w:sz w:val="24"/>
          <w:szCs w:val="24"/>
        </w:rPr>
        <w:t xml:space="preserve"> the following information:</w:t>
      </w:r>
    </w:p>
    <w:p w14:paraId="11CBF785" w14:textId="77777777" w:rsidR="00CA7453" w:rsidRPr="00B61FF1" w:rsidRDefault="00CA7453" w:rsidP="00FE6A4C">
      <w:pPr>
        <w:pStyle w:val="ListParagraph"/>
        <w:numPr>
          <w:ilvl w:val="0"/>
          <w:numId w:val="52"/>
        </w:numPr>
        <w:spacing w:line="360" w:lineRule="auto"/>
        <w:ind w:hanging="720"/>
        <w:rPr>
          <w:rFonts w:ascii="Arial" w:hAnsi="Arial" w:cs="Arial"/>
          <w:sz w:val="24"/>
          <w:szCs w:val="24"/>
        </w:rPr>
      </w:pPr>
      <w:r w:rsidRPr="00B61FF1">
        <w:rPr>
          <w:rFonts w:ascii="Arial" w:hAnsi="Arial" w:cs="Arial"/>
          <w:sz w:val="24"/>
          <w:szCs w:val="24"/>
        </w:rPr>
        <w:t>The names of the bidders;</w:t>
      </w:r>
    </w:p>
    <w:p w14:paraId="58E3597E" w14:textId="77777777" w:rsidR="00CA7453" w:rsidRPr="00B61FF1" w:rsidRDefault="00CA7453" w:rsidP="00FE6A4C">
      <w:pPr>
        <w:pStyle w:val="ListParagraph"/>
        <w:numPr>
          <w:ilvl w:val="0"/>
          <w:numId w:val="52"/>
        </w:numPr>
        <w:spacing w:line="360" w:lineRule="auto"/>
        <w:ind w:hanging="720"/>
        <w:rPr>
          <w:rFonts w:ascii="Arial" w:hAnsi="Arial" w:cs="Arial"/>
          <w:sz w:val="24"/>
          <w:szCs w:val="24"/>
        </w:rPr>
      </w:pPr>
      <w:r w:rsidRPr="00B61FF1">
        <w:rPr>
          <w:rFonts w:ascii="Arial" w:hAnsi="Arial" w:cs="Arial"/>
          <w:sz w:val="24"/>
          <w:szCs w:val="24"/>
        </w:rPr>
        <w:t xml:space="preserve">Auction settlement price; and </w:t>
      </w:r>
    </w:p>
    <w:p w14:paraId="24ED2F1C" w14:textId="77777777" w:rsidR="00CA7453" w:rsidRPr="00B61FF1" w:rsidRDefault="00CA7453" w:rsidP="00FE6A4C">
      <w:pPr>
        <w:pStyle w:val="ListParagraph"/>
        <w:numPr>
          <w:ilvl w:val="0"/>
          <w:numId w:val="52"/>
        </w:numPr>
        <w:spacing w:line="360" w:lineRule="auto"/>
        <w:ind w:hanging="720"/>
        <w:rPr>
          <w:rFonts w:ascii="Arial" w:hAnsi="Arial" w:cs="Arial"/>
          <w:sz w:val="24"/>
          <w:szCs w:val="24"/>
        </w:rPr>
      </w:pPr>
      <w:r w:rsidRPr="00B61FF1">
        <w:rPr>
          <w:rFonts w:ascii="Arial" w:hAnsi="Arial" w:cs="Arial"/>
          <w:sz w:val="24"/>
          <w:szCs w:val="24"/>
        </w:rPr>
        <w:t>Aggregated or distributional information on purchases with the names of the entities withheld.</w:t>
      </w:r>
    </w:p>
    <w:p w14:paraId="3A351412" w14:textId="77777777" w:rsidR="00FE6B15" w:rsidRPr="00B61FF1" w:rsidRDefault="00FE6B15" w:rsidP="004E3B67">
      <w:pPr>
        <w:spacing w:line="360" w:lineRule="auto"/>
        <w:ind w:left="360"/>
        <w:rPr>
          <w:rFonts w:ascii="Arial" w:hAnsi="Arial" w:cs="Arial"/>
          <w:sz w:val="24"/>
          <w:szCs w:val="24"/>
        </w:rPr>
      </w:pPr>
    </w:p>
    <w:p w14:paraId="214FDAA5" w14:textId="77777777" w:rsidR="00FE6B15" w:rsidRPr="00B61FF1" w:rsidRDefault="00FE6B15" w:rsidP="00EC7AFC">
      <w:pPr>
        <w:rPr>
          <w:rFonts w:ascii="Arial" w:hAnsi="Arial" w:cs="Arial"/>
        </w:rPr>
      </w:pPr>
      <w:bookmarkStart w:id="358" w:name="_Toc269798089"/>
      <w:r w:rsidRPr="00B61FF1">
        <w:rPr>
          <w:rFonts w:ascii="Arial" w:hAnsi="Arial" w:cs="Arial"/>
        </w:rPr>
        <w:t>NOTE:  Authority cited:  Sections 38510, 38560, 38562, 38570, 38571, 38580, 39600 and 39601, Health and Safety Code.</w:t>
      </w:r>
    </w:p>
    <w:p w14:paraId="0F83B932" w14:textId="77777777" w:rsidR="00FE6B15" w:rsidRDefault="00FE6B15" w:rsidP="00EC7AFC">
      <w:pPr>
        <w:rPr>
          <w:rFonts w:ascii="Arial" w:hAnsi="Arial" w:cs="Arial"/>
          <w:strike/>
        </w:rPr>
      </w:pPr>
      <w:r w:rsidRPr="00B61FF1">
        <w:rPr>
          <w:rFonts w:ascii="Arial" w:hAnsi="Arial" w:cs="Arial"/>
        </w:rPr>
        <w:t>Reference:  Sections 38530, 38560.5, 38564, 38565, 38570 and 39600, Health and Safety Code</w:t>
      </w:r>
      <w:r w:rsidRPr="004D6109">
        <w:rPr>
          <w:rFonts w:ascii="Arial" w:hAnsi="Arial" w:cs="Arial"/>
          <w:strike/>
        </w:rPr>
        <w:t>.</w:t>
      </w:r>
    </w:p>
    <w:p w14:paraId="42342F77" w14:textId="670DB9E6" w:rsidR="004D6109" w:rsidRPr="004D6109" w:rsidRDefault="004D6109" w:rsidP="00EC7AFC">
      <w:pPr>
        <w:rPr>
          <w:rFonts w:ascii="Arial" w:hAnsi="Arial" w:cs="Arial"/>
          <w:strike/>
        </w:rPr>
      </w:pPr>
      <w:r w:rsidRPr="00B61FF1">
        <w:rPr>
          <w:rFonts w:ascii="Arial" w:hAnsi="Arial" w:cs="Arial"/>
          <w:u w:val="single"/>
        </w:rPr>
        <w:t>and Section 16428.8, Government Code.</w:t>
      </w:r>
    </w:p>
    <w:p w14:paraId="4B64710E" w14:textId="77777777" w:rsidR="00BD1FA4" w:rsidRPr="00B61FF1" w:rsidRDefault="00BD1FA4" w:rsidP="00EC7AFC">
      <w:pPr>
        <w:rPr>
          <w:rFonts w:ascii="Arial" w:hAnsi="Arial" w:cs="Arial"/>
        </w:rPr>
      </w:pPr>
    </w:p>
    <w:p w14:paraId="67520146" w14:textId="77777777" w:rsidR="00903A8C" w:rsidRPr="00B61FF1" w:rsidRDefault="00903A8C" w:rsidP="00903A8C">
      <w:pPr>
        <w:pStyle w:val="Heading2"/>
        <w:keepNext w:val="0"/>
        <w:rPr>
          <w:i/>
          <w:szCs w:val="24"/>
        </w:rPr>
      </w:pPr>
      <w:bookmarkStart w:id="359" w:name="_Toc299094956"/>
      <w:bookmarkStart w:id="360" w:name="_Toc302746810"/>
      <w:bookmarkStart w:id="361" w:name="_Toc352146269"/>
      <w:bookmarkStart w:id="362" w:name="_Toc361659873"/>
      <w:bookmarkEnd w:id="358"/>
      <w:r w:rsidRPr="00B61FF1">
        <w:rPr>
          <w:szCs w:val="24"/>
        </w:rPr>
        <w:t>§ 95913. Sale of Allowances from the Allowance Price Containment Reserve.</w:t>
      </w:r>
      <w:bookmarkEnd w:id="359"/>
      <w:bookmarkEnd w:id="360"/>
      <w:bookmarkEnd w:id="361"/>
      <w:bookmarkEnd w:id="362"/>
    </w:p>
    <w:p w14:paraId="5007B671" w14:textId="77777777" w:rsidR="00903A8C" w:rsidRPr="00B61FF1" w:rsidRDefault="00D3622F" w:rsidP="00D3622F">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903A8C" w:rsidRPr="00B61FF1">
        <w:rPr>
          <w:rFonts w:ascii="Arial" w:hAnsi="Arial" w:cs="Arial"/>
          <w:sz w:val="24"/>
          <w:szCs w:val="24"/>
        </w:rPr>
        <w:t>The Executive Officer may serve as reserve sale administrator to conduct sales from the Allowance Price Containment Reserve (Reserve) or designate an entity to serve as reserve sale administrator.</w:t>
      </w:r>
      <w:r w:rsidR="00D43FE1" w:rsidRPr="00B61FF1">
        <w:rPr>
          <w:rFonts w:ascii="Arial" w:hAnsi="Arial" w:cs="Arial"/>
          <w:sz w:val="24"/>
          <w:szCs w:val="24"/>
        </w:rPr>
        <w:t xml:space="preserve">  The financial services administrator designated by the Executive Officer pursuant to </w:t>
      </w:r>
      <w:r w:rsidR="00082BC6" w:rsidRPr="00B61FF1">
        <w:rPr>
          <w:rFonts w:ascii="Arial" w:hAnsi="Arial" w:cs="Arial"/>
          <w:sz w:val="24"/>
          <w:szCs w:val="24"/>
        </w:rPr>
        <w:t xml:space="preserve">section </w:t>
      </w:r>
      <w:r w:rsidR="00D43FE1" w:rsidRPr="00B61FF1">
        <w:rPr>
          <w:rFonts w:ascii="Arial" w:hAnsi="Arial" w:cs="Arial"/>
          <w:sz w:val="24"/>
          <w:szCs w:val="24"/>
        </w:rPr>
        <w:t>95912(a) will conduct the financial transactions required to operate sales from the Reserve.</w:t>
      </w:r>
      <w:r w:rsidR="00903A8C" w:rsidRPr="00B61FF1">
        <w:rPr>
          <w:rFonts w:ascii="Arial" w:hAnsi="Arial" w:cs="Arial"/>
          <w:sz w:val="24"/>
          <w:szCs w:val="24"/>
        </w:rPr>
        <w:t xml:space="preserve"> </w:t>
      </w:r>
    </w:p>
    <w:p w14:paraId="52EEE8FD" w14:textId="615D26FE" w:rsidR="00903A8C" w:rsidRPr="00B61FF1" w:rsidRDefault="00D3622F" w:rsidP="00D3622F">
      <w:pPr>
        <w:pStyle w:val="ListParagraph"/>
        <w:spacing w:line="360" w:lineRule="auto"/>
        <w:ind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C33E8B" w:rsidRPr="00B61FF1">
        <w:rPr>
          <w:rFonts w:ascii="Arial" w:hAnsi="Arial" w:cs="Arial"/>
          <w:sz w:val="24"/>
          <w:szCs w:val="24"/>
          <w:u w:val="single"/>
        </w:rPr>
        <w:t>Entities registered in an External GHG ETS to which California has linked pursuant to subarticle 12 are not el</w:t>
      </w:r>
      <w:r w:rsidR="00103C04" w:rsidRPr="00B61FF1">
        <w:rPr>
          <w:rFonts w:ascii="Arial" w:hAnsi="Arial" w:cs="Arial"/>
          <w:sz w:val="24"/>
          <w:szCs w:val="24"/>
          <w:u w:val="single"/>
        </w:rPr>
        <w:t>i</w:t>
      </w:r>
      <w:r w:rsidR="00C33E8B" w:rsidRPr="00B61FF1">
        <w:rPr>
          <w:rFonts w:ascii="Arial" w:hAnsi="Arial" w:cs="Arial"/>
          <w:sz w:val="24"/>
          <w:szCs w:val="24"/>
          <w:u w:val="single"/>
        </w:rPr>
        <w:t>gible to purchase from the California Reserve</w:t>
      </w:r>
      <w:r w:rsidR="00903A8C" w:rsidRPr="00B61FF1">
        <w:rPr>
          <w:rFonts w:ascii="Arial" w:hAnsi="Arial" w:cs="Arial"/>
          <w:strike/>
          <w:sz w:val="24"/>
          <w:szCs w:val="24"/>
        </w:rPr>
        <w:t xml:space="preserve">If California links to an external greenhouse gas emissions trading system (GHG ETS) </w:t>
      </w:r>
      <w:r w:rsidR="000E1D50" w:rsidRPr="00B61FF1">
        <w:rPr>
          <w:rFonts w:ascii="Arial" w:hAnsi="Arial" w:cs="Arial"/>
          <w:strike/>
          <w:sz w:val="24"/>
          <w:szCs w:val="24"/>
        </w:rPr>
        <w:t xml:space="preserve">pursuant to subarticle 12, </w:t>
      </w:r>
      <w:r w:rsidR="00903A8C" w:rsidRPr="00B61FF1">
        <w:rPr>
          <w:rFonts w:ascii="Arial" w:hAnsi="Arial" w:cs="Arial"/>
          <w:strike/>
          <w:sz w:val="24"/>
          <w:szCs w:val="24"/>
        </w:rPr>
        <w:t xml:space="preserve">the linkage agreement will specify whether covered entities in the linked GHG ETS will be eligible to purchase from a jointly operated Reserve, or whether each </w:t>
      </w:r>
      <w:r w:rsidR="000E1D50" w:rsidRPr="00B61FF1">
        <w:rPr>
          <w:rFonts w:ascii="Arial" w:hAnsi="Arial" w:cs="Arial"/>
          <w:strike/>
          <w:sz w:val="24"/>
          <w:szCs w:val="24"/>
        </w:rPr>
        <w:t xml:space="preserve">GHG </w:t>
      </w:r>
      <w:r w:rsidR="00903A8C" w:rsidRPr="00B61FF1">
        <w:rPr>
          <w:rFonts w:ascii="Arial" w:hAnsi="Arial" w:cs="Arial"/>
          <w:strike/>
          <w:sz w:val="24"/>
          <w:szCs w:val="24"/>
        </w:rPr>
        <w:t xml:space="preserve">ETS will operate </w:t>
      </w:r>
      <w:r w:rsidR="00CA443B" w:rsidRPr="00B61FF1">
        <w:rPr>
          <w:rFonts w:ascii="Arial" w:hAnsi="Arial" w:cs="Arial"/>
          <w:strike/>
          <w:sz w:val="24"/>
          <w:szCs w:val="24"/>
        </w:rPr>
        <w:t xml:space="preserve">separate </w:t>
      </w:r>
      <w:r w:rsidR="00903A8C" w:rsidRPr="00B61FF1">
        <w:rPr>
          <w:rFonts w:ascii="Arial" w:hAnsi="Arial" w:cs="Arial"/>
          <w:strike/>
          <w:sz w:val="24"/>
          <w:szCs w:val="24"/>
        </w:rPr>
        <w:t>Reserves</w:t>
      </w:r>
      <w:r w:rsidR="00903A8C" w:rsidRPr="00B61FF1">
        <w:rPr>
          <w:rFonts w:ascii="Arial" w:hAnsi="Arial" w:cs="Arial"/>
          <w:sz w:val="24"/>
          <w:szCs w:val="24"/>
        </w:rPr>
        <w:t>.</w:t>
      </w:r>
    </w:p>
    <w:p w14:paraId="326D06E1" w14:textId="77777777" w:rsidR="00903A8C" w:rsidRPr="00B61FF1" w:rsidRDefault="00D3622F" w:rsidP="00D3622F">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D65C96" w:rsidRPr="00B61FF1">
        <w:rPr>
          <w:rFonts w:ascii="Arial" w:hAnsi="Arial" w:cs="Arial"/>
          <w:sz w:val="24"/>
          <w:szCs w:val="24"/>
        </w:rPr>
        <w:t>Only entities registered into the California GHG Cap-and-Trade Program as provided in sections 95811 or 95813 shall be eligible to purchase allowances from the Reserve.  Prior to participating in a Reserve sale, any primary or alternate account representative that will be submitting bids on behalf of entities eligible to participate in Reserve sales must have already:</w:t>
      </w:r>
    </w:p>
    <w:p w14:paraId="1BADBED5"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D65C96" w:rsidRPr="00B61FF1">
        <w:rPr>
          <w:rFonts w:ascii="Arial" w:hAnsi="Arial" w:cs="Arial"/>
          <w:sz w:val="24"/>
          <w:szCs w:val="24"/>
        </w:rPr>
        <w:t>Complied with the Know-Your-Customer requirements of section 95834; and</w:t>
      </w:r>
    </w:p>
    <w:p w14:paraId="737EA3BA"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D65C96" w:rsidRPr="00B61FF1">
        <w:rPr>
          <w:rFonts w:ascii="Arial" w:hAnsi="Arial" w:cs="Arial"/>
          <w:sz w:val="24"/>
          <w:szCs w:val="24"/>
        </w:rPr>
        <w:t>Submitted the additional information required by the financial services administrator contained in Appendix A of this subarticle.</w:t>
      </w:r>
    </w:p>
    <w:p w14:paraId="5C5C192B" w14:textId="77777777" w:rsidR="00D65C96" w:rsidRPr="00B61FF1" w:rsidRDefault="00D65C96" w:rsidP="00D65C96">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Timing of Reserve Sales.</w:t>
      </w:r>
    </w:p>
    <w:p w14:paraId="543E778A" w14:textId="77777777" w:rsidR="00D65C96" w:rsidRPr="00B61FF1" w:rsidRDefault="00D65C96" w:rsidP="00D65C96">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first Reserve sale will be conducted on March 8, 2013.</w:t>
      </w:r>
    </w:p>
    <w:p w14:paraId="7B7CB8B4" w14:textId="7166D50B" w:rsidR="00D65C96" w:rsidRPr="00B61FF1" w:rsidRDefault="00D65C96" w:rsidP="00D65C96">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Subsequent</w:t>
      </w:r>
      <w:r w:rsidR="00511879" w:rsidRPr="00B61FF1">
        <w:rPr>
          <w:rFonts w:ascii="Arial" w:hAnsi="Arial" w:cs="Arial"/>
          <w:sz w:val="24"/>
          <w:szCs w:val="24"/>
        </w:rPr>
        <w:t xml:space="preserve"> </w:t>
      </w:r>
      <w:r w:rsidRPr="00B61FF1">
        <w:rPr>
          <w:rFonts w:ascii="Arial" w:hAnsi="Arial" w:cs="Arial"/>
          <w:sz w:val="24"/>
          <w:szCs w:val="24"/>
        </w:rPr>
        <w:t>Reserve sales</w:t>
      </w:r>
      <w:r w:rsidR="00511879" w:rsidRPr="00B61FF1">
        <w:rPr>
          <w:rFonts w:ascii="Arial" w:hAnsi="Arial" w:cs="Arial"/>
          <w:sz w:val="24"/>
          <w:szCs w:val="24"/>
        </w:rPr>
        <w:t xml:space="preserve"> </w:t>
      </w:r>
      <w:r w:rsidR="00511879" w:rsidRPr="00B61FF1">
        <w:rPr>
          <w:rFonts w:ascii="Arial" w:hAnsi="Arial" w:cs="Arial"/>
          <w:sz w:val="24"/>
          <w:szCs w:val="24"/>
          <w:u w:val="single"/>
        </w:rPr>
        <w:t>through 2014</w:t>
      </w:r>
      <w:r w:rsidRPr="00B61FF1">
        <w:rPr>
          <w:rFonts w:ascii="Arial" w:hAnsi="Arial" w:cs="Arial"/>
          <w:sz w:val="24"/>
          <w:szCs w:val="24"/>
        </w:rPr>
        <w:t xml:space="preserve"> shall be conducted</w:t>
      </w:r>
      <w:r w:rsidR="00511879" w:rsidRPr="00B61FF1">
        <w:rPr>
          <w:rFonts w:ascii="Arial" w:hAnsi="Arial" w:cs="Arial"/>
          <w:sz w:val="24"/>
          <w:szCs w:val="24"/>
        </w:rPr>
        <w:t xml:space="preserve"> </w:t>
      </w:r>
      <w:r w:rsidRPr="00B61FF1">
        <w:rPr>
          <w:rFonts w:ascii="Arial" w:hAnsi="Arial" w:cs="Arial"/>
          <w:sz w:val="24"/>
          <w:szCs w:val="24"/>
        </w:rPr>
        <w:t>on the first business day six weeks after each quarterly allowance auction scheduled pursuant to section 95910.</w:t>
      </w:r>
    </w:p>
    <w:p w14:paraId="4D44ACF2" w14:textId="65311C1B" w:rsidR="00887AD3" w:rsidRPr="00B61FF1" w:rsidRDefault="00887AD3" w:rsidP="00D65C96">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4D6109">
        <w:rPr>
          <w:rFonts w:ascii="Arial" w:hAnsi="Arial" w:cs="Arial"/>
          <w:sz w:val="24"/>
          <w:szCs w:val="24"/>
        </w:rPr>
        <w:tab/>
      </w:r>
      <w:r w:rsidRPr="00B61FF1">
        <w:rPr>
          <w:rFonts w:ascii="Arial" w:hAnsi="Arial" w:cs="Arial"/>
          <w:sz w:val="24"/>
          <w:szCs w:val="24"/>
          <w:u w:val="single"/>
        </w:rPr>
        <w:t>Beginning in 2015, Rese</w:t>
      </w:r>
      <w:r w:rsidR="001F3A12" w:rsidRPr="00B61FF1">
        <w:rPr>
          <w:rFonts w:ascii="Arial" w:hAnsi="Arial" w:cs="Arial"/>
          <w:sz w:val="24"/>
          <w:szCs w:val="24"/>
          <w:u w:val="single"/>
        </w:rPr>
        <w:t>r</w:t>
      </w:r>
      <w:r w:rsidRPr="00B61FF1">
        <w:rPr>
          <w:rFonts w:ascii="Arial" w:hAnsi="Arial" w:cs="Arial"/>
          <w:sz w:val="24"/>
          <w:szCs w:val="24"/>
          <w:u w:val="single"/>
        </w:rPr>
        <w:t>ve sales shall be conducted according to the schedule in Appendix C.</w:t>
      </w:r>
    </w:p>
    <w:p w14:paraId="7AC6CDD8" w14:textId="528B839B" w:rsidR="00D65C96" w:rsidRPr="00B61FF1" w:rsidRDefault="00D65C96" w:rsidP="00D65C96">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3</w:t>
      </w:r>
      <w:r w:rsidR="00887AD3" w:rsidRPr="00B61FF1">
        <w:rPr>
          <w:rFonts w:ascii="Arial" w:hAnsi="Arial" w:cs="Arial"/>
          <w:sz w:val="24"/>
          <w:szCs w:val="24"/>
          <w:u w:val="single"/>
        </w:rPr>
        <w:t>4</w:t>
      </w:r>
      <w:r w:rsidRPr="00B61FF1">
        <w:rPr>
          <w:rFonts w:ascii="Arial" w:hAnsi="Arial" w:cs="Arial"/>
          <w:sz w:val="24"/>
          <w:szCs w:val="24"/>
        </w:rPr>
        <w:t>)</w:t>
      </w:r>
      <w:r w:rsidRPr="00B61FF1">
        <w:rPr>
          <w:rFonts w:ascii="Arial" w:hAnsi="Arial" w:cs="Arial"/>
          <w:sz w:val="24"/>
          <w:szCs w:val="24"/>
        </w:rPr>
        <w:tab/>
        <w:t xml:space="preserve">The Reserve sale administrator shall provide all eligible participants with notice of the number of allowances available for sale and the terms of the sale at least </w:t>
      </w:r>
      <w:r w:rsidRPr="00B61FF1">
        <w:rPr>
          <w:rFonts w:ascii="Arial" w:hAnsi="Arial" w:cs="Arial"/>
          <w:strike/>
          <w:sz w:val="24"/>
          <w:szCs w:val="24"/>
        </w:rPr>
        <w:t>four weeks</w:t>
      </w:r>
      <w:r w:rsidRPr="00B61FF1">
        <w:rPr>
          <w:rFonts w:ascii="Arial" w:hAnsi="Arial" w:cs="Arial"/>
          <w:sz w:val="24"/>
          <w:szCs w:val="24"/>
        </w:rPr>
        <w:t xml:space="preserve"> </w:t>
      </w:r>
      <w:r w:rsidR="0029095A" w:rsidRPr="00B61FF1">
        <w:rPr>
          <w:rFonts w:ascii="Arial" w:hAnsi="Arial" w:cs="Arial"/>
          <w:sz w:val="24"/>
          <w:szCs w:val="24"/>
          <w:u w:val="single"/>
        </w:rPr>
        <w:t>30 days</w:t>
      </w:r>
      <w:r w:rsidR="0029095A" w:rsidRPr="00B61FF1">
        <w:rPr>
          <w:rFonts w:ascii="Arial" w:hAnsi="Arial" w:cs="Arial"/>
          <w:sz w:val="24"/>
          <w:szCs w:val="24"/>
        </w:rPr>
        <w:t xml:space="preserve"> </w:t>
      </w:r>
      <w:r w:rsidRPr="00B61FF1">
        <w:rPr>
          <w:rFonts w:ascii="Arial" w:hAnsi="Arial" w:cs="Arial"/>
          <w:sz w:val="24"/>
          <w:szCs w:val="24"/>
        </w:rPr>
        <w:t>prior to the sale.</w:t>
      </w:r>
    </w:p>
    <w:p w14:paraId="37D3CC6F" w14:textId="07FB7185" w:rsidR="00E16E77" w:rsidRPr="00B61FF1" w:rsidRDefault="00E16E77" w:rsidP="00D65C96">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4</w:t>
      </w:r>
      <w:r w:rsidR="00887AD3" w:rsidRPr="00B61FF1">
        <w:rPr>
          <w:rFonts w:ascii="Arial" w:hAnsi="Arial" w:cs="Arial"/>
          <w:sz w:val="24"/>
          <w:szCs w:val="24"/>
          <w:u w:val="single"/>
        </w:rPr>
        <w:t>5</w:t>
      </w:r>
      <w:r w:rsidRPr="00B61FF1">
        <w:rPr>
          <w:rFonts w:ascii="Arial" w:hAnsi="Arial" w:cs="Arial"/>
          <w:sz w:val="24"/>
          <w:szCs w:val="24"/>
        </w:rPr>
        <w:t>)</w:t>
      </w:r>
      <w:r w:rsidRPr="00B61FF1">
        <w:rPr>
          <w:rFonts w:ascii="Arial" w:hAnsi="Arial" w:cs="Arial"/>
          <w:sz w:val="24"/>
          <w:szCs w:val="24"/>
        </w:rPr>
        <w:tab/>
        <w:t>The subsequent</w:t>
      </w:r>
      <w:r w:rsidR="006B1EEB" w:rsidRPr="00B61FF1">
        <w:rPr>
          <w:rFonts w:ascii="Arial" w:hAnsi="Arial" w:cs="Arial"/>
          <w:sz w:val="24"/>
          <w:szCs w:val="24"/>
        </w:rPr>
        <w:t xml:space="preserve"> Reserve sales in section 95913</w:t>
      </w:r>
      <w:r w:rsidR="00324EC8" w:rsidRPr="00B61FF1">
        <w:rPr>
          <w:rFonts w:ascii="Arial" w:hAnsi="Arial" w:cs="Arial"/>
          <w:strike/>
          <w:sz w:val="24"/>
          <w:szCs w:val="24"/>
        </w:rPr>
        <w:t>(</w:t>
      </w:r>
      <w:r w:rsidRPr="00B61FF1">
        <w:rPr>
          <w:rFonts w:ascii="Arial" w:hAnsi="Arial" w:cs="Arial"/>
          <w:sz w:val="24"/>
          <w:szCs w:val="24"/>
        </w:rPr>
        <w:t>(d)(2), shall be conducted on the first day six weeks after each quarterly allowances auction scheduled pursuant to section 95910 that is also a business day in California and any linked jurisdiction operating an External GHG ETS to which Cal</w:t>
      </w:r>
      <w:r w:rsidR="0029095A" w:rsidRPr="00B61FF1">
        <w:rPr>
          <w:rFonts w:ascii="Arial" w:hAnsi="Arial" w:cs="Arial"/>
          <w:strike/>
          <w:sz w:val="24"/>
          <w:szCs w:val="24"/>
        </w:rPr>
        <w:t>i</w:t>
      </w:r>
      <w:r w:rsidR="004D5AFB" w:rsidRPr="00B61FF1">
        <w:rPr>
          <w:rFonts w:ascii="Arial" w:hAnsi="Arial" w:cs="Arial"/>
          <w:sz w:val="24"/>
          <w:szCs w:val="24"/>
        </w:rPr>
        <w:t>i</w:t>
      </w:r>
      <w:r w:rsidRPr="00B61FF1">
        <w:rPr>
          <w:rFonts w:ascii="Arial" w:hAnsi="Arial" w:cs="Arial"/>
          <w:sz w:val="24"/>
          <w:szCs w:val="24"/>
        </w:rPr>
        <w:t>fornia has linked pursuant to subarticle 12.</w:t>
      </w:r>
    </w:p>
    <w:p w14:paraId="41A6C508" w14:textId="195C20ED" w:rsidR="00887AD3" w:rsidRPr="00B61FF1" w:rsidRDefault="00887AD3" w:rsidP="00D65C96">
      <w:pPr>
        <w:spacing w:line="360" w:lineRule="auto"/>
        <w:ind w:left="1080" w:hanging="720"/>
        <w:rPr>
          <w:rFonts w:ascii="Arial" w:hAnsi="Arial" w:cs="Arial"/>
          <w:sz w:val="24"/>
          <w:szCs w:val="24"/>
          <w:u w:val="single"/>
        </w:rPr>
      </w:pPr>
      <w:r w:rsidRPr="00B61FF1">
        <w:rPr>
          <w:rFonts w:ascii="Arial" w:hAnsi="Arial" w:cs="Arial"/>
          <w:sz w:val="24"/>
          <w:szCs w:val="24"/>
          <w:u w:val="single"/>
        </w:rPr>
        <w:t>(</w:t>
      </w:r>
      <w:r w:rsidR="004D6109">
        <w:rPr>
          <w:rFonts w:ascii="Arial" w:hAnsi="Arial" w:cs="Arial"/>
          <w:sz w:val="24"/>
          <w:szCs w:val="24"/>
          <w:u w:val="single"/>
        </w:rPr>
        <w:t>6</w:t>
      </w:r>
      <w:r w:rsidRPr="00B61FF1">
        <w:rPr>
          <w:rFonts w:ascii="Arial" w:hAnsi="Arial" w:cs="Arial"/>
          <w:sz w:val="24"/>
          <w:szCs w:val="24"/>
          <w:u w:val="single"/>
        </w:rPr>
        <w:t>)</w:t>
      </w:r>
      <w:r w:rsidRPr="004D6109">
        <w:rPr>
          <w:rFonts w:ascii="Arial" w:hAnsi="Arial" w:cs="Arial"/>
          <w:sz w:val="24"/>
          <w:szCs w:val="24"/>
        </w:rPr>
        <w:tab/>
      </w:r>
      <w:r w:rsidRPr="00B61FF1">
        <w:rPr>
          <w:rFonts w:ascii="Arial" w:hAnsi="Arial" w:cs="Arial"/>
          <w:sz w:val="24"/>
          <w:szCs w:val="24"/>
          <w:u w:val="single"/>
        </w:rPr>
        <w:t>Section 95913(d)(5) will not apply after January 1, 2015.</w:t>
      </w:r>
    </w:p>
    <w:p w14:paraId="535686A1" w14:textId="77777777" w:rsidR="0029095A" w:rsidRPr="00B61FF1" w:rsidRDefault="0029095A" w:rsidP="0029095A">
      <w:pPr>
        <w:spacing w:line="360" w:lineRule="auto"/>
        <w:ind w:left="720" w:hanging="720"/>
        <w:rPr>
          <w:rFonts w:ascii="Arial" w:hAnsi="Arial" w:cs="Arial"/>
          <w:sz w:val="24"/>
          <w:szCs w:val="24"/>
          <w:u w:val="single"/>
        </w:rPr>
      </w:pPr>
      <w:r w:rsidRPr="00B61FF1">
        <w:rPr>
          <w:rFonts w:ascii="Arial" w:hAnsi="Arial" w:cs="Arial"/>
          <w:sz w:val="24"/>
          <w:szCs w:val="24"/>
          <w:u w:val="single"/>
        </w:rPr>
        <w:t>(e)</w:t>
      </w:r>
      <w:r w:rsidRPr="004D6109">
        <w:rPr>
          <w:rFonts w:ascii="Arial" w:hAnsi="Arial" w:cs="Arial"/>
          <w:sz w:val="24"/>
          <w:szCs w:val="24"/>
        </w:rPr>
        <w:tab/>
      </w:r>
      <w:r w:rsidRPr="00B61FF1">
        <w:rPr>
          <w:rFonts w:ascii="Arial" w:hAnsi="Arial" w:cs="Arial"/>
          <w:sz w:val="24"/>
          <w:szCs w:val="24"/>
          <w:u w:val="single"/>
        </w:rPr>
        <w:t>Reserve Sale Intent to Bid Notification Requirements</w:t>
      </w:r>
    </w:p>
    <w:p w14:paraId="3977B331" w14:textId="37E1CB7E" w:rsidR="0029095A" w:rsidRPr="00B61FF1" w:rsidRDefault="0029095A" w:rsidP="0029095A">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4D6109">
        <w:rPr>
          <w:rFonts w:ascii="Arial" w:hAnsi="Arial" w:cs="Arial"/>
          <w:sz w:val="24"/>
          <w:szCs w:val="24"/>
        </w:rPr>
        <w:tab/>
      </w:r>
      <w:r w:rsidRPr="00B61FF1">
        <w:rPr>
          <w:rFonts w:ascii="Arial" w:hAnsi="Arial" w:cs="Arial"/>
          <w:sz w:val="24"/>
          <w:szCs w:val="24"/>
          <w:u w:val="single"/>
        </w:rPr>
        <w:t xml:space="preserve">An entity must inform the reserve sale administrator at least 20 days prior to a reserve sale of </w:t>
      </w:r>
      <w:r w:rsidR="00887AD3" w:rsidRPr="00B61FF1">
        <w:rPr>
          <w:rFonts w:ascii="Arial" w:hAnsi="Arial" w:cs="Arial"/>
          <w:sz w:val="24"/>
          <w:szCs w:val="24"/>
          <w:u w:val="single"/>
        </w:rPr>
        <w:t>its</w:t>
      </w:r>
      <w:r w:rsidRPr="00B61FF1">
        <w:rPr>
          <w:rFonts w:ascii="Arial" w:hAnsi="Arial" w:cs="Arial"/>
          <w:sz w:val="24"/>
          <w:szCs w:val="24"/>
          <w:u w:val="single"/>
        </w:rPr>
        <w:t xml:space="preserve"> intent to bid in a reserve sale, otherwise the entity may not participate in that reserve sale.</w:t>
      </w:r>
    </w:p>
    <w:p w14:paraId="40223D6F" w14:textId="07819292" w:rsidR="0029095A" w:rsidRPr="00B61FF1" w:rsidRDefault="0029095A" w:rsidP="0029095A">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4D6109">
        <w:rPr>
          <w:rFonts w:ascii="Arial" w:hAnsi="Arial" w:cs="Arial"/>
          <w:sz w:val="24"/>
          <w:szCs w:val="24"/>
        </w:rPr>
        <w:tab/>
      </w:r>
      <w:r w:rsidRPr="00B61FF1">
        <w:rPr>
          <w:rFonts w:ascii="Arial" w:hAnsi="Arial" w:cs="Arial"/>
          <w:sz w:val="24"/>
          <w:szCs w:val="24"/>
          <w:u w:val="single"/>
        </w:rPr>
        <w:t xml:space="preserve">An entity with any auction application information listed in subsection 95912(d)(4) above </w:t>
      </w:r>
      <w:r w:rsidR="00887AD3" w:rsidRPr="00B61FF1">
        <w:rPr>
          <w:rFonts w:ascii="Arial" w:hAnsi="Arial" w:cs="Arial"/>
          <w:sz w:val="24"/>
          <w:szCs w:val="24"/>
          <w:u w:val="single"/>
        </w:rPr>
        <w:t>that changes</w:t>
      </w:r>
      <w:r w:rsidRPr="00B61FF1">
        <w:rPr>
          <w:rFonts w:ascii="Arial" w:hAnsi="Arial" w:cs="Arial"/>
          <w:sz w:val="24"/>
          <w:szCs w:val="24"/>
          <w:u w:val="single"/>
        </w:rPr>
        <w:t xml:space="preserve"> 30 days </w:t>
      </w:r>
      <w:r w:rsidR="007B30FD" w:rsidRPr="00B61FF1">
        <w:rPr>
          <w:rFonts w:ascii="Arial" w:hAnsi="Arial" w:cs="Arial"/>
          <w:sz w:val="24"/>
          <w:szCs w:val="24"/>
          <w:u w:val="single"/>
        </w:rPr>
        <w:t>prior to</w:t>
      </w:r>
      <w:r w:rsidRPr="00B61FF1">
        <w:rPr>
          <w:rFonts w:ascii="Arial" w:hAnsi="Arial" w:cs="Arial"/>
          <w:sz w:val="24"/>
          <w:szCs w:val="24"/>
          <w:u w:val="single"/>
        </w:rPr>
        <w:t xml:space="preserve"> a reserve sale</w:t>
      </w:r>
      <w:r w:rsidR="00534FD5" w:rsidRPr="00B61FF1">
        <w:rPr>
          <w:rFonts w:ascii="Arial" w:hAnsi="Arial" w:cs="Arial"/>
          <w:sz w:val="24"/>
          <w:szCs w:val="24"/>
          <w:u w:val="single"/>
        </w:rPr>
        <w:t>,</w:t>
      </w:r>
      <w:r w:rsidRPr="00B61FF1">
        <w:rPr>
          <w:rFonts w:ascii="Arial" w:hAnsi="Arial" w:cs="Arial"/>
          <w:sz w:val="24"/>
          <w:szCs w:val="24"/>
          <w:u w:val="single"/>
        </w:rPr>
        <w:t xml:space="preserve"> </w:t>
      </w:r>
      <w:r w:rsidR="00534FD5" w:rsidRPr="00B61FF1">
        <w:rPr>
          <w:rFonts w:ascii="Arial" w:hAnsi="Arial" w:cs="Arial"/>
          <w:sz w:val="24"/>
          <w:szCs w:val="24"/>
          <w:u w:val="single"/>
        </w:rPr>
        <w:t xml:space="preserve">or 15 days after a reserve sale, </w:t>
      </w:r>
      <w:r w:rsidRPr="00B61FF1">
        <w:rPr>
          <w:rFonts w:ascii="Arial" w:hAnsi="Arial" w:cs="Arial"/>
          <w:sz w:val="24"/>
          <w:szCs w:val="24"/>
          <w:u w:val="single"/>
        </w:rPr>
        <w:t>cannot participate in a reserve sale.</w:t>
      </w:r>
    </w:p>
    <w:p w14:paraId="7C9BB4F8" w14:textId="77777777" w:rsidR="00903A8C" w:rsidRPr="00B61FF1" w:rsidRDefault="00D3622F" w:rsidP="00D3622F">
      <w:pPr>
        <w:spacing w:line="360" w:lineRule="auto"/>
        <w:ind w:left="720" w:hanging="720"/>
        <w:rPr>
          <w:rFonts w:ascii="Arial" w:hAnsi="Arial" w:cs="Arial"/>
          <w:sz w:val="24"/>
          <w:szCs w:val="24"/>
        </w:rPr>
      </w:pPr>
      <w:r w:rsidRPr="00B61FF1">
        <w:rPr>
          <w:rFonts w:ascii="Arial" w:hAnsi="Arial" w:cs="Arial"/>
          <w:sz w:val="24"/>
          <w:szCs w:val="24"/>
        </w:rPr>
        <w:t>(</w:t>
      </w:r>
      <w:r w:rsidR="00534FD5" w:rsidRPr="00B61FF1">
        <w:rPr>
          <w:rFonts w:ascii="Arial" w:hAnsi="Arial" w:cs="Arial"/>
          <w:strike/>
          <w:sz w:val="24"/>
          <w:szCs w:val="24"/>
        </w:rPr>
        <w:t>e</w:t>
      </w:r>
      <w:r w:rsidR="0029095A" w:rsidRPr="00B61FF1">
        <w:rPr>
          <w:rFonts w:ascii="Arial" w:hAnsi="Arial" w:cs="Arial"/>
          <w:sz w:val="24"/>
          <w:szCs w:val="24"/>
          <w:u w:val="single"/>
        </w:rPr>
        <w:t>f</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Reserve Tiers.</w:t>
      </w:r>
    </w:p>
    <w:p w14:paraId="7C7A92A3"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903A8C" w:rsidRPr="00B61FF1">
        <w:rPr>
          <w:rFonts w:ascii="Arial" w:hAnsi="Arial" w:cs="Arial"/>
          <w:sz w:val="24"/>
          <w:szCs w:val="24"/>
        </w:rPr>
        <w:t>Creation of Reserve Tiers.  Prior to the first</w:t>
      </w:r>
      <w:r w:rsidR="00CA443B" w:rsidRPr="00B61FF1">
        <w:rPr>
          <w:rFonts w:ascii="Arial" w:hAnsi="Arial" w:cs="Arial"/>
          <w:sz w:val="24"/>
          <w:szCs w:val="24"/>
        </w:rPr>
        <w:t xml:space="preserve"> Reserve </w:t>
      </w:r>
      <w:r w:rsidR="00903A8C" w:rsidRPr="00B61FF1">
        <w:rPr>
          <w:rFonts w:ascii="Arial" w:hAnsi="Arial" w:cs="Arial"/>
          <w:sz w:val="24"/>
          <w:szCs w:val="24"/>
        </w:rPr>
        <w:t xml:space="preserve">sale, the </w:t>
      </w:r>
      <w:r w:rsidR="00D65C96" w:rsidRPr="00B61FF1">
        <w:rPr>
          <w:rFonts w:ascii="Arial" w:hAnsi="Arial" w:cs="Arial"/>
          <w:sz w:val="24"/>
          <w:szCs w:val="24"/>
        </w:rPr>
        <w:t xml:space="preserve">Executive Officer </w:t>
      </w:r>
      <w:r w:rsidR="00903A8C" w:rsidRPr="00B61FF1">
        <w:rPr>
          <w:rFonts w:ascii="Arial" w:hAnsi="Arial" w:cs="Arial"/>
          <w:sz w:val="24"/>
          <w:szCs w:val="24"/>
        </w:rPr>
        <w:t xml:space="preserve">shall divide allowances allocated to the Reserve </w:t>
      </w:r>
      <w:r w:rsidR="00AF78F9" w:rsidRPr="00B61FF1">
        <w:rPr>
          <w:rFonts w:ascii="Arial" w:hAnsi="Arial" w:cs="Arial"/>
          <w:sz w:val="24"/>
          <w:szCs w:val="24"/>
          <w:u w:val="single"/>
        </w:rPr>
        <w:t>from</w:t>
      </w:r>
      <w:r w:rsidR="00604759" w:rsidRPr="00B61FF1">
        <w:rPr>
          <w:rFonts w:ascii="Arial" w:hAnsi="Arial" w:cs="Arial"/>
          <w:sz w:val="24"/>
          <w:szCs w:val="24"/>
          <w:u w:val="single"/>
        </w:rPr>
        <w:t xml:space="preserve"> section 95870(a) </w:t>
      </w:r>
      <w:r w:rsidR="00903A8C" w:rsidRPr="00B61FF1">
        <w:rPr>
          <w:rFonts w:ascii="Arial" w:hAnsi="Arial" w:cs="Arial"/>
          <w:sz w:val="24"/>
          <w:szCs w:val="24"/>
        </w:rPr>
        <w:t xml:space="preserve">into three equal-sized tiers.  </w:t>
      </w:r>
    </w:p>
    <w:p w14:paraId="055883DC" w14:textId="77777777" w:rsidR="00D65C96" w:rsidRPr="00B61FF1" w:rsidRDefault="00D65C96" w:rsidP="00D3622F">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Reserve sale administrator shall offer all of the allowances in the Reserve at each Reserve sale.</w:t>
      </w:r>
    </w:p>
    <w:p w14:paraId="2FC74027"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w:t>
      </w:r>
      <w:r w:rsidR="00D65C96" w:rsidRPr="00B61FF1">
        <w:rPr>
          <w:rFonts w:ascii="Arial" w:hAnsi="Arial" w:cs="Arial"/>
          <w:sz w:val="24"/>
          <w:szCs w:val="24"/>
        </w:rPr>
        <w:t>3</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 xml:space="preserve">Reserve Tier Prices.  Sales of </w:t>
      </w:r>
      <w:r w:rsidR="00CA443B" w:rsidRPr="00B61FF1">
        <w:rPr>
          <w:rFonts w:ascii="Arial" w:hAnsi="Arial" w:cs="Arial"/>
          <w:sz w:val="24"/>
          <w:szCs w:val="24"/>
        </w:rPr>
        <w:t>R</w:t>
      </w:r>
      <w:r w:rsidR="00903A8C" w:rsidRPr="00B61FF1">
        <w:rPr>
          <w:rFonts w:ascii="Arial" w:hAnsi="Arial" w:cs="Arial"/>
          <w:sz w:val="24"/>
          <w:szCs w:val="24"/>
        </w:rPr>
        <w:t xml:space="preserve">eserve allowances in calendar year </w:t>
      </w:r>
      <w:r w:rsidR="002F2A83" w:rsidRPr="00B61FF1">
        <w:rPr>
          <w:rFonts w:ascii="Arial" w:hAnsi="Arial" w:cs="Arial"/>
          <w:sz w:val="24"/>
          <w:szCs w:val="24"/>
        </w:rPr>
        <w:t>2013</w:t>
      </w:r>
      <w:r w:rsidR="00903A8C" w:rsidRPr="00B61FF1">
        <w:rPr>
          <w:rFonts w:ascii="Arial" w:hAnsi="Arial" w:cs="Arial"/>
          <w:sz w:val="24"/>
          <w:szCs w:val="24"/>
        </w:rPr>
        <w:t xml:space="preserve"> shall be conducted at the following prices:</w:t>
      </w:r>
    </w:p>
    <w:p w14:paraId="09F4D89C" w14:textId="77777777" w:rsidR="00903A8C" w:rsidRPr="00B61FF1" w:rsidRDefault="004173A0" w:rsidP="00D3622F">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903A8C" w:rsidRPr="00B61FF1">
        <w:rPr>
          <w:rFonts w:ascii="Arial" w:hAnsi="Arial" w:cs="Arial"/>
          <w:sz w:val="24"/>
          <w:szCs w:val="24"/>
        </w:rPr>
        <w:t>Allowances from the first tier shall be offered for $40 per allowance;</w:t>
      </w:r>
    </w:p>
    <w:p w14:paraId="1126943E" w14:textId="77777777" w:rsidR="00903A8C" w:rsidRPr="00B61FF1" w:rsidRDefault="004173A0" w:rsidP="004173A0">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903A8C" w:rsidRPr="00B61FF1">
        <w:rPr>
          <w:rFonts w:ascii="Arial" w:hAnsi="Arial" w:cs="Arial"/>
          <w:sz w:val="24"/>
          <w:szCs w:val="24"/>
        </w:rPr>
        <w:t>Allowances from the second tier shall be offered for $45 per allowance; and</w:t>
      </w:r>
    </w:p>
    <w:p w14:paraId="1011D183" w14:textId="77777777" w:rsidR="00903A8C" w:rsidRPr="00B61FF1" w:rsidRDefault="004173A0" w:rsidP="004173A0">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903A8C" w:rsidRPr="00B61FF1">
        <w:rPr>
          <w:rFonts w:ascii="Arial" w:hAnsi="Arial" w:cs="Arial"/>
          <w:sz w:val="24"/>
          <w:szCs w:val="24"/>
        </w:rPr>
        <w:t>Allowances from the third tier shall be offered for $50 per allowance.</w:t>
      </w:r>
    </w:p>
    <w:p w14:paraId="169F50E7" w14:textId="77777777" w:rsidR="00903A8C"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w:t>
      </w:r>
      <w:r w:rsidR="00D65C96" w:rsidRPr="00B61FF1">
        <w:rPr>
          <w:rFonts w:ascii="Arial" w:hAnsi="Arial" w:cs="Arial"/>
          <w:sz w:val="24"/>
          <w:szCs w:val="24"/>
        </w:rPr>
        <w:t>4</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 xml:space="preserve">Increase in </w:t>
      </w:r>
      <w:r w:rsidR="00D65C96" w:rsidRPr="00B61FF1">
        <w:rPr>
          <w:rFonts w:ascii="Arial" w:hAnsi="Arial" w:cs="Arial"/>
          <w:sz w:val="24"/>
          <w:szCs w:val="24"/>
        </w:rPr>
        <w:t>Reserv</w:t>
      </w:r>
      <w:r w:rsidR="00903A8C" w:rsidRPr="00B61FF1">
        <w:rPr>
          <w:rFonts w:ascii="Arial" w:hAnsi="Arial" w:cs="Arial"/>
          <w:sz w:val="24"/>
          <w:szCs w:val="24"/>
        </w:rPr>
        <w:t>e</w:t>
      </w:r>
      <w:r w:rsidR="00D65C96" w:rsidRPr="00B61FF1">
        <w:rPr>
          <w:rFonts w:ascii="Arial" w:hAnsi="Arial" w:cs="Arial"/>
          <w:sz w:val="24"/>
          <w:szCs w:val="24"/>
        </w:rPr>
        <w:t xml:space="preserve"> Tier</w:t>
      </w:r>
      <w:r w:rsidR="00903A8C" w:rsidRPr="00B61FF1">
        <w:rPr>
          <w:rFonts w:ascii="Arial" w:hAnsi="Arial" w:cs="Arial"/>
          <w:sz w:val="24"/>
          <w:szCs w:val="24"/>
        </w:rPr>
        <w:t xml:space="preserve"> Prices.  In calendar years subsequent to </w:t>
      </w:r>
      <w:r w:rsidR="000E2138" w:rsidRPr="00B61FF1">
        <w:rPr>
          <w:rFonts w:ascii="Arial" w:hAnsi="Arial" w:cs="Arial"/>
          <w:sz w:val="24"/>
          <w:szCs w:val="24"/>
        </w:rPr>
        <w:t>2013</w:t>
      </w:r>
      <w:r w:rsidR="00903A8C" w:rsidRPr="00B61FF1">
        <w:rPr>
          <w:rFonts w:ascii="Arial" w:hAnsi="Arial" w:cs="Arial"/>
          <w:sz w:val="24"/>
          <w:szCs w:val="24"/>
        </w:rPr>
        <w:t xml:space="preserve">, allowances from each tier shall be offered at prices equal to the </w:t>
      </w:r>
      <w:r w:rsidR="00D65C96" w:rsidRPr="00B61FF1">
        <w:rPr>
          <w:rFonts w:ascii="Arial" w:hAnsi="Arial" w:cs="Arial"/>
          <w:sz w:val="24"/>
          <w:szCs w:val="24"/>
        </w:rPr>
        <w:t>tier</w:t>
      </w:r>
      <w:r w:rsidR="00903A8C" w:rsidRPr="00B61FF1">
        <w:rPr>
          <w:rFonts w:ascii="Arial" w:hAnsi="Arial" w:cs="Arial"/>
          <w:sz w:val="24"/>
          <w:szCs w:val="24"/>
        </w:rPr>
        <w:t xml:space="preserve"> price</w:t>
      </w:r>
      <w:r w:rsidR="00D65C96" w:rsidRPr="00B61FF1">
        <w:rPr>
          <w:rFonts w:ascii="Arial" w:hAnsi="Arial" w:cs="Arial"/>
          <w:sz w:val="24"/>
          <w:szCs w:val="24"/>
        </w:rPr>
        <w:t>s</w:t>
      </w:r>
      <w:r w:rsidR="00903A8C" w:rsidRPr="00B61FF1">
        <w:rPr>
          <w:rFonts w:ascii="Arial" w:hAnsi="Arial" w:cs="Arial"/>
          <w:sz w:val="24"/>
          <w:szCs w:val="24"/>
        </w:rPr>
        <w:t xml:space="preserve"> from the previous calendar year increased by </w:t>
      </w:r>
      <w:r w:rsidR="00C15B92" w:rsidRPr="00B61FF1">
        <w:rPr>
          <w:rFonts w:ascii="Arial" w:hAnsi="Arial" w:cs="Arial"/>
          <w:sz w:val="24"/>
          <w:szCs w:val="24"/>
        </w:rPr>
        <w:t>five</w:t>
      </w:r>
      <w:r w:rsidR="00903A8C" w:rsidRPr="00B61FF1">
        <w:rPr>
          <w:rFonts w:ascii="Arial" w:hAnsi="Arial" w:cs="Arial"/>
          <w:sz w:val="24"/>
          <w:szCs w:val="24"/>
        </w:rPr>
        <w:t xml:space="preserve"> percent plus the rate of inflation as measured by the </w:t>
      </w:r>
      <w:r w:rsidR="00D65C96" w:rsidRPr="00B61FF1">
        <w:rPr>
          <w:rFonts w:ascii="Arial" w:hAnsi="Arial" w:cs="Arial"/>
          <w:sz w:val="24"/>
          <w:szCs w:val="24"/>
        </w:rPr>
        <w:t xml:space="preserve">most recently available twelve month value of the </w:t>
      </w:r>
      <w:r w:rsidR="00903A8C" w:rsidRPr="00B61FF1">
        <w:rPr>
          <w:rFonts w:ascii="Arial" w:hAnsi="Arial" w:cs="Arial"/>
          <w:sz w:val="24"/>
          <w:szCs w:val="24"/>
        </w:rPr>
        <w:t xml:space="preserve">Consumer Price Index for All Urban Consumers. </w:t>
      </w:r>
    </w:p>
    <w:p w14:paraId="6FF8A066" w14:textId="77777777" w:rsidR="00601D34" w:rsidRPr="00B61FF1" w:rsidRDefault="00601D34" w:rsidP="00601D34">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 xml:space="preserve">This provision only applies to the Reserve sale immediately preceding the compliance obligation instrument surrender on November 1.  Pursuant to section 95870(f)(1), allowances in the Auction Holding Account will be made available at the highest price tier of the Allowance Price Containment Reserve if the amount of accepted bids at the highest price tier exceeds the number of allowances in that tier. </w:t>
      </w:r>
    </w:p>
    <w:p w14:paraId="302E6476" w14:textId="66FF88EF" w:rsidR="00601D34" w:rsidRPr="00B61FF1" w:rsidRDefault="00601D34" w:rsidP="00601D34">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The allowances will be made available no sooner than the Reserve sale immediately preceding the compliance obligation instrument surrender on November 1, 2015.</w:t>
      </w:r>
    </w:p>
    <w:p w14:paraId="7ED0E2FF" w14:textId="337E70E8" w:rsidR="00601D34" w:rsidRPr="00B61FF1" w:rsidRDefault="00601D34" w:rsidP="00601D34">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If the quantity of allowances from section 95870(a) allocated to the highest price tier plus the allowances defined in section 95870(f)(1) is equal to or greater than the quantity of accepted bids in the highest price tier then all accepted bids for the highest price tier will be filled.</w:t>
      </w:r>
    </w:p>
    <w:p w14:paraId="2EA15290" w14:textId="5F5B3FE3" w:rsidR="00601D34" w:rsidRPr="00B61FF1" w:rsidRDefault="00601D34" w:rsidP="00601D34">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If the quantity of accepted bids at the highest price tier exceeds the allowances from section 95870(a) plus the allowances defined in section 95870(f)(1), allowances will be sold through the procedure outlined in section 95913(h)(5).</w:t>
      </w:r>
    </w:p>
    <w:p w14:paraId="7DE936F3" w14:textId="28F517A0" w:rsidR="00601D34" w:rsidRPr="00B61FF1" w:rsidRDefault="00601D34" w:rsidP="00601D34">
      <w:pPr>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The accepted bids at the highest price tier will be filled first with allowances from section 95870(a) allocated to the highest price tier if available.</w:t>
      </w:r>
    </w:p>
    <w:p w14:paraId="78EF7E3D" w14:textId="76EE03E8" w:rsidR="002E1F1B" w:rsidRPr="00B61FF1" w:rsidRDefault="00601D34" w:rsidP="004D6109">
      <w:pPr>
        <w:spacing w:line="360" w:lineRule="auto"/>
        <w:ind w:left="180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ab/>
      </w:r>
      <w:r w:rsidRPr="00B61FF1">
        <w:rPr>
          <w:rFonts w:ascii="Arial" w:hAnsi="Arial" w:cs="Arial"/>
          <w:sz w:val="24"/>
          <w:szCs w:val="24"/>
          <w:u w:val="single"/>
        </w:rPr>
        <w:t>The allowances defined in section 95870(f)(1) will be sold beginning with the latest vintage in the Auction Holding Account and then the preceding vintages, from latest to most recent, until all accepted bids the highest price tier are filled or until all the allowances defined in section 95870(f)(1) have been sold.  The allowances defined in section 95870(f)(1) sold pursuant to this section shall first reduce the quantity of allowances defined in section 95870(b) if available and then will reduce the quantity of allowances defined in section 95870(j)(2).</w:t>
      </w:r>
    </w:p>
    <w:p w14:paraId="16CADF93" w14:textId="2D45BD05" w:rsidR="00903A8C" w:rsidRPr="00B61FF1" w:rsidRDefault="00534FD5" w:rsidP="004173A0">
      <w:pPr>
        <w:spacing w:line="360" w:lineRule="auto"/>
        <w:ind w:left="720" w:hanging="720"/>
        <w:rPr>
          <w:rFonts w:ascii="Arial" w:hAnsi="Arial" w:cs="Arial"/>
          <w:sz w:val="24"/>
          <w:szCs w:val="24"/>
        </w:rPr>
      </w:pPr>
      <w:r w:rsidRPr="00B61FF1">
        <w:rPr>
          <w:rFonts w:ascii="Arial" w:hAnsi="Arial" w:cs="Arial"/>
          <w:sz w:val="24"/>
          <w:szCs w:val="24"/>
        </w:rPr>
        <w:t xml:space="preserve"> </w:t>
      </w:r>
      <w:r w:rsidR="004173A0" w:rsidRPr="00B61FF1">
        <w:rPr>
          <w:rFonts w:ascii="Arial" w:hAnsi="Arial" w:cs="Arial"/>
          <w:sz w:val="24"/>
          <w:szCs w:val="24"/>
        </w:rPr>
        <w:t>(</w:t>
      </w:r>
      <w:r w:rsidRPr="00B61FF1">
        <w:rPr>
          <w:rFonts w:ascii="Arial" w:hAnsi="Arial" w:cs="Arial"/>
          <w:strike/>
          <w:sz w:val="24"/>
          <w:szCs w:val="24"/>
        </w:rPr>
        <w:t>f</w:t>
      </w:r>
      <w:r w:rsidR="008956BF" w:rsidRPr="00B61FF1">
        <w:rPr>
          <w:rFonts w:ascii="Arial" w:hAnsi="Arial" w:cs="Arial"/>
          <w:sz w:val="24"/>
          <w:szCs w:val="24"/>
          <w:u w:val="single"/>
        </w:rPr>
        <w:t>g</w:t>
      </w:r>
      <w:r w:rsidR="004173A0" w:rsidRPr="00B61FF1">
        <w:rPr>
          <w:rFonts w:ascii="Arial" w:hAnsi="Arial" w:cs="Arial"/>
          <w:sz w:val="24"/>
          <w:szCs w:val="24"/>
        </w:rPr>
        <w:t>)</w:t>
      </w:r>
      <w:r w:rsidR="004173A0" w:rsidRPr="00B61FF1">
        <w:rPr>
          <w:rFonts w:ascii="Arial" w:hAnsi="Arial" w:cs="Arial"/>
          <w:sz w:val="24"/>
          <w:szCs w:val="24"/>
        </w:rPr>
        <w:tab/>
      </w:r>
      <w:r w:rsidR="000B12F7" w:rsidRPr="00B61FF1">
        <w:rPr>
          <w:rFonts w:ascii="Arial" w:hAnsi="Arial" w:cs="Arial"/>
          <w:sz w:val="24"/>
          <w:szCs w:val="24"/>
        </w:rPr>
        <w:t xml:space="preserve">At least 12 days </w:t>
      </w:r>
      <w:r w:rsidR="00D77659" w:rsidRPr="00B61FF1">
        <w:rPr>
          <w:rFonts w:ascii="Arial" w:hAnsi="Arial" w:cs="Arial"/>
          <w:sz w:val="24"/>
          <w:szCs w:val="24"/>
        </w:rPr>
        <w:t xml:space="preserve">before the scheduled sale, </w:t>
      </w:r>
      <w:r w:rsidR="00D77659" w:rsidRPr="00B61FF1">
        <w:rPr>
          <w:rFonts w:ascii="Arial" w:hAnsi="Arial" w:cs="Arial"/>
          <w:sz w:val="24"/>
          <w:szCs w:val="24"/>
          <w:u w:val="single"/>
        </w:rPr>
        <w:t xml:space="preserve"> </w:t>
      </w:r>
      <w:r w:rsidR="00F923D0" w:rsidRPr="00B61FF1">
        <w:rPr>
          <w:rFonts w:ascii="Arial" w:hAnsi="Arial" w:cs="Arial"/>
          <w:sz w:val="24"/>
          <w:szCs w:val="24"/>
          <w:u w:val="single"/>
        </w:rPr>
        <w:t>by 5 p.m. Pacific Standard Time (or Pacific Daylight Savings Time, when in effect)</w:t>
      </w:r>
      <w:r w:rsidRPr="00B61FF1">
        <w:rPr>
          <w:rFonts w:ascii="Arial" w:hAnsi="Arial" w:cs="Arial"/>
          <w:sz w:val="24"/>
          <w:szCs w:val="24"/>
          <w:u w:val="single"/>
        </w:rPr>
        <w:t>,</w:t>
      </w:r>
      <w:r w:rsidR="000B12F7" w:rsidRPr="00B61FF1">
        <w:rPr>
          <w:rFonts w:ascii="Arial" w:hAnsi="Arial" w:cs="Arial"/>
          <w:sz w:val="24"/>
          <w:szCs w:val="24"/>
        </w:rPr>
        <w:t xml:space="preserve"> an entity intending to participate in a Reserve sale must submit to the financial services administrator a bid guarantee, payable to the financial services administrator, in an amount greater than or equal to the sum of the maximum value of the bids to be submitted by the entity.</w:t>
      </w:r>
      <w:r w:rsidR="00903A8C" w:rsidRPr="00B61FF1">
        <w:rPr>
          <w:rFonts w:ascii="Arial" w:hAnsi="Arial" w:cs="Arial"/>
          <w:sz w:val="24"/>
          <w:szCs w:val="24"/>
        </w:rPr>
        <w:t xml:space="preserve"> </w:t>
      </w:r>
    </w:p>
    <w:p w14:paraId="7FEFD627" w14:textId="77777777" w:rsidR="00903A8C" w:rsidRPr="00B61FF1" w:rsidRDefault="004173A0" w:rsidP="004173A0">
      <w:pPr>
        <w:pStyle w:val="ListParagraph"/>
        <w:spacing w:line="360" w:lineRule="auto"/>
        <w:ind w:left="1080" w:hanging="720"/>
        <w:rPr>
          <w:rFonts w:ascii="Arial" w:hAnsi="Arial" w:cs="Arial"/>
          <w:strike/>
          <w:sz w:val="24"/>
          <w:szCs w:val="24"/>
        </w:rPr>
      </w:pPr>
      <w:r w:rsidRPr="00B61FF1">
        <w:rPr>
          <w:rFonts w:ascii="Arial" w:hAnsi="Arial" w:cs="Arial"/>
          <w:sz w:val="24"/>
          <w:szCs w:val="24"/>
        </w:rPr>
        <w:t>(1)</w:t>
      </w:r>
      <w:r w:rsidRPr="00B61FF1">
        <w:rPr>
          <w:rFonts w:ascii="Arial" w:hAnsi="Arial" w:cs="Arial"/>
          <w:sz w:val="24"/>
          <w:szCs w:val="24"/>
        </w:rPr>
        <w:tab/>
      </w:r>
      <w:r w:rsidR="000B12F7" w:rsidRPr="00B61FF1">
        <w:rPr>
          <w:rFonts w:ascii="Arial" w:hAnsi="Arial" w:cs="Arial"/>
          <w:sz w:val="24"/>
          <w:szCs w:val="24"/>
        </w:rPr>
        <w:t>The maximum value of a set of bids is the quantity bid at each tier times the tier price, summed across the three tiers.</w:t>
      </w:r>
    </w:p>
    <w:p w14:paraId="2EF78883" w14:textId="77777777" w:rsidR="00903A8C"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0B12F7" w:rsidRPr="00B61FF1">
        <w:rPr>
          <w:rFonts w:ascii="Arial" w:hAnsi="Arial" w:cs="Arial"/>
          <w:sz w:val="24"/>
          <w:szCs w:val="24"/>
        </w:rPr>
        <w:t>The bid guarantee must be in one or a combination of the following forms:</w:t>
      </w:r>
    </w:p>
    <w:p w14:paraId="693CC442" w14:textId="77777777" w:rsidR="00903A8C" w:rsidRPr="00B61FF1" w:rsidRDefault="004173A0" w:rsidP="004173A0">
      <w:pPr>
        <w:spacing w:line="360" w:lineRule="auto"/>
        <w:ind w:left="1800" w:hanging="720"/>
        <w:rPr>
          <w:rFonts w:ascii="Arial" w:hAnsi="Arial" w:cs="Arial"/>
          <w:sz w:val="24"/>
          <w:szCs w:val="24"/>
          <w:u w:val="single"/>
        </w:rPr>
      </w:pPr>
      <w:r w:rsidRPr="00B61FF1">
        <w:rPr>
          <w:rFonts w:ascii="Arial" w:hAnsi="Arial" w:cs="Arial"/>
          <w:sz w:val="24"/>
          <w:szCs w:val="24"/>
        </w:rPr>
        <w:t>(A)</w:t>
      </w:r>
      <w:r w:rsidRPr="00B61FF1">
        <w:rPr>
          <w:rFonts w:ascii="Arial" w:hAnsi="Arial" w:cs="Arial"/>
          <w:sz w:val="24"/>
          <w:szCs w:val="24"/>
        </w:rPr>
        <w:tab/>
      </w:r>
      <w:r w:rsidR="000B12F7" w:rsidRPr="00B61FF1">
        <w:rPr>
          <w:rFonts w:ascii="Arial" w:hAnsi="Arial" w:cs="Arial"/>
          <w:sz w:val="24"/>
          <w:szCs w:val="24"/>
        </w:rPr>
        <w:t>Cash in the form of a wire transfer</w:t>
      </w:r>
      <w:r w:rsidR="000B12F7" w:rsidRPr="00B61FF1">
        <w:rPr>
          <w:rFonts w:ascii="Arial" w:hAnsi="Arial" w:cs="Arial"/>
          <w:strike/>
          <w:sz w:val="24"/>
          <w:szCs w:val="24"/>
        </w:rPr>
        <w:t xml:space="preserve"> or certified funds, such as a bank check or cashier’s check</w:t>
      </w:r>
      <w:r w:rsidR="000B12F7" w:rsidRPr="00B61FF1">
        <w:rPr>
          <w:rFonts w:ascii="Arial" w:hAnsi="Arial" w:cs="Arial"/>
          <w:sz w:val="24"/>
          <w:szCs w:val="24"/>
        </w:rPr>
        <w:t>;</w:t>
      </w:r>
      <w:r w:rsidR="00903A8C" w:rsidRPr="00B61FF1">
        <w:rPr>
          <w:rFonts w:ascii="Arial" w:hAnsi="Arial" w:cs="Arial"/>
          <w:sz w:val="24"/>
          <w:szCs w:val="24"/>
        </w:rPr>
        <w:t xml:space="preserve"> </w:t>
      </w:r>
      <w:r w:rsidR="00F923D0" w:rsidRPr="00B61FF1">
        <w:rPr>
          <w:rFonts w:ascii="Arial" w:hAnsi="Arial" w:cs="Arial"/>
          <w:sz w:val="24"/>
          <w:szCs w:val="24"/>
          <w:u w:val="single"/>
        </w:rPr>
        <w:t>or</w:t>
      </w:r>
    </w:p>
    <w:p w14:paraId="5B41FA6E" w14:textId="77777777" w:rsidR="00903A8C" w:rsidRPr="00B61FF1" w:rsidRDefault="004173A0" w:rsidP="004173A0">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0B12F7" w:rsidRPr="00B61FF1">
        <w:rPr>
          <w:rFonts w:ascii="Arial" w:hAnsi="Arial" w:cs="Arial"/>
          <w:sz w:val="24"/>
          <w:szCs w:val="24"/>
        </w:rPr>
        <w:t>An irrevocable letter of credit issued by a financial institution with a United States banking license; or</w:t>
      </w:r>
    </w:p>
    <w:p w14:paraId="0D3141BB" w14:textId="7C811BA5" w:rsidR="00903A8C" w:rsidRPr="00B61FF1" w:rsidRDefault="004173A0" w:rsidP="004173A0">
      <w:pPr>
        <w:spacing w:line="360" w:lineRule="auto"/>
        <w:ind w:left="1800" w:hanging="720"/>
        <w:rPr>
          <w:rFonts w:ascii="Arial" w:hAnsi="Arial" w:cs="Arial"/>
          <w:b/>
          <w:sz w:val="24"/>
          <w:szCs w:val="24"/>
        </w:rPr>
      </w:pPr>
      <w:r w:rsidRPr="00B61FF1">
        <w:rPr>
          <w:rFonts w:ascii="Arial" w:hAnsi="Arial" w:cs="Arial"/>
          <w:sz w:val="24"/>
          <w:szCs w:val="24"/>
        </w:rPr>
        <w:t>(C)</w:t>
      </w:r>
      <w:r w:rsidRPr="00B61FF1">
        <w:rPr>
          <w:rFonts w:ascii="Arial" w:hAnsi="Arial" w:cs="Arial"/>
          <w:sz w:val="24"/>
          <w:szCs w:val="24"/>
        </w:rPr>
        <w:tab/>
      </w:r>
      <w:r w:rsidR="000B12F7" w:rsidRPr="00B61FF1">
        <w:rPr>
          <w:rFonts w:ascii="Arial" w:hAnsi="Arial" w:cs="Arial"/>
          <w:sz w:val="24"/>
          <w:szCs w:val="24"/>
        </w:rPr>
        <w:t>A bond issued by a financial institution with a United States banking license</w:t>
      </w:r>
      <w:r w:rsidR="000B12F7" w:rsidRPr="00B61FF1">
        <w:rPr>
          <w:rFonts w:ascii="Arial" w:hAnsi="Arial" w:cs="Arial"/>
          <w:strike/>
          <w:sz w:val="24"/>
          <w:szCs w:val="24"/>
        </w:rPr>
        <w:t>.</w:t>
      </w:r>
      <w:r w:rsidR="00707EB1" w:rsidRPr="00B61FF1">
        <w:rPr>
          <w:rFonts w:ascii="Arial" w:hAnsi="Arial" w:cs="Arial"/>
          <w:sz w:val="24"/>
          <w:szCs w:val="24"/>
          <w:u w:val="single"/>
        </w:rPr>
        <w:t>; or</w:t>
      </w:r>
      <w:r w:rsidR="00903A8C" w:rsidRPr="00B61FF1">
        <w:rPr>
          <w:rFonts w:ascii="Arial" w:hAnsi="Arial" w:cs="Arial"/>
          <w:b/>
          <w:strike/>
          <w:sz w:val="24"/>
          <w:szCs w:val="24"/>
        </w:rPr>
        <w:t xml:space="preserve"> </w:t>
      </w:r>
    </w:p>
    <w:p w14:paraId="6DEE23F5" w14:textId="19416309" w:rsidR="00707EB1" w:rsidRPr="00B61FF1" w:rsidRDefault="00707EB1" w:rsidP="00707EB1">
      <w:pPr>
        <w:spacing w:line="360" w:lineRule="auto"/>
        <w:ind w:left="1800" w:hanging="720"/>
        <w:rPr>
          <w:rFonts w:ascii="Arial" w:hAnsi="Arial" w:cs="Arial"/>
          <w:sz w:val="24"/>
          <w:szCs w:val="24"/>
        </w:rPr>
      </w:pPr>
      <w:r w:rsidRPr="00B61FF1">
        <w:rPr>
          <w:rFonts w:ascii="Arial" w:hAnsi="Arial" w:cs="Arial"/>
          <w:sz w:val="24"/>
          <w:szCs w:val="24"/>
          <w:u w:val="single"/>
        </w:rPr>
        <w:t>(D)</w:t>
      </w:r>
      <w:r w:rsidRPr="004D6109">
        <w:rPr>
          <w:rFonts w:ascii="Arial" w:hAnsi="Arial" w:cs="Arial"/>
          <w:sz w:val="24"/>
          <w:szCs w:val="24"/>
        </w:rPr>
        <w:tab/>
      </w:r>
      <w:r w:rsidRPr="00B61FF1">
        <w:rPr>
          <w:rFonts w:ascii="Arial" w:hAnsi="Arial" w:cs="Arial"/>
          <w:sz w:val="24"/>
          <w:szCs w:val="24"/>
          <w:u w:val="single"/>
        </w:rPr>
        <w:t>A Surety Bond issued by an institution named in the current list of “Surety Companies Acceptable in Federal Bonds” as published in the Federal Register by the Audit Staff Bureau of Accounts, U.S. Treasury Department.</w:t>
      </w:r>
    </w:p>
    <w:p w14:paraId="26A59FAF" w14:textId="4F89D41B" w:rsidR="00707EB1" w:rsidRPr="00B61FF1" w:rsidRDefault="00707EB1" w:rsidP="00707EB1">
      <w:pPr>
        <w:spacing w:line="360" w:lineRule="auto"/>
        <w:ind w:left="1080" w:hanging="720"/>
        <w:rPr>
          <w:rFonts w:ascii="Arial" w:hAnsi="Arial" w:cs="Arial"/>
          <w:sz w:val="24"/>
          <w:szCs w:val="24"/>
        </w:rPr>
      </w:pPr>
      <w:r w:rsidRPr="00B61FF1">
        <w:rPr>
          <w:rFonts w:ascii="Arial" w:hAnsi="Arial" w:cs="Arial"/>
          <w:sz w:val="24"/>
          <w:szCs w:val="24"/>
          <w:u w:val="single"/>
        </w:rPr>
        <w:t>(3)</w:t>
      </w:r>
      <w:r w:rsidRPr="004D6109">
        <w:rPr>
          <w:rFonts w:ascii="Arial" w:hAnsi="Arial" w:cs="Arial"/>
          <w:sz w:val="24"/>
          <w:szCs w:val="24"/>
        </w:rPr>
        <w:tab/>
      </w:r>
      <w:r w:rsidRPr="00B61FF1">
        <w:rPr>
          <w:rFonts w:ascii="Arial" w:hAnsi="Arial" w:cs="Arial"/>
          <w:sz w:val="24"/>
          <w:szCs w:val="24"/>
          <w:u w:val="single"/>
        </w:rPr>
        <w:t>A bid guarantee submitted in any form other than cash must be payable within one business day</w:t>
      </w:r>
      <w:r w:rsidR="00980EFA" w:rsidRPr="00B61FF1">
        <w:rPr>
          <w:rFonts w:ascii="Arial" w:hAnsi="Arial" w:cs="Arial"/>
          <w:sz w:val="24"/>
          <w:szCs w:val="24"/>
          <w:u w:val="single"/>
        </w:rPr>
        <w:t xml:space="preserve"> of payment request</w:t>
      </w:r>
      <w:r w:rsidRPr="00B61FF1">
        <w:rPr>
          <w:rFonts w:ascii="Arial" w:hAnsi="Arial" w:cs="Arial"/>
          <w:sz w:val="24"/>
          <w:szCs w:val="24"/>
          <w:u w:val="single"/>
        </w:rPr>
        <w:t>.</w:t>
      </w:r>
    </w:p>
    <w:p w14:paraId="35B34866" w14:textId="4FE9879E" w:rsidR="000B12F7" w:rsidRPr="00B61FF1" w:rsidRDefault="000B12F7" w:rsidP="000B12F7">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3</w:t>
      </w:r>
      <w:r w:rsidR="00707EB1" w:rsidRPr="00B61FF1">
        <w:rPr>
          <w:rFonts w:ascii="Arial" w:hAnsi="Arial" w:cs="Arial"/>
          <w:sz w:val="24"/>
          <w:szCs w:val="24"/>
          <w:u w:val="single"/>
        </w:rPr>
        <w:t>4</w:t>
      </w:r>
      <w:r w:rsidRPr="00B61FF1">
        <w:rPr>
          <w:rFonts w:ascii="Arial" w:hAnsi="Arial" w:cs="Arial"/>
          <w:sz w:val="24"/>
          <w:szCs w:val="24"/>
        </w:rPr>
        <w:t>)</w:t>
      </w:r>
      <w:r w:rsidRPr="00B61FF1">
        <w:rPr>
          <w:rFonts w:ascii="Arial" w:hAnsi="Arial" w:cs="Arial"/>
          <w:sz w:val="24"/>
          <w:szCs w:val="24"/>
        </w:rPr>
        <w:tab/>
        <w:t>The bid guarantee will be made payable to the financial services administrator.</w:t>
      </w:r>
    </w:p>
    <w:p w14:paraId="39ED4400" w14:textId="07C115FC" w:rsidR="000B12F7" w:rsidRPr="00B61FF1" w:rsidRDefault="000B12F7" w:rsidP="000B12F7">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4</w:t>
      </w:r>
      <w:r w:rsidR="00707EB1" w:rsidRPr="00B61FF1">
        <w:rPr>
          <w:rFonts w:ascii="Arial" w:hAnsi="Arial" w:cs="Arial"/>
          <w:sz w:val="24"/>
          <w:szCs w:val="24"/>
          <w:u w:val="single"/>
        </w:rPr>
        <w:t>5</w:t>
      </w:r>
      <w:r w:rsidRPr="00B61FF1">
        <w:rPr>
          <w:rFonts w:ascii="Arial" w:hAnsi="Arial" w:cs="Arial"/>
          <w:sz w:val="24"/>
          <w:szCs w:val="24"/>
        </w:rPr>
        <w:t>)</w:t>
      </w:r>
      <w:r w:rsidRPr="00B61FF1">
        <w:rPr>
          <w:rFonts w:ascii="Arial" w:hAnsi="Arial" w:cs="Arial"/>
          <w:sz w:val="24"/>
          <w:szCs w:val="24"/>
        </w:rPr>
        <w:tab/>
        <w:t>The bid guarantee will expire no sooner than twenty-one days after the Reserve sale.</w:t>
      </w:r>
    </w:p>
    <w:p w14:paraId="5E5690C2" w14:textId="0FEBB7F4" w:rsidR="000B12F7" w:rsidRPr="00B61FF1" w:rsidRDefault="000B12F7" w:rsidP="000B12F7">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5</w:t>
      </w:r>
      <w:r w:rsidR="00707EB1" w:rsidRPr="00B61FF1">
        <w:rPr>
          <w:rFonts w:ascii="Arial" w:hAnsi="Arial" w:cs="Arial"/>
          <w:sz w:val="24"/>
          <w:szCs w:val="24"/>
          <w:u w:val="single"/>
        </w:rPr>
        <w:t>6</w:t>
      </w:r>
      <w:r w:rsidRPr="00B61FF1">
        <w:rPr>
          <w:rFonts w:ascii="Arial" w:hAnsi="Arial" w:cs="Arial"/>
          <w:sz w:val="24"/>
          <w:szCs w:val="24"/>
        </w:rPr>
        <w:t>)</w:t>
      </w:r>
      <w:r w:rsidRPr="00B61FF1">
        <w:rPr>
          <w:rFonts w:ascii="Arial" w:hAnsi="Arial" w:cs="Arial"/>
          <w:sz w:val="24"/>
          <w:szCs w:val="24"/>
        </w:rPr>
        <w:tab/>
        <w:t>The financial services administrator will evaluate the bid guarantee and inform the Reserve sale administrator of the value of the bid guarantee once it is found to conform to this section and is accepted by the Executive Officer.</w:t>
      </w:r>
    </w:p>
    <w:p w14:paraId="39FC5DBC" w14:textId="5134B9DF" w:rsidR="00127A82" w:rsidRPr="00B61FF1" w:rsidRDefault="00707EB1" w:rsidP="00127A82">
      <w:pPr>
        <w:spacing w:line="360" w:lineRule="auto"/>
        <w:ind w:left="1080" w:hanging="720"/>
        <w:rPr>
          <w:rFonts w:ascii="Arial" w:hAnsi="Arial" w:cs="Arial"/>
          <w:sz w:val="24"/>
          <w:szCs w:val="24"/>
          <w:u w:val="single"/>
        </w:rPr>
      </w:pPr>
      <w:r w:rsidRPr="00B61FF1">
        <w:rPr>
          <w:rFonts w:ascii="Arial" w:hAnsi="Arial" w:cs="Arial"/>
          <w:sz w:val="24"/>
          <w:szCs w:val="24"/>
          <w:u w:val="single"/>
        </w:rPr>
        <w:t>(7</w:t>
      </w:r>
      <w:r w:rsidR="00127A82" w:rsidRPr="00B61FF1">
        <w:rPr>
          <w:rFonts w:ascii="Arial" w:hAnsi="Arial" w:cs="Arial"/>
          <w:sz w:val="24"/>
          <w:szCs w:val="24"/>
          <w:u w:val="single"/>
        </w:rPr>
        <w:t>)</w:t>
      </w:r>
      <w:r w:rsidR="00127A82" w:rsidRPr="004D6109">
        <w:rPr>
          <w:rFonts w:ascii="Arial" w:hAnsi="Arial" w:cs="Arial"/>
          <w:sz w:val="24"/>
          <w:szCs w:val="24"/>
        </w:rPr>
        <w:tab/>
      </w:r>
      <w:r w:rsidR="005D0598" w:rsidRPr="00B61FF1">
        <w:rPr>
          <w:rFonts w:ascii="Arial" w:hAnsi="Arial" w:cs="Arial"/>
          <w:sz w:val="24"/>
          <w:szCs w:val="24"/>
          <w:u w:val="single"/>
        </w:rPr>
        <w:t>The intent to bid notification requirements in subsection 95913(e) and bid guarantee submittal requirements in subsection 95913(g) shall be at least four business days before the bid guarantee submittal due dates.</w:t>
      </w:r>
    </w:p>
    <w:p w14:paraId="21A4C76C" w14:textId="77777777" w:rsidR="00903A8C" w:rsidRPr="00B61FF1" w:rsidRDefault="004173A0" w:rsidP="004173A0">
      <w:pPr>
        <w:keepNext/>
        <w:spacing w:line="360" w:lineRule="auto"/>
        <w:ind w:left="720" w:hanging="720"/>
        <w:rPr>
          <w:rFonts w:ascii="Arial" w:hAnsi="Arial" w:cs="Arial"/>
          <w:sz w:val="24"/>
          <w:szCs w:val="24"/>
        </w:rPr>
      </w:pPr>
      <w:r w:rsidRPr="00B61FF1">
        <w:rPr>
          <w:rFonts w:ascii="Arial" w:hAnsi="Arial" w:cs="Arial"/>
          <w:sz w:val="24"/>
          <w:szCs w:val="24"/>
        </w:rPr>
        <w:t>(</w:t>
      </w:r>
      <w:r w:rsidR="00534FD5" w:rsidRPr="00B61FF1">
        <w:rPr>
          <w:rFonts w:ascii="Arial" w:hAnsi="Arial" w:cs="Arial"/>
          <w:strike/>
          <w:sz w:val="24"/>
          <w:szCs w:val="24"/>
        </w:rPr>
        <w:t>g</w:t>
      </w:r>
      <w:r w:rsidR="008956BF" w:rsidRPr="00B61FF1">
        <w:rPr>
          <w:rFonts w:ascii="Arial" w:hAnsi="Arial" w:cs="Arial"/>
          <w:sz w:val="24"/>
          <w:szCs w:val="24"/>
          <w:u w:val="single"/>
        </w:rPr>
        <w:t>h</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 xml:space="preserve">Purchase Determinations.  </w:t>
      </w:r>
    </w:p>
    <w:p w14:paraId="498330B5" w14:textId="77777777" w:rsidR="00903A8C" w:rsidRPr="00B61FF1" w:rsidRDefault="00D3622F" w:rsidP="00D3622F">
      <w:pPr>
        <w:spacing w:line="360" w:lineRule="auto"/>
        <w:ind w:left="1080" w:hanging="720"/>
        <w:rPr>
          <w:rFonts w:ascii="Arial" w:hAnsi="Arial" w:cs="Arial"/>
          <w:strike/>
          <w:sz w:val="24"/>
          <w:szCs w:val="24"/>
        </w:rPr>
      </w:pPr>
      <w:r w:rsidRPr="00B61FF1">
        <w:rPr>
          <w:rFonts w:ascii="Arial" w:hAnsi="Arial" w:cs="Arial"/>
          <w:sz w:val="24"/>
          <w:szCs w:val="24"/>
        </w:rPr>
        <w:t>(1)</w:t>
      </w:r>
      <w:r w:rsidRPr="00B61FF1">
        <w:rPr>
          <w:rFonts w:ascii="Arial" w:hAnsi="Arial" w:cs="Arial"/>
          <w:sz w:val="24"/>
          <w:szCs w:val="24"/>
        </w:rPr>
        <w:tab/>
      </w:r>
      <w:r w:rsidR="00903A8C" w:rsidRPr="00B61FF1">
        <w:rPr>
          <w:rFonts w:ascii="Arial" w:hAnsi="Arial" w:cs="Arial"/>
          <w:sz w:val="24"/>
          <w:szCs w:val="24"/>
        </w:rPr>
        <w:t>The reserve sale administrator will conduct sales from each tier in succession, beginning with the lowest</w:t>
      </w:r>
      <w:r w:rsidR="000B12F7" w:rsidRPr="00B61FF1">
        <w:rPr>
          <w:rFonts w:ascii="Arial" w:hAnsi="Arial" w:cs="Arial"/>
          <w:sz w:val="24"/>
          <w:szCs w:val="24"/>
        </w:rPr>
        <w:t xml:space="preserve"> priced tier and proceeding</w:t>
      </w:r>
      <w:r w:rsidR="00903A8C" w:rsidRPr="00B61FF1">
        <w:rPr>
          <w:rFonts w:ascii="Arial" w:hAnsi="Arial" w:cs="Arial"/>
          <w:sz w:val="24"/>
          <w:szCs w:val="24"/>
        </w:rPr>
        <w:t xml:space="preserve"> to the highest priced tier</w:t>
      </w:r>
      <w:r w:rsidR="00664B9E" w:rsidRPr="00B61FF1">
        <w:rPr>
          <w:rFonts w:ascii="Arial" w:hAnsi="Arial" w:cs="Arial"/>
          <w:sz w:val="24"/>
          <w:szCs w:val="24"/>
          <w:u w:val="single"/>
        </w:rPr>
        <w:t>.</w:t>
      </w:r>
      <w:r w:rsidR="00903A8C" w:rsidRPr="00B61FF1">
        <w:rPr>
          <w:rFonts w:ascii="Arial" w:hAnsi="Arial" w:cs="Arial"/>
          <w:strike/>
          <w:sz w:val="24"/>
          <w:szCs w:val="24"/>
        </w:rPr>
        <w:t>, until either all allowances are sold from the reserve or all the accepted bids are filled.</w:t>
      </w:r>
    </w:p>
    <w:p w14:paraId="48F06B9E" w14:textId="694720A9" w:rsidR="00664B9E" w:rsidRPr="00B61FF1" w:rsidRDefault="00664B9E" w:rsidP="00601D34">
      <w:pPr>
        <w:spacing w:line="360" w:lineRule="auto"/>
        <w:ind w:left="144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 xml:space="preserve"> </w:t>
      </w:r>
      <w:r w:rsidR="00601D34" w:rsidRPr="00B61FF1">
        <w:rPr>
          <w:rFonts w:ascii="Arial" w:hAnsi="Arial" w:cs="Arial"/>
          <w:sz w:val="24"/>
          <w:szCs w:val="24"/>
        </w:rPr>
        <w:tab/>
      </w:r>
      <w:r w:rsidRPr="00B61FF1">
        <w:rPr>
          <w:rFonts w:ascii="Arial" w:hAnsi="Arial" w:cs="Arial"/>
          <w:sz w:val="24"/>
          <w:szCs w:val="24"/>
          <w:u w:val="single"/>
        </w:rPr>
        <w:t>The Reserve sale will continue until either all allowances are sold from the Reserve pursuant to section 95870(a) or all the accepted bids are filled.</w:t>
      </w:r>
    </w:p>
    <w:p w14:paraId="4A5D5A66" w14:textId="7D192B43" w:rsidR="00664B9E" w:rsidRPr="00B61FF1" w:rsidRDefault="00601D34" w:rsidP="00601D34">
      <w:pPr>
        <w:spacing w:line="360" w:lineRule="auto"/>
        <w:ind w:left="144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Pursuant to section 95913(f), the Reserve sale immediately preceding the compliance obligation instrument surrender on November 1 will continue until all accepted highest price tier bids are filed or the allowances made available pursuant to section 95870(f)(1) are sold pursuant to section 95913(f).</w:t>
      </w:r>
    </w:p>
    <w:p w14:paraId="7A61D843" w14:textId="77777777" w:rsidR="003E1E6A" w:rsidRPr="00B61FF1" w:rsidRDefault="003E1E6A" w:rsidP="00D3622F">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Reserve sales window will open at 10 a.m. Pacific Standard Time (or Pacific Daylight Time, when in effect) on the day of the sale, and bids may be submitted until the window closes at 1 p.m. Pacific Standard Time (or Pacific Daylight Time, when in effect).</w:t>
      </w:r>
    </w:p>
    <w:p w14:paraId="16B2810C" w14:textId="77777777" w:rsidR="003E1E6A" w:rsidRPr="00B61FF1" w:rsidRDefault="003E1E6A" w:rsidP="003E1E6A">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Each bid will consist of the price, in U.S. dollars, equal to one of the three tiers and a quantit</w:t>
      </w:r>
      <w:r w:rsidRPr="00B61FF1">
        <w:rPr>
          <w:rFonts w:ascii="Arial" w:hAnsi="Arial" w:cs="Arial"/>
          <w:strike/>
          <w:sz w:val="24"/>
          <w:szCs w:val="24"/>
        </w:rPr>
        <w:t>i</w:t>
      </w:r>
      <w:r w:rsidRPr="00B61FF1">
        <w:rPr>
          <w:rFonts w:ascii="Arial" w:hAnsi="Arial" w:cs="Arial"/>
          <w:sz w:val="24"/>
          <w:szCs w:val="24"/>
        </w:rPr>
        <w:t>y of allowances in multiples of 1,000 allowances.</w:t>
      </w:r>
    </w:p>
    <w:p w14:paraId="590D62D4" w14:textId="77777777" w:rsidR="003E1E6A" w:rsidRPr="00B61FF1" w:rsidRDefault="003E1E6A" w:rsidP="003E1E6A">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 entity may submit multiple bids.</w:t>
      </w:r>
    </w:p>
    <w:p w14:paraId="71954511"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w:t>
      </w:r>
      <w:r w:rsidR="003E1E6A" w:rsidRPr="00B61FF1">
        <w:rPr>
          <w:rFonts w:ascii="Arial" w:hAnsi="Arial" w:cs="Arial"/>
          <w:sz w:val="24"/>
          <w:szCs w:val="24"/>
        </w:rPr>
        <w:t>3</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The reserve sale administrator will only accept a bid</w:t>
      </w:r>
      <w:r w:rsidR="003E1E6A" w:rsidRPr="00B61FF1">
        <w:rPr>
          <w:rFonts w:ascii="Arial" w:hAnsi="Arial" w:cs="Arial"/>
          <w:sz w:val="24"/>
          <w:szCs w:val="24"/>
        </w:rPr>
        <w:t xml:space="preserve"> for a bundle of 1,000 allowances</w:t>
      </w:r>
      <w:r w:rsidR="0068028F" w:rsidRPr="00B61FF1">
        <w:rPr>
          <w:rFonts w:ascii="Arial" w:hAnsi="Arial" w:cs="Arial"/>
          <w:sz w:val="24"/>
          <w:szCs w:val="24"/>
        </w:rPr>
        <w:t>:</w:t>
      </w:r>
    </w:p>
    <w:p w14:paraId="06878627" w14:textId="77777777" w:rsidR="00903A8C" w:rsidRPr="00B61FF1" w:rsidRDefault="00D3622F" w:rsidP="00D3622F">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903A8C" w:rsidRPr="00B61FF1">
        <w:rPr>
          <w:rFonts w:ascii="Arial" w:hAnsi="Arial" w:cs="Arial"/>
          <w:sz w:val="24"/>
          <w:szCs w:val="24"/>
        </w:rPr>
        <w:t xml:space="preserve">If acceptance of the bid would not result in violation of the holding limit pursuant to </w:t>
      </w:r>
      <w:r w:rsidR="00082BC6" w:rsidRPr="00B61FF1">
        <w:rPr>
          <w:rFonts w:ascii="Arial" w:hAnsi="Arial" w:cs="Arial"/>
          <w:sz w:val="24"/>
          <w:szCs w:val="24"/>
        </w:rPr>
        <w:t xml:space="preserve">section </w:t>
      </w:r>
      <w:r w:rsidR="00903A8C" w:rsidRPr="00B61FF1">
        <w:rPr>
          <w:rFonts w:ascii="Arial" w:hAnsi="Arial" w:cs="Arial"/>
          <w:sz w:val="24"/>
          <w:szCs w:val="24"/>
        </w:rPr>
        <w:t xml:space="preserve">95920(b); </w:t>
      </w:r>
    </w:p>
    <w:p w14:paraId="18324C14" w14:textId="77777777" w:rsidR="00903A8C" w:rsidRPr="00B61FF1" w:rsidRDefault="00D3622F" w:rsidP="00D3622F">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903A8C" w:rsidRPr="00B61FF1">
        <w:rPr>
          <w:rFonts w:ascii="Arial" w:hAnsi="Arial" w:cs="Arial"/>
          <w:sz w:val="24"/>
          <w:szCs w:val="24"/>
        </w:rPr>
        <w:t>If acceptance of the bid would not result in a total value of accepted bids for a covered entity greater than the value of the bid guarantee submitted by the covered entity pursuant to section 95913(</w:t>
      </w:r>
      <w:r w:rsidR="003E1E6A" w:rsidRPr="00B61FF1">
        <w:rPr>
          <w:rFonts w:ascii="Arial" w:hAnsi="Arial" w:cs="Arial"/>
          <w:strike/>
          <w:sz w:val="24"/>
          <w:szCs w:val="24"/>
        </w:rPr>
        <w:t>f</w:t>
      </w:r>
      <w:r w:rsidR="00F923D0" w:rsidRPr="00B61FF1">
        <w:rPr>
          <w:rFonts w:ascii="Arial" w:hAnsi="Arial" w:cs="Arial"/>
          <w:sz w:val="24"/>
          <w:szCs w:val="24"/>
          <w:u w:val="single"/>
        </w:rPr>
        <w:t>g</w:t>
      </w:r>
      <w:r w:rsidR="003E1E6A" w:rsidRPr="00B61FF1">
        <w:rPr>
          <w:rFonts w:ascii="Arial" w:hAnsi="Arial" w:cs="Arial"/>
          <w:sz w:val="24"/>
          <w:szCs w:val="24"/>
        </w:rPr>
        <w:t>); or</w:t>
      </w:r>
    </w:p>
    <w:p w14:paraId="5C9D60CC" w14:textId="77777777" w:rsidR="003E1E6A" w:rsidRPr="00B61FF1" w:rsidRDefault="003E1E6A" w:rsidP="00D3622F">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If the bid entered by an entity for a tier is for a quantity less than or equal to the number of allowances available for sale in that tier.</w:t>
      </w:r>
    </w:p>
    <w:p w14:paraId="1C976188"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w:t>
      </w:r>
      <w:r w:rsidR="00043802" w:rsidRPr="00B61FF1">
        <w:rPr>
          <w:rFonts w:ascii="Arial" w:hAnsi="Arial" w:cs="Arial"/>
          <w:sz w:val="24"/>
          <w:szCs w:val="24"/>
        </w:rPr>
        <w:t>4</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 xml:space="preserve">If the sum of bids at the tier price which are accepted by the reserve sale administrator is less than or equal to the number of allowances in the tier, then: </w:t>
      </w:r>
    </w:p>
    <w:p w14:paraId="768555B3" w14:textId="77777777" w:rsidR="00903A8C" w:rsidRPr="00B61FF1" w:rsidRDefault="00D3622F" w:rsidP="00D3622F">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903A8C" w:rsidRPr="00B61FF1">
        <w:rPr>
          <w:rFonts w:ascii="Arial" w:hAnsi="Arial" w:cs="Arial"/>
          <w:sz w:val="24"/>
          <w:szCs w:val="24"/>
        </w:rPr>
        <w:t>The reserve sale administrator will sell to each covered entity the number of allowances for which the entity submitted bids for that tier which were accepted by</w:t>
      </w:r>
      <w:r w:rsidR="00E41C47" w:rsidRPr="00B61FF1">
        <w:rPr>
          <w:rFonts w:ascii="Arial" w:hAnsi="Arial" w:cs="Arial"/>
          <w:sz w:val="24"/>
          <w:szCs w:val="24"/>
        </w:rPr>
        <w:t xml:space="preserve"> the reserve sale administrator; and</w:t>
      </w:r>
    </w:p>
    <w:p w14:paraId="7435B62D" w14:textId="77777777" w:rsidR="00903A8C" w:rsidRPr="00B61FF1" w:rsidRDefault="00D3622F" w:rsidP="00D3622F">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903A8C" w:rsidRPr="00B61FF1">
        <w:rPr>
          <w:rFonts w:ascii="Arial" w:hAnsi="Arial" w:cs="Arial"/>
          <w:sz w:val="24"/>
          <w:szCs w:val="24"/>
        </w:rPr>
        <w:t xml:space="preserve">If allowances remain in the tier after the sales pursuant to </w:t>
      </w:r>
      <w:r w:rsidR="005D1EB0" w:rsidRPr="00B61FF1">
        <w:rPr>
          <w:rFonts w:ascii="Arial" w:hAnsi="Arial" w:cs="Arial"/>
          <w:sz w:val="24"/>
          <w:szCs w:val="24"/>
        </w:rPr>
        <w:t>section 95913(</w:t>
      </w:r>
      <w:r w:rsidR="00043802" w:rsidRPr="00B61FF1">
        <w:rPr>
          <w:rFonts w:ascii="Arial" w:hAnsi="Arial" w:cs="Arial"/>
          <w:strike/>
          <w:sz w:val="24"/>
          <w:szCs w:val="24"/>
        </w:rPr>
        <w:t>g</w:t>
      </w:r>
      <w:r w:rsidR="00F923D0" w:rsidRPr="00B61FF1">
        <w:rPr>
          <w:rFonts w:ascii="Arial" w:hAnsi="Arial" w:cs="Arial"/>
          <w:sz w:val="24"/>
          <w:szCs w:val="24"/>
          <w:u w:val="single"/>
        </w:rPr>
        <w:t>h</w:t>
      </w:r>
      <w:r w:rsidR="005D1EB0" w:rsidRPr="00B61FF1">
        <w:rPr>
          <w:rFonts w:ascii="Arial" w:hAnsi="Arial" w:cs="Arial"/>
          <w:sz w:val="24"/>
          <w:szCs w:val="24"/>
        </w:rPr>
        <w:t>)(</w:t>
      </w:r>
      <w:r w:rsidR="00043802" w:rsidRPr="00B61FF1">
        <w:rPr>
          <w:rFonts w:ascii="Arial" w:hAnsi="Arial" w:cs="Arial"/>
          <w:sz w:val="24"/>
          <w:szCs w:val="24"/>
        </w:rPr>
        <w:t>4</w:t>
      </w:r>
      <w:r w:rsidR="005D1EB0" w:rsidRPr="00B61FF1">
        <w:rPr>
          <w:rFonts w:ascii="Arial" w:hAnsi="Arial" w:cs="Arial"/>
          <w:sz w:val="24"/>
          <w:szCs w:val="24"/>
        </w:rPr>
        <w:t>)</w:t>
      </w:r>
      <w:r w:rsidR="00903A8C" w:rsidRPr="00B61FF1">
        <w:rPr>
          <w:rFonts w:ascii="Arial" w:hAnsi="Arial" w:cs="Arial"/>
          <w:sz w:val="24"/>
          <w:szCs w:val="24"/>
        </w:rPr>
        <w:t xml:space="preserve">(A) are completed, the reserve sale administrator will assign a random number to each bundle of 1,000 allowances for which entities submitted a bid for the tier above the current tier being sold.  Beginning with the lowest random number assigned and working in increasing order of the random numbers assigned, the reserve sale administrator shall sell allowances to the bidder assigned the random number until the remaining allowances in the tier are sold or all </w:t>
      </w:r>
      <w:r w:rsidR="00A4198D" w:rsidRPr="00B61FF1">
        <w:rPr>
          <w:rFonts w:ascii="Arial" w:hAnsi="Arial" w:cs="Arial"/>
          <w:sz w:val="24"/>
          <w:szCs w:val="24"/>
          <w:u w:val="single"/>
        </w:rPr>
        <w:t xml:space="preserve">accepted </w:t>
      </w:r>
      <w:r w:rsidR="00903A8C" w:rsidRPr="00B61FF1">
        <w:rPr>
          <w:rFonts w:ascii="Arial" w:hAnsi="Arial" w:cs="Arial"/>
          <w:sz w:val="24"/>
          <w:szCs w:val="24"/>
        </w:rPr>
        <w:t>bids have been fulfilled.</w:t>
      </w:r>
      <w:r w:rsidR="005B41B8" w:rsidRPr="00B61FF1">
        <w:rPr>
          <w:rFonts w:ascii="Arial" w:hAnsi="Arial" w:cs="Arial"/>
          <w:sz w:val="24"/>
          <w:szCs w:val="24"/>
        </w:rPr>
        <w:t xml:space="preserve">  The price for the allowances sold under this procedure will be the price for the tier from which they are sold, not the bid placed.</w:t>
      </w:r>
    </w:p>
    <w:p w14:paraId="4B9AC9D1" w14:textId="77777777" w:rsidR="00903A8C" w:rsidRPr="00B61FF1" w:rsidRDefault="00D3622F" w:rsidP="00D3622F">
      <w:pPr>
        <w:spacing w:line="360" w:lineRule="auto"/>
        <w:ind w:left="1080" w:hanging="720"/>
        <w:rPr>
          <w:rFonts w:ascii="Arial" w:hAnsi="Arial" w:cs="Arial"/>
          <w:sz w:val="24"/>
          <w:szCs w:val="24"/>
        </w:rPr>
      </w:pPr>
      <w:r w:rsidRPr="00B61FF1">
        <w:rPr>
          <w:rFonts w:ascii="Arial" w:hAnsi="Arial" w:cs="Arial"/>
          <w:sz w:val="24"/>
          <w:szCs w:val="24"/>
        </w:rPr>
        <w:t>(</w:t>
      </w:r>
      <w:r w:rsidR="00043802" w:rsidRPr="00B61FF1">
        <w:rPr>
          <w:rFonts w:ascii="Arial" w:hAnsi="Arial" w:cs="Arial"/>
          <w:sz w:val="24"/>
          <w:szCs w:val="24"/>
        </w:rPr>
        <w:t>5</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If the sum of bids accepted by the reserve sale administrator for a tier is greater than the number of allowances in the tier, the reserve sale administrator will determine the total amount to be distributed from the tier to each covered entity using the following procedure</w:t>
      </w:r>
      <w:r w:rsidR="00C15B92" w:rsidRPr="00B61FF1">
        <w:rPr>
          <w:rFonts w:ascii="Arial" w:hAnsi="Arial" w:cs="Arial"/>
          <w:sz w:val="24"/>
          <w:szCs w:val="24"/>
        </w:rPr>
        <w:t>:</w:t>
      </w:r>
    </w:p>
    <w:p w14:paraId="0C3D3F4E" w14:textId="77777777" w:rsidR="00903A8C" w:rsidRPr="00B61FF1" w:rsidRDefault="004173A0" w:rsidP="004173A0">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903A8C" w:rsidRPr="00B61FF1">
        <w:rPr>
          <w:rFonts w:ascii="Arial" w:hAnsi="Arial" w:cs="Arial"/>
          <w:sz w:val="24"/>
          <w:szCs w:val="24"/>
        </w:rPr>
        <w:t>The reserve sale administrator will calculate the share of the tier to be distributed to each bidding entity by dividing the quantity bid by that entity and accepted by the reserve sale administrator by the total quantity of bids which were accepted by the reserve sale administrator</w:t>
      </w:r>
      <w:r w:rsidR="00C15B92" w:rsidRPr="00B61FF1">
        <w:rPr>
          <w:rFonts w:ascii="Arial" w:hAnsi="Arial" w:cs="Arial"/>
          <w:sz w:val="24"/>
          <w:szCs w:val="24"/>
        </w:rPr>
        <w:t>; and</w:t>
      </w:r>
    </w:p>
    <w:p w14:paraId="24B247CA" w14:textId="77777777" w:rsidR="00903A8C" w:rsidRPr="00B61FF1" w:rsidRDefault="004173A0" w:rsidP="004173A0">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903A8C" w:rsidRPr="00B61FF1">
        <w:rPr>
          <w:rFonts w:ascii="Arial" w:hAnsi="Arial" w:cs="Arial"/>
          <w:sz w:val="24"/>
          <w:szCs w:val="24"/>
        </w:rPr>
        <w:t xml:space="preserve">The reserve sale administrator will calculate the number of allowances distributed to each bidding entity from the tier by multiplying the bidding entity’s share calculated in </w:t>
      </w:r>
      <w:r w:rsidR="005D1EB0" w:rsidRPr="00B61FF1">
        <w:rPr>
          <w:rFonts w:ascii="Arial" w:hAnsi="Arial" w:cs="Arial"/>
          <w:sz w:val="24"/>
          <w:szCs w:val="24"/>
        </w:rPr>
        <w:t xml:space="preserve">section 95913 </w:t>
      </w:r>
      <w:r w:rsidR="00C579A5" w:rsidRPr="00B61FF1">
        <w:rPr>
          <w:rFonts w:ascii="Arial" w:hAnsi="Arial" w:cs="Arial"/>
          <w:sz w:val="24"/>
          <w:szCs w:val="24"/>
        </w:rPr>
        <w:t>(</w:t>
      </w:r>
      <w:r w:rsidR="00043802" w:rsidRPr="00B61FF1">
        <w:rPr>
          <w:rFonts w:ascii="Arial" w:hAnsi="Arial" w:cs="Arial"/>
          <w:strike/>
          <w:sz w:val="24"/>
          <w:szCs w:val="24"/>
        </w:rPr>
        <w:t>g</w:t>
      </w:r>
      <w:r w:rsidR="00F923D0" w:rsidRPr="00B61FF1">
        <w:rPr>
          <w:rFonts w:ascii="Arial" w:hAnsi="Arial" w:cs="Arial"/>
          <w:sz w:val="24"/>
          <w:szCs w:val="24"/>
          <w:u w:val="single"/>
        </w:rPr>
        <w:t>h</w:t>
      </w:r>
      <w:r w:rsidR="00C579A5" w:rsidRPr="00B61FF1">
        <w:rPr>
          <w:rFonts w:ascii="Arial" w:hAnsi="Arial" w:cs="Arial"/>
          <w:sz w:val="24"/>
          <w:szCs w:val="24"/>
        </w:rPr>
        <w:t>)</w:t>
      </w:r>
      <w:r w:rsidR="00903A8C" w:rsidRPr="00B61FF1">
        <w:rPr>
          <w:rFonts w:ascii="Arial" w:hAnsi="Arial" w:cs="Arial"/>
          <w:sz w:val="24"/>
          <w:szCs w:val="24"/>
        </w:rPr>
        <w:t>(</w:t>
      </w:r>
      <w:r w:rsidR="00043802" w:rsidRPr="00B61FF1">
        <w:rPr>
          <w:rFonts w:ascii="Arial" w:hAnsi="Arial" w:cs="Arial"/>
          <w:sz w:val="24"/>
          <w:szCs w:val="24"/>
        </w:rPr>
        <w:t>5</w:t>
      </w:r>
      <w:r w:rsidR="00903A8C" w:rsidRPr="00B61FF1">
        <w:rPr>
          <w:rFonts w:ascii="Arial" w:hAnsi="Arial" w:cs="Arial"/>
          <w:sz w:val="24"/>
          <w:szCs w:val="24"/>
        </w:rPr>
        <w:t>)(A) above by the number of allowances in the tier, rounding the number down to the nearest whole number.</w:t>
      </w:r>
    </w:p>
    <w:p w14:paraId="6678C98D" w14:textId="77777777" w:rsidR="004173A0"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w:t>
      </w:r>
      <w:r w:rsidR="00043802" w:rsidRPr="00B61FF1">
        <w:rPr>
          <w:rFonts w:ascii="Arial" w:hAnsi="Arial" w:cs="Arial"/>
          <w:sz w:val="24"/>
          <w:szCs w:val="24"/>
        </w:rPr>
        <w:t>6</w:t>
      </w:r>
      <w:r w:rsidRPr="00B61FF1">
        <w:rPr>
          <w:rFonts w:ascii="Arial" w:hAnsi="Arial" w:cs="Arial"/>
          <w:sz w:val="24"/>
          <w:szCs w:val="24"/>
        </w:rPr>
        <w:t>)</w:t>
      </w:r>
      <w:r w:rsidRPr="00B61FF1">
        <w:rPr>
          <w:rFonts w:ascii="Arial" w:hAnsi="Arial" w:cs="Arial"/>
          <w:sz w:val="24"/>
          <w:szCs w:val="24"/>
        </w:rPr>
        <w:tab/>
      </w:r>
      <w:r w:rsidR="00903A8C" w:rsidRPr="00B61FF1">
        <w:rPr>
          <w:rFonts w:ascii="Arial" w:hAnsi="Arial" w:cs="Arial"/>
          <w:sz w:val="24"/>
          <w:szCs w:val="24"/>
        </w:rPr>
        <w:t>After completing the sales for each tier the reserve sale administrator will repeat the processes in</w:t>
      </w:r>
      <w:r w:rsidR="005D1EB0" w:rsidRPr="00B61FF1">
        <w:rPr>
          <w:rFonts w:ascii="Arial" w:hAnsi="Arial" w:cs="Arial"/>
          <w:sz w:val="24"/>
          <w:szCs w:val="24"/>
        </w:rPr>
        <w:t xml:space="preserve"> section</w:t>
      </w:r>
      <w:r w:rsidR="00082BC6" w:rsidRPr="00B61FF1">
        <w:rPr>
          <w:rFonts w:ascii="Arial" w:hAnsi="Arial" w:cs="Arial"/>
          <w:sz w:val="24"/>
          <w:szCs w:val="24"/>
        </w:rPr>
        <w:t>s</w:t>
      </w:r>
      <w:r w:rsidR="005D1EB0" w:rsidRPr="00B61FF1">
        <w:rPr>
          <w:rFonts w:ascii="Arial" w:hAnsi="Arial" w:cs="Arial"/>
          <w:sz w:val="24"/>
          <w:szCs w:val="24"/>
        </w:rPr>
        <w:t xml:space="preserve"> 95913</w:t>
      </w:r>
      <w:r w:rsidR="00F923D0" w:rsidRPr="00B61FF1">
        <w:rPr>
          <w:rFonts w:ascii="Arial" w:hAnsi="Arial" w:cs="Arial"/>
          <w:sz w:val="24"/>
          <w:szCs w:val="24"/>
        </w:rPr>
        <w:t>(</w:t>
      </w:r>
      <w:r w:rsidR="00F923D0" w:rsidRPr="00B61FF1">
        <w:rPr>
          <w:rFonts w:ascii="Arial" w:hAnsi="Arial" w:cs="Arial"/>
          <w:strike/>
          <w:sz w:val="24"/>
          <w:szCs w:val="24"/>
        </w:rPr>
        <w:t>g</w:t>
      </w:r>
      <w:r w:rsidR="00F923D0" w:rsidRPr="00B61FF1">
        <w:rPr>
          <w:rFonts w:ascii="Arial" w:hAnsi="Arial" w:cs="Arial"/>
          <w:sz w:val="24"/>
          <w:szCs w:val="24"/>
          <w:u w:val="single"/>
        </w:rPr>
        <w:t>h</w:t>
      </w:r>
      <w:r w:rsidR="00F923D0" w:rsidRPr="00B61FF1">
        <w:rPr>
          <w:rFonts w:ascii="Arial" w:hAnsi="Arial" w:cs="Arial"/>
          <w:sz w:val="24"/>
          <w:szCs w:val="24"/>
        </w:rPr>
        <w:t>)(</w:t>
      </w:r>
      <w:r w:rsidR="00043802" w:rsidRPr="00B61FF1">
        <w:rPr>
          <w:rFonts w:ascii="Arial" w:hAnsi="Arial" w:cs="Arial"/>
          <w:sz w:val="24"/>
          <w:szCs w:val="24"/>
        </w:rPr>
        <w:t>4</w:t>
      </w:r>
      <w:r w:rsidR="00903A8C" w:rsidRPr="00B61FF1">
        <w:rPr>
          <w:rFonts w:ascii="Arial" w:hAnsi="Arial" w:cs="Arial"/>
          <w:sz w:val="24"/>
          <w:szCs w:val="24"/>
        </w:rPr>
        <w:t xml:space="preserve">) and </w:t>
      </w:r>
      <w:r w:rsidR="00F923D0" w:rsidRPr="00B61FF1">
        <w:rPr>
          <w:rFonts w:ascii="Arial" w:hAnsi="Arial" w:cs="Arial"/>
          <w:sz w:val="24"/>
          <w:szCs w:val="24"/>
        </w:rPr>
        <w:t>(</w:t>
      </w:r>
      <w:r w:rsidR="00F923D0" w:rsidRPr="00B61FF1">
        <w:rPr>
          <w:rFonts w:ascii="Arial" w:hAnsi="Arial" w:cs="Arial"/>
          <w:strike/>
          <w:sz w:val="24"/>
          <w:szCs w:val="24"/>
        </w:rPr>
        <w:t>g</w:t>
      </w:r>
      <w:r w:rsidR="00F923D0" w:rsidRPr="00B61FF1">
        <w:rPr>
          <w:rFonts w:ascii="Arial" w:hAnsi="Arial" w:cs="Arial"/>
          <w:sz w:val="24"/>
          <w:szCs w:val="24"/>
          <w:u w:val="single"/>
        </w:rPr>
        <w:t>h</w:t>
      </w:r>
      <w:r w:rsidR="00F923D0" w:rsidRPr="00B61FF1">
        <w:rPr>
          <w:rFonts w:ascii="Arial" w:hAnsi="Arial" w:cs="Arial"/>
          <w:sz w:val="24"/>
          <w:szCs w:val="24"/>
        </w:rPr>
        <w:t>)(</w:t>
      </w:r>
      <w:r w:rsidR="00043802" w:rsidRPr="00B61FF1">
        <w:rPr>
          <w:rFonts w:ascii="Arial" w:hAnsi="Arial" w:cs="Arial"/>
          <w:sz w:val="24"/>
          <w:szCs w:val="24"/>
        </w:rPr>
        <w:t>5</w:t>
      </w:r>
      <w:r w:rsidR="00903A8C" w:rsidRPr="00B61FF1">
        <w:rPr>
          <w:rFonts w:ascii="Arial" w:hAnsi="Arial" w:cs="Arial"/>
          <w:sz w:val="24"/>
          <w:szCs w:val="24"/>
        </w:rPr>
        <w:t xml:space="preserve">) above for the next highest price tier until all bids have been filled or until the </w:t>
      </w:r>
      <w:r w:rsidR="008C2E65" w:rsidRPr="00B61FF1">
        <w:rPr>
          <w:rFonts w:ascii="Arial" w:hAnsi="Arial" w:cs="Arial"/>
          <w:sz w:val="24"/>
          <w:szCs w:val="24"/>
        </w:rPr>
        <w:t>R</w:t>
      </w:r>
      <w:r w:rsidR="00903A8C" w:rsidRPr="00B61FF1">
        <w:rPr>
          <w:rFonts w:ascii="Arial" w:hAnsi="Arial" w:cs="Arial"/>
          <w:sz w:val="24"/>
          <w:szCs w:val="24"/>
        </w:rPr>
        <w:t>eserve is depleted.  At that time the reserve sale administrator will inform the Executive</w:t>
      </w:r>
      <w:r w:rsidR="005D1EB0" w:rsidRPr="00B61FF1">
        <w:rPr>
          <w:rFonts w:ascii="Arial" w:hAnsi="Arial" w:cs="Arial"/>
          <w:sz w:val="24"/>
          <w:szCs w:val="24"/>
        </w:rPr>
        <w:t xml:space="preserve"> Officer of the sales from the R</w:t>
      </w:r>
      <w:r w:rsidR="00903A8C" w:rsidRPr="00B61FF1">
        <w:rPr>
          <w:rFonts w:ascii="Arial" w:hAnsi="Arial" w:cs="Arial"/>
          <w:sz w:val="24"/>
          <w:szCs w:val="24"/>
        </w:rPr>
        <w:t xml:space="preserve">eserve to each participant.  </w:t>
      </w:r>
    </w:p>
    <w:p w14:paraId="42D916C4" w14:textId="77777777" w:rsidR="00903A8C" w:rsidRPr="00B61FF1" w:rsidRDefault="004173A0" w:rsidP="004173A0">
      <w:pPr>
        <w:spacing w:line="360" w:lineRule="auto"/>
        <w:ind w:left="720" w:hanging="720"/>
        <w:rPr>
          <w:rFonts w:ascii="Arial" w:hAnsi="Arial" w:cs="Arial"/>
          <w:sz w:val="24"/>
          <w:szCs w:val="24"/>
        </w:rPr>
      </w:pPr>
      <w:r w:rsidRPr="00B61FF1">
        <w:rPr>
          <w:rFonts w:ascii="Arial" w:hAnsi="Arial" w:cs="Arial"/>
          <w:sz w:val="24"/>
          <w:szCs w:val="24"/>
        </w:rPr>
        <w:t>(</w:t>
      </w:r>
      <w:r w:rsidR="00534FD5" w:rsidRPr="00B61FF1">
        <w:rPr>
          <w:rFonts w:ascii="Arial" w:hAnsi="Arial" w:cs="Arial"/>
          <w:strike/>
          <w:sz w:val="24"/>
          <w:szCs w:val="24"/>
        </w:rPr>
        <w:t>h</w:t>
      </w:r>
      <w:r w:rsidR="008956BF" w:rsidRPr="00B61FF1">
        <w:rPr>
          <w:rFonts w:ascii="Arial" w:hAnsi="Arial" w:cs="Arial"/>
          <w:sz w:val="24"/>
          <w:szCs w:val="24"/>
          <w:u w:val="single"/>
        </w:rPr>
        <w:t>i</w:t>
      </w:r>
      <w:r w:rsidRPr="00B61FF1">
        <w:rPr>
          <w:rFonts w:ascii="Arial" w:hAnsi="Arial" w:cs="Arial"/>
          <w:sz w:val="24"/>
          <w:szCs w:val="24"/>
        </w:rPr>
        <w:t>)</w:t>
      </w:r>
      <w:r w:rsidRPr="00B61FF1">
        <w:rPr>
          <w:rFonts w:ascii="Arial" w:hAnsi="Arial" w:cs="Arial"/>
          <w:sz w:val="24"/>
          <w:szCs w:val="24"/>
        </w:rPr>
        <w:tab/>
      </w:r>
      <w:r w:rsidR="00043802" w:rsidRPr="00B61FF1">
        <w:rPr>
          <w:rFonts w:ascii="Arial" w:hAnsi="Arial" w:cs="Arial"/>
          <w:sz w:val="24"/>
          <w:szCs w:val="24"/>
        </w:rPr>
        <w:t>Resolution of Sales.</w:t>
      </w:r>
    </w:p>
    <w:p w14:paraId="1D4B304D" w14:textId="77777777" w:rsidR="00903A8C"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043802" w:rsidRPr="00B61FF1">
        <w:rPr>
          <w:rFonts w:ascii="Arial" w:hAnsi="Arial" w:cs="Arial"/>
          <w:sz w:val="24"/>
          <w:szCs w:val="24"/>
        </w:rPr>
        <w:t>After reviewing the conduct of the sale by the Reserve sale administrator, the Executive Officer will certify whether the Reserve sale met the requirements of this article.</w:t>
      </w:r>
      <w:r w:rsidR="00903A8C" w:rsidRPr="00B61FF1">
        <w:rPr>
          <w:rFonts w:ascii="Arial" w:hAnsi="Arial" w:cs="Arial"/>
          <w:sz w:val="24"/>
          <w:szCs w:val="24"/>
        </w:rPr>
        <w:t xml:space="preserve"> </w:t>
      </w:r>
    </w:p>
    <w:p w14:paraId="6888BE4E" w14:textId="77777777" w:rsidR="00903A8C"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903A8C" w:rsidRPr="00B61FF1">
        <w:rPr>
          <w:rFonts w:ascii="Arial" w:hAnsi="Arial" w:cs="Arial"/>
          <w:sz w:val="24"/>
          <w:szCs w:val="24"/>
        </w:rPr>
        <w:t xml:space="preserve">Upon certification of the sale results, </w:t>
      </w:r>
      <w:r w:rsidR="00043802" w:rsidRPr="00B61FF1">
        <w:rPr>
          <w:rFonts w:ascii="Arial" w:hAnsi="Arial" w:cs="Arial"/>
          <w:sz w:val="24"/>
          <w:szCs w:val="24"/>
        </w:rPr>
        <w:t>the Executive Officer will authorize the financial services administrator to:</w:t>
      </w:r>
    </w:p>
    <w:p w14:paraId="60F9A959" w14:textId="77777777" w:rsidR="00043802" w:rsidRPr="00B61FF1" w:rsidRDefault="00043802" w:rsidP="00FE6A4C">
      <w:pPr>
        <w:pStyle w:val="ListParagraph"/>
        <w:numPr>
          <w:ilvl w:val="0"/>
          <w:numId w:val="53"/>
        </w:numPr>
        <w:tabs>
          <w:tab w:val="left" w:pos="1170"/>
        </w:tabs>
        <w:spacing w:line="360" w:lineRule="auto"/>
        <w:ind w:hanging="720"/>
        <w:rPr>
          <w:rFonts w:ascii="Arial" w:hAnsi="Arial" w:cs="Arial"/>
          <w:sz w:val="24"/>
          <w:szCs w:val="24"/>
        </w:rPr>
      </w:pPr>
      <w:r w:rsidRPr="00B61FF1">
        <w:rPr>
          <w:rFonts w:ascii="Arial" w:hAnsi="Arial" w:cs="Arial"/>
          <w:sz w:val="24"/>
          <w:szCs w:val="24"/>
        </w:rPr>
        <w:t>Notify Reserve sale participants of their purchases and total purchase cost;</w:t>
      </w:r>
    </w:p>
    <w:p w14:paraId="64E2B490" w14:textId="77777777" w:rsidR="00043802" w:rsidRPr="00B61FF1" w:rsidRDefault="00043802" w:rsidP="00FE6A4C">
      <w:pPr>
        <w:pStyle w:val="ListParagraph"/>
        <w:numPr>
          <w:ilvl w:val="0"/>
          <w:numId w:val="53"/>
        </w:numPr>
        <w:tabs>
          <w:tab w:val="left" w:pos="1170"/>
        </w:tabs>
        <w:spacing w:line="360" w:lineRule="auto"/>
        <w:ind w:hanging="720"/>
        <w:rPr>
          <w:rFonts w:ascii="Arial" w:hAnsi="Arial" w:cs="Arial"/>
          <w:sz w:val="24"/>
          <w:szCs w:val="24"/>
        </w:rPr>
      </w:pPr>
      <w:r w:rsidRPr="00B61FF1">
        <w:rPr>
          <w:rFonts w:ascii="Arial" w:hAnsi="Arial" w:cs="Arial"/>
          <w:sz w:val="24"/>
          <w:szCs w:val="24"/>
        </w:rPr>
        <w:t>Process cash payments from participants and deposit proceeds into the Air Pollution Control Fund up to seven days after bidders are notified of results;</w:t>
      </w:r>
    </w:p>
    <w:p w14:paraId="6835F477" w14:textId="77777777" w:rsidR="00043802" w:rsidRPr="00B61FF1" w:rsidRDefault="00043802" w:rsidP="00FE6A4C">
      <w:pPr>
        <w:pStyle w:val="ListParagraph"/>
        <w:numPr>
          <w:ilvl w:val="0"/>
          <w:numId w:val="53"/>
        </w:numPr>
        <w:tabs>
          <w:tab w:val="left" w:pos="1170"/>
        </w:tabs>
        <w:spacing w:line="360" w:lineRule="auto"/>
        <w:ind w:hanging="720"/>
        <w:rPr>
          <w:rFonts w:ascii="Arial" w:hAnsi="Arial" w:cs="Arial"/>
          <w:sz w:val="24"/>
          <w:szCs w:val="24"/>
        </w:rPr>
      </w:pPr>
      <w:r w:rsidRPr="00B61FF1">
        <w:rPr>
          <w:rFonts w:ascii="Arial" w:hAnsi="Arial" w:cs="Arial"/>
          <w:sz w:val="24"/>
          <w:szCs w:val="24"/>
        </w:rPr>
        <w:t>Use the bid guarantee to cover payment for allowance purchases by any entity that fails to make cash payment within seven days after bidders are notified of results and place the proceeds into the Air Pollution Control Fund.  If an entity has submitted more than one form of bid guarantee then the financial services administrator will apply the instruments to the unpaid balance in the order the instruments are listed in section 95913(</w:t>
      </w:r>
      <w:r w:rsidRPr="00B61FF1">
        <w:rPr>
          <w:rFonts w:ascii="Arial" w:hAnsi="Arial" w:cs="Arial"/>
          <w:strike/>
          <w:sz w:val="24"/>
          <w:szCs w:val="24"/>
        </w:rPr>
        <w:t>f</w:t>
      </w:r>
      <w:r w:rsidR="00F923D0" w:rsidRPr="00B61FF1">
        <w:rPr>
          <w:rFonts w:ascii="Arial" w:hAnsi="Arial" w:cs="Arial"/>
          <w:sz w:val="24"/>
          <w:szCs w:val="24"/>
          <w:u w:val="single"/>
        </w:rPr>
        <w:t>g</w:t>
      </w:r>
      <w:r w:rsidRPr="00B61FF1">
        <w:rPr>
          <w:rFonts w:ascii="Arial" w:hAnsi="Arial" w:cs="Arial"/>
          <w:sz w:val="24"/>
          <w:szCs w:val="24"/>
        </w:rPr>
        <w:t>)(2); and</w:t>
      </w:r>
    </w:p>
    <w:p w14:paraId="78F0789B" w14:textId="77777777" w:rsidR="00043802" w:rsidRPr="00B61FF1" w:rsidRDefault="00043802" w:rsidP="00FE6A4C">
      <w:pPr>
        <w:pStyle w:val="ListParagraph"/>
        <w:numPr>
          <w:ilvl w:val="0"/>
          <w:numId w:val="53"/>
        </w:numPr>
        <w:tabs>
          <w:tab w:val="left" w:pos="1170"/>
        </w:tabs>
        <w:spacing w:line="360" w:lineRule="auto"/>
        <w:ind w:hanging="720"/>
        <w:rPr>
          <w:rFonts w:ascii="Arial" w:hAnsi="Arial" w:cs="Arial"/>
          <w:sz w:val="24"/>
          <w:szCs w:val="24"/>
        </w:rPr>
      </w:pPr>
      <w:r w:rsidRPr="00B61FF1">
        <w:rPr>
          <w:rFonts w:ascii="Arial" w:hAnsi="Arial" w:cs="Arial"/>
          <w:sz w:val="24"/>
          <w:szCs w:val="24"/>
        </w:rPr>
        <w:t>Return any unused bid guarantee.</w:t>
      </w:r>
    </w:p>
    <w:p w14:paraId="3C4FCA6B" w14:textId="77777777" w:rsidR="00903A8C"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903A8C" w:rsidRPr="00B61FF1">
        <w:rPr>
          <w:rFonts w:ascii="Arial" w:hAnsi="Arial" w:cs="Arial"/>
          <w:sz w:val="24"/>
          <w:szCs w:val="24"/>
        </w:rPr>
        <w:t xml:space="preserve">Upon determining that the </w:t>
      </w:r>
      <w:r w:rsidR="008C2E65" w:rsidRPr="00B61FF1">
        <w:rPr>
          <w:rFonts w:ascii="Arial" w:hAnsi="Arial" w:cs="Arial"/>
          <w:sz w:val="24"/>
          <w:szCs w:val="24"/>
        </w:rPr>
        <w:t xml:space="preserve">financial services administrator has deposited the </w:t>
      </w:r>
      <w:r w:rsidR="00903A8C" w:rsidRPr="00B61FF1">
        <w:rPr>
          <w:rFonts w:ascii="Arial" w:hAnsi="Arial" w:cs="Arial"/>
          <w:sz w:val="24"/>
          <w:szCs w:val="24"/>
        </w:rPr>
        <w:t xml:space="preserve">payment for allowances into the Air Pollution Control Fund, </w:t>
      </w:r>
      <w:r w:rsidR="00276D05" w:rsidRPr="00B61FF1">
        <w:rPr>
          <w:rFonts w:ascii="Arial" w:hAnsi="Arial" w:cs="Arial"/>
          <w:sz w:val="24"/>
          <w:szCs w:val="24"/>
        </w:rPr>
        <w:t xml:space="preserve">the Executive Officer shall </w:t>
      </w:r>
      <w:r w:rsidR="00903A8C" w:rsidRPr="00B61FF1">
        <w:rPr>
          <w:rFonts w:ascii="Arial" w:hAnsi="Arial" w:cs="Arial"/>
          <w:sz w:val="24"/>
          <w:szCs w:val="24"/>
        </w:rPr>
        <w:t xml:space="preserve">transfer the </w:t>
      </w:r>
      <w:r w:rsidR="00903A8C" w:rsidRPr="00B61FF1">
        <w:rPr>
          <w:rFonts w:ascii="Arial" w:hAnsi="Arial" w:cs="Arial"/>
          <w:strike/>
          <w:sz w:val="24"/>
          <w:szCs w:val="24"/>
        </w:rPr>
        <w:t>serial numbers of the</w:t>
      </w:r>
      <w:r w:rsidR="00903A8C" w:rsidRPr="00B61FF1">
        <w:rPr>
          <w:rFonts w:ascii="Arial" w:hAnsi="Arial" w:cs="Arial"/>
          <w:sz w:val="24"/>
          <w:szCs w:val="24"/>
        </w:rPr>
        <w:t xml:space="preserve"> allowances purchased from the Allowance Price Containment Reserve Account into each winn</w:t>
      </w:r>
      <w:r w:rsidR="00BE52EF" w:rsidRPr="00B61FF1">
        <w:rPr>
          <w:rFonts w:ascii="Arial" w:hAnsi="Arial" w:cs="Arial"/>
          <w:sz w:val="24"/>
          <w:szCs w:val="24"/>
        </w:rPr>
        <w:t>ing bidder’s compliance account.</w:t>
      </w:r>
    </w:p>
    <w:p w14:paraId="5C154B4D" w14:textId="77777777" w:rsidR="00903A8C" w:rsidRPr="00B61FF1" w:rsidRDefault="004173A0" w:rsidP="004173A0">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276D05" w:rsidRPr="00B61FF1">
        <w:rPr>
          <w:rFonts w:ascii="Arial" w:hAnsi="Arial" w:cs="Arial"/>
          <w:sz w:val="24"/>
          <w:szCs w:val="24"/>
        </w:rPr>
        <w:t>The Executive Officer shall i</w:t>
      </w:r>
      <w:r w:rsidR="00903A8C" w:rsidRPr="00B61FF1">
        <w:rPr>
          <w:rFonts w:ascii="Arial" w:hAnsi="Arial" w:cs="Arial"/>
          <w:sz w:val="24"/>
          <w:szCs w:val="24"/>
        </w:rPr>
        <w:t>nform each approved external GHG emissions trading system and the associated tracking system of the serial numbers of allowances sold; and</w:t>
      </w:r>
    </w:p>
    <w:p w14:paraId="37F6C069" w14:textId="64DE6749" w:rsidR="00903A8C" w:rsidRPr="00B61FF1" w:rsidRDefault="004173A0" w:rsidP="00E80CA4">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r>
      <w:r w:rsidR="00276D05" w:rsidRPr="00B61FF1">
        <w:rPr>
          <w:rFonts w:ascii="Arial" w:hAnsi="Arial" w:cs="Arial"/>
          <w:sz w:val="24"/>
          <w:szCs w:val="24"/>
        </w:rPr>
        <w:t>The Executive Officer shall p</w:t>
      </w:r>
      <w:r w:rsidR="00903A8C" w:rsidRPr="00B61FF1">
        <w:rPr>
          <w:rFonts w:ascii="Arial" w:hAnsi="Arial" w:cs="Arial"/>
          <w:sz w:val="24"/>
          <w:szCs w:val="24"/>
        </w:rPr>
        <w:t>ublish the sale results at</w:t>
      </w:r>
      <w:r w:rsidR="00E80CA4" w:rsidRPr="00B61FF1">
        <w:rPr>
          <w:rFonts w:ascii="Arial" w:hAnsi="Arial" w:cs="Arial"/>
          <w:sz w:val="24"/>
          <w:szCs w:val="24"/>
        </w:rPr>
        <w:t xml:space="preserve"> </w:t>
      </w:r>
      <w:hyperlink r:id="rId19" w:history="1">
        <w:r w:rsidR="00AC2930" w:rsidRPr="00B61FF1">
          <w:rPr>
            <w:rStyle w:val="Hyperlink"/>
            <w:rFonts w:ascii="Arial" w:hAnsi="Arial" w:cs="Arial"/>
            <w:sz w:val="24"/>
            <w:szCs w:val="24"/>
          </w:rPr>
          <w:t>www.arb.ca.gov</w:t>
        </w:r>
      </w:hyperlink>
      <w:r w:rsidR="00E80CA4" w:rsidRPr="00B61FF1">
        <w:rPr>
          <w:rFonts w:ascii="Arial" w:hAnsi="Arial" w:cs="Arial"/>
          <w:sz w:val="24"/>
          <w:szCs w:val="24"/>
        </w:rPr>
        <w:t>.</w:t>
      </w:r>
    </w:p>
    <w:p w14:paraId="000D3D70" w14:textId="3C41AF9B" w:rsidR="00AC2930" w:rsidRPr="00B61FF1" w:rsidRDefault="00AC2930" w:rsidP="00AC2930">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i</w:t>
      </w:r>
      <w:r w:rsidRPr="00B61FF1">
        <w:rPr>
          <w:rFonts w:ascii="Arial" w:hAnsi="Arial" w:cs="Arial"/>
          <w:sz w:val="24"/>
          <w:szCs w:val="24"/>
          <w:u w:val="single"/>
        </w:rPr>
        <w:t>j</w:t>
      </w:r>
      <w:r w:rsidRPr="00B61FF1">
        <w:rPr>
          <w:rFonts w:ascii="Arial" w:hAnsi="Arial" w:cs="Arial"/>
          <w:sz w:val="24"/>
          <w:szCs w:val="24"/>
        </w:rPr>
        <w:t>)</w:t>
      </w:r>
      <w:r w:rsidRPr="00B61FF1">
        <w:rPr>
          <w:rFonts w:ascii="Arial" w:hAnsi="Arial" w:cs="Arial"/>
          <w:sz w:val="24"/>
          <w:szCs w:val="24"/>
        </w:rPr>
        <w:tab/>
        <w:t>Entities registered in an External GHG ETS to which California has linked pursuant to subarticle 12 are not eligible to purchase from the Reserve.</w:t>
      </w:r>
    </w:p>
    <w:p w14:paraId="10404427"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C835500"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2560A9C2" w14:textId="77777777" w:rsidR="009D0034" w:rsidRPr="00B61FF1" w:rsidRDefault="009D0034">
      <w:pPr>
        <w:autoSpaceDE/>
        <w:autoSpaceDN/>
        <w:adjustRightInd/>
        <w:rPr>
          <w:rFonts w:ascii="Arial" w:hAnsi="Arial" w:cs="Arial"/>
          <w:b/>
          <w:bCs/>
          <w:iCs/>
          <w:sz w:val="24"/>
          <w:szCs w:val="24"/>
        </w:rPr>
      </w:pPr>
      <w:bookmarkStart w:id="363" w:name="_Toc299094957"/>
      <w:bookmarkStart w:id="364" w:name="_Toc302746811"/>
      <w:bookmarkStart w:id="365" w:name="_Toc352146270"/>
    </w:p>
    <w:p w14:paraId="10A9F479" w14:textId="77777777" w:rsidR="0069726D" w:rsidRDefault="0069726D" w:rsidP="004E3B67">
      <w:pPr>
        <w:pStyle w:val="Heading2"/>
        <w:keepNext w:val="0"/>
        <w:rPr>
          <w:szCs w:val="24"/>
        </w:rPr>
      </w:pPr>
    </w:p>
    <w:p w14:paraId="631480A0" w14:textId="77777777" w:rsidR="0069726D" w:rsidRDefault="0069726D" w:rsidP="004E3B67">
      <w:pPr>
        <w:pStyle w:val="Heading2"/>
        <w:keepNext w:val="0"/>
        <w:rPr>
          <w:szCs w:val="24"/>
        </w:rPr>
      </w:pPr>
    </w:p>
    <w:p w14:paraId="085D3944" w14:textId="77777777" w:rsidR="00FE6B15" w:rsidRPr="00B61FF1" w:rsidRDefault="00FE6B15" w:rsidP="004E3B67">
      <w:pPr>
        <w:pStyle w:val="Heading2"/>
        <w:keepNext w:val="0"/>
        <w:rPr>
          <w:i/>
          <w:szCs w:val="24"/>
        </w:rPr>
      </w:pPr>
      <w:bookmarkStart w:id="366" w:name="_Toc361659874"/>
      <w:r w:rsidRPr="00B61FF1">
        <w:rPr>
          <w:szCs w:val="24"/>
        </w:rPr>
        <w:t xml:space="preserve">§ 95914.  </w:t>
      </w:r>
      <w:r w:rsidR="0068028F" w:rsidRPr="00B61FF1">
        <w:rPr>
          <w:szCs w:val="24"/>
        </w:rPr>
        <w:t xml:space="preserve">Auction </w:t>
      </w:r>
      <w:r w:rsidR="00233319" w:rsidRPr="00B61FF1">
        <w:rPr>
          <w:szCs w:val="24"/>
        </w:rPr>
        <w:t>Participation and Limitations</w:t>
      </w:r>
      <w:r w:rsidR="00C15B92" w:rsidRPr="00B61FF1">
        <w:rPr>
          <w:szCs w:val="24"/>
        </w:rPr>
        <w:t>.</w:t>
      </w:r>
      <w:bookmarkEnd w:id="363"/>
      <w:bookmarkEnd w:id="364"/>
      <w:bookmarkEnd w:id="365"/>
      <w:bookmarkEnd w:id="366"/>
      <w:r w:rsidRPr="00B61FF1">
        <w:rPr>
          <w:szCs w:val="24"/>
        </w:rPr>
        <w:t xml:space="preserve"> </w:t>
      </w:r>
    </w:p>
    <w:p w14:paraId="7B6AAB9C" w14:textId="77777777" w:rsidR="008B4B51" w:rsidRPr="00B61FF1" w:rsidRDefault="00621930" w:rsidP="00621930">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276D05" w:rsidRPr="00B61FF1">
        <w:rPr>
          <w:rFonts w:ascii="Arial" w:hAnsi="Arial" w:cs="Arial"/>
          <w:sz w:val="24"/>
          <w:szCs w:val="24"/>
        </w:rPr>
        <w:t>The Executive Offi</w:t>
      </w:r>
      <w:r w:rsidR="00BE52EF" w:rsidRPr="00B61FF1">
        <w:rPr>
          <w:rFonts w:ascii="Arial" w:hAnsi="Arial" w:cs="Arial"/>
          <w:sz w:val="24"/>
          <w:szCs w:val="24"/>
        </w:rPr>
        <w:t>c</w:t>
      </w:r>
      <w:r w:rsidR="00276D05" w:rsidRPr="00B61FF1">
        <w:rPr>
          <w:rFonts w:ascii="Arial" w:hAnsi="Arial" w:cs="Arial"/>
          <w:sz w:val="24"/>
          <w:szCs w:val="24"/>
        </w:rPr>
        <w:t>er may cancel or restrict a previously approved auction participation application or reject a new application if the Executive Officer determines that an entity has:</w:t>
      </w:r>
    </w:p>
    <w:p w14:paraId="46466B92" w14:textId="77777777" w:rsidR="00276D05" w:rsidRPr="00B61FF1" w:rsidRDefault="00276D05" w:rsidP="00FE6A4C">
      <w:pPr>
        <w:pStyle w:val="ListParagraph"/>
        <w:numPr>
          <w:ilvl w:val="0"/>
          <w:numId w:val="54"/>
        </w:numPr>
        <w:tabs>
          <w:tab w:val="left" w:pos="1080"/>
        </w:tabs>
        <w:spacing w:line="360" w:lineRule="auto"/>
        <w:ind w:left="1080" w:hanging="720"/>
        <w:rPr>
          <w:rFonts w:ascii="Arial" w:hAnsi="Arial" w:cs="Arial"/>
          <w:sz w:val="24"/>
          <w:szCs w:val="24"/>
        </w:rPr>
      </w:pPr>
      <w:r w:rsidRPr="00B61FF1">
        <w:rPr>
          <w:rFonts w:ascii="Arial" w:hAnsi="Arial" w:cs="Arial"/>
          <w:sz w:val="24"/>
          <w:szCs w:val="24"/>
        </w:rPr>
        <w:t>Provided false or misleading facts;</w:t>
      </w:r>
    </w:p>
    <w:p w14:paraId="16998919" w14:textId="77777777" w:rsidR="00276D05" w:rsidRPr="00B61FF1" w:rsidRDefault="00276D05" w:rsidP="00FE6A4C">
      <w:pPr>
        <w:pStyle w:val="ListParagraph"/>
        <w:numPr>
          <w:ilvl w:val="0"/>
          <w:numId w:val="54"/>
        </w:numPr>
        <w:tabs>
          <w:tab w:val="left" w:pos="1080"/>
        </w:tabs>
        <w:spacing w:line="360" w:lineRule="auto"/>
        <w:ind w:left="1080" w:hanging="720"/>
        <w:rPr>
          <w:rFonts w:ascii="Arial" w:hAnsi="Arial" w:cs="Arial"/>
          <w:sz w:val="24"/>
          <w:szCs w:val="24"/>
        </w:rPr>
      </w:pPr>
      <w:r w:rsidRPr="00B61FF1">
        <w:rPr>
          <w:rFonts w:ascii="Arial" w:hAnsi="Arial" w:cs="Arial"/>
          <w:sz w:val="24"/>
          <w:szCs w:val="24"/>
        </w:rPr>
        <w:t xml:space="preserve">Withheld material information </w:t>
      </w:r>
      <w:r w:rsidRPr="00B61FF1">
        <w:rPr>
          <w:rFonts w:ascii="Arial" w:hAnsi="Arial" w:cs="Arial"/>
          <w:strike/>
          <w:sz w:val="24"/>
          <w:szCs w:val="24"/>
        </w:rPr>
        <w:t>for</w:t>
      </w:r>
      <w:r w:rsidR="00485F0D" w:rsidRPr="00B61FF1">
        <w:rPr>
          <w:rFonts w:ascii="Arial" w:hAnsi="Arial" w:cs="Arial"/>
          <w:sz w:val="24"/>
          <w:szCs w:val="24"/>
          <w:u w:val="single"/>
        </w:rPr>
        <w:t>from</w:t>
      </w:r>
      <w:r w:rsidRPr="00B61FF1">
        <w:rPr>
          <w:rFonts w:ascii="Arial" w:hAnsi="Arial" w:cs="Arial"/>
          <w:sz w:val="24"/>
          <w:szCs w:val="24"/>
        </w:rPr>
        <w:t xml:space="preserve"> its application, with material meaning information that could </w:t>
      </w:r>
      <w:r w:rsidRPr="00B61FF1">
        <w:rPr>
          <w:rFonts w:ascii="Arial" w:hAnsi="Arial" w:cs="Arial"/>
          <w:strike/>
          <w:sz w:val="24"/>
          <w:szCs w:val="24"/>
        </w:rPr>
        <w:t>probably</w:t>
      </w:r>
      <w:r w:rsidRPr="00B61FF1">
        <w:rPr>
          <w:rFonts w:ascii="Arial" w:hAnsi="Arial" w:cs="Arial"/>
          <w:sz w:val="24"/>
          <w:szCs w:val="24"/>
        </w:rPr>
        <w:t xml:space="preserve"> influence a decision by the Executive Officer, the Board, or the Board’s staff;</w:t>
      </w:r>
    </w:p>
    <w:p w14:paraId="1B2D3B62" w14:textId="77777777" w:rsidR="00276D05" w:rsidRPr="00B61FF1" w:rsidRDefault="00276D05" w:rsidP="00FE6A4C">
      <w:pPr>
        <w:pStyle w:val="ListParagraph"/>
        <w:numPr>
          <w:ilvl w:val="0"/>
          <w:numId w:val="54"/>
        </w:numPr>
        <w:tabs>
          <w:tab w:val="left" w:pos="1080"/>
        </w:tabs>
        <w:spacing w:line="360" w:lineRule="auto"/>
        <w:ind w:left="1080" w:hanging="720"/>
        <w:rPr>
          <w:rFonts w:ascii="Arial" w:hAnsi="Arial" w:cs="Arial"/>
          <w:sz w:val="24"/>
          <w:szCs w:val="24"/>
        </w:rPr>
      </w:pPr>
      <w:r w:rsidRPr="00B61FF1">
        <w:rPr>
          <w:rFonts w:ascii="Arial" w:hAnsi="Arial" w:cs="Arial"/>
          <w:sz w:val="24"/>
          <w:szCs w:val="24"/>
        </w:rPr>
        <w:t>Violated any part of the auction rules pursuant to subarticle 10;</w:t>
      </w:r>
    </w:p>
    <w:p w14:paraId="314BD407" w14:textId="77777777" w:rsidR="00276D05" w:rsidRPr="00B61FF1" w:rsidRDefault="00276D05" w:rsidP="00FE6A4C">
      <w:pPr>
        <w:pStyle w:val="ListParagraph"/>
        <w:numPr>
          <w:ilvl w:val="0"/>
          <w:numId w:val="54"/>
        </w:numPr>
        <w:tabs>
          <w:tab w:val="left" w:pos="1080"/>
        </w:tabs>
        <w:spacing w:line="360" w:lineRule="auto"/>
        <w:ind w:left="1080" w:hanging="720"/>
        <w:rPr>
          <w:rFonts w:ascii="Arial" w:hAnsi="Arial" w:cs="Arial"/>
          <w:sz w:val="24"/>
          <w:szCs w:val="24"/>
        </w:rPr>
      </w:pPr>
      <w:r w:rsidRPr="00B61FF1">
        <w:rPr>
          <w:rFonts w:ascii="Arial" w:hAnsi="Arial" w:cs="Arial"/>
          <w:sz w:val="24"/>
          <w:szCs w:val="24"/>
        </w:rPr>
        <w:t>Violated the registration requirements pursuant to subarticle 5; or</w:t>
      </w:r>
    </w:p>
    <w:p w14:paraId="4511D793" w14:textId="77777777" w:rsidR="00276D05" w:rsidRPr="00B61FF1" w:rsidRDefault="00276D05" w:rsidP="00FE6A4C">
      <w:pPr>
        <w:pStyle w:val="ListParagraph"/>
        <w:numPr>
          <w:ilvl w:val="0"/>
          <w:numId w:val="54"/>
        </w:numPr>
        <w:tabs>
          <w:tab w:val="left" w:pos="1080"/>
        </w:tabs>
        <w:spacing w:line="360" w:lineRule="auto"/>
        <w:ind w:left="1080" w:hanging="720"/>
        <w:rPr>
          <w:rFonts w:ascii="Arial" w:hAnsi="Arial" w:cs="Arial"/>
          <w:sz w:val="24"/>
          <w:szCs w:val="24"/>
        </w:rPr>
      </w:pPr>
      <w:r w:rsidRPr="00B61FF1">
        <w:rPr>
          <w:rFonts w:ascii="Arial" w:hAnsi="Arial" w:cs="Arial"/>
          <w:sz w:val="24"/>
          <w:szCs w:val="24"/>
        </w:rPr>
        <w:t>Violated the rules governing trading pursuant to subarticle 11.</w:t>
      </w:r>
    </w:p>
    <w:p w14:paraId="588803BC" w14:textId="77777777" w:rsidR="008B4B51" w:rsidRPr="00B61FF1" w:rsidRDefault="00621930" w:rsidP="00621930">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E615A2" w:rsidRPr="00B61FF1">
        <w:rPr>
          <w:rFonts w:ascii="Arial" w:hAnsi="Arial" w:cs="Arial"/>
          <w:sz w:val="24"/>
          <w:szCs w:val="24"/>
        </w:rPr>
        <w:t>If the Executive Officer determines an entity has committed any of the violations listed in section 95914(a), then:</w:t>
      </w:r>
    </w:p>
    <w:p w14:paraId="75041B43" w14:textId="77777777" w:rsidR="008B4B51" w:rsidRPr="00B61FF1" w:rsidRDefault="00621930" w:rsidP="0062193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8B4B51" w:rsidRPr="00B61FF1">
        <w:rPr>
          <w:rFonts w:ascii="Arial" w:hAnsi="Arial" w:cs="Arial"/>
          <w:sz w:val="24"/>
          <w:szCs w:val="24"/>
        </w:rPr>
        <w:t xml:space="preserve">The Executive Officer may instruct the </w:t>
      </w:r>
      <w:r w:rsidR="00BE52EF" w:rsidRPr="00B61FF1">
        <w:rPr>
          <w:rFonts w:ascii="Arial" w:hAnsi="Arial" w:cs="Arial"/>
          <w:sz w:val="24"/>
          <w:szCs w:val="24"/>
        </w:rPr>
        <w:t>a</w:t>
      </w:r>
      <w:r w:rsidR="008B4B51" w:rsidRPr="00B61FF1">
        <w:rPr>
          <w:rFonts w:ascii="Arial" w:hAnsi="Arial" w:cs="Arial"/>
          <w:sz w:val="24"/>
          <w:szCs w:val="24"/>
        </w:rPr>
        <w:t xml:space="preserve">uction </w:t>
      </w:r>
      <w:r w:rsidR="00BE52EF" w:rsidRPr="00B61FF1">
        <w:rPr>
          <w:rFonts w:ascii="Arial" w:hAnsi="Arial" w:cs="Arial"/>
          <w:sz w:val="24"/>
          <w:szCs w:val="24"/>
        </w:rPr>
        <w:t>a</w:t>
      </w:r>
      <w:r w:rsidR="00E615A2" w:rsidRPr="00B61FF1">
        <w:rPr>
          <w:rFonts w:ascii="Arial" w:hAnsi="Arial" w:cs="Arial"/>
          <w:sz w:val="24"/>
          <w:szCs w:val="24"/>
        </w:rPr>
        <w:t>dministrator to cancel a previously approved auction application or to not accept auction applications from the entity;</w:t>
      </w:r>
    </w:p>
    <w:p w14:paraId="3996BC9F" w14:textId="77777777" w:rsidR="008B4B51" w:rsidRPr="00B61FF1" w:rsidRDefault="00621930" w:rsidP="00621930">
      <w:pPr>
        <w:spacing w:line="360" w:lineRule="auto"/>
        <w:ind w:left="1080" w:hanging="720"/>
        <w:rPr>
          <w:rFonts w:ascii="Arial" w:hAnsi="Arial" w:cs="Arial"/>
          <w:sz w:val="24"/>
          <w:szCs w:val="24"/>
        </w:rPr>
      </w:pPr>
      <w:r w:rsidRPr="00B61FF1">
        <w:rPr>
          <w:rFonts w:ascii="Arial" w:hAnsi="Arial" w:cs="Arial"/>
          <w:sz w:val="24"/>
          <w:szCs w:val="24"/>
        </w:rPr>
        <w:t>(</w:t>
      </w:r>
      <w:r w:rsidR="00CE3B6A" w:rsidRPr="00B61FF1">
        <w:rPr>
          <w:rFonts w:ascii="Arial" w:hAnsi="Arial" w:cs="Arial"/>
          <w:sz w:val="24"/>
          <w:szCs w:val="24"/>
        </w:rPr>
        <w:t>2</w:t>
      </w:r>
      <w:r w:rsidRPr="00B61FF1">
        <w:rPr>
          <w:rFonts w:ascii="Arial" w:hAnsi="Arial" w:cs="Arial"/>
          <w:sz w:val="24"/>
          <w:szCs w:val="24"/>
        </w:rPr>
        <w:t>)</w:t>
      </w:r>
      <w:r w:rsidRPr="00B61FF1">
        <w:rPr>
          <w:rFonts w:ascii="Arial" w:hAnsi="Arial" w:cs="Arial"/>
          <w:sz w:val="24"/>
          <w:szCs w:val="24"/>
        </w:rPr>
        <w:tab/>
      </w:r>
      <w:r w:rsidR="00E615A2" w:rsidRPr="00B61FF1">
        <w:rPr>
          <w:rFonts w:ascii="Arial" w:hAnsi="Arial" w:cs="Arial"/>
          <w:sz w:val="24"/>
          <w:szCs w:val="24"/>
        </w:rPr>
        <w:t xml:space="preserve">The Executive Officer may instruct the </w:t>
      </w:r>
      <w:r w:rsidR="00BE52EF" w:rsidRPr="00B61FF1">
        <w:rPr>
          <w:rFonts w:ascii="Arial" w:hAnsi="Arial" w:cs="Arial"/>
          <w:sz w:val="24"/>
          <w:szCs w:val="24"/>
        </w:rPr>
        <w:t>a</w:t>
      </w:r>
      <w:r w:rsidR="00E615A2" w:rsidRPr="00B61FF1">
        <w:rPr>
          <w:rFonts w:ascii="Arial" w:hAnsi="Arial" w:cs="Arial"/>
          <w:sz w:val="24"/>
          <w:szCs w:val="24"/>
        </w:rPr>
        <w:t xml:space="preserve">uction </w:t>
      </w:r>
      <w:r w:rsidR="00BE52EF" w:rsidRPr="00B61FF1">
        <w:rPr>
          <w:rFonts w:ascii="Arial" w:hAnsi="Arial" w:cs="Arial"/>
          <w:sz w:val="24"/>
          <w:szCs w:val="24"/>
        </w:rPr>
        <w:t>a</w:t>
      </w:r>
      <w:r w:rsidR="00E615A2" w:rsidRPr="00B61FF1">
        <w:rPr>
          <w:rFonts w:ascii="Arial" w:hAnsi="Arial" w:cs="Arial"/>
          <w:sz w:val="24"/>
          <w:szCs w:val="24"/>
        </w:rPr>
        <w:t>dministrator to restrict the auction application approval for any corporate associate of the entity to prevent the purchase of allowances at auction for subsequent transfer to the violator;</w:t>
      </w:r>
      <w:r w:rsidR="008B4B51" w:rsidRPr="00B61FF1">
        <w:rPr>
          <w:rFonts w:ascii="Arial" w:hAnsi="Arial" w:cs="Arial"/>
          <w:sz w:val="24"/>
          <w:szCs w:val="24"/>
        </w:rPr>
        <w:t xml:space="preserve"> </w:t>
      </w:r>
    </w:p>
    <w:p w14:paraId="66CEED29" w14:textId="77777777" w:rsidR="008B4B51" w:rsidRPr="00B61FF1" w:rsidRDefault="00621930" w:rsidP="00621930">
      <w:pPr>
        <w:spacing w:line="360" w:lineRule="auto"/>
        <w:ind w:left="1080" w:hanging="720"/>
        <w:rPr>
          <w:rFonts w:ascii="Arial" w:hAnsi="Arial" w:cs="Arial"/>
          <w:sz w:val="24"/>
          <w:szCs w:val="24"/>
        </w:rPr>
      </w:pPr>
      <w:r w:rsidRPr="00B61FF1">
        <w:rPr>
          <w:rFonts w:ascii="Arial" w:hAnsi="Arial" w:cs="Arial"/>
          <w:sz w:val="24"/>
          <w:szCs w:val="24"/>
        </w:rPr>
        <w:t>(</w:t>
      </w:r>
      <w:r w:rsidR="00CE3B6A" w:rsidRPr="00B61FF1">
        <w:rPr>
          <w:rFonts w:ascii="Arial" w:hAnsi="Arial" w:cs="Arial"/>
          <w:sz w:val="24"/>
          <w:szCs w:val="24"/>
        </w:rPr>
        <w:t>3</w:t>
      </w:r>
      <w:r w:rsidRPr="00B61FF1">
        <w:rPr>
          <w:rFonts w:ascii="Arial" w:hAnsi="Arial" w:cs="Arial"/>
          <w:sz w:val="24"/>
          <w:szCs w:val="24"/>
        </w:rPr>
        <w:t>)</w:t>
      </w:r>
      <w:r w:rsidRPr="00B61FF1">
        <w:rPr>
          <w:rFonts w:ascii="Arial" w:hAnsi="Arial" w:cs="Arial"/>
          <w:sz w:val="24"/>
          <w:szCs w:val="24"/>
        </w:rPr>
        <w:tab/>
      </w:r>
      <w:r w:rsidR="00E615A2" w:rsidRPr="00B61FF1">
        <w:rPr>
          <w:rFonts w:ascii="Arial" w:hAnsi="Arial" w:cs="Arial"/>
          <w:sz w:val="24"/>
          <w:szCs w:val="24"/>
        </w:rPr>
        <w:t>Any cancellation or restriction imposed by the Executive Officer may be permanent or for a specified number of auctions; and</w:t>
      </w:r>
    </w:p>
    <w:p w14:paraId="2B6D3016" w14:textId="77777777" w:rsidR="00685AC0" w:rsidRPr="00B61FF1" w:rsidRDefault="00685AC0" w:rsidP="00621930">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E615A2" w:rsidRPr="00B61FF1">
        <w:rPr>
          <w:rFonts w:ascii="Arial" w:hAnsi="Arial" w:cs="Arial"/>
          <w:sz w:val="24"/>
          <w:szCs w:val="24"/>
        </w:rPr>
        <w:t>The cancellation or restriction imposed by the Executive Officer shall be in addition to any other penalties, fines, and additional remedies available at law</w:t>
      </w:r>
      <w:r w:rsidRPr="00B61FF1">
        <w:rPr>
          <w:rFonts w:ascii="Arial" w:hAnsi="Arial" w:cs="Arial"/>
          <w:sz w:val="24"/>
          <w:szCs w:val="24"/>
        </w:rPr>
        <w:t>.</w:t>
      </w:r>
    </w:p>
    <w:p w14:paraId="16DA8EF1" w14:textId="77777777" w:rsidR="008B4B51" w:rsidRPr="00B61FF1" w:rsidRDefault="00621930" w:rsidP="00621930">
      <w:pPr>
        <w:spacing w:line="360" w:lineRule="auto"/>
        <w:ind w:left="720" w:hanging="720"/>
        <w:rPr>
          <w:rFonts w:ascii="Arial" w:hAnsi="Arial" w:cs="Arial"/>
          <w:sz w:val="24"/>
          <w:szCs w:val="24"/>
        </w:rPr>
      </w:pPr>
      <w:r w:rsidRPr="00B61FF1">
        <w:rPr>
          <w:rFonts w:ascii="Arial" w:hAnsi="Arial" w:cs="Arial"/>
          <w:sz w:val="24"/>
          <w:szCs w:val="24"/>
        </w:rPr>
        <w:t>(</w:t>
      </w:r>
      <w:r w:rsidR="00E615A2" w:rsidRPr="00B61FF1">
        <w:rPr>
          <w:rFonts w:ascii="Arial" w:hAnsi="Arial" w:cs="Arial"/>
          <w:sz w:val="24"/>
          <w:szCs w:val="24"/>
        </w:rPr>
        <w:t>c</w:t>
      </w:r>
      <w:r w:rsidRPr="00B61FF1">
        <w:rPr>
          <w:rFonts w:ascii="Arial" w:hAnsi="Arial" w:cs="Arial"/>
          <w:sz w:val="24"/>
          <w:szCs w:val="24"/>
        </w:rPr>
        <w:t>)</w:t>
      </w:r>
      <w:r w:rsidRPr="00B61FF1">
        <w:rPr>
          <w:rFonts w:ascii="Arial" w:hAnsi="Arial" w:cs="Arial"/>
          <w:sz w:val="24"/>
          <w:szCs w:val="24"/>
        </w:rPr>
        <w:tab/>
      </w:r>
      <w:r w:rsidR="008B4B51" w:rsidRPr="00B61FF1">
        <w:rPr>
          <w:rFonts w:ascii="Arial" w:hAnsi="Arial" w:cs="Arial"/>
          <w:sz w:val="24"/>
          <w:szCs w:val="24"/>
        </w:rPr>
        <w:t>Non-disclosure of Bidding Information</w:t>
      </w:r>
      <w:r w:rsidR="00CE3B6A" w:rsidRPr="00B61FF1">
        <w:rPr>
          <w:rFonts w:ascii="Arial" w:hAnsi="Arial" w:cs="Arial"/>
          <w:sz w:val="24"/>
          <w:szCs w:val="24"/>
        </w:rPr>
        <w:t xml:space="preserve"> </w:t>
      </w:r>
      <w:r w:rsidR="00905316" w:rsidRPr="00B61FF1">
        <w:rPr>
          <w:rFonts w:ascii="Arial" w:hAnsi="Arial" w:cs="Arial"/>
          <w:strike/>
          <w:sz w:val="24"/>
          <w:szCs w:val="24"/>
        </w:rPr>
        <w:t>Among Auction Participants</w:t>
      </w:r>
      <w:r w:rsidR="00905316" w:rsidRPr="00B61FF1">
        <w:rPr>
          <w:rFonts w:ascii="Arial" w:hAnsi="Arial" w:cs="Arial"/>
          <w:sz w:val="24"/>
          <w:szCs w:val="24"/>
        </w:rPr>
        <w:t>.</w:t>
      </w:r>
    </w:p>
    <w:p w14:paraId="59AA69F3" w14:textId="570B9A6B" w:rsidR="00905316" w:rsidRPr="00B61FF1" w:rsidRDefault="00905316" w:rsidP="00905316">
      <w:pPr>
        <w:spacing w:line="360" w:lineRule="auto"/>
        <w:ind w:left="1080" w:hanging="720"/>
        <w:rPr>
          <w:rFonts w:ascii="Arial" w:hAnsi="Arial" w:cs="Arial"/>
          <w:strike/>
          <w:sz w:val="24"/>
          <w:szCs w:val="24"/>
        </w:rPr>
      </w:pPr>
      <w:r w:rsidRPr="00B61FF1">
        <w:rPr>
          <w:rFonts w:ascii="Arial" w:hAnsi="Arial" w:cs="Arial"/>
          <w:sz w:val="24"/>
          <w:szCs w:val="24"/>
        </w:rPr>
        <w:t>(1)</w:t>
      </w:r>
      <w:r w:rsidRPr="00B61FF1">
        <w:rPr>
          <w:rFonts w:ascii="Arial" w:hAnsi="Arial" w:cs="Arial"/>
          <w:sz w:val="24"/>
          <w:szCs w:val="24"/>
        </w:rPr>
        <w:tab/>
      </w:r>
      <w:r w:rsidRPr="00B61FF1">
        <w:rPr>
          <w:rFonts w:ascii="Arial" w:hAnsi="Arial" w:cs="Arial"/>
          <w:sz w:val="24"/>
          <w:szCs w:val="24"/>
          <w:u w:val="single"/>
        </w:rPr>
        <w:t>Except as provided in section 95914(c)(2), all entities registered into the Cap-and-Trade program pursuant to section 95830 shall not release</w:t>
      </w:r>
      <w:r w:rsidR="00887AD3" w:rsidRPr="00B61FF1">
        <w:rPr>
          <w:rFonts w:ascii="Arial" w:hAnsi="Arial" w:cs="Arial"/>
          <w:sz w:val="24"/>
          <w:szCs w:val="24"/>
          <w:u w:val="single"/>
        </w:rPr>
        <w:t xml:space="preserve"> any of</w:t>
      </w:r>
      <w:r w:rsidRPr="00B61FF1">
        <w:rPr>
          <w:rFonts w:ascii="Arial" w:hAnsi="Arial" w:cs="Arial"/>
          <w:sz w:val="24"/>
          <w:szCs w:val="24"/>
          <w:u w:val="single"/>
        </w:rPr>
        <w:t xml:space="preserve"> the following inform</w:t>
      </w:r>
      <w:r w:rsidR="00C33E8B" w:rsidRPr="00B61FF1">
        <w:rPr>
          <w:rFonts w:ascii="Arial" w:hAnsi="Arial" w:cs="Arial"/>
          <w:sz w:val="24"/>
          <w:szCs w:val="24"/>
          <w:u w:val="single"/>
        </w:rPr>
        <w:t xml:space="preserve">ation </w:t>
      </w:r>
      <w:r w:rsidR="00887AD3" w:rsidRPr="00B61FF1">
        <w:rPr>
          <w:rFonts w:ascii="Arial" w:hAnsi="Arial" w:cs="Arial"/>
          <w:sz w:val="24"/>
          <w:szCs w:val="24"/>
          <w:u w:val="single"/>
        </w:rPr>
        <w:t>regarding</w:t>
      </w:r>
      <w:r w:rsidR="00C33E8B" w:rsidRPr="00B61FF1">
        <w:rPr>
          <w:rFonts w:ascii="Arial" w:hAnsi="Arial" w:cs="Arial"/>
          <w:sz w:val="24"/>
          <w:szCs w:val="24"/>
          <w:u w:val="single"/>
        </w:rPr>
        <w:t xml:space="preserve"> </w:t>
      </w:r>
      <w:r w:rsidR="00203780" w:rsidRPr="00B61FF1">
        <w:rPr>
          <w:rFonts w:ascii="Arial" w:hAnsi="Arial" w:cs="Arial"/>
          <w:sz w:val="24"/>
          <w:szCs w:val="24"/>
          <w:u w:val="single"/>
        </w:rPr>
        <w:t>auction participation:</w:t>
      </w:r>
      <w:r w:rsidR="00C33E8B" w:rsidRPr="00B61FF1">
        <w:rPr>
          <w:rFonts w:ascii="Arial" w:hAnsi="Arial" w:cs="Arial"/>
          <w:sz w:val="24"/>
          <w:szCs w:val="24"/>
          <w:u w:val="single"/>
        </w:rPr>
        <w:t xml:space="preserve"> </w:t>
      </w:r>
      <w:r w:rsidRPr="00B61FF1">
        <w:rPr>
          <w:rFonts w:ascii="Arial" w:hAnsi="Arial" w:cs="Arial"/>
          <w:strike/>
          <w:sz w:val="24"/>
          <w:szCs w:val="24"/>
        </w:rPr>
        <w:t>Unless it is to an auction advisor or other members of a direct corporate association not subject to auction participation restriction or cancellation pursuant to section 95914(b), an</w:t>
      </w:r>
      <w:r w:rsidRPr="00B61FF1">
        <w:rPr>
          <w:rFonts w:ascii="Arial" w:hAnsi="Arial" w:cs="Arial"/>
          <w:sz w:val="24"/>
          <w:szCs w:val="24"/>
        </w:rPr>
        <w:t xml:space="preserve"> </w:t>
      </w:r>
      <w:r w:rsidRPr="00B61FF1">
        <w:rPr>
          <w:rFonts w:ascii="Arial" w:hAnsi="Arial" w:cs="Arial"/>
          <w:strike/>
          <w:sz w:val="24"/>
          <w:szCs w:val="24"/>
        </w:rPr>
        <w:t>entity approved for auction participation shall not release any confidential information related to its auction participation, including:</w:t>
      </w:r>
    </w:p>
    <w:p w14:paraId="79AF642B" w14:textId="77777777" w:rsidR="00905316" w:rsidRPr="00B61FF1" w:rsidRDefault="00905316" w:rsidP="00905316">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Pr="00B61FF1">
        <w:rPr>
          <w:rFonts w:ascii="Arial" w:hAnsi="Arial" w:cs="Arial"/>
          <w:sz w:val="24"/>
          <w:szCs w:val="24"/>
          <w:u w:val="single"/>
        </w:rPr>
        <w:t xml:space="preserve">Intent to participate at auction, auction approval status, maintenance of continued auction approval; </w:t>
      </w:r>
      <w:r w:rsidRPr="00B61FF1">
        <w:rPr>
          <w:rFonts w:ascii="Arial" w:hAnsi="Arial" w:cs="Arial"/>
          <w:strike/>
          <w:sz w:val="24"/>
          <w:szCs w:val="24"/>
        </w:rPr>
        <w:t>Qualification status;</w:t>
      </w:r>
    </w:p>
    <w:p w14:paraId="58A2BE1B" w14:textId="77777777" w:rsidR="008B4B51" w:rsidRPr="00B61FF1" w:rsidRDefault="00621930" w:rsidP="00905316">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8B4B51" w:rsidRPr="00B61FF1">
        <w:rPr>
          <w:rFonts w:ascii="Arial" w:hAnsi="Arial" w:cs="Arial"/>
          <w:sz w:val="24"/>
          <w:szCs w:val="24"/>
        </w:rPr>
        <w:t>Bidding strategy;</w:t>
      </w:r>
    </w:p>
    <w:p w14:paraId="7663EEA4" w14:textId="77777777" w:rsidR="008B4B51" w:rsidRPr="00B61FF1" w:rsidRDefault="00621930" w:rsidP="00621930">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8B4B51" w:rsidRPr="00B61FF1">
        <w:rPr>
          <w:rFonts w:ascii="Arial" w:hAnsi="Arial" w:cs="Arial"/>
          <w:sz w:val="24"/>
          <w:szCs w:val="24"/>
        </w:rPr>
        <w:t>Bid price or bid quantity information;</w:t>
      </w:r>
      <w:r w:rsidR="007335C8" w:rsidRPr="00B61FF1">
        <w:rPr>
          <w:rFonts w:ascii="Arial" w:hAnsi="Arial" w:cs="Arial"/>
          <w:sz w:val="24"/>
          <w:szCs w:val="24"/>
          <w:u w:val="single"/>
        </w:rPr>
        <w:t xml:space="preserve"> and</w:t>
      </w:r>
    </w:p>
    <w:p w14:paraId="72C70BCD" w14:textId="77777777" w:rsidR="008B4B51" w:rsidRPr="00B61FF1" w:rsidRDefault="00621930" w:rsidP="00621930">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r>
      <w:r w:rsidR="008B4B51" w:rsidRPr="00B61FF1">
        <w:rPr>
          <w:rFonts w:ascii="Arial" w:hAnsi="Arial" w:cs="Arial"/>
          <w:sz w:val="24"/>
          <w:szCs w:val="24"/>
        </w:rPr>
        <w:t>Information on th</w:t>
      </w:r>
      <w:r w:rsidR="00C579A5" w:rsidRPr="00B61FF1">
        <w:rPr>
          <w:rFonts w:ascii="Arial" w:hAnsi="Arial" w:cs="Arial"/>
          <w:sz w:val="24"/>
          <w:szCs w:val="24"/>
        </w:rPr>
        <w:t xml:space="preserve">e </w:t>
      </w:r>
      <w:r w:rsidR="00E475AB" w:rsidRPr="00B61FF1">
        <w:rPr>
          <w:rFonts w:ascii="Arial" w:hAnsi="Arial" w:cs="Arial"/>
          <w:sz w:val="24"/>
          <w:szCs w:val="24"/>
        </w:rPr>
        <w:t>bid guarantee</w:t>
      </w:r>
      <w:r w:rsidR="00C579A5" w:rsidRPr="00B61FF1">
        <w:rPr>
          <w:rFonts w:ascii="Arial" w:hAnsi="Arial" w:cs="Arial"/>
          <w:sz w:val="24"/>
          <w:szCs w:val="24"/>
        </w:rPr>
        <w:t xml:space="preserve"> it provided</w:t>
      </w:r>
      <w:r w:rsidR="008B4B51" w:rsidRPr="00B61FF1">
        <w:rPr>
          <w:rFonts w:ascii="Arial" w:hAnsi="Arial" w:cs="Arial"/>
          <w:sz w:val="24"/>
          <w:szCs w:val="24"/>
        </w:rPr>
        <w:t xml:space="preserve"> to the </w:t>
      </w:r>
      <w:r w:rsidR="00E475AB" w:rsidRPr="00B61FF1">
        <w:rPr>
          <w:rFonts w:ascii="Arial" w:hAnsi="Arial" w:cs="Arial"/>
          <w:sz w:val="24"/>
          <w:szCs w:val="24"/>
        </w:rPr>
        <w:t>financial services</w:t>
      </w:r>
      <w:r w:rsidR="008B4B51" w:rsidRPr="00B61FF1">
        <w:rPr>
          <w:rFonts w:ascii="Arial" w:hAnsi="Arial" w:cs="Arial"/>
          <w:sz w:val="24"/>
          <w:szCs w:val="24"/>
        </w:rPr>
        <w:t xml:space="preserve"> administrator</w:t>
      </w:r>
      <w:r w:rsidR="007335C8" w:rsidRPr="00B61FF1">
        <w:rPr>
          <w:rFonts w:ascii="Arial" w:hAnsi="Arial" w:cs="Arial"/>
          <w:sz w:val="24"/>
          <w:szCs w:val="24"/>
          <w:u w:val="single"/>
        </w:rPr>
        <w:t>.</w:t>
      </w:r>
      <w:r w:rsidR="007335C8" w:rsidRPr="00B61FF1">
        <w:rPr>
          <w:rFonts w:ascii="Arial" w:hAnsi="Arial" w:cs="Arial"/>
          <w:sz w:val="24"/>
          <w:szCs w:val="24"/>
        </w:rPr>
        <w:t xml:space="preserve"> </w:t>
      </w:r>
      <w:r w:rsidR="007335C8" w:rsidRPr="00B61FF1">
        <w:rPr>
          <w:rFonts w:ascii="Arial" w:hAnsi="Arial" w:cs="Arial"/>
          <w:strike/>
          <w:sz w:val="24"/>
          <w:szCs w:val="24"/>
        </w:rPr>
        <w:t>; and</w:t>
      </w:r>
    </w:p>
    <w:p w14:paraId="591CABFC" w14:textId="77777777" w:rsidR="007335C8" w:rsidRPr="00B61FF1" w:rsidRDefault="007335C8" w:rsidP="007335C8">
      <w:pPr>
        <w:spacing w:line="360" w:lineRule="auto"/>
        <w:ind w:left="1800" w:hanging="720"/>
        <w:rPr>
          <w:rFonts w:ascii="Arial" w:hAnsi="Arial" w:cs="Arial"/>
          <w:strike/>
          <w:sz w:val="24"/>
          <w:szCs w:val="24"/>
        </w:rPr>
      </w:pPr>
      <w:r w:rsidRPr="00B61FF1">
        <w:rPr>
          <w:rFonts w:ascii="Arial" w:hAnsi="Arial" w:cs="Arial"/>
          <w:strike/>
          <w:sz w:val="24"/>
          <w:szCs w:val="24"/>
        </w:rPr>
        <w:t>(E)</w:t>
      </w:r>
      <w:r w:rsidRPr="00B61FF1">
        <w:rPr>
          <w:rFonts w:ascii="Arial" w:hAnsi="Arial" w:cs="Arial"/>
          <w:strike/>
          <w:sz w:val="24"/>
          <w:szCs w:val="24"/>
        </w:rPr>
        <w:tab/>
        <w:t>Other information identified as confidential information in the auction application by the auction administrator.</w:t>
      </w:r>
    </w:p>
    <w:p w14:paraId="3BFECDC5" w14:textId="7BFAA982" w:rsidR="007335C8" w:rsidRPr="00B61FF1" w:rsidRDefault="007335C8" w:rsidP="007335C8">
      <w:pPr>
        <w:spacing w:line="360" w:lineRule="auto"/>
        <w:ind w:left="1080" w:hanging="720"/>
        <w:rPr>
          <w:rFonts w:ascii="Arial" w:hAnsi="Arial" w:cs="Arial"/>
          <w:sz w:val="24"/>
          <w:szCs w:val="24"/>
          <w:u w:val="single"/>
        </w:rPr>
      </w:pPr>
      <w:r w:rsidRPr="00B61FF1">
        <w:rPr>
          <w:rFonts w:ascii="Arial" w:hAnsi="Arial" w:cs="Arial"/>
          <w:sz w:val="24"/>
          <w:szCs w:val="24"/>
        </w:rPr>
        <w:t xml:space="preserve"> </w:t>
      </w: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Auction participation information listed in section 95914(c)(1) may be released</w:t>
      </w:r>
      <w:r w:rsidR="00887AD3" w:rsidRPr="00B61FF1">
        <w:rPr>
          <w:rFonts w:ascii="Arial" w:hAnsi="Arial" w:cs="Arial"/>
          <w:sz w:val="24"/>
          <w:szCs w:val="24"/>
          <w:u w:val="single"/>
        </w:rPr>
        <w:t xml:space="preserve"> under the following conditions:</w:t>
      </w:r>
    </w:p>
    <w:p w14:paraId="3928D5A2" w14:textId="77777777" w:rsidR="007335C8" w:rsidRPr="00B61FF1" w:rsidRDefault="007335C8" w:rsidP="007335C8">
      <w:pPr>
        <w:spacing w:line="360" w:lineRule="auto"/>
        <w:ind w:left="1800" w:hanging="720"/>
        <w:rPr>
          <w:rFonts w:ascii="Arial" w:hAnsi="Arial" w:cs="Arial"/>
          <w:sz w:val="24"/>
          <w:szCs w:val="24"/>
        </w:rPr>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u w:val="single"/>
        </w:rPr>
        <w:t xml:space="preserve"> When the release is to other members of a direct corporate association</w:t>
      </w:r>
      <w:r w:rsidR="00C33E8B" w:rsidRPr="00B61FF1">
        <w:rPr>
          <w:rFonts w:ascii="Arial" w:hAnsi="Arial" w:cs="Arial"/>
          <w:sz w:val="24"/>
          <w:szCs w:val="24"/>
          <w:u w:val="single"/>
        </w:rPr>
        <w:t xml:space="preserve"> </w:t>
      </w:r>
      <w:r w:rsidRPr="00B61FF1">
        <w:rPr>
          <w:rFonts w:ascii="Arial" w:hAnsi="Arial" w:cs="Arial"/>
          <w:sz w:val="24"/>
          <w:szCs w:val="24"/>
          <w:u w:val="single"/>
        </w:rPr>
        <w:t>not subject to auction participation restriction or cancellation pursuant to section 95914(b),</w:t>
      </w:r>
    </w:p>
    <w:p w14:paraId="6E98843C" w14:textId="77777777" w:rsidR="007335C8" w:rsidRPr="00B61FF1" w:rsidRDefault="007335C8" w:rsidP="007335C8">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u w:val="single"/>
        </w:rPr>
        <w:t xml:space="preserve"> When the release is to an auction bid advisor whose activity has been disclosed to the Executive Officer pursuant to section 95914(c)(3).</w:t>
      </w:r>
    </w:p>
    <w:p w14:paraId="6C15F093" w14:textId="5A45D33D" w:rsidR="007335C8" w:rsidRPr="00B61FF1" w:rsidRDefault="007335C8" w:rsidP="007335C8">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u w:val="single"/>
        </w:rPr>
        <w:t xml:space="preserve"> When the release is made by a publicly-owned utility only as required by public accountability rules</w:t>
      </w:r>
      <w:r w:rsidR="00887AD3" w:rsidRPr="00B61FF1">
        <w:rPr>
          <w:rFonts w:ascii="Arial" w:hAnsi="Arial" w:cs="Arial"/>
          <w:sz w:val="24"/>
          <w:szCs w:val="24"/>
          <w:u w:val="single"/>
        </w:rPr>
        <w:t>, statute,</w:t>
      </w:r>
      <w:r w:rsidRPr="00B61FF1">
        <w:rPr>
          <w:rFonts w:ascii="Arial" w:hAnsi="Arial" w:cs="Arial"/>
          <w:sz w:val="24"/>
          <w:szCs w:val="24"/>
          <w:u w:val="single"/>
        </w:rPr>
        <w:t xml:space="preserve"> or rules governing participation in generation projects operated by a Joint Powers Authority or other publicly-owned utilities. </w:t>
      </w:r>
    </w:p>
    <w:p w14:paraId="20BB1E22" w14:textId="79F45AAC" w:rsidR="007335C8" w:rsidRPr="00B61FF1" w:rsidRDefault="007335C8" w:rsidP="007335C8">
      <w:pPr>
        <w:spacing w:line="360" w:lineRule="auto"/>
        <w:ind w:left="1800" w:hanging="720"/>
        <w:rPr>
          <w:rFonts w:ascii="Arial" w:hAnsi="Arial" w:cs="Arial"/>
          <w:sz w:val="24"/>
          <w:szCs w:val="24"/>
        </w:rPr>
      </w:pPr>
      <w:r w:rsidRPr="00B61FF1">
        <w:rPr>
          <w:rFonts w:ascii="Arial" w:hAnsi="Arial" w:cs="Arial"/>
          <w:sz w:val="24"/>
          <w:szCs w:val="24"/>
          <w:u w:val="single"/>
        </w:rPr>
        <w:t>(D)</w:t>
      </w:r>
      <w:r w:rsidRPr="00B61FF1">
        <w:rPr>
          <w:rFonts w:ascii="Arial" w:hAnsi="Arial" w:cs="Arial"/>
          <w:sz w:val="24"/>
          <w:szCs w:val="24"/>
        </w:rPr>
        <w:t xml:space="preserve">     </w:t>
      </w:r>
      <w:r w:rsidRPr="00B61FF1">
        <w:rPr>
          <w:rFonts w:ascii="Arial" w:hAnsi="Arial" w:cs="Arial"/>
          <w:sz w:val="24"/>
          <w:szCs w:val="24"/>
          <w:u w:val="single"/>
        </w:rPr>
        <w:t xml:space="preserve"> When the release is by an electric distribution utility of </w:t>
      </w:r>
      <w:r w:rsidR="00887AD3" w:rsidRPr="00B61FF1">
        <w:rPr>
          <w:rFonts w:ascii="Arial" w:hAnsi="Arial" w:cs="Arial"/>
          <w:sz w:val="24"/>
          <w:szCs w:val="24"/>
          <w:u w:val="single"/>
        </w:rPr>
        <w:t xml:space="preserve">information regarding </w:t>
      </w:r>
      <w:r w:rsidRPr="00B61FF1">
        <w:rPr>
          <w:rFonts w:ascii="Arial" w:hAnsi="Arial" w:cs="Arial"/>
          <w:sz w:val="24"/>
          <w:szCs w:val="24"/>
          <w:u w:val="single"/>
        </w:rPr>
        <w:t>compliance instrument cost and other disclosures specifically required by the California Public Utilities Commission.</w:t>
      </w:r>
      <w:r w:rsidR="00887AD3" w:rsidRPr="00B61FF1">
        <w:rPr>
          <w:rFonts w:ascii="Arial" w:hAnsi="Arial" w:cs="Arial"/>
          <w:sz w:val="24"/>
          <w:szCs w:val="24"/>
          <w:u w:val="single"/>
        </w:rPr>
        <w:t xml:space="preserve"> In the event of a disclosure pursuant to this section, the electricity distribution utility must provide the specific statutory reference to ARB that requires the disclosure of the information.</w:t>
      </w:r>
    </w:p>
    <w:p w14:paraId="457FB307" w14:textId="77777777" w:rsidR="008B4B51" w:rsidRPr="00B61FF1" w:rsidRDefault="008E297D" w:rsidP="007335C8">
      <w:pPr>
        <w:spacing w:line="360" w:lineRule="auto"/>
        <w:ind w:left="1080" w:hanging="720"/>
        <w:rPr>
          <w:rFonts w:ascii="Arial" w:hAnsi="Arial" w:cs="Arial"/>
          <w:sz w:val="24"/>
          <w:szCs w:val="24"/>
        </w:rPr>
      </w:pPr>
      <w:r w:rsidRPr="00B61FF1">
        <w:rPr>
          <w:rFonts w:ascii="Arial" w:hAnsi="Arial" w:cs="Arial"/>
          <w:sz w:val="24"/>
          <w:szCs w:val="24"/>
          <w:u w:val="single"/>
        </w:rPr>
        <w:t>(3)</w:t>
      </w:r>
      <w:r w:rsidR="00621930" w:rsidRPr="00B61FF1">
        <w:rPr>
          <w:rFonts w:ascii="Arial" w:hAnsi="Arial" w:cs="Arial"/>
          <w:strike/>
          <w:sz w:val="24"/>
          <w:szCs w:val="24"/>
        </w:rPr>
        <w:t>(2)</w:t>
      </w:r>
      <w:r w:rsidR="00621930" w:rsidRPr="00B61FF1">
        <w:rPr>
          <w:rFonts w:ascii="Arial" w:hAnsi="Arial" w:cs="Arial"/>
          <w:sz w:val="24"/>
          <w:szCs w:val="24"/>
        </w:rPr>
        <w:tab/>
      </w:r>
      <w:r w:rsidR="008B4B51" w:rsidRPr="00B61FF1">
        <w:rPr>
          <w:rFonts w:ascii="Arial" w:hAnsi="Arial" w:cs="Arial"/>
          <w:sz w:val="24"/>
          <w:szCs w:val="24"/>
        </w:rPr>
        <w:t>If an entity participating in an auction has retained the services of an advisor regarding auction bidding strategy, then</w:t>
      </w:r>
      <w:r w:rsidR="00C579A5" w:rsidRPr="00B61FF1">
        <w:rPr>
          <w:rFonts w:ascii="Arial" w:hAnsi="Arial" w:cs="Arial"/>
          <w:sz w:val="24"/>
          <w:szCs w:val="24"/>
        </w:rPr>
        <w:t>:</w:t>
      </w:r>
    </w:p>
    <w:p w14:paraId="4F03E19E" w14:textId="77777777" w:rsidR="008B4B51" w:rsidRPr="00B61FF1" w:rsidRDefault="00621930" w:rsidP="00621930">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8B4B51" w:rsidRPr="00B61FF1">
        <w:rPr>
          <w:rFonts w:ascii="Arial" w:hAnsi="Arial" w:cs="Arial"/>
          <w:sz w:val="24"/>
          <w:szCs w:val="24"/>
        </w:rPr>
        <w:t>The entity must ensure against the advisor transferring information to other auction participants or coordinating the bidding str</w:t>
      </w:r>
      <w:r w:rsidR="00502F56" w:rsidRPr="00B61FF1">
        <w:rPr>
          <w:rFonts w:ascii="Arial" w:hAnsi="Arial" w:cs="Arial"/>
          <w:sz w:val="24"/>
          <w:szCs w:val="24"/>
        </w:rPr>
        <w:t xml:space="preserve">ategy among participants; </w:t>
      </w:r>
    </w:p>
    <w:p w14:paraId="62F34E93" w14:textId="77777777" w:rsidR="00FC7C0E" w:rsidRPr="00B61FF1" w:rsidRDefault="00621930" w:rsidP="00621930">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8B4B51" w:rsidRPr="00B61FF1">
        <w:rPr>
          <w:rFonts w:ascii="Arial" w:hAnsi="Arial" w:cs="Arial"/>
          <w:sz w:val="24"/>
          <w:szCs w:val="24"/>
        </w:rPr>
        <w:t xml:space="preserve">The </w:t>
      </w:r>
      <w:r w:rsidR="00FC7C0E" w:rsidRPr="00B61FF1">
        <w:rPr>
          <w:rFonts w:ascii="Arial" w:hAnsi="Arial" w:cs="Arial"/>
          <w:sz w:val="24"/>
          <w:szCs w:val="24"/>
        </w:rPr>
        <w:t xml:space="preserve">entity will inform the </w:t>
      </w:r>
      <w:r w:rsidR="008B4B51" w:rsidRPr="00B61FF1">
        <w:rPr>
          <w:rFonts w:ascii="Arial" w:hAnsi="Arial" w:cs="Arial"/>
          <w:sz w:val="24"/>
          <w:szCs w:val="24"/>
        </w:rPr>
        <w:t xml:space="preserve">advisor </w:t>
      </w:r>
      <w:r w:rsidR="00FC7C0E" w:rsidRPr="00B61FF1">
        <w:rPr>
          <w:rFonts w:ascii="Arial" w:hAnsi="Arial" w:cs="Arial"/>
          <w:sz w:val="24"/>
          <w:szCs w:val="24"/>
        </w:rPr>
        <w:t>of the prohibition of sharing information to other auction participants and ensure the advisor has read and acknowledged the prohi</w:t>
      </w:r>
      <w:r w:rsidR="00502F56" w:rsidRPr="00B61FF1">
        <w:rPr>
          <w:rFonts w:ascii="Arial" w:hAnsi="Arial" w:cs="Arial"/>
          <w:sz w:val="24"/>
          <w:szCs w:val="24"/>
        </w:rPr>
        <w:t xml:space="preserve">bition under penalty of perjury; </w:t>
      </w:r>
      <w:r w:rsidR="008F7347" w:rsidRPr="00B61FF1">
        <w:rPr>
          <w:rFonts w:ascii="Arial" w:hAnsi="Arial" w:cs="Arial"/>
          <w:strike/>
          <w:sz w:val="24"/>
          <w:szCs w:val="24"/>
        </w:rPr>
        <w:t>and</w:t>
      </w:r>
    </w:p>
    <w:p w14:paraId="2B1A57FD" w14:textId="77777777" w:rsidR="00DE1BE7" w:rsidRPr="00B61FF1" w:rsidRDefault="00FC7C0E" w:rsidP="00621930">
      <w:pPr>
        <w:spacing w:line="360" w:lineRule="auto"/>
        <w:ind w:left="1800" w:hanging="720"/>
        <w:rPr>
          <w:rFonts w:ascii="Arial" w:hAnsi="Arial" w:cs="Arial"/>
          <w:strike/>
          <w:sz w:val="24"/>
          <w:szCs w:val="24"/>
        </w:rPr>
      </w:pPr>
      <w:r w:rsidRPr="00B61FF1">
        <w:rPr>
          <w:rFonts w:ascii="Arial" w:hAnsi="Arial" w:cs="Arial"/>
          <w:sz w:val="24"/>
          <w:szCs w:val="24"/>
        </w:rPr>
        <w:t>(C)</w:t>
      </w:r>
      <w:r w:rsidRPr="00B61FF1">
        <w:rPr>
          <w:rFonts w:ascii="Arial" w:hAnsi="Arial" w:cs="Arial"/>
          <w:sz w:val="24"/>
          <w:szCs w:val="24"/>
        </w:rPr>
        <w:tab/>
        <w:t xml:space="preserve">Any entity that has retained the services of an advisor must inform </w:t>
      </w:r>
      <w:r w:rsidR="008F7347" w:rsidRPr="00B61FF1">
        <w:rPr>
          <w:rFonts w:ascii="Arial" w:hAnsi="Arial" w:cs="Arial"/>
          <w:sz w:val="24"/>
          <w:szCs w:val="24"/>
        </w:rPr>
        <w:t xml:space="preserve">ARB </w:t>
      </w:r>
      <w:r w:rsidRPr="00B61FF1">
        <w:rPr>
          <w:rFonts w:ascii="Arial" w:hAnsi="Arial" w:cs="Arial"/>
          <w:sz w:val="24"/>
          <w:szCs w:val="24"/>
        </w:rPr>
        <w:t>of the advisor’s retention</w:t>
      </w:r>
      <w:r w:rsidR="003851F3" w:rsidRPr="00B61FF1">
        <w:rPr>
          <w:rFonts w:ascii="Arial" w:hAnsi="Arial" w:cs="Arial"/>
          <w:strike/>
          <w:sz w:val="24"/>
          <w:szCs w:val="24"/>
        </w:rPr>
        <w:t>.</w:t>
      </w:r>
      <w:r w:rsidR="003851F3" w:rsidRPr="00B61FF1">
        <w:rPr>
          <w:rFonts w:ascii="Arial" w:hAnsi="Arial" w:cs="Arial"/>
          <w:sz w:val="24"/>
          <w:szCs w:val="24"/>
          <w:u w:val="single"/>
        </w:rPr>
        <w:t xml:space="preserve"> and identify the advisor, the advisor’s employer, the advisor’s contact information, and provide an attestation by the Primary Account Representative of the entity retaining the advisor of the</w:t>
      </w:r>
      <w:r w:rsidR="009B6E82" w:rsidRPr="00B61FF1">
        <w:rPr>
          <w:rFonts w:ascii="Arial" w:hAnsi="Arial" w:cs="Arial"/>
          <w:sz w:val="24"/>
          <w:szCs w:val="24"/>
          <w:u w:val="single"/>
        </w:rPr>
        <w:t xml:space="preserve"> completeness of the disclosure; and</w:t>
      </w:r>
    </w:p>
    <w:p w14:paraId="2CAE3EAE" w14:textId="4680A0CE" w:rsidR="00DE1BE7" w:rsidRPr="00B61FF1" w:rsidRDefault="00DE1BE7" w:rsidP="00DE1BE7">
      <w:pPr>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The advisor must provide to the Executive Officer in writing at least 15 days prior to an auction</w:t>
      </w:r>
      <w:r w:rsidR="00995258" w:rsidRPr="00B61FF1">
        <w:rPr>
          <w:rFonts w:ascii="Arial" w:hAnsi="Arial" w:cs="Arial"/>
          <w:sz w:val="24"/>
          <w:szCs w:val="24"/>
          <w:u w:val="single"/>
        </w:rPr>
        <w:t xml:space="preserve">, </w:t>
      </w:r>
      <w:r w:rsidRPr="00B61FF1">
        <w:rPr>
          <w:rFonts w:ascii="Arial" w:hAnsi="Arial" w:cs="Arial"/>
          <w:sz w:val="24"/>
          <w:szCs w:val="24"/>
          <w:u w:val="single"/>
        </w:rPr>
        <w:t xml:space="preserve"> the following information:</w:t>
      </w:r>
    </w:p>
    <w:p w14:paraId="33A774C6" w14:textId="77777777" w:rsidR="00846815" w:rsidRPr="00B61FF1" w:rsidRDefault="001557B3" w:rsidP="00DE1BE7">
      <w:pPr>
        <w:spacing w:line="360" w:lineRule="auto"/>
        <w:ind w:left="2880" w:hanging="1080"/>
        <w:rPr>
          <w:rFonts w:ascii="Arial" w:hAnsi="Arial" w:cs="Arial"/>
          <w:sz w:val="24"/>
          <w:szCs w:val="24"/>
          <w:u w:val="single"/>
        </w:rPr>
      </w:pPr>
      <w:r w:rsidRPr="00B61FF1">
        <w:rPr>
          <w:rFonts w:ascii="Arial" w:hAnsi="Arial" w:cs="Arial"/>
          <w:sz w:val="24"/>
          <w:szCs w:val="24"/>
          <w:u w:val="single"/>
        </w:rPr>
        <w:t>1.</w:t>
      </w:r>
      <w:r w:rsidR="0021421C" w:rsidRPr="00B61FF1">
        <w:rPr>
          <w:rFonts w:ascii="Arial" w:hAnsi="Arial" w:cs="Arial"/>
          <w:sz w:val="24"/>
          <w:szCs w:val="24"/>
        </w:rPr>
        <w:t xml:space="preserve">        </w:t>
      </w:r>
      <w:r w:rsidR="00DE1BE7" w:rsidRPr="00B61FF1">
        <w:rPr>
          <w:rFonts w:ascii="Arial" w:hAnsi="Arial" w:cs="Arial"/>
          <w:sz w:val="24"/>
          <w:szCs w:val="24"/>
          <w:u w:val="single"/>
        </w:rPr>
        <w:t>Names of the entities par</w:t>
      </w:r>
      <w:r w:rsidR="00846815" w:rsidRPr="00B61FF1">
        <w:rPr>
          <w:rFonts w:ascii="Arial" w:hAnsi="Arial" w:cs="Arial"/>
          <w:sz w:val="24"/>
          <w:szCs w:val="24"/>
          <w:u w:val="single"/>
        </w:rPr>
        <w:t xml:space="preserve">ticipating in the Cap-and-Trade </w:t>
      </w:r>
    </w:p>
    <w:p w14:paraId="3A37A86C" w14:textId="77777777" w:rsidR="00DE1BE7" w:rsidRPr="00B61FF1" w:rsidRDefault="00846815" w:rsidP="00DE1BE7">
      <w:pPr>
        <w:spacing w:line="360" w:lineRule="auto"/>
        <w:ind w:left="2880" w:hanging="1080"/>
        <w:rPr>
          <w:rFonts w:ascii="Arial" w:hAnsi="Arial" w:cs="Arial"/>
          <w:sz w:val="24"/>
          <w:szCs w:val="24"/>
          <w:u w:val="single"/>
        </w:rPr>
      </w:pPr>
      <w:r w:rsidRPr="00B61FF1">
        <w:rPr>
          <w:rFonts w:ascii="Arial" w:hAnsi="Arial" w:cs="Arial"/>
          <w:sz w:val="24"/>
          <w:szCs w:val="24"/>
        </w:rPr>
        <w:t xml:space="preserve">        </w:t>
      </w:r>
      <w:r w:rsidR="0021421C" w:rsidRPr="00B61FF1">
        <w:rPr>
          <w:rFonts w:ascii="Arial" w:hAnsi="Arial" w:cs="Arial"/>
          <w:sz w:val="24"/>
          <w:szCs w:val="24"/>
        </w:rPr>
        <w:t xml:space="preserve">   </w:t>
      </w:r>
      <w:r w:rsidR="00DE1BE7" w:rsidRPr="00B61FF1">
        <w:rPr>
          <w:rFonts w:ascii="Arial" w:hAnsi="Arial" w:cs="Arial"/>
          <w:sz w:val="24"/>
          <w:szCs w:val="24"/>
          <w:u w:val="single"/>
        </w:rPr>
        <w:t>Program that are being advised;</w:t>
      </w:r>
    </w:p>
    <w:p w14:paraId="0444FE92" w14:textId="77777777" w:rsidR="00DE1BE7" w:rsidRPr="00B61FF1" w:rsidRDefault="001557B3" w:rsidP="00DE1BE7">
      <w:pPr>
        <w:spacing w:line="360" w:lineRule="auto"/>
        <w:ind w:left="2880" w:hanging="1080"/>
        <w:rPr>
          <w:rFonts w:ascii="Arial" w:hAnsi="Arial" w:cs="Arial"/>
          <w:sz w:val="24"/>
          <w:szCs w:val="24"/>
          <w:u w:val="single"/>
        </w:rPr>
      </w:pPr>
      <w:r w:rsidRPr="00B61FF1">
        <w:rPr>
          <w:rFonts w:ascii="Arial" w:hAnsi="Arial" w:cs="Arial"/>
          <w:sz w:val="24"/>
          <w:szCs w:val="24"/>
          <w:u w:val="single"/>
        </w:rPr>
        <w:t>2.</w:t>
      </w:r>
      <w:r w:rsidR="00846815" w:rsidRPr="00B61FF1">
        <w:rPr>
          <w:rFonts w:ascii="Arial" w:hAnsi="Arial" w:cs="Arial"/>
          <w:sz w:val="24"/>
          <w:szCs w:val="24"/>
        </w:rPr>
        <w:t xml:space="preserve">     </w:t>
      </w:r>
      <w:r w:rsidR="0021421C" w:rsidRPr="00B61FF1">
        <w:rPr>
          <w:rFonts w:ascii="Arial" w:hAnsi="Arial" w:cs="Arial"/>
          <w:sz w:val="24"/>
          <w:szCs w:val="24"/>
        </w:rPr>
        <w:t xml:space="preserve">   </w:t>
      </w:r>
      <w:r w:rsidR="00DE1BE7" w:rsidRPr="00B61FF1">
        <w:rPr>
          <w:rFonts w:ascii="Arial" w:hAnsi="Arial" w:cs="Arial"/>
          <w:sz w:val="24"/>
          <w:szCs w:val="24"/>
          <w:u w:val="single"/>
        </w:rPr>
        <w:t>Description of advisory services being performed; and</w:t>
      </w:r>
    </w:p>
    <w:p w14:paraId="63E6D0CC" w14:textId="0D286BF8" w:rsidR="008B4B51" w:rsidRPr="00B61FF1" w:rsidRDefault="001557B3" w:rsidP="00995258">
      <w:pPr>
        <w:spacing w:line="360" w:lineRule="auto"/>
        <w:ind w:left="2520" w:hanging="720"/>
        <w:rPr>
          <w:rFonts w:ascii="Arial" w:hAnsi="Arial" w:cs="Arial"/>
          <w:sz w:val="24"/>
          <w:szCs w:val="24"/>
          <w:u w:val="single"/>
        </w:rPr>
      </w:pPr>
      <w:r w:rsidRPr="00B61FF1">
        <w:rPr>
          <w:rFonts w:ascii="Arial" w:hAnsi="Arial" w:cs="Arial"/>
          <w:sz w:val="24"/>
          <w:szCs w:val="24"/>
          <w:u w:val="single"/>
        </w:rPr>
        <w:t>3.</w:t>
      </w:r>
      <w:r w:rsidR="00846815" w:rsidRPr="00B61FF1">
        <w:rPr>
          <w:rFonts w:ascii="Arial" w:hAnsi="Arial" w:cs="Arial"/>
          <w:sz w:val="24"/>
          <w:szCs w:val="24"/>
        </w:rPr>
        <w:t xml:space="preserve">     </w:t>
      </w:r>
      <w:r w:rsidR="0021421C" w:rsidRPr="00B61FF1">
        <w:rPr>
          <w:rFonts w:ascii="Arial" w:hAnsi="Arial" w:cs="Arial"/>
          <w:sz w:val="24"/>
          <w:szCs w:val="24"/>
        </w:rPr>
        <w:t xml:space="preserve">   </w:t>
      </w:r>
      <w:r w:rsidR="00DE1BE7" w:rsidRPr="00B61FF1">
        <w:rPr>
          <w:rFonts w:ascii="Arial" w:hAnsi="Arial" w:cs="Arial"/>
          <w:sz w:val="24"/>
          <w:szCs w:val="24"/>
          <w:u w:val="single"/>
        </w:rPr>
        <w:t>Assurance</w:t>
      </w:r>
      <w:r w:rsidR="001F3A12" w:rsidRPr="00B61FF1">
        <w:rPr>
          <w:rFonts w:ascii="Arial" w:hAnsi="Arial" w:cs="Arial"/>
          <w:sz w:val="24"/>
          <w:szCs w:val="24"/>
          <w:u w:val="single"/>
        </w:rPr>
        <w:t xml:space="preserve"> under penal</w:t>
      </w:r>
      <w:r w:rsidR="00995258" w:rsidRPr="00B61FF1">
        <w:rPr>
          <w:rFonts w:ascii="Arial" w:hAnsi="Arial" w:cs="Arial"/>
          <w:sz w:val="24"/>
          <w:szCs w:val="24"/>
          <w:u w:val="single"/>
        </w:rPr>
        <w:t>ty of perjury</w:t>
      </w:r>
      <w:r w:rsidR="00DE1BE7" w:rsidRPr="00B61FF1">
        <w:rPr>
          <w:rFonts w:ascii="Arial" w:hAnsi="Arial" w:cs="Arial"/>
          <w:sz w:val="24"/>
          <w:szCs w:val="24"/>
          <w:u w:val="single"/>
        </w:rPr>
        <w:t xml:space="preserve"> that advisor is n</w:t>
      </w:r>
      <w:r w:rsidR="00846815" w:rsidRPr="00B61FF1">
        <w:rPr>
          <w:rFonts w:ascii="Arial" w:hAnsi="Arial" w:cs="Arial"/>
          <w:sz w:val="24"/>
          <w:szCs w:val="24"/>
          <w:u w:val="single"/>
        </w:rPr>
        <w:t>ot transferring to or otherwise</w:t>
      </w:r>
      <w:r w:rsidR="00995258" w:rsidRPr="00B61FF1">
        <w:rPr>
          <w:rFonts w:ascii="Arial" w:hAnsi="Arial" w:cs="Arial"/>
          <w:sz w:val="24"/>
          <w:szCs w:val="24"/>
          <w:u w:val="single"/>
        </w:rPr>
        <w:t xml:space="preserve"> </w:t>
      </w:r>
      <w:r w:rsidR="00DE1BE7" w:rsidRPr="00B61FF1">
        <w:rPr>
          <w:rFonts w:ascii="Arial" w:hAnsi="Arial" w:cs="Arial"/>
          <w:sz w:val="24"/>
          <w:szCs w:val="24"/>
          <w:u w:val="single"/>
        </w:rPr>
        <w:t>sharing information with other auction participants.</w:t>
      </w:r>
    </w:p>
    <w:p w14:paraId="28E506E4" w14:textId="77777777" w:rsidR="008B4B51" w:rsidRPr="00B61FF1" w:rsidRDefault="00621930" w:rsidP="00621930">
      <w:pPr>
        <w:spacing w:line="360" w:lineRule="auto"/>
        <w:ind w:left="720" w:hanging="720"/>
        <w:rPr>
          <w:rFonts w:ascii="Arial" w:hAnsi="Arial" w:cs="Arial"/>
          <w:strike/>
          <w:sz w:val="24"/>
          <w:szCs w:val="24"/>
        </w:rPr>
      </w:pPr>
      <w:r w:rsidRPr="00B61FF1">
        <w:rPr>
          <w:rFonts w:ascii="Arial" w:hAnsi="Arial" w:cs="Arial"/>
          <w:sz w:val="24"/>
          <w:szCs w:val="24"/>
        </w:rPr>
        <w:t>(</w:t>
      </w:r>
      <w:r w:rsidR="00E475AB" w:rsidRPr="00B61FF1">
        <w:rPr>
          <w:rFonts w:ascii="Arial" w:hAnsi="Arial" w:cs="Arial"/>
          <w:sz w:val="24"/>
          <w:szCs w:val="24"/>
        </w:rPr>
        <w:t>d</w:t>
      </w:r>
      <w:r w:rsidRPr="00B61FF1">
        <w:rPr>
          <w:rFonts w:ascii="Arial" w:hAnsi="Arial" w:cs="Arial"/>
          <w:sz w:val="24"/>
          <w:szCs w:val="24"/>
        </w:rPr>
        <w:t>)</w:t>
      </w:r>
      <w:r w:rsidRPr="00B61FF1">
        <w:rPr>
          <w:rFonts w:ascii="Arial" w:hAnsi="Arial" w:cs="Arial"/>
          <w:sz w:val="24"/>
          <w:szCs w:val="24"/>
        </w:rPr>
        <w:tab/>
      </w:r>
      <w:r w:rsidR="008B4B51" w:rsidRPr="00B61FF1">
        <w:rPr>
          <w:rFonts w:ascii="Arial" w:hAnsi="Arial" w:cs="Arial"/>
          <w:sz w:val="24"/>
          <w:szCs w:val="24"/>
        </w:rPr>
        <w:t>Application of the Corporate Association to the Auction Purchase Limit.</w:t>
      </w:r>
    </w:p>
    <w:p w14:paraId="75461811" w14:textId="77777777" w:rsidR="008B4B51" w:rsidRPr="00B61FF1" w:rsidRDefault="00621930" w:rsidP="00621930">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8B4B51" w:rsidRPr="00B61FF1">
        <w:rPr>
          <w:rFonts w:ascii="Arial" w:hAnsi="Arial" w:cs="Arial"/>
          <w:sz w:val="24"/>
          <w:szCs w:val="24"/>
        </w:rPr>
        <w:t xml:space="preserve">The total number of compliance instruments which may be purchased in a single auction by a group of entities with a </w:t>
      </w:r>
      <w:r w:rsidR="008B4F06" w:rsidRPr="00B61FF1">
        <w:rPr>
          <w:rFonts w:ascii="Arial" w:hAnsi="Arial" w:cs="Arial"/>
          <w:sz w:val="24"/>
          <w:szCs w:val="24"/>
        </w:rPr>
        <w:t xml:space="preserve">direct </w:t>
      </w:r>
      <w:r w:rsidR="008B4B51" w:rsidRPr="00B61FF1">
        <w:rPr>
          <w:rFonts w:ascii="Arial" w:hAnsi="Arial" w:cs="Arial"/>
          <w:sz w:val="24"/>
          <w:szCs w:val="24"/>
        </w:rPr>
        <w:t>corporate association is limited pursuant to section 95911(</w:t>
      </w:r>
      <w:r w:rsidR="00E475AB" w:rsidRPr="00B61FF1">
        <w:rPr>
          <w:rFonts w:ascii="Arial" w:hAnsi="Arial" w:cs="Arial"/>
          <w:sz w:val="24"/>
          <w:szCs w:val="24"/>
        </w:rPr>
        <w:t>d</w:t>
      </w:r>
      <w:r w:rsidR="008B4B51" w:rsidRPr="00B61FF1">
        <w:rPr>
          <w:rFonts w:ascii="Arial" w:hAnsi="Arial" w:cs="Arial"/>
          <w:sz w:val="24"/>
          <w:szCs w:val="24"/>
        </w:rPr>
        <w:t>).</w:t>
      </w:r>
    </w:p>
    <w:p w14:paraId="1D1629B5" w14:textId="77777777" w:rsidR="008B4B51" w:rsidRPr="00B61FF1" w:rsidRDefault="00621930" w:rsidP="00621930">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8B4B51" w:rsidRPr="00B61FF1">
        <w:rPr>
          <w:rFonts w:ascii="Arial" w:hAnsi="Arial" w:cs="Arial"/>
          <w:sz w:val="24"/>
          <w:szCs w:val="24"/>
        </w:rPr>
        <w:t xml:space="preserve">Entities </w:t>
      </w:r>
      <w:r w:rsidR="00FC7C0E" w:rsidRPr="00B61FF1">
        <w:rPr>
          <w:rFonts w:ascii="Arial" w:hAnsi="Arial" w:cs="Arial"/>
          <w:sz w:val="24"/>
          <w:szCs w:val="24"/>
        </w:rPr>
        <w:t xml:space="preserve">that are </w:t>
      </w:r>
      <w:r w:rsidR="008B4B51" w:rsidRPr="00B61FF1">
        <w:rPr>
          <w:rFonts w:ascii="Arial" w:hAnsi="Arial" w:cs="Arial"/>
          <w:sz w:val="24"/>
          <w:szCs w:val="24"/>
        </w:rPr>
        <w:t xml:space="preserve">part of a </w:t>
      </w:r>
      <w:r w:rsidR="008B4F06" w:rsidRPr="00B61FF1">
        <w:rPr>
          <w:rFonts w:ascii="Arial" w:hAnsi="Arial" w:cs="Arial"/>
          <w:sz w:val="24"/>
          <w:szCs w:val="24"/>
        </w:rPr>
        <w:t xml:space="preserve">direct </w:t>
      </w:r>
      <w:r w:rsidR="008B4B51" w:rsidRPr="00B61FF1">
        <w:rPr>
          <w:rFonts w:ascii="Arial" w:hAnsi="Arial" w:cs="Arial"/>
          <w:sz w:val="24"/>
          <w:szCs w:val="24"/>
        </w:rPr>
        <w:t>corporate association may allocate shares of the purchase limit among</w:t>
      </w:r>
      <w:r w:rsidR="00DE4DC0" w:rsidRPr="00B61FF1">
        <w:rPr>
          <w:rFonts w:ascii="Arial" w:hAnsi="Arial" w:cs="Arial"/>
          <w:sz w:val="24"/>
          <w:szCs w:val="24"/>
        </w:rPr>
        <w:t>st</w:t>
      </w:r>
      <w:r w:rsidR="008B4B51" w:rsidRPr="00B61FF1">
        <w:rPr>
          <w:rFonts w:ascii="Arial" w:hAnsi="Arial" w:cs="Arial"/>
          <w:sz w:val="24"/>
          <w:szCs w:val="24"/>
        </w:rPr>
        <w:t xml:space="preserve"> themselves.  Each entity will </w:t>
      </w:r>
      <w:r w:rsidR="00CE3B6A" w:rsidRPr="00B61FF1">
        <w:rPr>
          <w:rFonts w:ascii="Arial" w:hAnsi="Arial" w:cs="Arial"/>
          <w:sz w:val="24"/>
          <w:szCs w:val="24"/>
        </w:rPr>
        <w:t xml:space="preserve">then </w:t>
      </w:r>
      <w:r w:rsidR="008B4B51" w:rsidRPr="00B61FF1">
        <w:rPr>
          <w:rFonts w:ascii="Arial" w:hAnsi="Arial" w:cs="Arial"/>
          <w:sz w:val="24"/>
          <w:szCs w:val="24"/>
        </w:rPr>
        <w:t xml:space="preserve">have a specified percentage share of the </w:t>
      </w:r>
      <w:r w:rsidR="00321EA2" w:rsidRPr="00B61FF1">
        <w:rPr>
          <w:rFonts w:ascii="Arial" w:hAnsi="Arial" w:cs="Arial"/>
          <w:sz w:val="24"/>
          <w:szCs w:val="24"/>
        </w:rPr>
        <w:t>association</w:t>
      </w:r>
      <w:r w:rsidR="008B4B51" w:rsidRPr="00B61FF1">
        <w:rPr>
          <w:rFonts w:ascii="Arial" w:hAnsi="Arial" w:cs="Arial"/>
          <w:sz w:val="24"/>
          <w:szCs w:val="24"/>
        </w:rPr>
        <w:t>’s purchase limit.  The sum of the shares allocated amo</w:t>
      </w:r>
      <w:r w:rsidR="00457B16" w:rsidRPr="00B61FF1">
        <w:rPr>
          <w:rFonts w:ascii="Arial" w:hAnsi="Arial" w:cs="Arial"/>
          <w:sz w:val="24"/>
          <w:szCs w:val="24"/>
        </w:rPr>
        <w:t>ng the entities must sum to one</w:t>
      </w:r>
      <w:r w:rsidR="00E475AB" w:rsidRPr="00B61FF1">
        <w:rPr>
          <w:rFonts w:ascii="Arial" w:hAnsi="Arial" w:cs="Arial"/>
          <w:sz w:val="24"/>
          <w:szCs w:val="24"/>
        </w:rPr>
        <w:t>.  Each associated entity’s allocated purchase limit share times the auction purchase limit assigned to the association becomes the purchase limit for that entity.</w:t>
      </w:r>
    </w:p>
    <w:p w14:paraId="764ABD06" w14:textId="77777777" w:rsidR="00E475AB" w:rsidRPr="00B61FF1" w:rsidRDefault="00E475AB" w:rsidP="00621930">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a corporate association consists of entities with a compliance obligation and voluntaril</w:t>
      </w:r>
      <w:r w:rsidRPr="00B61FF1">
        <w:rPr>
          <w:rFonts w:ascii="Arial" w:hAnsi="Arial" w:cs="Arial"/>
          <w:strike/>
          <w:sz w:val="24"/>
          <w:szCs w:val="24"/>
        </w:rPr>
        <w:t>t</w:t>
      </w:r>
      <w:r w:rsidRPr="00B61FF1">
        <w:rPr>
          <w:rFonts w:ascii="Arial" w:hAnsi="Arial" w:cs="Arial"/>
          <w:sz w:val="24"/>
          <w:szCs w:val="24"/>
        </w:rPr>
        <w:t>y associated entities, then the following additional restrictions apply:</w:t>
      </w:r>
    </w:p>
    <w:p w14:paraId="2C4278D5" w14:textId="77777777" w:rsidR="00E475AB" w:rsidRPr="00B61FF1" w:rsidRDefault="00E475AB" w:rsidP="00E475AB">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total purchase limit for the association is 15 percent, unless some of the included covered entities are electrical distribution utilities, in which case the purchase limit is 40 percent.</w:t>
      </w:r>
    </w:p>
    <w:p w14:paraId="0D223B5B" w14:textId="77777777" w:rsidR="00E475AB" w:rsidRPr="00B61FF1" w:rsidRDefault="00E475AB" w:rsidP="00E475AB">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total purchase limit assigned to voluntarily associated entities within the corporate association must be less than or equal to 4 percent.</w:t>
      </w:r>
    </w:p>
    <w:p w14:paraId="754BB978" w14:textId="77777777" w:rsidR="00E475AB" w:rsidRPr="00B61FF1" w:rsidRDefault="00E475AB" w:rsidP="00E475AB">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purchase limit to be divided among the covered or opt-in entities is the purchase limit assigned to the corporate association less the value assigned to the voluntarily associated entities within the corporate association.</w:t>
      </w:r>
    </w:p>
    <w:p w14:paraId="75171F43" w14:textId="77777777" w:rsidR="00E475AB" w:rsidRPr="00B61FF1" w:rsidRDefault="00E475AB" w:rsidP="00E475AB">
      <w:pPr>
        <w:spacing w:line="360" w:lineRule="auto"/>
        <w:ind w:left="1080" w:hanging="720"/>
        <w:rPr>
          <w:rFonts w:ascii="Arial" w:hAnsi="Arial" w:cs="Arial"/>
          <w:strike/>
          <w:sz w:val="24"/>
          <w:szCs w:val="24"/>
        </w:rPr>
      </w:pPr>
      <w:r w:rsidRPr="00B61FF1">
        <w:rPr>
          <w:rFonts w:ascii="Arial" w:hAnsi="Arial" w:cs="Arial"/>
          <w:strike/>
          <w:sz w:val="24"/>
          <w:szCs w:val="24"/>
        </w:rPr>
        <w:t>(4)</w:t>
      </w:r>
      <w:r w:rsidRPr="00B61FF1">
        <w:rPr>
          <w:rFonts w:ascii="Arial" w:hAnsi="Arial" w:cs="Arial"/>
          <w:strike/>
          <w:sz w:val="24"/>
          <w:szCs w:val="24"/>
        </w:rPr>
        <w:tab/>
        <w:t>The group of associated entities must inform the Executive Officer when submitting the auction participant application of an allocation of the purchase limit among the associated entities, if applicable.</w:t>
      </w:r>
    </w:p>
    <w:p w14:paraId="1317321F" w14:textId="77777777" w:rsidR="00A573B0" w:rsidRPr="00B61FF1" w:rsidRDefault="00A573B0" w:rsidP="00E475AB">
      <w:pPr>
        <w:spacing w:line="360" w:lineRule="auto"/>
        <w:ind w:left="1080" w:hanging="720"/>
        <w:rPr>
          <w:rFonts w:ascii="Arial" w:hAnsi="Arial" w:cs="Arial"/>
          <w:strike/>
          <w:sz w:val="24"/>
          <w:szCs w:val="24"/>
        </w:rPr>
      </w:pPr>
      <w:r w:rsidRPr="00B61FF1">
        <w:rPr>
          <w:rFonts w:ascii="Arial" w:hAnsi="Arial" w:cs="Arial"/>
          <w:strike/>
          <w:sz w:val="24"/>
          <w:szCs w:val="24"/>
        </w:rPr>
        <w:t>(5)</w:t>
      </w:r>
      <w:r w:rsidRPr="00B61FF1">
        <w:rPr>
          <w:rFonts w:ascii="Arial" w:hAnsi="Arial" w:cs="Arial"/>
          <w:strike/>
          <w:sz w:val="24"/>
          <w:szCs w:val="24"/>
        </w:rPr>
        <w:tab/>
        <w:t>The purchase limit allocation will be in effect for the auction for which the associated entities submitted the application.</w:t>
      </w:r>
    </w:p>
    <w:p w14:paraId="7BEA8E93" w14:textId="77777777" w:rsidR="008B4B51" w:rsidRPr="00B61FF1" w:rsidRDefault="00621930" w:rsidP="00621930">
      <w:pPr>
        <w:spacing w:line="360" w:lineRule="auto"/>
        <w:ind w:left="1080" w:hanging="720"/>
        <w:rPr>
          <w:rFonts w:ascii="Arial" w:hAnsi="Arial" w:cs="Arial"/>
          <w:strike/>
          <w:sz w:val="24"/>
          <w:szCs w:val="24"/>
        </w:rPr>
      </w:pPr>
      <w:r w:rsidRPr="00B61FF1">
        <w:rPr>
          <w:rFonts w:ascii="Arial" w:hAnsi="Arial" w:cs="Arial"/>
          <w:strike/>
          <w:sz w:val="24"/>
          <w:szCs w:val="24"/>
        </w:rPr>
        <w:t>(</w:t>
      </w:r>
      <w:r w:rsidR="00A573B0" w:rsidRPr="00B61FF1">
        <w:rPr>
          <w:rFonts w:ascii="Arial" w:hAnsi="Arial" w:cs="Arial"/>
          <w:strike/>
          <w:sz w:val="24"/>
          <w:szCs w:val="24"/>
        </w:rPr>
        <w:t>6</w:t>
      </w:r>
      <w:r w:rsidRPr="00B61FF1">
        <w:rPr>
          <w:rFonts w:ascii="Arial" w:hAnsi="Arial" w:cs="Arial"/>
          <w:strike/>
          <w:sz w:val="24"/>
          <w:szCs w:val="24"/>
        </w:rPr>
        <w:t>)</w:t>
      </w:r>
      <w:r w:rsidRPr="00B61FF1">
        <w:rPr>
          <w:rFonts w:ascii="Arial" w:hAnsi="Arial" w:cs="Arial"/>
          <w:strike/>
          <w:sz w:val="24"/>
          <w:szCs w:val="24"/>
        </w:rPr>
        <w:tab/>
      </w:r>
      <w:r w:rsidR="008B4B51" w:rsidRPr="00B61FF1">
        <w:rPr>
          <w:rFonts w:ascii="Arial" w:hAnsi="Arial" w:cs="Arial"/>
          <w:strike/>
          <w:sz w:val="24"/>
          <w:szCs w:val="24"/>
        </w:rPr>
        <w:t xml:space="preserve">If entities with a </w:t>
      </w:r>
      <w:r w:rsidR="008B4F06" w:rsidRPr="00B61FF1">
        <w:rPr>
          <w:rFonts w:ascii="Arial" w:hAnsi="Arial" w:cs="Arial"/>
          <w:strike/>
          <w:sz w:val="24"/>
          <w:szCs w:val="24"/>
        </w:rPr>
        <w:t xml:space="preserve">direct </w:t>
      </w:r>
      <w:r w:rsidR="008B4B51" w:rsidRPr="00B61FF1">
        <w:rPr>
          <w:rFonts w:ascii="Arial" w:hAnsi="Arial" w:cs="Arial"/>
          <w:strike/>
          <w:sz w:val="24"/>
          <w:szCs w:val="24"/>
        </w:rPr>
        <w:t xml:space="preserve">corporate association do not allocate shares of the purchase limit among themselves, then the </w:t>
      </w:r>
      <w:r w:rsidR="00BE52EF" w:rsidRPr="00B61FF1">
        <w:rPr>
          <w:rFonts w:ascii="Arial" w:hAnsi="Arial" w:cs="Arial"/>
          <w:strike/>
          <w:sz w:val="24"/>
          <w:szCs w:val="24"/>
        </w:rPr>
        <w:t>a</w:t>
      </w:r>
      <w:r w:rsidR="008B4B51" w:rsidRPr="00B61FF1">
        <w:rPr>
          <w:rFonts w:ascii="Arial" w:hAnsi="Arial" w:cs="Arial"/>
          <w:strike/>
          <w:sz w:val="24"/>
          <w:szCs w:val="24"/>
        </w:rPr>
        <w:t xml:space="preserve">uction </w:t>
      </w:r>
      <w:r w:rsidR="00BE52EF" w:rsidRPr="00B61FF1">
        <w:rPr>
          <w:rFonts w:ascii="Arial" w:hAnsi="Arial" w:cs="Arial"/>
          <w:strike/>
          <w:sz w:val="24"/>
          <w:szCs w:val="24"/>
        </w:rPr>
        <w:t>a</w:t>
      </w:r>
      <w:r w:rsidR="008B4B51" w:rsidRPr="00B61FF1">
        <w:rPr>
          <w:rFonts w:ascii="Arial" w:hAnsi="Arial" w:cs="Arial"/>
          <w:strike/>
          <w:sz w:val="24"/>
          <w:szCs w:val="24"/>
        </w:rPr>
        <w:t>dministrator will apply the purchase limit to the entities as follows:</w:t>
      </w:r>
    </w:p>
    <w:p w14:paraId="706C89E5" w14:textId="77777777" w:rsidR="008B4B51" w:rsidRPr="00B61FF1" w:rsidRDefault="00621930" w:rsidP="00621930">
      <w:pPr>
        <w:spacing w:line="360" w:lineRule="auto"/>
        <w:ind w:left="1800" w:hanging="72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rPr>
        <w:tab/>
      </w:r>
      <w:r w:rsidR="008B4B51" w:rsidRPr="00B61FF1">
        <w:rPr>
          <w:rFonts w:ascii="Arial" w:hAnsi="Arial" w:cs="Arial"/>
          <w:strike/>
          <w:sz w:val="24"/>
          <w:szCs w:val="24"/>
        </w:rPr>
        <w:t xml:space="preserve">The administrator will order the </w:t>
      </w:r>
      <w:r w:rsidR="008B4F06" w:rsidRPr="00B61FF1">
        <w:rPr>
          <w:rFonts w:ascii="Arial" w:hAnsi="Arial" w:cs="Arial"/>
          <w:strike/>
          <w:sz w:val="24"/>
          <w:szCs w:val="24"/>
        </w:rPr>
        <w:t xml:space="preserve">associated </w:t>
      </w:r>
      <w:r w:rsidR="008B4B51" w:rsidRPr="00B61FF1">
        <w:rPr>
          <w:rFonts w:ascii="Arial" w:hAnsi="Arial" w:cs="Arial"/>
          <w:strike/>
          <w:sz w:val="24"/>
          <w:szCs w:val="24"/>
        </w:rPr>
        <w:t>entities’ bids from highest to lowest bid price</w:t>
      </w:r>
      <w:r w:rsidR="00457B16" w:rsidRPr="00B61FF1">
        <w:rPr>
          <w:rFonts w:ascii="Arial" w:hAnsi="Arial" w:cs="Arial"/>
          <w:strike/>
          <w:sz w:val="24"/>
          <w:szCs w:val="24"/>
        </w:rPr>
        <w:t>;</w:t>
      </w:r>
    </w:p>
    <w:p w14:paraId="0EF316FF" w14:textId="77777777" w:rsidR="008B4B51" w:rsidRPr="00B61FF1" w:rsidRDefault="00621930" w:rsidP="00621930">
      <w:pPr>
        <w:spacing w:line="360" w:lineRule="auto"/>
        <w:ind w:left="1800" w:hanging="720"/>
        <w:rPr>
          <w:rFonts w:ascii="Arial" w:hAnsi="Arial" w:cs="Arial"/>
          <w:strike/>
          <w:sz w:val="24"/>
          <w:szCs w:val="24"/>
        </w:rPr>
      </w:pPr>
      <w:r w:rsidRPr="00B61FF1">
        <w:rPr>
          <w:rFonts w:ascii="Arial" w:hAnsi="Arial" w:cs="Arial"/>
          <w:strike/>
          <w:sz w:val="24"/>
          <w:szCs w:val="24"/>
        </w:rPr>
        <w:t>(B)</w:t>
      </w:r>
      <w:r w:rsidRPr="00B61FF1">
        <w:rPr>
          <w:rFonts w:ascii="Arial" w:hAnsi="Arial" w:cs="Arial"/>
          <w:strike/>
          <w:sz w:val="24"/>
          <w:szCs w:val="24"/>
        </w:rPr>
        <w:tab/>
      </w:r>
      <w:r w:rsidR="008B4B51" w:rsidRPr="00B61FF1">
        <w:rPr>
          <w:rFonts w:ascii="Arial" w:hAnsi="Arial" w:cs="Arial"/>
          <w:strike/>
          <w:sz w:val="24"/>
          <w:szCs w:val="24"/>
        </w:rPr>
        <w:t xml:space="preserve">Working from the highest to the lowest bid, the </w:t>
      </w:r>
      <w:r w:rsidR="00BE52EF" w:rsidRPr="00B61FF1">
        <w:rPr>
          <w:rFonts w:ascii="Arial" w:hAnsi="Arial" w:cs="Arial"/>
          <w:strike/>
          <w:sz w:val="24"/>
          <w:szCs w:val="24"/>
        </w:rPr>
        <w:t>a</w:t>
      </w:r>
      <w:r w:rsidR="006A4600" w:rsidRPr="00B61FF1">
        <w:rPr>
          <w:rFonts w:ascii="Arial" w:hAnsi="Arial" w:cs="Arial"/>
          <w:strike/>
          <w:sz w:val="24"/>
          <w:szCs w:val="24"/>
        </w:rPr>
        <w:t xml:space="preserve">uction </w:t>
      </w:r>
      <w:r w:rsidR="00BE52EF" w:rsidRPr="00B61FF1">
        <w:rPr>
          <w:rFonts w:ascii="Arial" w:hAnsi="Arial" w:cs="Arial"/>
          <w:strike/>
          <w:sz w:val="24"/>
          <w:szCs w:val="24"/>
        </w:rPr>
        <w:t>a</w:t>
      </w:r>
      <w:r w:rsidR="008B4B51" w:rsidRPr="00B61FF1">
        <w:rPr>
          <w:rFonts w:ascii="Arial" w:hAnsi="Arial" w:cs="Arial"/>
          <w:strike/>
          <w:sz w:val="24"/>
          <w:szCs w:val="24"/>
        </w:rPr>
        <w:t>dministrator will accept bids until the purchase limit for</w:t>
      </w:r>
      <w:r w:rsidR="00457B16" w:rsidRPr="00B61FF1">
        <w:rPr>
          <w:rFonts w:ascii="Arial" w:hAnsi="Arial" w:cs="Arial"/>
          <w:strike/>
          <w:sz w:val="24"/>
          <w:szCs w:val="24"/>
        </w:rPr>
        <w:t xml:space="preserve"> the associated entities is met;</w:t>
      </w:r>
    </w:p>
    <w:p w14:paraId="1EC5F168" w14:textId="77777777" w:rsidR="008B4B51" w:rsidRPr="00B61FF1" w:rsidRDefault="00621930" w:rsidP="00621930">
      <w:pPr>
        <w:spacing w:line="360" w:lineRule="auto"/>
        <w:ind w:left="1800" w:hanging="720"/>
        <w:rPr>
          <w:rFonts w:ascii="Arial" w:hAnsi="Arial" w:cs="Arial"/>
          <w:strike/>
          <w:sz w:val="24"/>
          <w:szCs w:val="24"/>
        </w:rPr>
      </w:pPr>
      <w:r w:rsidRPr="00B61FF1">
        <w:rPr>
          <w:rFonts w:ascii="Arial" w:hAnsi="Arial" w:cs="Arial"/>
          <w:strike/>
          <w:sz w:val="24"/>
          <w:szCs w:val="24"/>
        </w:rPr>
        <w:t>(C)</w:t>
      </w:r>
      <w:r w:rsidRPr="00B61FF1">
        <w:rPr>
          <w:rFonts w:ascii="Arial" w:hAnsi="Arial" w:cs="Arial"/>
          <w:strike/>
          <w:sz w:val="24"/>
          <w:szCs w:val="24"/>
        </w:rPr>
        <w:tab/>
      </w:r>
      <w:r w:rsidR="008B4B51" w:rsidRPr="00B61FF1">
        <w:rPr>
          <w:rFonts w:ascii="Arial" w:hAnsi="Arial" w:cs="Arial"/>
          <w:strike/>
          <w:sz w:val="24"/>
          <w:szCs w:val="24"/>
        </w:rPr>
        <w:t>The auction operator will conduct this procedure before conducting the auction pursuant to section 95911.</w:t>
      </w:r>
    </w:p>
    <w:p w14:paraId="2ACAE22C" w14:textId="77777777" w:rsidR="00F30373" w:rsidRPr="00B61FF1" w:rsidRDefault="00F30373" w:rsidP="00F30373">
      <w:pPr>
        <w:spacing w:line="360" w:lineRule="auto"/>
        <w:ind w:left="1080" w:hanging="720"/>
        <w:rPr>
          <w:rFonts w:ascii="Arial" w:hAnsi="Arial" w:cs="Arial"/>
          <w:strike/>
          <w:sz w:val="24"/>
          <w:szCs w:val="24"/>
        </w:rPr>
      </w:pPr>
      <w:bookmarkStart w:id="367" w:name="_Toc259776458"/>
      <w:bookmarkStart w:id="368" w:name="_Toc265660929"/>
      <w:bookmarkStart w:id="369" w:name="_Toc268526231"/>
      <w:bookmarkStart w:id="370" w:name="_Toc269798092"/>
      <w:bookmarkStart w:id="371" w:name="_Toc246820611"/>
      <w:r w:rsidRPr="00B61FF1">
        <w:rPr>
          <w:rFonts w:ascii="Arial" w:hAnsi="Arial" w:cs="Arial"/>
          <w:strike/>
          <w:sz w:val="24"/>
          <w:szCs w:val="24"/>
        </w:rPr>
        <w:t xml:space="preserve"> </w:t>
      </w:r>
    </w:p>
    <w:p w14:paraId="44537F16" w14:textId="77777777" w:rsidR="00F30373" w:rsidRPr="00B61FF1" w:rsidRDefault="00F30373" w:rsidP="00F30373">
      <w:pPr>
        <w:rPr>
          <w:rFonts w:ascii="Arial" w:hAnsi="Arial" w:cs="Arial"/>
        </w:rPr>
      </w:pPr>
      <w:r w:rsidRPr="00B61FF1">
        <w:rPr>
          <w:rFonts w:ascii="Arial" w:hAnsi="Arial" w:cs="Arial"/>
        </w:rPr>
        <w:t>NOTE:  Authority cited:  Sections 38510, 38560, 38562, 38570, 38571, 38580, 39600 and 39601, Health and Safety Code.</w:t>
      </w:r>
    </w:p>
    <w:p w14:paraId="523F454F" w14:textId="77777777" w:rsidR="00F30373" w:rsidRPr="00B61FF1" w:rsidRDefault="00F30373" w:rsidP="00F30373">
      <w:pPr>
        <w:rPr>
          <w:rFonts w:ascii="Arial" w:hAnsi="Arial" w:cs="Arial"/>
        </w:rPr>
      </w:pPr>
      <w:r w:rsidRPr="00B61FF1">
        <w:rPr>
          <w:rFonts w:ascii="Arial" w:hAnsi="Arial" w:cs="Arial"/>
        </w:rPr>
        <w:t>Reference:  Sections 38530, 38560.5, 38564, 38565, 38570 and 39600, Health and Safety Code.</w:t>
      </w:r>
    </w:p>
    <w:p w14:paraId="6052CB21" w14:textId="77777777" w:rsidR="00BD1FA4" w:rsidRPr="00B61FF1" w:rsidRDefault="00BD1FA4" w:rsidP="00F30373">
      <w:pPr>
        <w:rPr>
          <w:rFonts w:ascii="Arial" w:hAnsi="Arial" w:cs="Arial"/>
        </w:rPr>
      </w:pPr>
    </w:p>
    <w:p w14:paraId="63478C40" w14:textId="77777777" w:rsidR="00F30373" w:rsidRPr="00B61FF1" w:rsidRDefault="00F30373" w:rsidP="00CC193F">
      <w:pPr>
        <w:pStyle w:val="Heading1"/>
      </w:pPr>
      <w:bookmarkStart w:id="372" w:name="_Toc265660927"/>
      <w:bookmarkStart w:id="373" w:name="_Toc295978079"/>
      <w:bookmarkStart w:id="374" w:name="_Toc299094959"/>
      <w:bookmarkStart w:id="375" w:name="_Toc302746813"/>
      <w:bookmarkStart w:id="376" w:name="_Toc352146271"/>
      <w:bookmarkStart w:id="377" w:name="_Toc361659875"/>
      <w:r w:rsidRPr="00B61FF1">
        <w:t>Subarticle 11: Trading and Banking</w:t>
      </w:r>
      <w:bookmarkEnd w:id="372"/>
      <w:bookmarkEnd w:id="373"/>
      <w:bookmarkEnd w:id="374"/>
      <w:bookmarkEnd w:id="375"/>
      <w:bookmarkEnd w:id="376"/>
      <w:bookmarkEnd w:id="377"/>
    </w:p>
    <w:p w14:paraId="4ADC563B" w14:textId="77777777" w:rsidR="00F30373" w:rsidRPr="00B61FF1" w:rsidRDefault="00F30373" w:rsidP="00F30373">
      <w:pPr>
        <w:pStyle w:val="Heading2"/>
        <w:keepNext w:val="0"/>
        <w:rPr>
          <w:i/>
          <w:szCs w:val="24"/>
        </w:rPr>
      </w:pPr>
      <w:bookmarkStart w:id="378" w:name="_Toc265660928"/>
      <w:bookmarkStart w:id="379" w:name="_Toc268526230"/>
      <w:bookmarkStart w:id="380" w:name="_Toc269798091"/>
      <w:bookmarkStart w:id="381" w:name="_Toc259776457"/>
      <w:bookmarkStart w:id="382" w:name="_Toc295978080"/>
      <w:bookmarkStart w:id="383" w:name="_Toc299094960"/>
      <w:bookmarkStart w:id="384" w:name="_Toc302746814"/>
      <w:bookmarkStart w:id="385" w:name="_Toc352146272"/>
      <w:bookmarkStart w:id="386" w:name="_Toc361659876"/>
      <w:r w:rsidRPr="00B61FF1">
        <w:rPr>
          <w:szCs w:val="24"/>
        </w:rPr>
        <w:t>§ 95920.  Trading</w:t>
      </w:r>
      <w:bookmarkEnd w:id="378"/>
      <w:bookmarkEnd w:id="379"/>
      <w:bookmarkEnd w:id="380"/>
      <w:bookmarkEnd w:id="381"/>
      <w:bookmarkEnd w:id="382"/>
      <w:r w:rsidR="00A26C38" w:rsidRPr="00B61FF1">
        <w:rPr>
          <w:szCs w:val="24"/>
        </w:rPr>
        <w:t>.</w:t>
      </w:r>
      <w:bookmarkEnd w:id="383"/>
      <w:bookmarkEnd w:id="384"/>
      <w:bookmarkEnd w:id="385"/>
      <w:bookmarkEnd w:id="386"/>
    </w:p>
    <w:p w14:paraId="01E4ED41" w14:textId="77777777" w:rsidR="00F30373" w:rsidRPr="00B61FF1" w:rsidRDefault="00F30373" w:rsidP="00F30373">
      <w:pPr>
        <w:pStyle w:val="ListParagraph"/>
        <w:spacing w:line="360" w:lineRule="auto"/>
        <w:ind w:hanging="720"/>
        <w:rPr>
          <w:rFonts w:ascii="Arial" w:hAnsi="Arial" w:cs="Arial"/>
          <w:sz w:val="24"/>
          <w:szCs w:val="24"/>
        </w:rPr>
      </w:pPr>
      <w:r w:rsidRPr="00B61FF1">
        <w:rPr>
          <w:rFonts w:ascii="Arial" w:hAnsi="Arial" w:cs="Arial"/>
          <w:color w:val="000000"/>
          <w:sz w:val="24"/>
          <w:szCs w:val="24"/>
        </w:rPr>
        <w:t>(a)</w:t>
      </w:r>
      <w:r w:rsidRPr="00B61FF1">
        <w:rPr>
          <w:rFonts w:ascii="Arial" w:hAnsi="Arial" w:cs="Arial"/>
          <w:color w:val="000000"/>
          <w:sz w:val="24"/>
          <w:szCs w:val="24"/>
        </w:rPr>
        <w:tab/>
        <w:t xml:space="preserve">The holding limit is the maximum number of California GHG allowances that may be held by an entity or jointly </w:t>
      </w:r>
      <w:r w:rsidR="002D65A3" w:rsidRPr="00B61FF1">
        <w:rPr>
          <w:rFonts w:ascii="Arial" w:hAnsi="Arial" w:cs="Arial"/>
          <w:color w:val="000000"/>
          <w:sz w:val="24"/>
          <w:szCs w:val="24"/>
        </w:rPr>
        <w:t xml:space="preserve">held </w:t>
      </w:r>
      <w:r w:rsidRPr="00B61FF1">
        <w:rPr>
          <w:rFonts w:ascii="Arial" w:hAnsi="Arial" w:cs="Arial"/>
          <w:color w:val="000000"/>
          <w:sz w:val="24"/>
          <w:szCs w:val="24"/>
        </w:rPr>
        <w:t>by a group of entities with a</w:t>
      </w:r>
      <w:r w:rsidR="008112AC" w:rsidRPr="00B61FF1">
        <w:rPr>
          <w:rFonts w:ascii="Arial" w:hAnsi="Arial" w:cs="Arial"/>
          <w:color w:val="000000"/>
          <w:sz w:val="24"/>
          <w:szCs w:val="24"/>
        </w:rPr>
        <w:t xml:space="preserve"> direct </w:t>
      </w:r>
      <w:r w:rsidRPr="00B61FF1">
        <w:rPr>
          <w:rFonts w:ascii="Arial" w:hAnsi="Arial" w:cs="Arial"/>
          <w:color w:val="000000"/>
          <w:sz w:val="24"/>
          <w:szCs w:val="24"/>
        </w:rPr>
        <w:t>corporate association</w:t>
      </w:r>
      <w:r w:rsidR="002D65A3" w:rsidRPr="00B61FF1">
        <w:rPr>
          <w:rFonts w:ascii="Arial" w:hAnsi="Arial" w:cs="Arial"/>
          <w:color w:val="000000"/>
          <w:sz w:val="24"/>
          <w:szCs w:val="24"/>
        </w:rPr>
        <w:t>,</w:t>
      </w:r>
      <w:r w:rsidRPr="00B61FF1">
        <w:rPr>
          <w:rFonts w:ascii="Arial" w:hAnsi="Arial" w:cs="Arial"/>
          <w:color w:val="000000"/>
          <w:sz w:val="24"/>
          <w:szCs w:val="24"/>
        </w:rPr>
        <w:t xml:space="preserve"> as defined in section 95</w:t>
      </w:r>
      <w:r w:rsidR="002C750D" w:rsidRPr="00B61FF1">
        <w:rPr>
          <w:rFonts w:ascii="Arial" w:hAnsi="Arial" w:cs="Arial"/>
          <w:color w:val="000000"/>
          <w:sz w:val="24"/>
          <w:szCs w:val="24"/>
        </w:rPr>
        <w:t>8</w:t>
      </w:r>
      <w:r w:rsidRPr="00B61FF1">
        <w:rPr>
          <w:rFonts w:ascii="Arial" w:hAnsi="Arial" w:cs="Arial"/>
          <w:color w:val="000000"/>
          <w:sz w:val="24"/>
          <w:szCs w:val="24"/>
        </w:rPr>
        <w:t>33</w:t>
      </w:r>
      <w:r w:rsidR="00633D10" w:rsidRPr="00B61FF1">
        <w:rPr>
          <w:rFonts w:ascii="Arial" w:hAnsi="Arial" w:cs="Arial"/>
          <w:color w:val="000000"/>
          <w:sz w:val="24"/>
          <w:szCs w:val="24"/>
        </w:rPr>
        <w:t xml:space="preserve"> at any point in time</w:t>
      </w:r>
      <w:r w:rsidRPr="00B61FF1">
        <w:rPr>
          <w:rFonts w:ascii="Arial" w:hAnsi="Arial" w:cs="Arial"/>
          <w:color w:val="000000"/>
          <w:sz w:val="24"/>
          <w:szCs w:val="24"/>
        </w:rPr>
        <w:t>.</w:t>
      </w:r>
    </w:p>
    <w:p w14:paraId="466E8598" w14:textId="77777777" w:rsidR="00F30373" w:rsidRPr="00B61FF1" w:rsidRDefault="00F30373" w:rsidP="00F30373">
      <w:pPr>
        <w:spacing w:line="360" w:lineRule="auto"/>
        <w:ind w:left="720" w:hanging="720"/>
        <w:rPr>
          <w:rFonts w:ascii="Arial" w:hAnsi="Arial" w:cs="Arial"/>
          <w:sz w:val="24"/>
          <w:szCs w:val="24"/>
        </w:rPr>
      </w:pPr>
      <w:r w:rsidRPr="00B61FF1">
        <w:rPr>
          <w:rFonts w:ascii="Arial" w:hAnsi="Arial" w:cs="Arial"/>
          <w:color w:val="000000"/>
          <w:sz w:val="24"/>
          <w:szCs w:val="24"/>
        </w:rPr>
        <w:t>(b)</w:t>
      </w:r>
      <w:r w:rsidRPr="00B61FF1">
        <w:rPr>
          <w:rFonts w:ascii="Arial" w:hAnsi="Arial" w:cs="Arial"/>
          <w:color w:val="000000"/>
          <w:sz w:val="24"/>
          <w:szCs w:val="24"/>
        </w:rPr>
        <w:tab/>
        <w:t>Application</w:t>
      </w:r>
      <w:r w:rsidR="00457B16" w:rsidRPr="00B61FF1">
        <w:rPr>
          <w:rFonts w:ascii="Arial" w:hAnsi="Arial" w:cs="Arial"/>
          <w:color w:val="000000"/>
          <w:sz w:val="24"/>
          <w:szCs w:val="24"/>
        </w:rPr>
        <w:t xml:space="preserve"> of the Holding Limit.</w:t>
      </w:r>
    </w:p>
    <w:p w14:paraId="1907EDCB"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color w:val="000000"/>
          <w:sz w:val="24"/>
          <w:szCs w:val="24"/>
        </w:rPr>
        <w:t>(1)</w:t>
      </w:r>
      <w:r w:rsidRPr="00B61FF1">
        <w:rPr>
          <w:rFonts w:ascii="Arial" w:hAnsi="Arial" w:cs="Arial"/>
          <w:color w:val="000000"/>
          <w:sz w:val="24"/>
          <w:szCs w:val="24"/>
        </w:rPr>
        <w:tab/>
        <w:t>The holding limit will apply to</w:t>
      </w:r>
      <w:r w:rsidRPr="00B61FF1">
        <w:rPr>
          <w:rFonts w:ascii="Arial" w:hAnsi="Arial" w:cs="Arial"/>
          <w:sz w:val="24"/>
          <w:szCs w:val="24"/>
        </w:rPr>
        <w:t xml:space="preserve"> each entity registered as a covered, opt-in covered, or voluntarily associated entity pursuant to section 95830.</w:t>
      </w:r>
    </w:p>
    <w:p w14:paraId="603A397E"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color w:val="000000"/>
          <w:sz w:val="24"/>
          <w:szCs w:val="24"/>
        </w:rPr>
        <w:t>(2)</w:t>
      </w:r>
      <w:r w:rsidRPr="00B61FF1">
        <w:rPr>
          <w:rFonts w:ascii="Arial" w:hAnsi="Arial" w:cs="Arial"/>
          <w:color w:val="000000"/>
          <w:sz w:val="24"/>
          <w:szCs w:val="24"/>
        </w:rPr>
        <w:tab/>
        <w:t xml:space="preserve">The holding limit </w:t>
      </w:r>
      <w:r w:rsidR="002C750D" w:rsidRPr="00B61FF1">
        <w:rPr>
          <w:rFonts w:ascii="Arial" w:hAnsi="Arial" w:cs="Arial"/>
          <w:color w:val="000000"/>
          <w:sz w:val="24"/>
          <w:szCs w:val="24"/>
        </w:rPr>
        <w:t xml:space="preserve">calculation </w:t>
      </w:r>
      <w:r w:rsidRPr="00B61FF1">
        <w:rPr>
          <w:rFonts w:ascii="Arial" w:hAnsi="Arial" w:cs="Arial"/>
          <w:color w:val="000000"/>
          <w:sz w:val="24"/>
          <w:szCs w:val="24"/>
        </w:rPr>
        <w:t xml:space="preserve">will not include allowances contained in limited use holding accounts created pursuant to </w:t>
      </w:r>
      <w:r w:rsidR="00082BC6" w:rsidRPr="00B61FF1">
        <w:rPr>
          <w:rFonts w:ascii="Arial" w:hAnsi="Arial" w:cs="Arial"/>
          <w:color w:val="000000"/>
          <w:sz w:val="24"/>
          <w:szCs w:val="24"/>
        </w:rPr>
        <w:t xml:space="preserve">section </w:t>
      </w:r>
      <w:r w:rsidRPr="00B61FF1">
        <w:rPr>
          <w:rFonts w:ascii="Arial" w:hAnsi="Arial" w:cs="Arial"/>
          <w:color w:val="000000"/>
          <w:sz w:val="24"/>
          <w:szCs w:val="24"/>
        </w:rPr>
        <w:t>95831.</w:t>
      </w:r>
    </w:p>
    <w:p w14:paraId="34BC922E"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Application of the </w:t>
      </w:r>
      <w:r w:rsidR="00457B16" w:rsidRPr="00B61FF1">
        <w:rPr>
          <w:rFonts w:ascii="Arial" w:hAnsi="Arial" w:cs="Arial"/>
          <w:sz w:val="24"/>
          <w:szCs w:val="24"/>
        </w:rPr>
        <w:t>H</w:t>
      </w:r>
      <w:r w:rsidRPr="00B61FF1">
        <w:rPr>
          <w:rFonts w:ascii="Arial" w:hAnsi="Arial" w:cs="Arial"/>
          <w:sz w:val="24"/>
          <w:szCs w:val="24"/>
        </w:rPr>
        <w:t xml:space="preserve">olding </w:t>
      </w:r>
      <w:r w:rsidR="00457B16" w:rsidRPr="00B61FF1">
        <w:rPr>
          <w:rFonts w:ascii="Arial" w:hAnsi="Arial" w:cs="Arial"/>
          <w:sz w:val="24"/>
          <w:szCs w:val="24"/>
        </w:rPr>
        <w:t>L</w:t>
      </w:r>
      <w:r w:rsidRPr="00B61FF1">
        <w:rPr>
          <w:rFonts w:ascii="Arial" w:hAnsi="Arial" w:cs="Arial"/>
          <w:sz w:val="24"/>
          <w:szCs w:val="24"/>
        </w:rPr>
        <w:t xml:space="preserve">imit to </w:t>
      </w:r>
      <w:r w:rsidR="00457B16" w:rsidRPr="00B61FF1">
        <w:rPr>
          <w:rFonts w:ascii="Arial" w:hAnsi="Arial" w:cs="Arial"/>
          <w:sz w:val="24"/>
          <w:szCs w:val="24"/>
        </w:rPr>
        <w:t>E</w:t>
      </w:r>
      <w:r w:rsidRPr="00B61FF1">
        <w:rPr>
          <w:rFonts w:ascii="Arial" w:hAnsi="Arial" w:cs="Arial"/>
          <w:sz w:val="24"/>
          <w:szCs w:val="24"/>
        </w:rPr>
        <w:t xml:space="preserve">xchange </w:t>
      </w:r>
      <w:r w:rsidR="00457B16" w:rsidRPr="00B61FF1">
        <w:rPr>
          <w:rFonts w:ascii="Arial" w:hAnsi="Arial" w:cs="Arial"/>
          <w:sz w:val="24"/>
          <w:szCs w:val="24"/>
        </w:rPr>
        <w:t>C</w:t>
      </w:r>
      <w:r w:rsidRPr="00B61FF1">
        <w:rPr>
          <w:rFonts w:ascii="Arial" w:hAnsi="Arial" w:cs="Arial"/>
          <w:sz w:val="24"/>
          <w:szCs w:val="24"/>
        </w:rPr>
        <w:t xml:space="preserve">learing </w:t>
      </w:r>
      <w:r w:rsidR="00457B16" w:rsidRPr="00B61FF1">
        <w:rPr>
          <w:rFonts w:ascii="Arial" w:hAnsi="Arial" w:cs="Arial"/>
          <w:sz w:val="24"/>
          <w:szCs w:val="24"/>
        </w:rPr>
        <w:t>H</w:t>
      </w:r>
      <w:r w:rsidRPr="00B61FF1">
        <w:rPr>
          <w:rFonts w:ascii="Arial" w:hAnsi="Arial" w:cs="Arial"/>
          <w:sz w:val="24"/>
          <w:szCs w:val="24"/>
        </w:rPr>
        <w:t xml:space="preserve">olding </w:t>
      </w:r>
      <w:r w:rsidR="00457B16" w:rsidRPr="00B61FF1">
        <w:rPr>
          <w:rFonts w:ascii="Arial" w:hAnsi="Arial" w:cs="Arial"/>
          <w:sz w:val="24"/>
          <w:szCs w:val="24"/>
        </w:rPr>
        <w:t>A</w:t>
      </w:r>
      <w:r w:rsidRPr="00B61FF1">
        <w:rPr>
          <w:rFonts w:ascii="Arial" w:hAnsi="Arial" w:cs="Arial"/>
          <w:sz w:val="24"/>
          <w:szCs w:val="24"/>
        </w:rPr>
        <w:t xml:space="preserve">ccounts.  Compliance instruments </w:t>
      </w:r>
      <w:r w:rsidR="00881CB9" w:rsidRPr="00B61FF1">
        <w:rPr>
          <w:rFonts w:ascii="Arial" w:hAnsi="Arial" w:cs="Arial"/>
          <w:sz w:val="24"/>
          <w:szCs w:val="24"/>
        </w:rPr>
        <w:t>transferred out of</w:t>
      </w:r>
      <w:r w:rsidRPr="00B61FF1">
        <w:rPr>
          <w:rFonts w:ascii="Arial" w:hAnsi="Arial" w:cs="Arial"/>
          <w:sz w:val="24"/>
          <w:szCs w:val="24"/>
        </w:rPr>
        <w:t xml:space="preserve"> an exchange clearing holding account </w:t>
      </w:r>
      <w:r w:rsidR="00881CB9" w:rsidRPr="00B61FF1">
        <w:rPr>
          <w:rFonts w:ascii="Arial" w:hAnsi="Arial" w:cs="Arial"/>
          <w:sz w:val="24"/>
          <w:szCs w:val="24"/>
        </w:rPr>
        <w:t>will count against the holding limit of the destination account listed in the transfer request submitted by an exchange clearing holding account at the time the transfer request is confirmed.</w:t>
      </w:r>
      <w:r w:rsidRPr="00B61FF1">
        <w:rPr>
          <w:rFonts w:ascii="Arial" w:hAnsi="Arial" w:cs="Arial"/>
          <w:sz w:val="24"/>
          <w:szCs w:val="24"/>
        </w:rPr>
        <w:t xml:space="preserve"> </w:t>
      </w:r>
    </w:p>
    <w:p w14:paraId="4140CEC5" w14:textId="77777777" w:rsidR="00F30373" w:rsidRPr="00B61FF1" w:rsidRDefault="00F30373" w:rsidP="00F30373">
      <w:pPr>
        <w:pStyle w:val="ListParagraph"/>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If the Executive Officer determines that a reported </w:t>
      </w:r>
      <w:r w:rsidR="008112AC" w:rsidRPr="00B61FF1">
        <w:rPr>
          <w:rFonts w:ascii="Arial" w:hAnsi="Arial" w:cs="Arial"/>
          <w:sz w:val="24"/>
          <w:szCs w:val="24"/>
        </w:rPr>
        <w:t xml:space="preserve">transfer request </w:t>
      </w:r>
      <w:r w:rsidRPr="00B61FF1">
        <w:rPr>
          <w:rFonts w:ascii="Arial" w:hAnsi="Arial" w:cs="Arial"/>
          <w:sz w:val="24"/>
          <w:szCs w:val="24"/>
        </w:rPr>
        <w:t>not yet recorded into the tracking system would result in an entity’s holdings exceeding the</w:t>
      </w:r>
      <w:r w:rsidR="002D65A3" w:rsidRPr="00B61FF1">
        <w:rPr>
          <w:rFonts w:ascii="Arial" w:hAnsi="Arial" w:cs="Arial"/>
          <w:sz w:val="24"/>
          <w:szCs w:val="24"/>
        </w:rPr>
        <w:t xml:space="preserve"> applicable</w:t>
      </w:r>
      <w:r w:rsidRPr="00B61FF1">
        <w:rPr>
          <w:rFonts w:ascii="Arial" w:hAnsi="Arial" w:cs="Arial"/>
          <w:sz w:val="24"/>
          <w:szCs w:val="24"/>
        </w:rPr>
        <w:t xml:space="preserve"> holding limit, then the Executive Officer shall not approve the </w:t>
      </w:r>
      <w:r w:rsidR="008112AC" w:rsidRPr="00B61FF1">
        <w:rPr>
          <w:rFonts w:ascii="Arial" w:hAnsi="Arial" w:cs="Arial"/>
          <w:sz w:val="24"/>
          <w:szCs w:val="24"/>
        </w:rPr>
        <w:t xml:space="preserve">transfer request </w:t>
      </w:r>
      <w:r w:rsidRPr="00B61FF1">
        <w:rPr>
          <w:rFonts w:ascii="Arial" w:hAnsi="Arial" w:cs="Arial"/>
          <w:sz w:val="24"/>
          <w:szCs w:val="24"/>
        </w:rPr>
        <w:t>pursuant to section 95921(</w:t>
      </w:r>
      <w:r w:rsidR="00213DCE" w:rsidRPr="00B61FF1">
        <w:rPr>
          <w:rFonts w:ascii="Arial" w:hAnsi="Arial" w:cs="Arial"/>
          <w:sz w:val="24"/>
          <w:szCs w:val="24"/>
        </w:rPr>
        <w:t>a</w:t>
      </w:r>
      <w:r w:rsidRPr="00B61FF1">
        <w:rPr>
          <w:rFonts w:ascii="Arial" w:hAnsi="Arial" w:cs="Arial"/>
          <w:sz w:val="24"/>
          <w:szCs w:val="24"/>
        </w:rPr>
        <w:t xml:space="preserve">)(1).  </w:t>
      </w:r>
    </w:p>
    <w:p w14:paraId="6E493028" w14:textId="77777777" w:rsidR="00881CB9" w:rsidRPr="00B61FF1" w:rsidRDefault="00881CB9" w:rsidP="00F30373">
      <w:pPr>
        <w:pStyle w:val="ListParagraph"/>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If the violation is not discovered until after a transfer request is recorded, or the holding limit is exceeded at the beginning of a compliance year when allowances purchased at Advance Auction now fall under the current vintage holding limit pursuant to section 95920(c)(1)(C), then:</w:t>
      </w:r>
    </w:p>
    <w:p w14:paraId="08C97182" w14:textId="77777777" w:rsidR="00881CB9" w:rsidRPr="00B61FF1" w:rsidRDefault="00881CB9" w:rsidP="00D8601F">
      <w:pPr>
        <w:pStyle w:val="ListParagraph"/>
        <w:spacing w:line="360" w:lineRule="auto"/>
        <w:ind w:left="1800" w:hanging="720"/>
        <w:rPr>
          <w:rFonts w:ascii="Arial" w:hAnsi="Arial" w:cs="Arial"/>
          <w:sz w:val="24"/>
          <w:szCs w:val="24"/>
        </w:rPr>
      </w:pPr>
      <w:r w:rsidRPr="00B61FF1">
        <w:rPr>
          <w:rFonts w:ascii="Arial" w:hAnsi="Arial" w:cs="Arial"/>
          <w:sz w:val="24"/>
          <w:szCs w:val="24"/>
        </w:rPr>
        <w:t>(</w:t>
      </w:r>
      <w:r w:rsidR="00D8601F" w:rsidRPr="00B61FF1">
        <w:rPr>
          <w:rFonts w:ascii="Arial" w:hAnsi="Arial" w:cs="Arial"/>
          <w:sz w:val="24"/>
          <w:szCs w:val="24"/>
        </w:rPr>
        <w:t>A)</w:t>
      </w:r>
      <w:r w:rsidR="00D8601F" w:rsidRPr="00B61FF1">
        <w:rPr>
          <w:rFonts w:ascii="Arial" w:hAnsi="Arial" w:cs="Arial"/>
          <w:sz w:val="24"/>
          <w:szCs w:val="24"/>
        </w:rPr>
        <w:tab/>
        <w:t>The accounts administrator will inform the violator; and</w:t>
      </w:r>
    </w:p>
    <w:p w14:paraId="33144F2F" w14:textId="77777777" w:rsidR="00D8601F" w:rsidRPr="00B61FF1" w:rsidRDefault="00D8601F" w:rsidP="00D8601F">
      <w:pPr>
        <w:pStyle w:val="ListParagraph"/>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violator will have five business days to bring its account balances within the holding limit.  After that, the Executive Officer may transfer allowances in excess of the holding limit to the Auction Holding Account for consignment to auction pursuant to section 95910(d).</w:t>
      </w:r>
    </w:p>
    <w:p w14:paraId="2D2E9870" w14:textId="77777777" w:rsidR="00101BCF" w:rsidRPr="00B61FF1" w:rsidRDefault="00101BCF" w:rsidP="00101BCF">
      <w:pPr>
        <w:pStyle w:val="ListParagraph"/>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Allowances transferred to the Auction Holding Account for consignment  will be drawn first from the entity’s Holding Account and, if necessary, from the entity’s Compliance Account.</w:t>
      </w:r>
    </w:p>
    <w:p w14:paraId="6F9ADCC6" w14:textId="77777777" w:rsidR="00D8601F" w:rsidRPr="00B61FF1" w:rsidRDefault="00D8601F" w:rsidP="00D8601F">
      <w:pPr>
        <w:pStyle w:val="ListParagraph"/>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Penalties may be applied whenever the holding limit is exceeded or transfer requests are filed with the accounts administrator that would violate the holding limit.</w:t>
      </w:r>
    </w:p>
    <w:p w14:paraId="23147AD6" w14:textId="77777777" w:rsidR="00F30373" w:rsidRPr="00B61FF1" w:rsidRDefault="00F30373" w:rsidP="00F30373">
      <w:pPr>
        <w:pStyle w:val="ListParagraph"/>
        <w:spacing w:line="360" w:lineRule="auto"/>
        <w:ind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w:t>
      </w:r>
      <w:r w:rsidR="002D65A3" w:rsidRPr="00B61FF1">
        <w:rPr>
          <w:rFonts w:ascii="Arial" w:hAnsi="Arial" w:cs="Arial"/>
          <w:sz w:val="24"/>
          <w:szCs w:val="24"/>
        </w:rPr>
        <w:t xml:space="preserve">e holding limit will be separately calculated to </w:t>
      </w:r>
      <w:r w:rsidRPr="00B61FF1">
        <w:rPr>
          <w:rFonts w:ascii="Arial" w:hAnsi="Arial" w:cs="Arial"/>
          <w:sz w:val="24"/>
          <w:szCs w:val="24"/>
        </w:rPr>
        <w:t>holdings of:</w:t>
      </w:r>
    </w:p>
    <w:p w14:paraId="63B93497"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Allowances including:</w:t>
      </w:r>
    </w:p>
    <w:p w14:paraId="53235E52" w14:textId="77777777" w:rsidR="00F30373" w:rsidRPr="00B61FF1" w:rsidRDefault="00F30373" w:rsidP="00F3037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Allowances </w:t>
      </w:r>
      <w:r w:rsidR="00D8601F" w:rsidRPr="00B61FF1">
        <w:rPr>
          <w:rFonts w:ascii="Arial" w:hAnsi="Arial" w:cs="Arial"/>
          <w:sz w:val="24"/>
          <w:szCs w:val="24"/>
        </w:rPr>
        <w:t>with a vintage year corresponding to the current or previous calendar years</w:t>
      </w:r>
      <w:r w:rsidRPr="00B61FF1">
        <w:rPr>
          <w:rFonts w:ascii="Arial" w:hAnsi="Arial" w:cs="Arial"/>
          <w:sz w:val="24"/>
          <w:szCs w:val="24"/>
        </w:rPr>
        <w:t>;</w:t>
      </w:r>
    </w:p>
    <w:p w14:paraId="0EE644FC" w14:textId="77777777" w:rsidR="00F30373" w:rsidRPr="00B61FF1" w:rsidRDefault="00F30373" w:rsidP="00F30373">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Allowances from any vintage purchased from the Allowance Price Containment Reserve pursuant to </w:t>
      </w:r>
      <w:r w:rsidR="002D65A3" w:rsidRPr="00B61FF1">
        <w:rPr>
          <w:rFonts w:ascii="Arial" w:hAnsi="Arial" w:cs="Arial"/>
          <w:sz w:val="24"/>
          <w:szCs w:val="24"/>
        </w:rPr>
        <w:t xml:space="preserve">section </w:t>
      </w:r>
      <w:r w:rsidRPr="00B61FF1">
        <w:rPr>
          <w:rFonts w:ascii="Arial" w:hAnsi="Arial" w:cs="Arial"/>
          <w:sz w:val="24"/>
          <w:szCs w:val="24"/>
        </w:rPr>
        <w:t>95913; and</w:t>
      </w:r>
    </w:p>
    <w:p w14:paraId="32F13F2E" w14:textId="77777777" w:rsidR="00D8601F" w:rsidRPr="00B61FF1" w:rsidRDefault="00F30373" w:rsidP="00F30373">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Allowances originally purchased at the </w:t>
      </w:r>
      <w:r w:rsidR="00D8601F" w:rsidRPr="00B61FF1">
        <w:rPr>
          <w:rFonts w:ascii="Arial" w:hAnsi="Arial" w:cs="Arial"/>
          <w:sz w:val="24"/>
          <w:szCs w:val="24"/>
        </w:rPr>
        <w:t>A</w:t>
      </w:r>
      <w:r w:rsidRPr="00B61FF1">
        <w:rPr>
          <w:rFonts w:ascii="Arial" w:hAnsi="Arial" w:cs="Arial"/>
          <w:sz w:val="24"/>
          <w:szCs w:val="24"/>
        </w:rPr>
        <w:t xml:space="preserve">dvance </w:t>
      </w:r>
      <w:r w:rsidR="00D8601F" w:rsidRPr="00B61FF1">
        <w:rPr>
          <w:rFonts w:ascii="Arial" w:hAnsi="Arial" w:cs="Arial"/>
          <w:sz w:val="24"/>
          <w:szCs w:val="24"/>
        </w:rPr>
        <w:t>A</w:t>
      </w:r>
      <w:r w:rsidRPr="00B61FF1">
        <w:rPr>
          <w:rFonts w:ascii="Arial" w:hAnsi="Arial" w:cs="Arial"/>
          <w:sz w:val="24"/>
          <w:szCs w:val="24"/>
        </w:rPr>
        <w:t xml:space="preserve">uction but </w:t>
      </w:r>
      <w:r w:rsidR="00D8601F" w:rsidRPr="00B61FF1">
        <w:rPr>
          <w:rFonts w:ascii="Arial" w:hAnsi="Arial" w:cs="Arial"/>
          <w:sz w:val="24"/>
          <w:szCs w:val="24"/>
        </w:rPr>
        <w:t>of a vintage year equal or prior to the current calendar year; and</w:t>
      </w:r>
    </w:p>
    <w:p w14:paraId="6C11940F" w14:textId="77777777" w:rsidR="00F30373" w:rsidRPr="00B61FF1" w:rsidRDefault="00367E53" w:rsidP="00367E53">
      <w:pPr>
        <w:spacing w:line="360" w:lineRule="auto"/>
        <w:ind w:left="1080" w:hanging="720"/>
        <w:rPr>
          <w:rFonts w:ascii="Arial" w:hAnsi="Arial" w:cs="Arial"/>
          <w:sz w:val="24"/>
          <w:szCs w:val="24"/>
        </w:rPr>
      </w:pPr>
      <w:r w:rsidRPr="00B61FF1">
        <w:rPr>
          <w:rFonts w:ascii="Arial" w:hAnsi="Arial" w:cs="Arial"/>
          <w:sz w:val="24"/>
          <w:szCs w:val="24"/>
        </w:rPr>
        <w:t xml:space="preserve">(2) </w:t>
      </w:r>
      <w:r w:rsidRPr="00B61FF1">
        <w:rPr>
          <w:rFonts w:ascii="Arial" w:hAnsi="Arial" w:cs="Arial"/>
          <w:sz w:val="24"/>
          <w:szCs w:val="24"/>
        </w:rPr>
        <w:tab/>
      </w:r>
      <w:r w:rsidR="00D8601F" w:rsidRPr="00B61FF1">
        <w:rPr>
          <w:rFonts w:ascii="Arial" w:hAnsi="Arial" w:cs="Arial"/>
          <w:sz w:val="24"/>
          <w:szCs w:val="24"/>
        </w:rPr>
        <w:t>Allowances that were purchased at the Advance Auction and still have a vintage year greater than the current calendar year.</w:t>
      </w:r>
      <w:r w:rsidR="00F30373" w:rsidRPr="00B61FF1">
        <w:rPr>
          <w:rFonts w:ascii="Arial" w:hAnsi="Arial" w:cs="Arial"/>
          <w:sz w:val="24"/>
          <w:szCs w:val="24"/>
        </w:rPr>
        <w:t xml:space="preserve"> </w:t>
      </w:r>
    </w:p>
    <w:p w14:paraId="796A072C" w14:textId="77777777" w:rsidR="00F30373" w:rsidRPr="00B61FF1" w:rsidRDefault="00F30373" w:rsidP="00F30373">
      <w:pPr>
        <w:pStyle w:val="ListParagraph"/>
        <w:spacing w:line="360" w:lineRule="auto"/>
        <w:ind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The holding limit will be calculated </w:t>
      </w:r>
      <w:r w:rsidR="00AB794A" w:rsidRPr="00B61FF1">
        <w:rPr>
          <w:rFonts w:ascii="Arial" w:hAnsi="Arial" w:cs="Arial"/>
          <w:sz w:val="24"/>
          <w:szCs w:val="24"/>
        </w:rPr>
        <w:t>for allowances qualifying pursuant to section 95920(c)(1) as the sum of:</w:t>
      </w:r>
    </w:p>
    <w:p w14:paraId="73A20969" w14:textId="77777777" w:rsidR="00F30373" w:rsidRPr="00B61FF1" w:rsidRDefault="00AB794A" w:rsidP="00AB794A">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number given by the following formula:</w:t>
      </w:r>
    </w:p>
    <w:p w14:paraId="2A4FE6AD" w14:textId="77777777" w:rsidR="00D94C15" w:rsidRPr="00B61FF1" w:rsidRDefault="00D94C15" w:rsidP="00F30373">
      <w:pPr>
        <w:spacing w:line="360" w:lineRule="auto"/>
        <w:ind w:left="1080"/>
        <w:rPr>
          <w:rFonts w:ascii="Arial" w:hAnsi="Arial" w:cs="Arial"/>
          <w:sz w:val="24"/>
          <w:szCs w:val="24"/>
        </w:rPr>
      </w:pPr>
    </w:p>
    <w:p w14:paraId="5651331E" w14:textId="77777777" w:rsidR="00F30373" w:rsidRPr="00B61FF1" w:rsidRDefault="00F30373" w:rsidP="00F30373">
      <w:pPr>
        <w:spacing w:line="360" w:lineRule="auto"/>
        <w:ind w:left="1080"/>
        <w:rPr>
          <w:rFonts w:ascii="Arial" w:hAnsi="Arial" w:cs="Arial"/>
          <w:sz w:val="24"/>
          <w:szCs w:val="24"/>
        </w:rPr>
      </w:pPr>
      <w:r w:rsidRPr="00B61FF1">
        <w:rPr>
          <w:rFonts w:ascii="Arial" w:hAnsi="Arial" w:cs="Arial"/>
          <w:sz w:val="24"/>
          <w:szCs w:val="24"/>
        </w:rPr>
        <w:t>Holding Limit = 0.1*Base + 0.025*(Annual Allowance Budget – Base)</w:t>
      </w:r>
    </w:p>
    <w:p w14:paraId="0422EF8D" w14:textId="77777777" w:rsidR="00D94C15" w:rsidRPr="00B61FF1" w:rsidRDefault="00D94C15" w:rsidP="00F30373">
      <w:pPr>
        <w:spacing w:line="360" w:lineRule="auto"/>
        <w:ind w:left="1080"/>
        <w:rPr>
          <w:rFonts w:ascii="Arial" w:hAnsi="Arial" w:cs="Arial"/>
          <w:sz w:val="24"/>
          <w:szCs w:val="24"/>
        </w:rPr>
      </w:pPr>
    </w:p>
    <w:p w14:paraId="4B4CAC0B" w14:textId="77777777" w:rsidR="00F30373" w:rsidRPr="00B61FF1" w:rsidRDefault="00F30373" w:rsidP="00F30373">
      <w:pPr>
        <w:spacing w:line="360" w:lineRule="auto"/>
        <w:ind w:left="1080"/>
        <w:rPr>
          <w:rFonts w:ascii="Arial" w:hAnsi="Arial" w:cs="Arial"/>
          <w:sz w:val="24"/>
          <w:szCs w:val="24"/>
        </w:rPr>
      </w:pPr>
      <w:r w:rsidRPr="00B61FF1">
        <w:rPr>
          <w:rFonts w:ascii="Arial" w:hAnsi="Arial" w:cs="Arial"/>
          <w:sz w:val="24"/>
          <w:szCs w:val="24"/>
        </w:rPr>
        <w:t>In which:</w:t>
      </w:r>
    </w:p>
    <w:p w14:paraId="57710832" w14:textId="77777777" w:rsidR="00F30373" w:rsidRPr="00B61FF1" w:rsidRDefault="00F30373" w:rsidP="00F30373">
      <w:pPr>
        <w:spacing w:line="360" w:lineRule="auto"/>
        <w:ind w:left="1080"/>
        <w:rPr>
          <w:rFonts w:ascii="Arial" w:hAnsi="Arial" w:cs="Arial"/>
          <w:sz w:val="24"/>
          <w:szCs w:val="24"/>
        </w:rPr>
      </w:pPr>
      <w:r w:rsidRPr="00B61FF1">
        <w:rPr>
          <w:rFonts w:ascii="Arial" w:hAnsi="Arial" w:cs="Arial"/>
          <w:sz w:val="24"/>
          <w:szCs w:val="24"/>
        </w:rPr>
        <w:t>“Base” equals 25 million metric tons of CO</w:t>
      </w:r>
      <w:r w:rsidRPr="00B61FF1">
        <w:rPr>
          <w:rFonts w:ascii="Arial" w:hAnsi="Arial" w:cs="Arial"/>
          <w:sz w:val="24"/>
          <w:szCs w:val="24"/>
          <w:vertAlign w:val="subscript"/>
        </w:rPr>
        <w:t>2</w:t>
      </w:r>
      <w:r w:rsidRPr="00B61FF1">
        <w:rPr>
          <w:rFonts w:ascii="Arial" w:hAnsi="Arial" w:cs="Arial"/>
          <w:sz w:val="24"/>
          <w:szCs w:val="24"/>
        </w:rPr>
        <w:t>e.</w:t>
      </w:r>
    </w:p>
    <w:p w14:paraId="26545D14" w14:textId="77777777" w:rsidR="00F30373" w:rsidRPr="00B61FF1" w:rsidRDefault="00F30373" w:rsidP="00F30373">
      <w:pPr>
        <w:spacing w:line="360" w:lineRule="auto"/>
        <w:ind w:left="1080"/>
        <w:rPr>
          <w:rFonts w:ascii="Arial" w:hAnsi="Arial" w:cs="Arial"/>
          <w:sz w:val="24"/>
          <w:szCs w:val="24"/>
        </w:rPr>
      </w:pPr>
      <w:r w:rsidRPr="00B61FF1">
        <w:rPr>
          <w:rFonts w:ascii="Arial" w:hAnsi="Arial" w:cs="Arial"/>
          <w:sz w:val="24"/>
          <w:szCs w:val="24"/>
        </w:rPr>
        <w:t>“Annual Allowance Budget” is the number of allowances issued for the current budget year.</w:t>
      </w:r>
    </w:p>
    <w:p w14:paraId="0D8385DC" w14:textId="2987C1AD" w:rsidR="00D31570" w:rsidRPr="00B61FF1" w:rsidRDefault="00995258" w:rsidP="00FE6A4C">
      <w:pPr>
        <w:pStyle w:val="ListParagraph"/>
        <w:numPr>
          <w:ilvl w:val="1"/>
          <w:numId w:val="57"/>
        </w:numPr>
        <w:spacing w:line="360" w:lineRule="auto"/>
        <w:rPr>
          <w:rFonts w:ascii="Arial" w:hAnsi="Arial" w:cs="Arial"/>
          <w:strike/>
          <w:sz w:val="24"/>
          <w:szCs w:val="24"/>
        </w:rPr>
      </w:pPr>
      <w:r w:rsidRPr="00B61FF1">
        <w:rPr>
          <w:rFonts w:ascii="Arial" w:hAnsi="Arial" w:cs="Arial"/>
          <w:sz w:val="24"/>
          <w:szCs w:val="24"/>
          <w:u w:val="single"/>
        </w:rPr>
        <w:t>Limited Exemption from the Holding L</w:t>
      </w:r>
      <w:r w:rsidR="00D31570" w:rsidRPr="00B61FF1">
        <w:rPr>
          <w:rFonts w:ascii="Arial" w:hAnsi="Arial" w:cs="Arial"/>
          <w:sz w:val="24"/>
          <w:szCs w:val="24"/>
          <w:u w:val="single"/>
        </w:rPr>
        <w:t xml:space="preserve">imit. </w:t>
      </w:r>
      <w:r w:rsidR="00D31570" w:rsidRPr="00B61FF1">
        <w:rPr>
          <w:rFonts w:ascii="Arial" w:hAnsi="Arial" w:cs="Arial"/>
          <w:strike/>
          <w:sz w:val="24"/>
          <w:szCs w:val="24"/>
        </w:rPr>
        <w:t>A Limited Exemption from the Holding Limit is calculated as:</w:t>
      </w:r>
    </w:p>
    <w:p w14:paraId="09B3083D" w14:textId="1C575C7E" w:rsidR="00AB794A" w:rsidRPr="00B61FF1" w:rsidRDefault="00AB794A" w:rsidP="00FE6A4C">
      <w:pPr>
        <w:numPr>
          <w:ilvl w:val="2"/>
          <w:numId w:val="36"/>
        </w:numPr>
        <w:spacing w:line="360" w:lineRule="auto"/>
        <w:rPr>
          <w:rFonts w:ascii="Arial" w:hAnsi="Arial" w:cs="Arial"/>
          <w:strike/>
          <w:color w:val="000000"/>
          <w:sz w:val="24"/>
          <w:szCs w:val="24"/>
        </w:rPr>
      </w:pPr>
      <w:r w:rsidRPr="00B61FF1">
        <w:rPr>
          <w:rFonts w:ascii="Arial" w:hAnsi="Arial" w:cs="Arial"/>
          <w:sz w:val="24"/>
          <w:szCs w:val="24"/>
        </w:rPr>
        <w:t>The limited exemption</w:t>
      </w:r>
      <w:r w:rsidR="003410AA" w:rsidRPr="00B61FF1">
        <w:rPr>
          <w:rFonts w:ascii="Arial" w:hAnsi="Arial" w:cs="Arial"/>
          <w:sz w:val="24"/>
          <w:szCs w:val="24"/>
          <w:u w:val="single"/>
        </w:rPr>
        <w:t xml:space="preserve"> from the holding limit (limited exemption)</w:t>
      </w:r>
      <w:r w:rsidR="003410AA" w:rsidRPr="00B61FF1">
        <w:rPr>
          <w:rFonts w:ascii="Arial" w:hAnsi="Arial" w:cs="Arial"/>
          <w:sz w:val="24"/>
          <w:szCs w:val="24"/>
        </w:rPr>
        <w:t xml:space="preserve"> </w:t>
      </w:r>
      <w:r w:rsidRPr="00B61FF1">
        <w:rPr>
          <w:rFonts w:ascii="Arial" w:hAnsi="Arial" w:cs="Arial"/>
          <w:sz w:val="24"/>
          <w:szCs w:val="24"/>
        </w:rPr>
        <w:t xml:space="preserve"> is the number of allowances</w:t>
      </w:r>
      <w:r w:rsidRPr="00B61FF1">
        <w:rPr>
          <w:rFonts w:ascii="Arial" w:hAnsi="Arial" w:cs="Arial"/>
          <w:color w:val="000000"/>
          <w:sz w:val="24"/>
          <w:szCs w:val="24"/>
        </w:rPr>
        <w:t xml:space="preserve"> which are exempt from the holding limit </w:t>
      </w:r>
      <w:r w:rsidR="003410AA" w:rsidRPr="00B61FF1">
        <w:rPr>
          <w:rFonts w:ascii="Arial" w:hAnsi="Arial" w:cs="Arial"/>
          <w:color w:val="000000"/>
          <w:sz w:val="24"/>
          <w:szCs w:val="24"/>
          <w:u w:val="single"/>
        </w:rPr>
        <w:t>calculated pu</w:t>
      </w:r>
      <w:r w:rsidR="006B316D" w:rsidRPr="00B61FF1">
        <w:rPr>
          <w:rFonts w:ascii="Arial" w:hAnsi="Arial" w:cs="Arial"/>
          <w:color w:val="000000"/>
          <w:sz w:val="24"/>
          <w:szCs w:val="24"/>
          <w:u w:val="single"/>
        </w:rPr>
        <w:t xml:space="preserve">rsuant to section 95920(c)(1). </w:t>
      </w:r>
      <w:r w:rsidR="003410AA" w:rsidRPr="00B61FF1">
        <w:rPr>
          <w:rFonts w:ascii="Arial" w:hAnsi="Arial" w:cs="Arial"/>
          <w:color w:val="000000"/>
          <w:sz w:val="24"/>
          <w:szCs w:val="24"/>
          <w:u w:val="single"/>
        </w:rPr>
        <w:t xml:space="preserve">To qualify for inclusion within the limited exemption, allowances </w:t>
      </w:r>
      <w:r w:rsidR="00995258" w:rsidRPr="00B61FF1">
        <w:rPr>
          <w:rFonts w:ascii="Arial" w:hAnsi="Arial" w:cs="Arial"/>
          <w:color w:val="000000"/>
          <w:sz w:val="24"/>
          <w:szCs w:val="24"/>
          <w:u w:val="single"/>
        </w:rPr>
        <w:t>must be placed in the entity’s Compliance A</w:t>
      </w:r>
      <w:r w:rsidR="003410AA" w:rsidRPr="00B61FF1">
        <w:rPr>
          <w:rFonts w:ascii="Arial" w:hAnsi="Arial" w:cs="Arial"/>
          <w:color w:val="000000"/>
          <w:sz w:val="24"/>
          <w:szCs w:val="24"/>
          <w:u w:val="single"/>
        </w:rPr>
        <w:t>ccount.</w:t>
      </w:r>
      <w:r w:rsidR="003410AA" w:rsidRPr="00B61FF1">
        <w:rPr>
          <w:rFonts w:ascii="Arial" w:hAnsi="Arial" w:cs="Arial"/>
          <w:color w:val="000000"/>
          <w:sz w:val="24"/>
          <w:szCs w:val="24"/>
        </w:rPr>
        <w:t xml:space="preserve"> </w:t>
      </w:r>
      <w:r w:rsidR="003410AA" w:rsidRPr="00B61FF1">
        <w:rPr>
          <w:rFonts w:ascii="Arial" w:hAnsi="Arial" w:cs="Arial"/>
          <w:strike/>
          <w:color w:val="000000"/>
          <w:sz w:val="24"/>
          <w:szCs w:val="24"/>
        </w:rPr>
        <w:t>calculation after they are transferred by a covered entity or an opt-in covered entity to its compliance account.</w:t>
      </w:r>
    </w:p>
    <w:p w14:paraId="344FD24B" w14:textId="77777777" w:rsidR="00AB794A" w:rsidRPr="00B61FF1" w:rsidRDefault="00AB794A"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 xml:space="preserve">On </w:t>
      </w:r>
      <w:r w:rsidR="000318FD" w:rsidRPr="00B61FF1">
        <w:rPr>
          <w:rFonts w:ascii="Arial" w:hAnsi="Arial" w:cs="Arial"/>
          <w:color w:val="000000"/>
          <w:sz w:val="24"/>
          <w:szCs w:val="24"/>
        </w:rPr>
        <w:t>June</w:t>
      </w:r>
      <w:r w:rsidRPr="00B61FF1">
        <w:rPr>
          <w:rFonts w:ascii="Arial" w:hAnsi="Arial" w:cs="Arial"/>
          <w:color w:val="000000"/>
          <w:sz w:val="24"/>
          <w:szCs w:val="24"/>
        </w:rPr>
        <w:t xml:space="preserve"> 1</w:t>
      </w:r>
      <w:r w:rsidR="000318FD" w:rsidRPr="00B61FF1">
        <w:rPr>
          <w:rFonts w:ascii="Arial" w:hAnsi="Arial" w:cs="Arial"/>
          <w:color w:val="000000"/>
          <w:sz w:val="24"/>
          <w:szCs w:val="24"/>
        </w:rPr>
        <w:t xml:space="preserve">, 2012 the limited exemption will </w:t>
      </w:r>
      <w:r w:rsidR="00D0101F" w:rsidRPr="00B61FF1">
        <w:rPr>
          <w:rFonts w:ascii="Arial" w:hAnsi="Arial" w:cs="Arial"/>
          <w:color w:val="000000"/>
          <w:sz w:val="24"/>
          <w:szCs w:val="24"/>
          <w:u w:val="single"/>
        </w:rPr>
        <w:t>be calculated as</w:t>
      </w:r>
      <w:r w:rsidR="00D0101F" w:rsidRPr="00B61FF1">
        <w:rPr>
          <w:rFonts w:ascii="Arial" w:hAnsi="Arial" w:cs="Arial"/>
          <w:color w:val="000000"/>
          <w:sz w:val="24"/>
          <w:szCs w:val="24"/>
        </w:rPr>
        <w:t xml:space="preserve"> </w:t>
      </w:r>
      <w:r w:rsidR="00D0101F" w:rsidRPr="00B61FF1">
        <w:rPr>
          <w:rFonts w:ascii="Arial" w:hAnsi="Arial" w:cs="Arial"/>
          <w:strike/>
          <w:color w:val="000000"/>
          <w:sz w:val="24"/>
          <w:szCs w:val="24"/>
        </w:rPr>
        <w:t>equal</w:t>
      </w:r>
      <w:r w:rsidR="00D0101F" w:rsidRPr="00B61FF1">
        <w:rPr>
          <w:rFonts w:ascii="Arial" w:hAnsi="Arial" w:cs="Arial"/>
          <w:color w:val="000000"/>
          <w:sz w:val="24"/>
          <w:szCs w:val="24"/>
        </w:rPr>
        <w:t xml:space="preserve"> </w:t>
      </w:r>
      <w:r w:rsidRPr="00B61FF1">
        <w:rPr>
          <w:rFonts w:ascii="Arial" w:hAnsi="Arial" w:cs="Arial"/>
          <w:color w:val="000000"/>
          <w:sz w:val="24"/>
          <w:szCs w:val="24"/>
        </w:rPr>
        <w:t xml:space="preserve">the </w:t>
      </w:r>
      <w:r w:rsidR="00457B16" w:rsidRPr="00B61FF1">
        <w:rPr>
          <w:rFonts w:ascii="Arial" w:hAnsi="Arial" w:cs="Arial"/>
          <w:color w:val="000000"/>
          <w:sz w:val="24"/>
          <w:szCs w:val="24"/>
        </w:rPr>
        <w:t xml:space="preserve">annual emissions </w:t>
      </w:r>
      <w:r w:rsidR="00A45C35" w:rsidRPr="00B61FF1">
        <w:rPr>
          <w:rFonts w:ascii="Arial" w:hAnsi="Arial" w:cs="Arial"/>
          <w:color w:val="000000"/>
          <w:sz w:val="24"/>
          <w:szCs w:val="24"/>
          <w:u w:val="single"/>
        </w:rPr>
        <w:t>determined</w:t>
      </w:r>
      <w:r w:rsidR="00A0141B" w:rsidRPr="00B61FF1">
        <w:rPr>
          <w:rFonts w:ascii="Arial" w:hAnsi="Arial" w:cs="Arial"/>
          <w:color w:val="000000"/>
          <w:sz w:val="24"/>
          <w:szCs w:val="24"/>
          <w:u w:val="single"/>
        </w:rPr>
        <w:t xml:space="preserve"> from the </w:t>
      </w:r>
      <w:r w:rsidRPr="00B61FF1">
        <w:rPr>
          <w:rFonts w:ascii="Arial" w:hAnsi="Arial" w:cs="Arial"/>
          <w:color w:val="000000"/>
          <w:sz w:val="24"/>
          <w:szCs w:val="24"/>
        </w:rPr>
        <w:t xml:space="preserve">most recent emissions </w:t>
      </w:r>
      <w:r w:rsidR="00457B16" w:rsidRPr="00B61FF1">
        <w:rPr>
          <w:rFonts w:ascii="Arial" w:hAnsi="Arial" w:cs="Arial"/>
          <w:color w:val="000000"/>
          <w:sz w:val="24"/>
          <w:szCs w:val="24"/>
        </w:rPr>
        <w:t xml:space="preserve">data </w:t>
      </w:r>
      <w:r w:rsidRPr="00B61FF1">
        <w:rPr>
          <w:rFonts w:ascii="Arial" w:hAnsi="Arial" w:cs="Arial"/>
          <w:color w:val="000000"/>
          <w:sz w:val="24"/>
          <w:szCs w:val="24"/>
        </w:rPr>
        <w:t xml:space="preserve">report </w:t>
      </w:r>
      <w:r w:rsidR="00457B16" w:rsidRPr="00B61FF1">
        <w:rPr>
          <w:rFonts w:ascii="Arial" w:hAnsi="Arial" w:cs="Arial"/>
          <w:color w:val="000000"/>
          <w:sz w:val="24"/>
          <w:szCs w:val="24"/>
        </w:rPr>
        <w:t xml:space="preserve">that has </w:t>
      </w:r>
      <w:r w:rsidRPr="00B61FF1">
        <w:rPr>
          <w:rFonts w:ascii="Arial" w:hAnsi="Arial" w:cs="Arial"/>
          <w:color w:val="000000"/>
          <w:sz w:val="24"/>
          <w:szCs w:val="24"/>
        </w:rPr>
        <w:t>received</w:t>
      </w:r>
      <w:r w:rsidR="00457B16" w:rsidRPr="00B61FF1">
        <w:rPr>
          <w:rFonts w:ascii="Arial" w:hAnsi="Arial" w:cs="Arial"/>
          <w:color w:val="000000"/>
          <w:sz w:val="24"/>
          <w:szCs w:val="24"/>
        </w:rPr>
        <w:t xml:space="preserve"> a positive or qualified positive emissions data verification statement</w:t>
      </w:r>
      <w:r w:rsidRPr="00B61FF1">
        <w:rPr>
          <w:rFonts w:ascii="Arial" w:hAnsi="Arial" w:cs="Arial"/>
          <w:color w:val="000000"/>
          <w:sz w:val="24"/>
          <w:szCs w:val="24"/>
        </w:rPr>
        <w:t xml:space="preserve">.  </w:t>
      </w:r>
    </w:p>
    <w:p w14:paraId="754361AE" w14:textId="77777777" w:rsidR="00AB794A" w:rsidRPr="00B61FF1" w:rsidRDefault="000318FD"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 xml:space="preserve">Beginning in </w:t>
      </w:r>
      <w:r w:rsidRPr="00B61FF1">
        <w:rPr>
          <w:rFonts w:ascii="Arial" w:hAnsi="Arial" w:cs="Arial"/>
          <w:color w:val="000000"/>
          <w:sz w:val="24"/>
          <w:szCs w:val="24"/>
          <w:u w:val="single"/>
        </w:rPr>
        <w:t>201</w:t>
      </w:r>
      <w:r w:rsidR="00A45C35" w:rsidRPr="00B61FF1">
        <w:rPr>
          <w:rFonts w:ascii="Arial" w:hAnsi="Arial" w:cs="Arial"/>
          <w:color w:val="000000"/>
          <w:sz w:val="24"/>
          <w:szCs w:val="24"/>
          <w:u w:val="single"/>
        </w:rPr>
        <w:t>5,</w:t>
      </w:r>
      <w:r w:rsidRPr="00B61FF1">
        <w:rPr>
          <w:rFonts w:ascii="Arial" w:hAnsi="Arial" w:cs="Arial"/>
          <w:strike/>
          <w:color w:val="000000"/>
          <w:sz w:val="24"/>
          <w:szCs w:val="24"/>
          <w:u w:val="single"/>
        </w:rPr>
        <w:t>3</w:t>
      </w:r>
      <w:r w:rsidRPr="00B61FF1">
        <w:rPr>
          <w:rFonts w:ascii="Arial" w:hAnsi="Arial" w:cs="Arial"/>
          <w:color w:val="000000"/>
          <w:sz w:val="24"/>
          <w:szCs w:val="24"/>
        </w:rPr>
        <w:t xml:space="preserve"> </w:t>
      </w:r>
      <w:r w:rsidR="00A45C35" w:rsidRPr="00B61FF1">
        <w:rPr>
          <w:rFonts w:ascii="Arial" w:hAnsi="Arial" w:cs="Arial"/>
          <w:color w:val="000000"/>
          <w:sz w:val="24"/>
          <w:szCs w:val="24"/>
          <w:u w:val="single"/>
        </w:rPr>
        <w:t>prior to the last quarter auction</w:t>
      </w:r>
      <w:r w:rsidRPr="00B61FF1">
        <w:rPr>
          <w:rFonts w:ascii="Arial" w:hAnsi="Arial" w:cs="Arial"/>
          <w:strike/>
          <w:color w:val="000000"/>
          <w:sz w:val="24"/>
          <w:szCs w:val="24"/>
        </w:rPr>
        <w:t>o</w:t>
      </w:r>
      <w:r w:rsidR="00AB794A" w:rsidRPr="00B61FF1">
        <w:rPr>
          <w:rFonts w:ascii="Arial" w:hAnsi="Arial" w:cs="Arial"/>
          <w:strike/>
          <w:color w:val="000000"/>
          <w:sz w:val="24"/>
          <w:szCs w:val="24"/>
        </w:rPr>
        <w:t>n October 1</w:t>
      </w:r>
      <w:r w:rsidR="00AB794A" w:rsidRPr="00B61FF1">
        <w:rPr>
          <w:rFonts w:ascii="Arial" w:hAnsi="Arial" w:cs="Arial"/>
          <w:color w:val="000000"/>
          <w:sz w:val="24"/>
          <w:szCs w:val="24"/>
        </w:rPr>
        <w:t xml:space="preserve"> of each year</w:t>
      </w:r>
      <w:r w:rsidR="00A45C35" w:rsidRPr="00B61FF1">
        <w:rPr>
          <w:rFonts w:ascii="Arial" w:hAnsi="Arial" w:cs="Arial"/>
          <w:color w:val="000000"/>
          <w:sz w:val="24"/>
          <w:szCs w:val="24"/>
          <w:u w:val="single"/>
        </w:rPr>
        <w:t>,</w:t>
      </w:r>
      <w:r w:rsidR="00AB794A" w:rsidRPr="00B61FF1">
        <w:rPr>
          <w:rFonts w:ascii="Arial" w:hAnsi="Arial" w:cs="Arial"/>
          <w:color w:val="000000"/>
          <w:sz w:val="24"/>
          <w:szCs w:val="24"/>
        </w:rPr>
        <w:t xml:space="preserve"> the limited exemption will be increased by the amount of emissions contained in the </w:t>
      </w:r>
      <w:r w:rsidR="00457B16" w:rsidRPr="00B61FF1">
        <w:rPr>
          <w:rFonts w:ascii="Arial" w:hAnsi="Arial" w:cs="Arial"/>
          <w:color w:val="000000"/>
          <w:sz w:val="24"/>
          <w:szCs w:val="24"/>
        </w:rPr>
        <w:t xml:space="preserve">most recent emissions data report that has received a </w:t>
      </w:r>
      <w:r w:rsidR="00AB794A" w:rsidRPr="00B61FF1">
        <w:rPr>
          <w:rFonts w:ascii="Arial" w:hAnsi="Arial" w:cs="Arial"/>
          <w:color w:val="000000"/>
          <w:sz w:val="24"/>
          <w:szCs w:val="24"/>
        </w:rPr>
        <w:t xml:space="preserve">positive or qualified positive </w:t>
      </w:r>
      <w:r w:rsidR="00457B16" w:rsidRPr="00B61FF1">
        <w:rPr>
          <w:rFonts w:ascii="Arial" w:hAnsi="Arial" w:cs="Arial"/>
          <w:color w:val="000000"/>
          <w:sz w:val="24"/>
          <w:szCs w:val="24"/>
        </w:rPr>
        <w:t xml:space="preserve">emissions data </w:t>
      </w:r>
      <w:r w:rsidR="00AB794A" w:rsidRPr="00B61FF1">
        <w:rPr>
          <w:rFonts w:ascii="Arial" w:hAnsi="Arial" w:cs="Arial"/>
          <w:color w:val="000000"/>
          <w:sz w:val="24"/>
          <w:szCs w:val="24"/>
        </w:rPr>
        <w:t xml:space="preserve">verified </w:t>
      </w:r>
      <w:r w:rsidR="00457B16" w:rsidRPr="00B61FF1">
        <w:rPr>
          <w:rFonts w:ascii="Arial" w:hAnsi="Arial" w:cs="Arial"/>
          <w:color w:val="000000"/>
          <w:sz w:val="24"/>
          <w:szCs w:val="24"/>
        </w:rPr>
        <w:t xml:space="preserve">statement </w:t>
      </w:r>
      <w:r w:rsidR="00AB794A" w:rsidRPr="00B61FF1">
        <w:rPr>
          <w:rFonts w:ascii="Arial" w:hAnsi="Arial" w:cs="Arial"/>
          <w:color w:val="000000"/>
          <w:sz w:val="24"/>
          <w:szCs w:val="24"/>
        </w:rPr>
        <w:t>during that year.</w:t>
      </w:r>
    </w:p>
    <w:p w14:paraId="350759A1" w14:textId="582E836D" w:rsidR="00AB794A" w:rsidRPr="00B61FF1" w:rsidRDefault="00AB794A"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If</w:t>
      </w:r>
      <w:r w:rsidR="00995258" w:rsidRPr="00B61FF1">
        <w:rPr>
          <w:rFonts w:ascii="Arial" w:hAnsi="Arial" w:cs="Arial"/>
          <w:color w:val="000000"/>
          <w:sz w:val="24"/>
          <w:szCs w:val="24"/>
          <w:u w:val="single"/>
        </w:rPr>
        <w:t>,</w:t>
      </w:r>
      <w:r w:rsidRPr="00B61FF1">
        <w:rPr>
          <w:rFonts w:ascii="Arial" w:hAnsi="Arial" w:cs="Arial"/>
          <w:color w:val="000000"/>
          <w:sz w:val="24"/>
          <w:szCs w:val="24"/>
        </w:rPr>
        <w:t xml:space="preserve"> </w:t>
      </w:r>
      <w:r w:rsidRPr="00B61FF1">
        <w:rPr>
          <w:rFonts w:ascii="Arial" w:hAnsi="Arial" w:cs="Arial"/>
          <w:strike/>
          <w:color w:val="000000"/>
          <w:sz w:val="24"/>
          <w:szCs w:val="24"/>
        </w:rPr>
        <w:t>for any year</w:t>
      </w:r>
      <w:r w:rsidRPr="00B61FF1">
        <w:rPr>
          <w:rFonts w:ascii="Arial" w:hAnsi="Arial" w:cs="Arial"/>
          <w:color w:val="000000"/>
          <w:sz w:val="24"/>
          <w:szCs w:val="24"/>
        </w:rPr>
        <w:t xml:space="preserve"> ARB has assigned emissions to an entity</w:t>
      </w:r>
      <w:r w:rsidR="00995258" w:rsidRPr="00B61FF1">
        <w:rPr>
          <w:rFonts w:ascii="Arial" w:hAnsi="Arial" w:cs="Arial"/>
          <w:color w:val="000000"/>
          <w:sz w:val="24"/>
          <w:szCs w:val="24"/>
          <w:u w:val="single"/>
        </w:rPr>
        <w:t>, for any year,</w:t>
      </w:r>
      <w:r w:rsidRPr="00B61FF1">
        <w:rPr>
          <w:rFonts w:ascii="Arial" w:hAnsi="Arial" w:cs="Arial"/>
          <w:color w:val="000000"/>
          <w:sz w:val="24"/>
          <w:szCs w:val="24"/>
        </w:rPr>
        <w:t xml:space="preserve"> in the absence of a positive or qualified positive emissions </w:t>
      </w:r>
      <w:r w:rsidR="00E03AB3" w:rsidRPr="00B61FF1">
        <w:rPr>
          <w:rFonts w:ascii="Arial" w:hAnsi="Arial" w:cs="Arial"/>
          <w:color w:val="000000"/>
          <w:sz w:val="24"/>
          <w:szCs w:val="24"/>
        </w:rPr>
        <w:t>data verification statement</w:t>
      </w:r>
      <w:r w:rsidR="00995258" w:rsidRPr="00B61FF1">
        <w:rPr>
          <w:rFonts w:ascii="Arial" w:hAnsi="Arial" w:cs="Arial"/>
          <w:color w:val="000000"/>
          <w:sz w:val="24"/>
          <w:szCs w:val="24"/>
          <w:u w:val="single"/>
        </w:rPr>
        <w:t>,</w:t>
      </w:r>
      <w:r w:rsidRPr="00B61FF1">
        <w:rPr>
          <w:rFonts w:ascii="Arial" w:hAnsi="Arial" w:cs="Arial"/>
          <w:color w:val="000000"/>
          <w:sz w:val="24"/>
          <w:szCs w:val="24"/>
        </w:rPr>
        <w:t xml:space="preserve"> the calculation of the limited exemption will </w:t>
      </w:r>
      <w:r w:rsidRPr="00B61FF1">
        <w:rPr>
          <w:rFonts w:ascii="Arial" w:hAnsi="Arial" w:cs="Arial"/>
          <w:strike/>
          <w:color w:val="000000"/>
          <w:sz w:val="24"/>
          <w:szCs w:val="24"/>
        </w:rPr>
        <w:t>use</w:t>
      </w:r>
      <w:r w:rsidR="006B316D" w:rsidRPr="00B61FF1">
        <w:rPr>
          <w:rFonts w:ascii="Arial" w:hAnsi="Arial" w:cs="Arial"/>
          <w:color w:val="000000"/>
          <w:sz w:val="24"/>
          <w:szCs w:val="24"/>
          <w:u w:val="single"/>
        </w:rPr>
        <w:t>be calculated using</w:t>
      </w:r>
      <w:r w:rsidRPr="00B61FF1">
        <w:rPr>
          <w:rFonts w:ascii="Arial" w:hAnsi="Arial" w:cs="Arial"/>
          <w:color w:val="000000"/>
          <w:sz w:val="24"/>
          <w:szCs w:val="24"/>
        </w:rPr>
        <w:t xml:space="preserve"> the assigned emissions.</w:t>
      </w:r>
    </w:p>
    <w:p w14:paraId="7606546B" w14:textId="77777777" w:rsidR="00AB794A" w:rsidRPr="00B61FF1" w:rsidRDefault="00AB794A"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 xml:space="preserve">For the first compliance period all </w:t>
      </w:r>
      <w:r w:rsidR="00E03AB3" w:rsidRPr="00B61FF1">
        <w:rPr>
          <w:rFonts w:ascii="Arial" w:hAnsi="Arial" w:cs="Arial"/>
          <w:color w:val="000000"/>
          <w:sz w:val="24"/>
          <w:szCs w:val="24"/>
        </w:rPr>
        <w:t>reported emissions</w:t>
      </w:r>
      <w:r w:rsidRPr="00B61FF1">
        <w:rPr>
          <w:rFonts w:ascii="Arial" w:hAnsi="Arial" w:cs="Arial"/>
          <w:color w:val="000000"/>
          <w:sz w:val="24"/>
          <w:szCs w:val="24"/>
        </w:rPr>
        <w:t xml:space="preserve"> or assigned emissions used to calculate the limited exemption will include only the emissions associated with the scope for the program during the first compliance period.</w:t>
      </w:r>
    </w:p>
    <w:p w14:paraId="6BE19264" w14:textId="77777777" w:rsidR="00AB794A" w:rsidRPr="00B61FF1" w:rsidRDefault="00AB794A"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 xml:space="preserve">Beginning in 2015, all </w:t>
      </w:r>
      <w:r w:rsidR="00E03AB3" w:rsidRPr="00B61FF1">
        <w:rPr>
          <w:rFonts w:ascii="Arial" w:hAnsi="Arial" w:cs="Arial"/>
          <w:color w:val="000000"/>
          <w:sz w:val="24"/>
          <w:szCs w:val="24"/>
        </w:rPr>
        <w:t>reported emissions</w:t>
      </w:r>
      <w:r w:rsidRPr="00B61FF1">
        <w:rPr>
          <w:rFonts w:ascii="Arial" w:hAnsi="Arial" w:cs="Arial"/>
          <w:color w:val="000000"/>
          <w:sz w:val="24"/>
          <w:szCs w:val="24"/>
        </w:rPr>
        <w:t xml:space="preserve"> or assigned emissions used to calculate the limited exemption will include the emissions associated with the change in scope taking place in 2015.  </w:t>
      </w:r>
    </w:p>
    <w:p w14:paraId="47B9FA8B" w14:textId="77777777" w:rsidR="00AB794A" w:rsidRPr="00B61FF1" w:rsidRDefault="00AB794A"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 xml:space="preserve">On January 1, 2015 the limited exemption will be increased by the amount of emissions included in the </w:t>
      </w:r>
      <w:r w:rsidR="00E03AB3" w:rsidRPr="00B61FF1">
        <w:rPr>
          <w:rFonts w:ascii="Arial" w:hAnsi="Arial" w:cs="Arial"/>
          <w:color w:val="000000"/>
          <w:sz w:val="24"/>
          <w:szCs w:val="24"/>
        </w:rPr>
        <w:t xml:space="preserve">emissions data </w:t>
      </w:r>
      <w:r w:rsidRPr="00B61FF1">
        <w:rPr>
          <w:rFonts w:ascii="Arial" w:hAnsi="Arial" w:cs="Arial"/>
          <w:color w:val="000000"/>
          <w:sz w:val="24"/>
          <w:szCs w:val="24"/>
        </w:rPr>
        <w:t xml:space="preserve">report received during 2014 but not yet included in the limited exemption pursuant to section 95920(d)(2)(E). </w:t>
      </w:r>
    </w:p>
    <w:p w14:paraId="44CD75D8" w14:textId="77777777" w:rsidR="00AB794A" w:rsidRPr="00B61FF1" w:rsidRDefault="00AB794A" w:rsidP="00FE6A4C">
      <w:pPr>
        <w:numPr>
          <w:ilvl w:val="2"/>
          <w:numId w:val="36"/>
        </w:numPr>
        <w:spacing w:line="360" w:lineRule="auto"/>
        <w:rPr>
          <w:rFonts w:ascii="Arial" w:hAnsi="Arial" w:cs="Arial"/>
          <w:color w:val="000000"/>
          <w:sz w:val="24"/>
          <w:szCs w:val="24"/>
        </w:rPr>
      </w:pPr>
      <w:r w:rsidRPr="00B61FF1">
        <w:rPr>
          <w:rFonts w:ascii="Arial" w:hAnsi="Arial" w:cs="Arial"/>
          <w:color w:val="000000"/>
          <w:sz w:val="24"/>
          <w:szCs w:val="24"/>
        </w:rPr>
        <w:t>On December 31 of the calendar year following the end of a compliance period, the limited exemption will be reduced by the sum of the entity’s compliance obligation over that compliance period.</w:t>
      </w:r>
    </w:p>
    <w:p w14:paraId="192EC706" w14:textId="6274B679" w:rsidR="009305AD" w:rsidRPr="00B61FF1" w:rsidRDefault="00980EFA" w:rsidP="00980EFA">
      <w:pPr>
        <w:spacing w:line="360" w:lineRule="auto"/>
        <w:ind w:left="1800" w:hanging="720"/>
        <w:rPr>
          <w:rFonts w:ascii="Arial" w:hAnsi="Arial" w:cs="Arial"/>
          <w:color w:val="000000"/>
          <w:sz w:val="24"/>
          <w:szCs w:val="24"/>
          <w:u w:val="single"/>
        </w:rPr>
      </w:pPr>
      <w:r w:rsidRPr="00B61FF1">
        <w:rPr>
          <w:rFonts w:ascii="Arial" w:hAnsi="Arial" w:cs="Arial"/>
          <w:color w:val="000000"/>
          <w:sz w:val="24"/>
          <w:szCs w:val="24"/>
          <w:u w:val="single"/>
        </w:rPr>
        <w:t>(I)</w:t>
      </w:r>
      <w:r w:rsidRPr="00B61FF1">
        <w:rPr>
          <w:rFonts w:ascii="Arial" w:hAnsi="Arial" w:cs="Arial"/>
          <w:color w:val="000000"/>
          <w:sz w:val="24"/>
          <w:szCs w:val="24"/>
        </w:rPr>
        <w:tab/>
      </w:r>
      <w:r w:rsidR="009305AD" w:rsidRPr="00B61FF1">
        <w:rPr>
          <w:rFonts w:ascii="Arial" w:hAnsi="Arial" w:cs="Arial"/>
          <w:color w:val="000000"/>
          <w:sz w:val="24"/>
          <w:szCs w:val="24"/>
          <w:u w:val="single"/>
        </w:rPr>
        <w:t>For opt-in covered entities with only emissions specified in section 95851(b)</w:t>
      </w:r>
      <w:r w:rsidR="006B316D" w:rsidRPr="00B61FF1">
        <w:rPr>
          <w:rFonts w:ascii="Arial" w:hAnsi="Arial" w:cs="Arial"/>
          <w:color w:val="000000"/>
          <w:sz w:val="24"/>
          <w:szCs w:val="24"/>
          <w:u w:val="single"/>
        </w:rPr>
        <w:t>,</w:t>
      </w:r>
      <w:r w:rsidR="009305AD" w:rsidRPr="00B61FF1">
        <w:rPr>
          <w:rFonts w:ascii="Arial" w:hAnsi="Arial" w:cs="Arial"/>
          <w:color w:val="000000"/>
          <w:sz w:val="24"/>
          <w:szCs w:val="24"/>
          <w:u w:val="single"/>
        </w:rPr>
        <w:t xml:space="preserve"> the limited exemption will be zero throughout the first compliance period.</w:t>
      </w:r>
    </w:p>
    <w:p w14:paraId="5FB93DF3" w14:textId="4256BF0F" w:rsidR="00170D0F" w:rsidRPr="00B61FF1" w:rsidRDefault="00980EFA" w:rsidP="00980EFA">
      <w:pPr>
        <w:spacing w:line="360" w:lineRule="auto"/>
        <w:ind w:left="1800" w:hanging="720"/>
        <w:rPr>
          <w:rFonts w:ascii="Arial" w:hAnsi="Arial" w:cs="Arial"/>
          <w:color w:val="000000"/>
          <w:sz w:val="24"/>
          <w:szCs w:val="24"/>
          <w:u w:val="single"/>
        </w:rPr>
      </w:pPr>
      <w:r w:rsidRPr="00B61FF1">
        <w:rPr>
          <w:rFonts w:ascii="Arial" w:hAnsi="Arial" w:cs="Arial"/>
          <w:color w:val="000000"/>
          <w:sz w:val="24"/>
          <w:szCs w:val="24"/>
          <w:u w:val="single"/>
        </w:rPr>
        <w:t>(J)</w:t>
      </w:r>
      <w:r w:rsidRPr="00B61FF1">
        <w:rPr>
          <w:rFonts w:ascii="Arial" w:hAnsi="Arial" w:cs="Arial"/>
          <w:color w:val="000000"/>
          <w:sz w:val="24"/>
          <w:szCs w:val="24"/>
        </w:rPr>
        <w:tab/>
      </w:r>
      <w:r w:rsidR="00170D0F" w:rsidRPr="00B61FF1">
        <w:rPr>
          <w:rFonts w:ascii="Arial" w:hAnsi="Arial" w:cs="Arial"/>
          <w:color w:val="000000"/>
          <w:sz w:val="24"/>
          <w:szCs w:val="24"/>
          <w:u w:val="single"/>
        </w:rPr>
        <w:t>Allowances allocated pursuant to section 95870(d) and (e), which are transferred to the receiving entity’s accounts in a year preceding their vintage year, will not count against the Holding Limit or limited exemption until January 1 of their vintage year.</w:t>
      </w:r>
    </w:p>
    <w:p w14:paraId="3295E5B5" w14:textId="77777777" w:rsidR="000D6E0A" w:rsidRPr="00B61FF1" w:rsidRDefault="000D6E0A" w:rsidP="00FE6A4C">
      <w:pPr>
        <w:pStyle w:val="ListParagraph"/>
        <w:numPr>
          <w:ilvl w:val="0"/>
          <w:numId w:val="55"/>
        </w:numPr>
        <w:spacing w:line="360" w:lineRule="auto"/>
        <w:ind w:left="1080" w:hanging="720"/>
        <w:rPr>
          <w:rFonts w:ascii="Arial" w:hAnsi="Arial" w:cs="Arial"/>
          <w:color w:val="000000"/>
          <w:sz w:val="24"/>
          <w:szCs w:val="24"/>
        </w:rPr>
      </w:pPr>
      <w:r w:rsidRPr="00B61FF1">
        <w:rPr>
          <w:rFonts w:ascii="Arial" w:hAnsi="Arial" w:cs="Arial"/>
          <w:color w:val="000000"/>
          <w:sz w:val="24"/>
          <w:szCs w:val="24"/>
        </w:rPr>
        <w:t>Petition to Adjust the Limited Exemption</w:t>
      </w:r>
      <w:r w:rsidR="00BE52EF" w:rsidRPr="00B61FF1">
        <w:rPr>
          <w:rFonts w:ascii="Arial" w:hAnsi="Arial" w:cs="Arial"/>
          <w:color w:val="000000"/>
          <w:sz w:val="24"/>
          <w:szCs w:val="24"/>
        </w:rPr>
        <w:t>.</w:t>
      </w:r>
    </w:p>
    <w:p w14:paraId="3B9A10E5" w14:textId="77777777" w:rsidR="000D6E0A" w:rsidRPr="00B61FF1" w:rsidRDefault="000D6E0A" w:rsidP="00FE6A4C">
      <w:pPr>
        <w:pStyle w:val="ListParagraph"/>
        <w:numPr>
          <w:ilvl w:val="1"/>
          <w:numId w:val="55"/>
        </w:numPr>
        <w:spacing w:line="360" w:lineRule="auto"/>
        <w:ind w:left="1800" w:hanging="720"/>
        <w:rPr>
          <w:rFonts w:ascii="Arial" w:hAnsi="Arial" w:cs="Arial"/>
          <w:color w:val="000000"/>
          <w:sz w:val="24"/>
          <w:szCs w:val="24"/>
        </w:rPr>
      </w:pPr>
      <w:r w:rsidRPr="00B61FF1">
        <w:rPr>
          <w:rFonts w:ascii="Arial" w:hAnsi="Arial" w:cs="Arial"/>
          <w:color w:val="000000"/>
          <w:sz w:val="24"/>
          <w:szCs w:val="24"/>
        </w:rPr>
        <w:t>Prior to October 1 of any year, a covered entity may submit to the Executive Officer evidence demonstrating an increase in emissions for that year over the previous year and request a temporary increase in the limited exemption until verified data for that year are available.</w:t>
      </w:r>
    </w:p>
    <w:p w14:paraId="2086E740" w14:textId="77777777" w:rsidR="000D6E0A" w:rsidRPr="00B61FF1" w:rsidRDefault="000D6E0A" w:rsidP="00FE6A4C">
      <w:pPr>
        <w:pStyle w:val="ListParagraph"/>
        <w:numPr>
          <w:ilvl w:val="1"/>
          <w:numId w:val="55"/>
        </w:numPr>
        <w:spacing w:line="360" w:lineRule="auto"/>
        <w:ind w:left="1800" w:hanging="720"/>
        <w:rPr>
          <w:rFonts w:ascii="Arial" w:hAnsi="Arial" w:cs="Arial"/>
          <w:color w:val="000000"/>
          <w:sz w:val="24"/>
          <w:szCs w:val="24"/>
        </w:rPr>
      </w:pPr>
      <w:r w:rsidRPr="00B61FF1">
        <w:rPr>
          <w:rFonts w:ascii="Arial" w:hAnsi="Arial" w:cs="Arial"/>
          <w:color w:val="000000"/>
          <w:sz w:val="24"/>
          <w:szCs w:val="24"/>
        </w:rPr>
        <w:t>The amount of the increase must be at least 250,000 metric tons CO</w:t>
      </w:r>
      <w:r w:rsidRPr="00B61FF1">
        <w:rPr>
          <w:rFonts w:ascii="Arial" w:hAnsi="Arial" w:cs="Arial"/>
          <w:sz w:val="24"/>
          <w:szCs w:val="24"/>
          <w:vertAlign w:val="subscript"/>
        </w:rPr>
        <w:t>2</w:t>
      </w:r>
      <w:r w:rsidRPr="00B61FF1">
        <w:rPr>
          <w:rFonts w:ascii="Arial" w:hAnsi="Arial" w:cs="Arial"/>
          <w:sz w:val="24"/>
          <w:szCs w:val="24"/>
        </w:rPr>
        <w:t>e on an annualized basis.</w:t>
      </w:r>
    </w:p>
    <w:p w14:paraId="726255B8" w14:textId="77777777" w:rsidR="000D6E0A" w:rsidRPr="00B61FF1" w:rsidRDefault="000D6E0A" w:rsidP="00FE6A4C">
      <w:pPr>
        <w:pStyle w:val="ListParagraph"/>
        <w:numPr>
          <w:ilvl w:val="1"/>
          <w:numId w:val="55"/>
        </w:numPr>
        <w:spacing w:line="360" w:lineRule="auto"/>
        <w:ind w:left="1800" w:hanging="720"/>
        <w:rPr>
          <w:rFonts w:ascii="Arial" w:hAnsi="Arial" w:cs="Arial"/>
          <w:color w:val="000000"/>
          <w:sz w:val="24"/>
          <w:szCs w:val="24"/>
        </w:rPr>
      </w:pPr>
      <w:r w:rsidRPr="00B61FF1">
        <w:rPr>
          <w:rFonts w:ascii="Arial" w:hAnsi="Arial" w:cs="Arial"/>
          <w:sz w:val="24"/>
          <w:szCs w:val="24"/>
        </w:rPr>
        <w:t>The Executive Officer will review the evidence and determine whether an adjustment is needed.</w:t>
      </w:r>
    </w:p>
    <w:p w14:paraId="417F5B05" w14:textId="77777777" w:rsidR="000D6E0A" w:rsidRPr="00B61FF1" w:rsidRDefault="000D6E0A" w:rsidP="00FE6A4C">
      <w:pPr>
        <w:pStyle w:val="ListParagraph"/>
        <w:numPr>
          <w:ilvl w:val="1"/>
          <w:numId w:val="55"/>
        </w:numPr>
        <w:spacing w:line="360" w:lineRule="auto"/>
        <w:ind w:left="1800" w:hanging="720"/>
        <w:rPr>
          <w:rFonts w:ascii="Arial" w:hAnsi="Arial" w:cs="Arial"/>
          <w:color w:val="000000"/>
          <w:sz w:val="24"/>
          <w:szCs w:val="24"/>
        </w:rPr>
      </w:pPr>
      <w:r w:rsidRPr="00B61FF1">
        <w:rPr>
          <w:rFonts w:ascii="Arial" w:hAnsi="Arial" w:cs="Arial"/>
          <w:sz w:val="24"/>
          <w:szCs w:val="24"/>
        </w:rPr>
        <w:t xml:space="preserve">If an adjustment is granted, then the limited exemption for that covered entity will be increased immediately by the amount determined by the Executive </w:t>
      </w:r>
      <w:r w:rsidR="00BE52EF" w:rsidRPr="00B61FF1">
        <w:rPr>
          <w:rFonts w:ascii="Arial" w:hAnsi="Arial" w:cs="Arial"/>
          <w:sz w:val="24"/>
          <w:szCs w:val="24"/>
        </w:rPr>
        <w:t>o</w:t>
      </w:r>
      <w:r w:rsidRPr="00B61FF1">
        <w:rPr>
          <w:rFonts w:ascii="Arial" w:hAnsi="Arial" w:cs="Arial"/>
          <w:sz w:val="24"/>
          <w:szCs w:val="24"/>
        </w:rPr>
        <w:t>fficer.</w:t>
      </w:r>
    </w:p>
    <w:p w14:paraId="4DD3AD4D" w14:textId="77777777" w:rsidR="000D6E0A" w:rsidRPr="00B61FF1" w:rsidRDefault="000D6E0A" w:rsidP="00FE6A4C">
      <w:pPr>
        <w:pStyle w:val="ListParagraph"/>
        <w:numPr>
          <w:ilvl w:val="1"/>
          <w:numId w:val="55"/>
        </w:numPr>
        <w:spacing w:line="360" w:lineRule="auto"/>
        <w:ind w:left="1800" w:hanging="720"/>
        <w:rPr>
          <w:rFonts w:ascii="Arial" w:hAnsi="Arial" w:cs="Arial"/>
          <w:color w:val="000000"/>
          <w:sz w:val="24"/>
          <w:szCs w:val="24"/>
        </w:rPr>
      </w:pPr>
      <w:r w:rsidRPr="00B61FF1">
        <w:rPr>
          <w:rFonts w:ascii="Arial" w:hAnsi="Arial" w:cs="Arial"/>
          <w:sz w:val="24"/>
          <w:szCs w:val="24"/>
        </w:rPr>
        <w:t>When the verified emissions data are received for the year for which an adjustment was granted, the Executive Officer will use the verified emissions value when calculating the limited exemption.</w:t>
      </w:r>
    </w:p>
    <w:p w14:paraId="4CAC3EAF" w14:textId="77777777" w:rsidR="00AB794A" w:rsidRPr="00B61FF1" w:rsidRDefault="00F30373" w:rsidP="00AB794A">
      <w:pPr>
        <w:pStyle w:val="ListParagraph"/>
        <w:spacing w:line="360" w:lineRule="auto"/>
        <w:ind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r>
      <w:r w:rsidR="00AB794A" w:rsidRPr="00B61FF1">
        <w:rPr>
          <w:rFonts w:ascii="Arial" w:hAnsi="Arial" w:cs="Arial"/>
          <w:sz w:val="24"/>
          <w:szCs w:val="24"/>
        </w:rPr>
        <w:t xml:space="preserve">The holding limit will be calculated </w:t>
      </w:r>
      <w:r w:rsidR="000D6E0A" w:rsidRPr="00B61FF1">
        <w:rPr>
          <w:rFonts w:ascii="Arial" w:hAnsi="Arial" w:cs="Arial"/>
          <w:sz w:val="24"/>
          <w:szCs w:val="24"/>
        </w:rPr>
        <w:t xml:space="preserve">separately </w:t>
      </w:r>
      <w:r w:rsidR="00AB794A" w:rsidRPr="00B61FF1">
        <w:rPr>
          <w:rFonts w:ascii="Arial" w:hAnsi="Arial" w:cs="Arial"/>
          <w:sz w:val="24"/>
          <w:szCs w:val="24"/>
        </w:rPr>
        <w:t xml:space="preserve">for </w:t>
      </w:r>
      <w:r w:rsidR="000D6E0A" w:rsidRPr="00B61FF1">
        <w:rPr>
          <w:rFonts w:ascii="Arial" w:hAnsi="Arial" w:cs="Arial"/>
          <w:sz w:val="24"/>
          <w:szCs w:val="24"/>
        </w:rPr>
        <w:t xml:space="preserve">each vintage year for </w:t>
      </w:r>
      <w:r w:rsidR="00AB794A" w:rsidRPr="00B61FF1">
        <w:rPr>
          <w:rFonts w:ascii="Arial" w:hAnsi="Arial" w:cs="Arial"/>
          <w:sz w:val="24"/>
          <w:szCs w:val="24"/>
        </w:rPr>
        <w:t>allowances qualifying pursuant to section 95920(c)(2) as the number given by the following formula:</w:t>
      </w:r>
    </w:p>
    <w:p w14:paraId="06EDA601" w14:textId="77777777" w:rsidR="00AB794A" w:rsidRPr="00B61FF1" w:rsidRDefault="00AB794A" w:rsidP="00AB794A">
      <w:pPr>
        <w:spacing w:line="360" w:lineRule="auto"/>
        <w:ind w:left="360"/>
        <w:rPr>
          <w:rFonts w:ascii="Arial" w:hAnsi="Arial" w:cs="Arial"/>
          <w:strike/>
          <w:sz w:val="24"/>
          <w:szCs w:val="24"/>
        </w:rPr>
      </w:pPr>
    </w:p>
    <w:p w14:paraId="66063373" w14:textId="77777777" w:rsidR="00AB794A" w:rsidRPr="00B61FF1" w:rsidRDefault="00AB794A" w:rsidP="00AB794A">
      <w:pPr>
        <w:spacing w:line="360" w:lineRule="auto"/>
        <w:ind w:left="1080"/>
        <w:rPr>
          <w:rFonts w:ascii="Arial" w:hAnsi="Arial" w:cs="Arial"/>
          <w:sz w:val="24"/>
          <w:szCs w:val="24"/>
        </w:rPr>
      </w:pPr>
      <w:r w:rsidRPr="00B61FF1">
        <w:rPr>
          <w:rFonts w:ascii="Arial" w:hAnsi="Arial" w:cs="Arial"/>
          <w:sz w:val="24"/>
          <w:szCs w:val="24"/>
        </w:rPr>
        <w:t>Holding Limit = 0.1*Base + 0.025*(</w:t>
      </w:r>
      <w:r w:rsidR="000D6E0A" w:rsidRPr="00B61FF1">
        <w:rPr>
          <w:rFonts w:ascii="Arial" w:hAnsi="Arial" w:cs="Arial"/>
          <w:sz w:val="24"/>
          <w:szCs w:val="24"/>
        </w:rPr>
        <w:t>Annual Allowance</w:t>
      </w:r>
      <w:r w:rsidRPr="00B61FF1">
        <w:rPr>
          <w:rFonts w:ascii="Arial" w:hAnsi="Arial" w:cs="Arial"/>
          <w:sz w:val="24"/>
          <w:szCs w:val="24"/>
        </w:rPr>
        <w:t xml:space="preserve"> Budget – Base)</w:t>
      </w:r>
    </w:p>
    <w:p w14:paraId="16F0C0BC" w14:textId="77777777" w:rsidR="00AB794A" w:rsidRPr="00B61FF1" w:rsidRDefault="00AB794A" w:rsidP="00AB794A">
      <w:pPr>
        <w:spacing w:line="360" w:lineRule="auto"/>
        <w:ind w:left="1080"/>
        <w:rPr>
          <w:rFonts w:ascii="Arial" w:hAnsi="Arial" w:cs="Arial"/>
          <w:sz w:val="24"/>
          <w:szCs w:val="24"/>
        </w:rPr>
      </w:pPr>
    </w:p>
    <w:p w14:paraId="2D1EACBD" w14:textId="77777777" w:rsidR="00AB794A" w:rsidRPr="00B61FF1" w:rsidRDefault="00AB794A" w:rsidP="00AB794A">
      <w:pPr>
        <w:spacing w:line="360" w:lineRule="auto"/>
        <w:ind w:left="1080"/>
        <w:rPr>
          <w:rFonts w:ascii="Arial" w:hAnsi="Arial" w:cs="Arial"/>
          <w:sz w:val="24"/>
          <w:szCs w:val="24"/>
        </w:rPr>
      </w:pPr>
      <w:r w:rsidRPr="00B61FF1">
        <w:rPr>
          <w:rFonts w:ascii="Arial" w:hAnsi="Arial" w:cs="Arial"/>
          <w:sz w:val="24"/>
          <w:szCs w:val="24"/>
        </w:rPr>
        <w:t>In which:</w:t>
      </w:r>
    </w:p>
    <w:p w14:paraId="0CD58A3B" w14:textId="77777777" w:rsidR="00AB794A" w:rsidRPr="00B61FF1" w:rsidRDefault="00AB794A" w:rsidP="00AB794A">
      <w:pPr>
        <w:spacing w:line="360" w:lineRule="auto"/>
        <w:ind w:left="1080"/>
        <w:rPr>
          <w:rFonts w:ascii="Arial" w:hAnsi="Arial" w:cs="Arial"/>
          <w:sz w:val="24"/>
          <w:szCs w:val="24"/>
        </w:rPr>
      </w:pPr>
      <w:r w:rsidRPr="00B61FF1">
        <w:rPr>
          <w:rFonts w:ascii="Arial" w:hAnsi="Arial" w:cs="Arial"/>
          <w:sz w:val="24"/>
          <w:szCs w:val="24"/>
        </w:rPr>
        <w:t xml:space="preserve">“Base” equals </w:t>
      </w:r>
      <w:r w:rsidR="000D6E0A" w:rsidRPr="00B61FF1">
        <w:rPr>
          <w:rFonts w:ascii="Arial" w:hAnsi="Arial" w:cs="Arial"/>
          <w:sz w:val="24"/>
          <w:szCs w:val="24"/>
        </w:rPr>
        <w:t>2</w:t>
      </w:r>
      <w:r w:rsidRPr="00B61FF1">
        <w:rPr>
          <w:rFonts w:ascii="Arial" w:hAnsi="Arial" w:cs="Arial"/>
          <w:sz w:val="24"/>
          <w:szCs w:val="24"/>
        </w:rPr>
        <w:t>5 million metric tons of CO</w:t>
      </w:r>
      <w:r w:rsidRPr="00B61FF1">
        <w:rPr>
          <w:rFonts w:ascii="Arial" w:hAnsi="Arial" w:cs="Arial"/>
          <w:sz w:val="24"/>
          <w:szCs w:val="24"/>
          <w:vertAlign w:val="subscript"/>
        </w:rPr>
        <w:t>2</w:t>
      </w:r>
      <w:r w:rsidRPr="00B61FF1">
        <w:rPr>
          <w:rFonts w:ascii="Arial" w:hAnsi="Arial" w:cs="Arial"/>
          <w:sz w:val="24"/>
          <w:szCs w:val="24"/>
        </w:rPr>
        <w:t>e.</w:t>
      </w:r>
    </w:p>
    <w:p w14:paraId="7724BC6B" w14:textId="77777777" w:rsidR="00AB794A" w:rsidRPr="00B61FF1" w:rsidRDefault="00AB794A" w:rsidP="00AB794A">
      <w:pPr>
        <w:spacing w:line="360" w:lineRule="auto"/>
        <w:ind w:left="1080"/>
        <w:rPr>
          <w:rFonts w:ascii="Arial" w:hAnsi="Arial" w:cs="Arial"/>
          <w:sz w:val="24"/>
          <w:szCs w:val="24"/>
        </w:rPr>
      </w:pPr>
      <w:r w:rsidRPr="00B61FF1">
        <w:rPr>
          <w:rFonts w:ascii="Arial" w:hAnsi="Arial" w:cs="Arial"/>
          <w:sz w:val="24"/>
          <w:szCs w:val="24"/>
        </w:rPr>
        <w:t>“</w:t>
      </w:r>
      <w:r w:rsidR="000D6E0A" w:rsidRPr="00B61FF1">
        <w:rPr>
          <w:rFonts w:ascii="Arial" w:hAnsi="Arial" w:cs="Arial"/>
          <w:sz w:val="24"/>
          <w:szCs w:val="24"/>
        </w:rPr>
        <w:t>Annual Allowance</w:t>
      </w:r>
      <w:r w:rsidRPr="00B61FF1">
        <w:rPr>
          <w:rFonts w:ascii="Arial" w:hAnsi="Arial" w:cs="Arial"/>
          <w:sz w:val="24"/>
          <w:szCs w:val="24"/>
        </w:rPr>
        <w:t xml:space="preserve"> Budget” is the number of </w:t>
      </w:r>
      <w:r w:rsidR="000D6E0A" w:rsidRPr="00B61FF1">
        <w:rPr>
          <w:rFonts w:ascii="Arial" w:hAnsi="Arial" w:cs="Arial"/>
          <w:sz w:val="24"/>
          <w:szCs w:val="24"/>
        </w:rPr>
        <w:t xml:space="preserve">California GHG allowances </w:t>
      </w:r>
      <w:r w:rsidRPr="00B61FF1">
        <w:rPr>
          <w:rFonts w:ascii="Arial" w:hAnsi="Arial" w:cs="Arial"/>
          <w:sz w:val="24"/>
          <w:szCs w:val="24"/>
        </w:rPr>
        <w:t xml:space="preserve">issued for </w:t>
      </w:r>
      <w:r w:rsidR="001E38F5" w:rsidRPr="00B61FF1">
        <w:rPr>
          <w:rFonts w:ascii="Arial" w:hAnsi="Arial" w:cs="Arial"/>
          <w:sz w:val="24"/>
          <w:szCs w:val="24"/>
        </w:rPr>
        <w:t>a budget year</w:t>
      </w:r>
      <w:r w:rsidRPr="00B61FF1">
        <w:rPr>
          <w:rFonts w:ascii="Arial" w:hAnsi="Arial" w:cs="Arial"/>
          <w:sz w:val="24"/>
          <w:szCs w:val="24"/>
        </w:rPr>
        <w:t xml:space="preserve">. </w:t>
      </w:r>
    </w:p>
    <w:p w14:paraId="575D3D8B" w14:textId="77777777" w:rsidR="00F30373" w:rsidRPr="00B61FF1" w:rsidRDefault="00F30373" w:rsidP="00F30373">
      <w:pPr>
        <w:spacing w:line="360" w:lineRule="auto"/>
        <w:ind w:left="720" w:hanging="720"/>
        <w:rPr>
          <w:rFonts w:ascii="Arial" w:hAnsi="Arial" w:cs="Arial"/>
          <w:sz w:val="24"/>
          <w:szCs w:val="24"/>
        </w:rPr>
      </w:pPr>
      <w:r w:rsidRPr="00B61FF1">
        <w:rPr>
          <w:rFonts w:ascii="Arial" w:hAnsi="Arial" w:cs="Arial"/>
          <w:sz w:val="24"/>
          <w:szCs w:val="24"/>
        </w:rPr>
        <w:t>(</w:t>
      </w:r>
      <w:r w:rsidR="008112AC" w:rsidRPr="00B61FF1">
        <w:rPr>
          <w:rFonts w:ascii="Arial" w:hAnsi="Arial" w:cs="Arial"/>
          <w:sz w:val="24"/>
          <w:szCs w:val="24"/>
        </w:rPr>
        <w:t>f</w:t>
      </w:r>
      <w:r w:rsidR="00E80CA4" w:rsidRPr="00B61FF1">
        <w:rPr>
          <w:rFonts w:ascii="Arial" w:hAnsi="Arial" w:cs="Arial"/>
          <w:sz w:val="24"/>
          <w:szCs w:val="24"/>
        </w:rPr>
        <w:t>)</w:t>
      </w:r>
      <w:r w:rsidRPr="00B61FF1">
        <w:rPr>
          <w:rFonts w:ascii="Arial" w:hAnsi="Arial" w:cs="Arial"/>
          <w:sz w:val="24"/>
          <w:szCs w:val="24"/>
        </w:rPr>
        <w:tab/>
        <w:t>Application of the Corporate Association Disclosure to the Holding Limit.</w:t>
      </w:r>
    </w:p>
    <w:p w14:paraId="2F0EF442"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The total number of </w:t>
      </w:r>
      <w:r w:rsidR="008112AC" w:rsidRPr="00B61FF1">
        <w:rPr>
          <w:rFonts w:ascii="Arial" w:hAnsi="Arial" w:cs="Arial"/>
          <w:sz w:val="24"/>
          <w:szCs w:val="24"/>
        </w:rPr>
        <w:t xml:space="preserve">allowances </w:t>
      </w:r>
      <w:r w:rsidRPr="00B61FF1">
        <w:rPr>
          <w:rFonts w:ascii="Arial" w:hAnsi="Arial" w:cs="Arial"/>
          <w:sz w:val="24"/>
          <w:szCs w:val="24"/>
        </w:rPr>
        <w:t xml:space="preserve">held by a group of entities with a </w:t>
      </w:r>
      <w:r w:rsidR="008112AC" w:rsidRPr="00B61FF1">
        <w:rPr>
          <w:rFonts w:ascii="Arial" w:hAnsi="Arial" w:cs="Arial"/>
          <w:sz w:val="24"/>
          <w:szCs w:val="24"/>
        </w:rPr>
        <w:t xml:space="preserve">direct </w:t>
      </w:r>
      <w:r w:rsidRPr="00B61FF1">
        <w:rPr>
          <w:rFonts w:ascii="Arial" w:hAnsi="Arial" w:cs="Arial"/>
          <w:sz w:val="24"/>
          <w:szCs w:val="24"/>
        </w:rPr>
        <w:t xml:space="preserve">corporate association pursuant to </w:t>
      </w:r>
      <w:r w:rsidR="00FD5DB2" w:rsidRPr="00B61FF1">
        <w:rPr>
          <w:rFonts w:ascii="Arial" w:hAnsi="Arial" w:cs="Arial"/>
          <w:sz w:val="24"/>
          <w:szCs w:val="24"/>
        </w:rPr>
        <w:t xml:space="preserve">section </w:t>
      </w:r>
      <w:r w:rsidRPr="00B61FF1">
        <w:rPr>
          <w:rFonts w:ascii="Arial" w:hAnsi="Arial" w:cs="Arial"/>
          <w:sz w:val="24"/>
          <w:szCs w:val="24"/>
        </w:rPr>
        <w:t>95833 must sum to less than</w:t>
      </w:r>
      <w:r w:rsidR="001E38F5" w:rsidRPr="00B61FF1">
        <w:rPr>
          <w:rFonts w:ascii="Arial" w:hAnsi="Arial" w:cs="Arial"/>
          <w:sz w:val="24"/>
          <w:szCs w:val="24"/>
        </w:rPr>
        <w:t xml:space="preserve"> or equal to</w:t>
      </w:r>
      <w:r w:rsidRPr="00B61FF1">
        <w:rPr>
          <w:rFonts w:ascii="Arial" w:hAnsi="Arial" w:cs="Arial"/>
          <w:sz w:val="24"/>
          <w:szCs w:val="24"/>
        </w:rPr>
        <w:t xml:space="preserve"> the holding limit</w:t>
      </w:r>
      <w:r w:rsidR="001E38F5" w:rsidRPr="00B61FF1">
        <w:rPr>
          <w:rFonts w:ascii="Arial" w:hAnsi="Arial" w:cs="Arial"/>
          <w:sz w:val="24"/>
          <w:szCs w:val="24"/>
        </w:rPr>
        <w:t>s</w:t>
      </w:r>
      <w:r w:rsidRPr="00B61FF1">
        <w:rPr>
          <w:rFonts w:ascii="Arial" w:hAnsi="Arial" w:cs="Arial"/>
          <w:sz w:val="24"/>
          <w:szCs w:val="24"/>
        </w:rPr>
        <w:t xml:space="preserve"> pursuant to </w:t>
      </w:r>
      <w:r w:rsidR="00FD5DB2" w:rsidRPr="00B61FF1">
        <w:rPr>
          <w:rFonts w:ascii="Arial" w:hAnsi="Arial" w:cs="Arial"/>
          <w:sz w:val="24"/>
          <w:szCs w:val="24"/>
        </w:rPr>
        <w:t>section</w:t>
      </w:r>
      <w:r w:rsidR="001E38F5" w:rsidRPr="00B61FF1">
        <w:rPr>
          <w:rFonts w:ascii="Arial" w:hAnsi="Arial" w:cs="Arial"/>
          <w:sz w:val="24"/>
          <w:szCs w:val="24"/>
        </w:rPr>
        <w:t>s</w:t>
      </w:r>
      <w:r w:rsidR="00FD5DB2" w:rsidRPr="00B61FF1">
        <w:rPr>
          <w:rFonts w:ascii="Arial" w:hAnsi="Arial" w:cs="Arial"/>
          <w:sz w:val="24"/>
          <w:szCs w:val="24"/>
        </w:rPr>
        <w:t xml:space="preserve"> </w:t>
      </w:r>
      <w:r w:rsidRPr="00B61FF1">
        <w:rPr>
          <w:rFonts w:ascii="Arial" w:hAnsi="Arial" w:cs="Arial"/>
          <w:sz w:val="24"/>
          <w:szCs w:val="24"/>
        </w:rPr>
        <w:t>95920</w:t>
      </w:r>
      <w:r w:rsidR="001E38F5" w:rsidRPr="00B61FF1">
        <w:rPr>
          <w:rFonts w:ascii="Arial" w:hAnsi="Arial" w:cs="Arial"/>
          <w:sz w:val="24"/>
          <w:szCs w:val="24"/>
        </w:rPr>
        <w:t xml:space="preserve">(d) and </w:t>
      </w:r>
      <w:r w:rsidRPr="00B61FF1">
        <w:rPr>
          <w:rFonts w:ascii="Arial" w:hAnsi="Arial" w:cs="Arial"/>
          <w:sz w:val="24"/>
          <w:szCs w:val="24"/>
        </w:rPr>
        <w:t>(e).</w:t>
      </w:r>
    </w:p>
    <w:p w14:paraId="6BBD5DFE"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The limited exemption for each entity which is part of a </w:t>
      </w:r>
      <w:r w:rsidR="008112AC" w:rsidRPr="00B61FF1">
        <w:rPr>
          <w:rFonts w:ascii="Arial" w:hAnsi="Arial" w:cs="Arial"/>
          <w:sz w:val="24"/>
          <w:szCs w:val="24"/>
        </w:rPr>
        <w:t xml:space="preserve">direct </w:t>
      </w:r>
      <w:r w:rsidRPr="00B61FF1">
        <w:rPr>
          <w:rFonts w:ascii="Arial" w:hAnsi="Arial" w:cs="Arial"/>
          <w:sz w:val="24"/>
          <w:szCs w:val="24"/>
        </w:rPr>
        <w:t xml:space="preserve">corporate association is the same as defined in </w:t>
      </w:r>
      <w:r w:rsidR="00FD5DB2" w:rsidRPr="00B61FF1">
        <w:rPr>
          <w:rFonts w:ascii="Arial" w:hAnsi="Arial" w:cs="Arial"/>
          <w:sz w:val="24"/>
          <w:szCs w:val="24"/>
        </w:rPr>
        <w:t xml:space="preserve">section </w:t>
      </w:r>
      <w:r w:rsidRPr="00B61FF1">
        <w:rPr>
          <w:rFonts w:ascii="Arial" w:hAnsi="Arial" w:cs="Arial"/>
          <w:sz w:val="24"/>
          <w:szCs w:val="24"/>
        </w:rPr>
        <w:t>95920(</w:t>
      </w:r>
      <w:r w:rsidR="001E38F5" w:rsidRPr="00B61FF1">
        <w:rPr>
          <w:rFonts w:ascii="Arial" w:hAnsi="Arial" w:cs="Arial"/>
          <w:sz w:val="24"/>
          <w:szCs w:val="24"/>
        </w:rPr>
        <w:t>d</w:t>
      </w:r>
      <w:r w:rsidRPr="00B61FF1">
        <w:rPr>
          <w:rFonts w:ascii="Arial" w:hAnsi="Arial" w:cs="Arial"/>
          <w:sz w:val="24"/>
          <w:szCs w:val="24"/>
        </w:rPr>
        <w:t>).</w:t>
      </w:r>
    </w:p>
    <w:p w14:paraId="5ACBC731" w14:textId="77777777" w:rsidR="00F30373" w:rsidRPr="00B61FF1" w:rsidRDefault="00F30373" w:rsidP="00F30373">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Entities </w:t>
      </w:r>
      <w:r w:rsidR="00FF484A" w:rsidRPr="00B61FF1">
        <w:rPr>
          <w:rFonts w:ascii="Arial" w:hAnsi="Arial" w:cs="Arial"/>
          <w:sz w:val="24"/>
          <w:szCs w:val="24"/>
        </w:rPr>
        <w:t xml:space="preserve">that are </w:t>
      </w:r>
      <w:r w:rsidRPr="00B61FF1">
        <w:rPr>
          <w:rFonts w:ascii="Arial" w:hAnsi="Arial" w:cs="Arial"/>
          <w:sz w:val="24"/>
          <w:szCs w:val="24"/>
        </w:rPr>
        <w:t xml:space="preserve">part of a </w:t>
      </w:r>
      <w:r w:rsidR="001E38F5" w:rsidRPr="00B61FF1">
        <w:rPr>
          <w:rFonts w:ascii="Arial" w:hAnsi="Arial" w:cs="Arial"/>
          <w:sz w:val="24"/>
          <w:szCs w:val="24"/>
        </w:rPr>
        <w:t xml:space="preserve">direct </w:t>
      </w:r>
      <w:r w:rsidRPr="00B61FF1">
        <w:rPr>
          <w:rFonts w:ascii="Arial" w:hAnsi="Arial" w:cs="Arial"/>
          <w:sz w:val="24"/>
          <w:szCs w:val="24"/>
        </w:rPr>
        <w:t>corporate association</w:t>
      </w:r>
      <w:r w:rsidR="001E38F5" w:rsidRPr="00B61FF1">
        <w:rPr>
          <w:rFonts w:ascii="Arial" w:hAnsi="Arial" w:cs="Arial"/>
          <w:sz w:val="24"/>
          <w:szCs w:val="24"/>
        </w:rPr>
        <w:t xml:space="preserve"> that choose to opt out of account consolidation pursuant to section 95833(f)(3) must</w:t>
      </w:r>
      <w:r w:rsidRPr="00B61FF1">
        <w:rPr>
          <w:rFonts w:ascii="Arial" w:hAnsi="Arial" w:cs="Arial"/>
          <w:sz w:val="24"/>
          <w:szCs w:val="24"/>
        </w:rPr>
        <w:t xml:space="preserve"> allocate shares of the holding limit among themselves. This </w:t>
      </w:r>
      <w:r w:rsidR="00E03AB3" w:rsidRPr="00B61FF1">
        <w:rPr>
          <w:rFonts w:ascii="Arial" w:hAnsi="Arial" w:cs="Arial"/>
          <w:sz w:val="24"/>
          <w:szCs w:val="24"/>
        </w:rPr>
        <w:t xml:space="preserve">holding limit </w:t>
      </w:r>
      <w:r w:rsidRPr="00B61FF1">
        <w:rPr>
          <w:rFonts w:ascii="Arial" w:hAnsi="Arial" w:cs="Arial"/>
          <w:sz w:val="24"/>
          <w:szCs w:val="24"/>
        </w:rPr>
        <w:t>allocation results in each entity having a specified percentage share of the group’s holding limit.  The sum of the shares allocated among the entities must sum to one.</w:t>
      </w:r>
    </w:p>
    <w:p w14:paraId="56A58E9F" w14:textId="77777777" w:rsidR="00F30373" w:rsidRPr="00B61FF1" w:rsidRDefault="00F30373" w:rsidP="00F30373">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The </w:t>
      </w:r>
      <w:r w:rsidR="001E38F5" w:rsidRPr="00B61FF1">
        <w:rPr>
          <w:rFonts w:ascii="Arial" w:hAnsi="Arial" w:cs="Arial"/>
          <w:sz w:val="24"/>
          <w:szCs w:val="24"/>
        </w:rPr>
        <w:t>primary account representatives or alternate account representatives of each</w:t>
      </w:r>
      <w:r w:rsidRPr="00B61FF1">
        <w:rPr>
          <w:rFonts w:ascii="Arial" w:hAnsi="Arial" w:cs="Arial"/>
          <w:sz w:val="24"/>
          <w:szCs w:val="24"/>
        </w:rPr>
        <w:t xml:space="preserve"> of</w:t>
      </w:r>
      <w:r w:rsidR="001E38F5" w:rsidRPr="00B61FF1">
        <w:rPr>
          <w:rFonts w:ascii="Arial" w:hAnsi="Arial" w:cs="Arial"/>
          <w:sz w:val="24"/>
          <w:szCs w:val="24"/>
        </w:rPr>
        <w:t xml:space="preserve"> the</w:t>
      </w:r>
      <w:r w:rsidRPr="00B61FF1">
        <w:rPr>
          <w:rFonts w:ascii="Arial" w:hAnsi="Arial" w:cs="Arial"/>
          <w:sz w:val="24"/>
          <w:szCs w:val="24"/>
        </w:rPr>
        <w:t xml:space="preserve"> associated entities must inform the accounts administrator of the allocation </w:t>
      </w:r>
      <w:r w:rsidR="00E03AB3" w:rsidRPr="00B61FF1">
        <w:rPr>
          <w:rFonts w:ascii="Arial" w:hAnsi="Arial" w:cs="Arial"/>
          <w:sz w:val="24"/>
          <w:szCs w:val="24"/>
        </w:rPr>
        <w:t xml:space="preserve">of the holding limit </w:t>
      </w:r>
      <w:r w:rsidRPr="00B61FF1">
        <w:rPr>
          <w:rFonts w:ascii="Arial" w:hAnsi="Arial" w:cs="Arial"/>
          <w:sz w:val="24"/>
          <w:szCs w:val="24"/>
        </w:rPr>
        <w:t>when registering pursuant to</w:t>
      </w:r>
      <w:r w:rsidR="00FD5DB2" w:rsidRPr="00B61FF1">
        <w:rPr>
          <w:rFonts w:ascii="Arial" w:hAnsi="Arial" w:cs="Arial"/>
          <w:sz w:val="24"/>
          <w:szCs w:val="24"/>
        </w:rPr>
        <w:t xml:space="preserve"> section</w:t>
      </w:r>
      <w:r w:rsidRPr="00B61FF1">
        <w:rPr>
          <w:rFonts w:ascii="Arial" w:hAnsi="Arial" w:cs="Arial"/>
          <w:sz w:val="24"/>
          <w:szCs w:val="24"/>
        </w:rPr>
        <w:t xml:space="preserve"> 95833. </w:t>
      </w:r>
    </w:p>
    <w:p w14:paraId="285D5237" w14:textId="77777777" w:rsidR="00F30373" w:rsidRPr="00B61FF1" w:rsidRDefault="00F30373" w:rsidP="00F30373">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w:t>
      </w:r>
      <w:r w:rsidR="00E03AB3" w:rsidRPr="00B61FF1">
        <w:rPr>
          <w:rFonts w:ascii="Arial" w:hAnsi="Arial" w:cs="Arial"/>
          <w:sz w:val="24"/>
          <w:szCs w:val="24"/>
        </w:rPr>
        <w:t xml:space="preserve"> holding limit</w:t>
      </w:r>
      <w:r w:rsidRPr="00B61FF1">
        <w:rPr>
          <w:rFonts w:ascii="Arial" w:hAnsi="Arial" w:cs="Arial"/>
          <w:sz w:val="24"/>
          <w:szCs w:val="24"/>
        </w:rPr>
        <w:t xml:space="preserve"> allocation will remain in effect until the </w:t>
      </w:r>
      <w:r w:rsidR="001E38F5" w:rsidRPr="00B61FF1">
        <w:rPr>
          <w:rFonts w:ascii="Arial" w:hAnsi="Arial" w:cs="Arial"/>
          <w:sz w:val="24"/>
          <w:szCs w:val="24"/>
        </w:rPr>
        <w:t xml:space="preserve">primary account representatives or alternate account representatives of each </w:t>
      </w:r>
      <w:r w:rsidRPr="00B61FF1">
        <w:rPr>
          <w:rFonts w:ascii="Arial" w:hAnsi="Arial" w:cs="Arial"/>
          <w:sz w:val="24"/>
          <w:szCs w:val="24"/>
        </w:rPr>
        <w:t xml:space="preserve">of </w:t>
      </w:r>
      <w:r w:rsidR="001E38F5" w:rsidRPr="00B61FF1">
        <w:rPr>
          <w:rFonts w:ascii="Arial" w:hAnsi="Arial" w:cs="Arial"/>
          <w:sz w:val="24"/>
          <w:szCs w:val="24"/>
        </w:rPr>
        <w:t xml:space="preserve">the </w:t>
      </w:r>
      <w:r w:rsidRPr="00B61FF1">
        <w:rPr>
          <w:rFonts w:ascii="Arial" w:hAnsi="Arial" w:cs="Arial"/>
          <w:sz w:val="24"/>
          <w:szCs w:val="24"/>
        </w:rPr>
        <w:t xml:space="preserve">associated entities informs the accounts administrator of subsequent changes to the </w:t>
      </w:r>
      <w:r w:rsidR="00E03AB3" w:rsidRPr="00B61FF1">
        <w:rPr>
          <w:rFonts w:ascii="Arial" w:hAnsi="Arial" w:cs="Arial"/>
          <w:sz w:val="24"/>
          <w:szCs w:val="24"/>
        </w:rPr>
        <w:t>allocation of the holding limit</w:t>
      </w:r>
      <w:r w:rsidRPr="00B61FF1">
        <w:rPr>
          <w:rFonts w:ascii="Arial" w:hAnsi="Arial" w:cs="Arial"/>
          <w:sz w:val="24"/>
          <w:szCs w:val="24"/>
        </w:rPr>
        <w:t>.</w:t>
      </w:r>
    </w:p>
    <w:p w14:paraId="1F27C367" w14:textId="35E38CE5" w:rsidR="00E16E77" w:rsidRPr="00B61FF1" w:rsidRDefault="00E16E77" w:rsidP="00E16E77">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 xml:space="preserve">The holding limit in section 95920(a) shall include holdings of any allowances issued by a jurisdiction operating an External GHG ETS to which California has linked pursuant to </w:t>
      </w:r>
      <w:r w:rsidR="001D14B2" w:rsidRPr="001D14B2">
        <w:rPr>
          <w:rFonts w:ascii="Arial" w:hAnsi="Arial" w:cs="Arial"/>
          <w:strike/>
          <w:sz w:val="24"/>
          <w:szCs w:val="24"/>
        </w:rPr>
        <w:t>subartcle</w:t>
      </w:r>
      <w:r w:rsidR="001D14B2">
        <w:rPr>
          <w:rFonts w:ascii="Arial" w:hAnsi="Arial" w:cs="Arial"/>
          <w:sz w:val="24"/>
          <w:szCs w:val="24"/>
        </w:rPr>
        <w:t xml:space="preserve"> </w:t>
      </w:r>
      <w:r w:rsidRPr="001D14B2">
        <w:rPr>
          <w:rFonts w:ascii="Arial" w:hAnsi="Arial" w:cs="Arial"/>
          <w:sz w:val="24"/>
          <w:szCs w:val="24"/>
          <w:u w:val="single"/>
        </w:rPr>
        <w:t>subart</w:t>
      </w:r>
      <w:r w:rsidR="009305AD" w:rsidRPr="001D14B2">
        <w:rPr>
          <w:rFonts w:ascii="Arial" w:hAnsi="Arial" w:cs="Arial"/>
          <w:sz w:val="24"/>
          <w:szCs w:val="24"/>
          <w:u w:val="single"/>
        </w:rPr>
        <w:t>i</w:t>
      </w:r>
      <w:r w:rsidRPr="001D14B2">
        <w:rPr>
          <w:rFonts w:ascii="Arial" w:hAnsi="Arial" w:cs="Arial"/>
          <w:sz w:val="24"/>
          <w:szCs w:val="24"/>
          <w:u w:val="single"/>
        </w:rPr>
        <w:t>cle</w:t>
      </w:r>
      <w:r w:rsidRPr="00B61FF1">
        <w:rPr>
          <w:rFonts w:ascii="Arial" w:hAnsi="Arial" w:cs="Arial"/>
          <w:sz w:val="24"/>
          <w:szCs w:val="24"/>
        </w:rPr>
        <w:t xml:space="preserve"> 12.</w:t>
      </w:r>
    </w:p>
    <w:p w14:paraId="537FFB77" w14:textId="77777777" w:rsidR="00E16E77" w:rsidRPr="00B61FF1" w:rsidRDefault="00E16E77" w:rsidP="00E16E77">
      <w:pPr>
        <w:spacing w:line="360" w:lineRule="auto"/>
        <w:ind w:left="72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The “Annual Allowance Budget” in section 95920(d) is calculated as the sum for the current budget year of the annual compliance budgets of California and all External GHG ETS programs to which California has linked pursuant to subarticle 12. The “Annual Allowance Budget” in section 95920(e) is calculated as the sum for a budget year of the annual compliance budgets of California and all External GHG ETS programs to which California has linked pursuant to subarticle 12.</w:t>
      </w:r>
    </w:p>
    <w:p w14:paraId="404FBDBD" w14:textId="77777777" w:rsidR="00AC2930" w:rsidRPr="00B61FF1" w:rsidRDefault="00AC2930" w:rsidP="00E16E77">
      <w:pPr>
        <w:spacing w:line="360" w:lineRule="auto"/>
        <w:ind w:left="720" w:hanging="720"/>
        <w:rPr>
          <w:rFonts w:ascii="Arial" w:hAnsi="Arial" w:cs="Arial"/>
          <w:sz w:val="24"/>
          <w:szCs w:val="24"/>
        </w:rPr>
      </w:pPr>
    </w:p>
    <w:p w14:paraId="6FDEF525" w14:textId="77777777" w:rsidR="00F30373" w:rsidRPr="00B61FF1" w:rsidRDefault="00F30373" w:rsidP="00F30373">
      <w:pPr>
        <w:rPr>
          <w:rFonts w:ascii="Arial" w:hAnsi="Arial" w:cs="Arial"/>
        </w:rPr>
      </w:pPr>
      <w:r w:rsidRPr="00B61FF1">
        <w:rPr>
          <w:rFonts w:ascii="Arial" w:hAnsi="Arial" w:cs="Arial"/>
        </w:rPr>
        <w:t>NOTE:  Authority cited:  Sections 38510, 38560, 38562, 38570, 38571, 38580, 39600 and 39601, Health and Safety Code.</w:t>
      </w:r>
    </w:p>
    <w:p w14:paraId="576F8261" w14:textId="77777777" w:rsidR="00F30373" w:rsidRPr="00B61FF1" w:rsidRDefault="00F30373" w:rsidP="00F30373">
      <w:pPr>
        <w:rPr>
          <w:rFonts w:ascii="Arial" w:hAnsi="Arial" w:cs="Arial"/>
        </w:rPr>
      </w:pPr>
      <w:r w:rsidRPr="00B61FF1">
        <w:rPr>
          <w:rFonts w:ascii="Arial" w:hAnsi="Arial" w:cs="Arial"/>
        </w:rPr>
        <w:t>Reference:  Sections 38530, 38560.5, 38564, 38565, 38570 and 39600, Health and Safety Code.</w:t>
      </w:r>
    </w:p>
    <w:p w14:paraId="6BE9997A" w14:textId="77777777" w:rsidR="00BD6639" w:rsidRPr="00B61FF1" w:rsidRDefault="00BD6639" w:rsidP="00F30373">
      <w:pPr>
        <w:rPr>
          <w:rFonts w:ascii="Arial" w:hAnsi="Arial" w:cs="Arial"/>
        </w:rPr>
      </w:pPr>
    </w:p>
    <w:p w14:paraId="7BB1E024" w14:textId="77777777" w:rsidR="00FE6B15" w:rsidRPr="00B61FF1" w:rsidRDefault="00FE6B15" w:rsidP="004E3B67">
      <w:pPr>
        <w:pStyle w:val="Heading2"/>
        <w:keepNext w:val="0"/>
        <w:rPr>
          <w:i/>
          <w:szCs w:val="24"/>
        </w:rPr>
      </w:pPr>
      <w:bookmarkStart w:id="387" w:name="_Toc299094961"/>
      <w:bookmarkStart w:id="388" w:name="_Toc302746815"/>
      <w:bookmarkStart w:id="389" w:name="_Toc352146273"/>
      <w:bookmarkStart w:id="390" w:name="_Toc361659877"/>
      <w:r w:rsidRPr="00B61FF1">
        <w:rPr>
          <w:szCs w:val="24"/>
        </w:rPr>
        <w:t>§ 95921.  Conduct of Trade</w:t>
      </w:r>
      <w:bookmarkEnd w:id="367"/>
      <w:bookmarkEnd w:id="368"/>
      <w:bookmarkEnd w:id="369"/>
      <w:bookmarkEnd w:id="370"/>
      <w:r w:rsidR="00A26C38" w:rsidRPr="00B61FF1">
        <w:rPr>
          <w:szCs w:val="24"/>
        </w:rPr>
        <w:t>.</w:t>
      </w:r>
      <w:bookmarkEnd w:id="387"/>
      <w:bookmarkEnd w:id="388"/>
      <w:bookmarkEnd w:id="389"/>
      <w:bookmarkEnd w:id="390"/>
    </w:p>
    <w:p w14:paraId="71F0CAF9" w14:textId="77777777" w:rsidR="00FE6B15" w:rsidRPr="00B61FF1" w:rsidRDefault="00402B2D" w:rsidP="00402B2D">
      <w:pPr>
        <w:spacing w:line="360" w:lineRule="auto"/>
        <w:ind w:left="720" w:hanging="720"/>
        <w:rPr>
          <w:rFonts w:ascii="Arial" w:hAnsi="Arial" w:cs="Arial"/>
          <w:strike/>
          <w:sz w:val="24"/>
          <w:szCs w:val="24"/>
        </w:rPr>
      </w:pPr>
      <w:r w:rsidRPr="00B61FF1">
        <w:rPr>
          <w:rFonts w:ascii="Arial" w:hAnsi="Arial" w:cs="Arial"/>
          <w:sz w:val="24"/>
          <w:szCs w:val="24"/>
        </w:rPr>
        <w:t>(a)</w:t>
      </w:r>
      <w:r w:rsidRPr="00B61FF1">
        <w:rPr>
          <w:rFonts w:ascii="Arial" w:hAnsi="Arial" w:cs="Arial"/>
          <w:sz w:val="24"/>
          <w:szCs w:val="24"/>
        </w:rPr>
        <w:tab/>
      </w:r>
      <w:r w:rsidR="00774D74" w:rsidRPr="00B61FF1">
        <w:rPr>
          <w:rFonts w:ascii="Arial" w:hAnsi="Arial" w:cs="Arial"/>
          <w:sz w:val="24"/>
          <w:szCs w:val="24"/>
        </w:rPr>
        <w:t xml:space="preserve">Transfers of Compliance Instruments Between Accounts.  </w:t>
      </w:r>
    </w:p>
    <w:p w14:paraId="3DA7A313" w14:textId="77777777" w:rsidR="00C41FC0" w:rsidRPr="00B61FF1" w:rsidRDefault="00786AAF" w:rsidP="00786AAF">
      <w:pPr>
        <w:pStyle w:val="ListParagraph"/>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C41FC0" w:rsidRPr="00B61FF1">
        <w:rPr>
          <w:rFonts w:ascii="Arial" w:hAnsi="Arial" w:cs="Arial"/>
          <w:sz w:val="24"/>
          <w:szCs w:val="24"/>
        </w:rPr>
        <w:t xml:space="preserve">Except when </w:t>
      </w:r>
      <w:r w:rsidR="00774D74" w:rsidRPr="00B61FF1">
        <w:rPr>
          <w:rFonts w:ascii="Arial" w:hAnsi="Arial" w:cs="Arial"/>
          <w:sz w:val="24"/>
          <w:szCs w:val="24"/>
        </w:rPr>
        <w:t xml:space="preserve">a transfer </w:t>
      </w:r>
      <w:r w:rsidR="00C41FC0" w:rsidRPr="00B61FF1">
        <w:rPr>
          <w:rFonts w:ascii="Arial" w:hAnsi="Arial" w:cs="Arial"/>
          <w:sz w:val="24"/>
          <w:szCs w:val="24"/>
        </w:rPr>
        <w:t xml:space="preserve">is undertaken by the Executive Officer, the </w:t>
      </w:r>
      <w:r w:rsidR="00774D74" w:rsidRPr="00B61FF1">
        <w:rPr>
          <w:rFonts w:ascii="Arial" w:hAnsi="Arial" w:cs="Arial"/>
          <w:sz w:val="24"/>
          <w:szCs w:val="24"/>
        </w:rPr>
        <w:t>accounts administrator</w:t>
      </w:r>
      <w:r w:rsidR="00C41FC0" w:rsidRPr="00B61FF1">
        <w:rPr>
          <w:rFonts w:ascii="Arial" w:hAnsi="Arial" w:cs="Arial"/>
          <w:sz w:val="24"/>
          <w:szCs w:val="24"/>
        </w:rPr>
        <w:t xml:space="preserve"> will not register a </w:t>
      </w:r>
      <w:r w:rsidR="00774D74" w:rsidRPr="00B61FF1">
        <w:rPr>
          <w:rFonts w:ascii="Arial" w:hAnsi="Arial" w:cs="Arial"/>
          <w:sz w:val="24"/>
          <w:szCs w:val="24"/>
        </w:rPr>
        <w:t>transfer of compliance instruments between accounts into the tracking system</w:t>
      </w:r>
      <w:r w:rsidR="00311753" w:rsidRPr="00B61FF1">
        <w:rPr>
          <w:rFonts w:ascii="Arial" w:hAnsi="Arial" w:cs="Arial"/>
          <w:sz w:val="24"/>
          <w:szCs w:val="24"/>
        </w:rPr>
        <w:t xml:space="preserve"> </w:t>
      </w:r>
      <w:r w:rsidR="00C41FC0" w:rsidRPr="00B61FF1">
        <w:rPr>
          <w:rFonts w:ascii="Arial" w:hAnsi="Arial" w:cs="Arial"/>
          <w:sz w:val="24"/>
          <w:szCs w:val="24"/>
        </w:rPr>
        <w:t>until</w:t>
      </w:r>
      <w:r w:rsidR="001E38F5" w:rsidRPr="00B61FF1">
        <w:rPr>
          <w:rFonts w:ascii="Arial" w:hAnsi="Arial" w:cs="Arial"/>
          <w:sz w:val="24"/>
          <w:szCs w:val="24"/>
        </w:rPr>
        <w:t xml:space="preserve"> the administrator receives a transfer request that the Executive Officer has determined meets the requirements of this article.</w:t>
      </w:r>
    </w:p>
    <w:p w14:paraId="6327EA0A" w14:textId="77777777" w:rsidR="00C41FC0" w:rsidRPr="00B61FF1" w:rsidRDefault="001E38F5" w:rsidP="00FE6A4C">
      <w:pPr>
        <w:pStyle w:val="ListParagraph"/>
        <w:numPr>
          <w:ilvl w:val="2"/>
          <w:numId w:val="35"/>
        </w:numPr>
        <w:spacing w:line="360" w:lineRule="auto"/>
        <w:rPr>
          <w:rFonts w:ascii="Arial" w:hAnsi="Arial" w:cs="Arial"/>
          <w:sz w:val="24"/>
          <w:szCs w:val="24"/>
        </w:rPr>
      </w:pPr>
      <w:r w:rsidRPr="00B61FF1">
        <w:rPr>
          <w:rFonts w:ascii="Arial" w:hAnsi="Arial" w:cs="Arial"/>
          <w:sz w:val="24"/>
          <w:szCs w:val="24"/>
        </w:rPr>
        <w:t>To initiate the process, the primary account representative or an alternate</w:t>
      </w:r>
      <w:r w:rsidR="0035004E" w:rsidRPr="00B61FF1">
        <w:rPr>
          <w:rFonts w:ascii="Arial" w:hAnsi="Arial" w:cs="Arial"/>
          <w:sz w:val="24"/>
          <w:szCs w:val="24"/>
        </w:rPr>
        <w:t xml:space="preserve"> account representative of the source account for the transfer must submit a transfer request to the accounts administrator.</w:t>
      </w:r>
    </w:p>
    <w:p w14:paraId="0D4A6F2E" w14:textId="77777777" w:rsidR="0035004E" w:rsidRPr="00B61FF1" w:rsidRDefault="0035004E" w:rsidP="00FE6A4C">
      <w:pPr>
        <w:pStyle w:val="ListParagraph"/>
        <w:numPr>
          <w:ilvl w:val="2"/>
          <w:numId w:val="35"/>
        </w:numPr>
        <w:spacing w:line="360" w:lineRule="auto"/>
        <w:rPr>
          <w:rFonts w:ascii="Arial" w:hAnsi="Arial" w:cs="Arial"/>
          <w:sz w:val="24"/>
          <w:szCs w:val="24"/>
        </w:rPr>
      </w:pPr>
      <w:r w:rsidRPr="00B61FF1">
        <w:rPr>
          <w:rFonts w:ascii="Arial" w:hAnsi="Arial" w:cs="Arial"/>
          <w:sz w:val="24"/>
          <w:szCs w:val="24"/>
        </w:rPr>
        <w:t>The primary account representative or another alternate account representative for the same entity must confirm the transfer request to the accounts admini</w:t>
      </w:r>
      <w:r w:rsidRPr="00B61FF1">
        <w:rPr>
          <w:rFonts w:ascii="Arial" w:hAnsi="Arial" w:cs="Arial"/>
          <w:strike/>
          <w:sz w:val="24"/>
          <w:szCs w:val="24"/>
        </w:rPr>
        <w:t>n</w:t>
      </w:r>
      <w:r w:rsidRPr="00B61FF1">
        <w:rPr>
          <w:rFonts w:ascii="Arial" w:hAnsi="Arial" w:cs="Arial"/>
          <w:sz w:val="24"/>
          <w:szCs w:val="24"/>
        </w:rPr>
        <w:t>strator within two days of the initial submission of the transfer request.</w:t>
      </w:r>
    </w:p>
    <w:p w14:paraId="7B98009D" w14:textId="77777777" w:rsidR="0035004E" w:rsidRPr="00B61FF1" w:rsidRDefault="0035004E" w:rsidP="00FE6A4C">
      <w:pPr>
        <w:pStyle w:val="ListParagraph"/>
        <w:numPr>
          <w:ilvl w:val="2"/>
          <w:numId w:val="35"/>
        </w:numPr>
        <w:spacing w:line="360" w:lineRule="auto"/>
        <w:rPr>
          <w:rFonts w:ascii="Arial" w:hAnsi="Arial" w:cs="Arial"/>
          <w:sz w:val="24"/>
          <w:szCs w:val="24"/>
        </w:rPr>
      </w:pPr>
      <w:r w:rsidRPr="00B61FF1">
        <w:rPr>
          <w:rFonts w:ascii="Arial" w:hAnsi="Arial" w:cs="Arial"/>
          <w:sz w:val="24"/>
          <w:szCs w:val="24"/>
        </w:rPr>
        <w:t>The primary account representative or an alternate account representative for the destination account must confirm the transfer request to the accounts administrator within the time remaining in the three days following the initial submission of the transfer request in section 95921(a)(1)(A).</w:t>
      </w:r>
    </w:p>
    <w:p w14:paraId="115C7D20" w14:textId="77777777" w:rsidR="00C41FC0" w:rsidRPr="00B61FF1" w:rsidRDefault="00C41FC0" w:rsidP="00FE6A4C">
      <w:pPr>
        <w:pStyle w:val="ListParagraph"/>
        <w:numPr>
          <w:ilvl w:val="2"/>
          <w:numId w:val="35"/>
        </w:numPr>
        <w:spacing w:line="360" w:lineRule="auto"/>
        <w:rPr>
          <w:rFonts w:ascii="Arial" w:hAnsi="Arial" w:cs="Arial"/>
          <w:sz w:val="24"/>
          <w:szCs w:val="24"/>
        </w:rPr>
      </w:pPr>
      <w:r w:rsidRPr="00B61FF1">
        <w:rPr>
          <w:rFonts w:ascii="Arial" w:hAnsi="Arial" w:cs="Arial"/>
          <w:sz w:val="24"/>
          <w:szCs w:val="24"/>
        </w:rPr>
        <w:t xml:space="preserve">The Executive Officer </w:t>
      </w:r>
      <w:r w:rsidR="0035004E" w:rsidRPr="00B61FF1">
        <w:rPr>
          <w:rFonts w:ascii="Arial" w:hAnsi="Arial" w:cs="Arial"/>
          <w:sz w:val="24"/>
          <w:szCs w:val="24"/>
        </w:rPr>
        <w:t>must determine whether</w:t>
      </w:r>
      <w:r w:rsidRPr="00B61FF1">
        <w:rPr>
          <w:rFonts w:ascii="Arial" w:hAnsi="Arial" w:cs="Arial"/>
          <w:sz w:val="24"/>
          <w:szCs w:val="24"/>
        </w:rPr>
        <w:t xml:space="preserve"> the </w:t>
      </w:r>
      <w:r w:rsidR="00774D74" w:rsidRPr="00B61FF1">
        <w:rPr>
          <w:rFonts w:ascii="Arial" w:hAnsi="Arial" w:cs="Arial"/>
          <w:sz w:val="24"/>
          <w:szCs w:val="24"/>
        </w:rPr>
        <w:t xml:space="preserve">transfer request and the </w:t>
      </w:r>
      <w:r w:rsidRPr="00B61FF1">
        <w:rPr>
          <w:rFonts w:ascii="Arial" w:hAnsi="Arial" w:cs="Arial"/>
          <w:sz w:val="24"/>
          <w:szCs w:val="24"/>
        </w:rPr>
        <w:t>transaction</w:t>
      </w:r>
      <w:r w:rsidR="0035004E" w:rsidRPr="00B61FF1">
        <w:rPr>
          <w:rFonts w:ascii="Arial" w:hAnsi="Arial" w:cs="Arial"/>
          <w:sz w:val="24"/>
          <w:szCs w:val="24"/>
        </w:rPr>
        <w:t xml:space="preserve"> for which the transfer request was submitted</w:t>
      </w:r>
      <w:r w:rsidRPr="00B61FF1">
        <w:rPr>
          <w:rFonts w:ascii="Arial" w:hAnsi="Arial" w:cs="Arial"/>
          <w:sz w:val="24"/>
          <w:szCs w:val="24"/>
        </w:rPr>
        <w:t xml:space="preserve"> meet the requirements of this article</w:t>
      </w:r>
      <w:r w:rsidR="0035004E" w:rsidRPr="00B61FF1">
        <w:rPr>
          <w:rFonts w:ascii="Arial" w:hAnsi="Arial" w:cs="Arial"/>
          <w:sz w:val="24"/>
          <w:szCs w:val="24"/>
        </w:rPr>
        <w:t xml:space="preserve"> based on the information available at the time of approval</w:t>
      </w:r>
      <w:r w:rsidRPr="00B61FF1">
        <w:rPr>
          <w:rFonts w:ascii="Arial" w:hAnsi="Arial" w:cs="Arial"/>
          <w:sz w:val="24"/>
          <w:szCs w:val="24"/>
        </w:rPr>
        <w:t>.</w:t>
      </w:r>
    </w:p>
    <w:p w14:paraId="2438F24B" w14:textId="77777777" w:rsidR="0035004E" w:rsidRPr="00B61FF1" w:rsidRDefault="0035004E" w:rsidP="00FE6A4C">
      <w:pPr>
        <w:pStyle w:val="ListParagraph"/>
        <w:numPr>
          <w:ilvl w:val="2"/>
          <w:numId w:val="35"/>
        </w:numPr>
        <w:spacing w:line="360" w:lineRule="auto"/>
        <w:rPr>
          <w:rFonts w:ascii="Arial" w:hAnsi="Arial" w:cs="Arial"/>
          <w:sz w:val="24"/>
          <w:szCs w:val="24"/>
        </w:rPr>
      </w:pPr>
      <w:r w:rsidRPr="00B61FF1">
        <w:rPr>
          <w:rFonts w:ascii="Arial" w:hAnsi="Arial" w:cs="Arial"/>
          <w:sz w:val="24"/>
          <w:szCs w:val="24"/>
        </w:rPr>
        <w:t>The completed transfer request must be received by the accounts administrator no more than three days following the day of settlement of the transaction agreement for which the transfer request is submitted.</w:t>
      </w:r>
    </w:p>
    <w:p w14:paraId="37B3ED88" w14:textId="77777777" w:rsidR="00C41FC0" w:rsidRPr="00B61FF1" w:rsidRDefault="00786AAF" w:rsidP="00786AAF">
      <w:pPr>
        <w:pStyle w:val="ListParagraph"/>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35004E" w:rsidRPr="00B61FF1">
        <w:rPr>
          <w:rFonts w:ascii="Arial" w:hAnsi="Arial" w:cs="Arial"/>
          <w:sz w:val="24"/>
          <w:szCs w:val="24"/>
        </w:rPr>
        <w:t>The following transfers do not require confirmation by an account representative of the destination account pursuant to section 95921(a)(1)(C)</w:t>
      </w:r>
      <w:r w:rsidR="00C41FC0" w:rsidRPr="00B61FF1">
        <w:rPr>
          <w:rFonts w:ascii="Arial" w:hAnsi="Arial" w:cs="Arial"/>
          <w:sz w:val="24"/>
          <w:szCs w:val="24"/>
        </w:rPr>
        <w:t xml:space="preserve">.  </w:t>
      </w:r>
    </w:p>
    <w:p w14:paraId="0CAC3C6C" w14:textId="77777777" w:rsidR="00774D74" w:rsidRPr="00B61FF1" w:rsidRDefault="0035004E" w:rsidP="00FE6A4C">
      <w:pPr>
        <w:pStyle w:val="ListParagraph"/>
        <w:numPr>
          <w:ilvl w:val="2"/>
          <w:numId w:val="38"/>
        </w:numPr>
        <w:spacing w:line="360" w:lineRule="auto"/>
        <w:rPr>
          <w:rFonts w:ascii="Arial" w:hAnsi="Arial" w:cs="Arial"/>
          <w:sz w:val="24"/>
          <w:szCs w:val="24"/>
        </w:rPr>
      </w:pPr>
      <w:r w:rsidRPr="00B61FF1">
        <w:rPr>
          <w:rFonts w:ascii="Arial" w:hAnsi="Arial" w:cs="Arial"/>
          <w:sz w:val="24"/>
          <w:szCs w:val="24"/>
        </w:rPr>
        <w:t>Transfers initiated by the Executive Officer.</w:t>
      </w:r>
    </w:p>
    <w:p w14:paraId="4696AFAF" w14:textId="77777777" w:rsidR="00774D74" w:rsidRPr="00B61FF1" w:rsidRDefault="0035004E" w:rsidP="00FE6A4C">
      <w:pPr>
        <w:pStyle w:val="ListParagraph"/>
        <w:numPr>
          <w:ilvl w:val="2"/>
          <w:numId w:val="38"/>
        </w:numPr>
        <w:spacing w:line="360" w:lineRule="auto"/>
        <w:rPr>
          <w:rFonts w:ascii="Arial" w:hAnsi="Arial" w:cs="Arial"/>
          <w:sz w:val="24"/>
          <w:szCs w:val="24"/>
        </w:rPr>
      </w:pPr>
      <w:r w:rsidRPr="00B61FF1">
        <w:rPr>
          <w:rFonts w:ascii="Arial" w:hAnsi="Arial" w:cs="Arial"/>
          <w:sz w:val="24"/>
          <w:szCs w:val="24"/>
        </w:rPr>
        <w:t>Transfers between a single entity’s holding and compliance accounts.</w:t>
      </w:r>
    </w:p>
    <w:p w14:paraId="1DDEAC1C" w14:textId="77777777" w:rsidR="00774D74" w:rsidRPr="00B61FF1" w:rsidRDefault="00DF009B" w:rsidP="00FE6A4C">
      <w:pPr>
        <w:pStyle w:val="ListParagraph"/>
        <w:numPr>
          <w:ilvl w:val="1"/>
          <w:numId w:val="56"/>
        </w:numPr>
        <w:spacing w:line="360" w:lineRule="auto"/>
        <w:rPr>
          <w:rFonts w:ascii="Arial" w:hAnsi="Arial" w:cs="Arial"/>
          <w:sz w:val="24"/>
          <w:szCs w:val="24"/>
        </w:rPr>
      </w:pPr>
      <w:r w:rsidRPr="00B61FF1">
        <w:rPr>
          <w:rFonts w:ascii="Arial" w:hAnsi="Arial" w:cs="Arial"/>
          <w:sz w:val="24"/>
          <w:szCs w:val="24"/>
        </w:rPr>
        <w:t>The parties to a transfer will be in violation and penalties may apply if the above process is completed</w:t>
      </w:r>
      <w:r w:rsidR="00774D74" w:rsidRPr="00B61FF1">
        <w:rPr>
          <w:rFonts w:ascii="Arial" w:hAnsi="Arial" w:cs="Arial"/>
          <w:sz w:val="24"/>
          <w:szCs w:val="24"/>
        </w:rPr>
        <w:t xml:space="preserve">: </w:t>
      </w:r>
    </w:p>
    <w:p w14:paraId="027D785B" w14:textId="77777777" w:rsidR="00774D74" w:rsidRPr="00B61FF1" w:rsidRDefault="00DF009B" w:rsidP="00FE6A4C">
      <w:pPr>
        <w:pStyle w:val="ListParagraph"/>
        <w:numPr>
          <w:ilvl w:val="2"/>
          <w:numId w:val="56"/>
        </w:numPr>
        <w:spacing w:line="360" w:lineRule="auto"/>
        <w:rPr>
          <w:rFonts w:ascii="Arial" w:hAnsi="Arial" w:cs="Arial"/>
          <w:sz w:val="24"/>
          <w:szCs w:val="24"/>
        </w:rPr>
      </w:pPr>
      <w:r w:rsidRPr="00B61FF1">
        <w:rPr>
          <w:rFonts w:ascii="Arial" w:hAnsi="Arial" w:cs="Arial"/>
          <w:sz w:val="24"/>
          <w:szCs w:val="24"/>
        </w:rPr>
        <w:t>More than three days after the initial submission of the transfer request; or</w:t>
      </w:r>
    </w:p>
    <w:p w14:paraId="227EE7CB" w14:textId="77777777" w:rsidR="00774D74" w:rsidRPr="00B61FF1" w:rsidRDefault="00DF009B" w:rsidP="00FE6A4C">
      <w:pPr>
        <w:pStyle w:val="ListParagraph"/>
        <w:numPr>
          <w:ilvl w:val="2"/>
          <w:numId w:val="56"/>
        </w:numPr>
        <w:spacing w:line="360" w:lineRule="auto"/>
        <w:rPr>
          <w:rFonts w:ascii="Arial" w:hAnsi="Arial" w:cs="Arial"/>
          <w:sz w:val="24"/>
          <w:szCs w:val="24"/>
        </w:rPr>
      </w:pPr>
      <w:r w:rsidRPr="00B61FF1">
        <w:rPr>
          <w:rFonts w:ascii="Arial" w:hAnsi="Arial" w:cs="Arial"/>
          <w:sz w:val="24"/>
          <w:szCs w:val="24"/>
        </w:rPr>
        <w:t>More than three days after the settlement day of the transaction for which the transfer request is submitted.</w:t>
      </w:r>
    </w:p>
    <w:p w14:paraId="798F1B14" w14:textId="10C568DC" w:rsidR="00984C47" w:rsidRPr="00B61FF1" w:rsidRDefault="00980EFA" w:rsidP="00980EFA">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00984C47" w:rsidRPr="00B61FF1">
        <w:rPr>
          <w:rFonts w:ascii="Arial" w:hAnsi="Arial" w:cs="Arial"/>
          <w:sz w:val="24"/>
          <w:szCs w:val="24"/>
          <w:u w:val="single"/>
        </w:rPr>
        <w:t xml:space="preserve">An entity may not submit a transfer request to another registered entity without an existing transaction agreement with that party authorizing a transfer. </w:t>
      </w:r>
    </w:p>
    <w:p w14:paraId="020ED84A" w14:textId="77777777" w:rsidR="00FE6B15" w:rsidRPr="00B61FF1" w:rsidRDefault="00FE6B15" w:rsidP="00FE6A4C">
      <w:pPr>
        <w:pStyle w:val="ListParagraph"/>
        <w:numPr>
          <w:ilvl w:val="0"/>
          <w:numId w:val="35"/>
        </w:numPr>
        <w:spacing w:line="360" w:lineRule="auto"/>
        <w:rPr>
          <w:rFonts w:ascii="Arial" w:hAnsi="Arial" w:cs="Arial"/>
          <w:sz w:val="24"/>
          <w:szCs w:val="24"/>
        </w:rPr>
      </w:pPr>
      <w:r w:rsidRPr="00B61FF1">
        <w:rPr>
          <w:rFonts w:ascii="Arial" w:hAnsi="Arial" w:cs="Arial"/>
          <w:sz w:val="24"/>
          <w:szCs w:val="24"/>
        </w:rPr>
        <w:t>Information Requirements</w:t>
      </w:r>
      <w:r w:rsidR="00DF009B" w:rsidRPr="00B61FF1">
        <w:rPr>
          <w:rFonts w:ascii="Arial" w:hAnsi="Arial" w:cs="Arial"/>
          <w:sz w:val="24"/>
          <w:szCs w:val="24"/>
        </w:rPr>
        <w:t xml:space="preserve"> for Transfer Requests</w:t>
      </w:r>
      <w:r w:rsidRPr="00B61FF1">
        <w:rPr>
          <w:rFonts w:ascii="Arial" w:hAnsi="Arial" w:cs="Arial"/>
          <w:sz w:val="24"/>
          <w:szCs w:val="24"/>
        </w:rPr>
        <w:t xml:space="preserve">.  </w:t>
      </w:r>
      <w:r w:rsidR="00DF009B" w:rsidRPr="00B61FF1">
        <w:rPr>
          <w:rFonts w:ascii="Arial" w:hAnsi="Arial" w:cs="Arial"/>
          <w:sz w:val="24"/>
          <w:szCs w:val="24"/>
        </w:rPr>
        <w:t xml:space="preserve">Parties to the transfer request agree to provide documentation about the transaction </w:t>
      </w:r>
      <w:r w:rsidR="00D60FF3" w:rsidRPr="00B61FF1">
        <w:rPr>
          <w:rFonts w:ascii="Arial" w:hAnsi="Arial" w:cs="Arial"/>
          <w:sz w:val="24"/>
          <w:szCs w:val="24"/>
          <w:u w:val="single"/>
        </w:rPr>
        <w:t xml:space="preserve">agreement </w:t>
      </w:r>
      <w:r w:rsidR="00DF009B" w:rsidRPr="00B61FF1">
        <w:rPr>
          <w:rFonts w:ascii="Arial" w:hAnsi="Arial" w:cs="Arial"/>
          <w:sz w:val="24"/>
          <w:szCs w:val="24"/>
        </w:rPr>
        <w:t xml:space="preserve">for which the transfer request was submitted upon the request of the Executive Officer.  </w:t>
      </w:r>
      <w:r w:rsidRPr="00B61FF1">
        <w:rPr>
          <w:rFonts w:ascii="Arial" w:hAnsi="Arial" w:cs="Arial"/>
          <w:sz w:val="24"/>
          <w:szCs w:val="24"/>
        </w:rPr>
        <w:t xml:space="preserve">The following information must be </w:t>
      </w:r>
      <w:r w:rsidR="00774D74" w:rsidRPr="00B61FF1">
        <w:rPr>
          <w:rFonts w:ascii="Arial" w:hAnsi="Arial" w:cs="Arial"/>
          <w:sz w:val="24"/>
          <w:szCs w:val="24"/>
        </w:rPr>
        <w:t xml:space="preserve">reported to </w:t>
      </w:r>
      <w:r w:rsidRPr="00B61FF1">
        <w:rPr>
          <w:rFonts w:ascii="Arial" w:hAnsi="Arial" w:cs="Arial"/>
          <w:sz w:val="24"/>
          <w:szCs w:val="24"/>
        </w:rPr>
        <w:t xml:space="preserve">the accounts administrator </w:t>
      </w:r>
      <w:r w:rsidR="00774D74" w:rsidRPr="00B61FF1">
        <w:rPr>
          <w:rFonts w:ascii="Arial" w:hAnsi="Arial" w:cs="Arial"/>
          <w:sz w:val="24"/>
          <w:szCs w:val="24"/>
        </w:rPr>
        <w:t>as part of a transfer request before any transfer of allowances can be recorded on the tracking system</w:t>
      </w:r>
      <w:r w:rsidRPr="00B61FF1">
        <w:rPr>
          <w:rFonts w:ascii="Arial" w:hAnsi="Arial" w:cs="Arial"/>
          <w:sz w:val="24"/>
          <w:szCs w:val="24"/>
        </w:rPr>
        <w:t>:</w:t>
      </w:r>
    </w:p>
    <w:p w14:paraId="0E8C327A" w14:textId="77777777" w:rsidR="00984C47" w:rsidRPr="00B61FF1" w:rsidRDefault="00973D30" w:rsidP="00973D30">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00984C47" w:rsidRPr="00B61FF1">
        <w:rPr>
          <w:rFonts w:ascii="Arial" w:hAnsi="Arial" w:cs="Arial"/>
          <w:sz w:val="24"/>
          <w:szCs w:val="24"/>
          <w:u w:val="single"/>
        </w:rPr>
        <w:t>The following information must be entered into the tracking system for all transfer requests:</w:t>
      </w:r>
    </w:p>
    <w:p w14:paraId="33793084" w14:textId="4573EAB1" w:rsidR="00984C47" w:rsidRPr="00B61FF1" w:rsidRDefault="00980EFA" w:rsidP="00980EFA">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00984C47" w:rsidRPr="00B61FF1">
        <w:rPr>
          <w:rFonts w:ascii="Arial" w:hAnsi="Arial" w:cs="Arial"/>
          <w:sz w:val="24"/>
          <w:szCs w:val="24"/>
          <w:u w:val="single"/>
        </w:rPr>
        <w:t>Holding account number of the source account and identification of two individuals who are the primary account representative and/or alternate account representatives initiating the transfer request.</w:t>
      </w:r>
    </w:p>
    <w:p w14:paraId="4B46F94A" w14:textId="1FB3D691" w:rsidR="00984C47" w:rsidRPr="00B61FF1" w:rsidRDefault="00980EFA" w:rsidP="00980EFA">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00984C47" w:rsidRPr="00B61FF1">
        <w:rPr>
          <w:rFonts w:ascii="Arial" w:hAnsi="Arial" w:cs="Arial"/>
          <w:sz w:val="24"/>
          <w:szCs w:val="24"/>
          <w:u w:val="single"/>
        </w:rPr>
        <w:t>Account number of destination account and identification of a primary account representative or alternate account representative for the destination account confirming the transfer request, if confirmation of the transfer request is required.</w:t>
      </w:r>
    </w:p>
    <w:p w14:paraId="7CD674B4" w14:textId="057A3582" w:rsidR="00984C47" w:rsidRPr="00B61FF1" w:rsidRDefault="00980EFA" w:rsidP="00980EFA">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00984C47" w:rsidRPr="00B61FF1">
        <w:rPr>
          <w:rFonts w:ascii="Arial" w:hAnsi="Arial" w:cs="Arial"/>
          <w:sz w:val="24"/>
          <w:szCs w:val="24"/>
          <w:u w:val="single"/>
        </w:rPr>
        <w:t>Type</w:t>
      </w:r>
      <w:r w:rsidR="00973D30" w:rsidRPr="00B61FF1">
        <w:rPr>
          <w:rFonts w:ascii="Arial" w:hAnsi="Arial" w:cs="Arial"/>
          <w:sz w:val="24"/>
          <w:szCs w:val="24"/>
          <w:u w:val="single"/>
        </w:rPr>
        <w:t>, quantity,</w:t>
      </w:r>
      <w:r w:rsidR="00984C47" w:rsidRPr="00B61FF1">
        <w:rPr>
          <w:rFonts w:ascii="Arial" w:hAnsi="Arial" w:cs="Arial"/>
          <w:sz w:val="24"/>
          <w:szCs w:val="24"/>
          <w:u w:val="single"/>
        </w:rPr>
        <w:t xml:space="preserve"> and vintage of compliance instrument.</w:t>
      </w:r>
    </w:p>
    <w:p w14:paraId="4A482203" w14:textId="3CDC09B1" w:rsidR="00984C47" w:rsidRPr="00B61FF1" w:rsidRDefault="00980EFA" w:rsidP="00980EFA">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00984C47" w:rsidRPr="00B61FF1">
        <w:rPr>
          <w:rFonts w:ascii="Arial" w:hAnsi="Arial" w:cs="Arial"/>
          <w:sz w:val="24"/>
          <w:szCs w:val="24"/>
          <w:u w:val="single"/>
        </w:rPr>
        <w:t>The transfer request must identify the type of transaction agreement for which the transfer request is being submitted, selecting one of the following three types:</w:t>
      </w:r>
    </w:p>
    <w:p w14:paraId="4C4DBA69" w14:textId="30DAE5FB" w:rsidR="00984C47" w:rsidRPr="00B61FF1" w:rsidRDefault="00980EFA" w:rsidP="00980EFA">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00973D30" w:rsidRPr="00B61FF1">
        <w:rPr>
          <w:rFonts w:ascii="Arial" w:hAnsi="Arial" w:cs="Arial"/>
          <w:sz w:val="24"/>
          <w:szCs w:val="24"/>
          <w:u w:val="single"/>
        </w:rPr>
        <w:t>Over-the-counter agreement for the sale of compliance instruments for which delivery will take place no more than three days from the date the parties enter into the transaction agreement</w:t>
      </w:r>
      <w:r w:rsidR="00984C47" w:rsidRPr="00B61FF1">
        <w:rPr>
          <w:rFonts w:ascii="Arial" w:hAnsi="Arial" w:cs="Arial"/>
          <w:sz w:val="24"/>
          <w:szCs w:val="24"/>
          <w:u w:val="single"/>
        </w:rPr>
        <w:t>.</w:t>
      </w:r>
    </w:p>
    <w:p w14:paraId="5CF52882" w14:textId="4B4E9A90" w:rsidR="00984C47" w:rsidRPr="00B61FF1" w:rsidRDefault="00980EFA" w:rsidP="00980EFA">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00973D30" w:rsidRPr="00B61FF1">
        <w:rPr>
          <w:rFonts w:ascii="Arial" w:hAnsi="Arial" w:cs="Arial"/>
          <w:sz w:val="24"/>
          <w:szCs w:val="24"/>
          <w:u w:val="single"/>
        </w:rPr>
        <w:t>Over-the counter agreement for the sale of compliance instruments for which delivery is to tak</w:t>
      </w:r>
      <w:r w:rsidR="00995258" w:rsidRPr="00B61FF1">
        <w:rPr>
          <w:rFonts w:ascii="Arial" w:hAnsi="Arial" w:cs="Arial"/>
          <w:sz w:val="24"/>
          <w:szCs w:val="24"/>
          <w:u w:val="single"/>
        </w:rPr>
        <w:t>e place more than three days fro</w:t>
      </w:r>
      <w:r w:rsidR="00973D30" w:rsidRPr="00B61FF1">
        <w:rPr>
          <w:rFonts w:ascii="Arial" w:hAnsi="Arial" w:cs="Arial"/>
          <w:sz w:val="24"/>
          <w:szCs w:val="24"/>
          <w:u w:val="single"/>
        </w:rPr>
        <w:t>m the date the parties enter into the transaction agreement or that involve multiple transfers of allowances over time for the bundled sale of allowances with other products</w:t>
      </w:r>
      <w:r w:rsidR="00984C47" w:rsidRPr="00B61FF1">
        <w:rPr>
          <w:rFonts w:ascii="Arial" w:hAnsi="Arial" w:cs="Arial"/>
          <w:sz w:val="24"/>
          <w:szCs w:val="24"/>
          <w:u w:val="single"/>
        </w:rPr>
        <w:t>.</w:t>
      </w:r>
    </w:p>
    <w:p w14:paraId="441FDF50" w14:textId="2E4E4EE1" w:rsidR="00984C47" w:rsidRPr="00B61FF1" w:rsidRDefault="00980EFA" w:rsidP="00980EFA">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00973D30" w:rsidRPr="00B61FF1">
        <w:rPr>
          <w:rFonts w:ascii="Arial" w:hAnsi="Arial" w:cs="Arial"/>
          <w:sz w:val="24"/>
          <w:szCs w:val="24"/>
          <w:u w:val="single"/>
        </w:rPr>
        <w:t>Exchange-based agreements for the sale of compliance instruments through any contract arranged through an exchange or Board of Trade</w:t>
      </w:r>
      <w:r w:rsidR="00984C47" w:rsidRPr="00B61FF1">
        <w:rPr>
          <w:rFonts w:ascii="Arial" w:hAnsi="Arial" w:cs="Arial"/>
          <w:sz w:val="24"/>
          <w:szCs w:val="24"/>
          <w:u w:val="single"/>
        </w:rPr>
        <w:t>.</w:t>
      </w:r>
    </w:p>
    <w:p w14:paraId="15C6E2F9" w14:textId="77777777" w:rsidR="00627764" w:rsidRPr="00B61FF1" w:rsidRDefault="00627764" w:rsidP="00627764">
      <w:pPr>
        <w:tabs>
          <w:tab w:val="left" w:pos="1080"/>
        </w:tabs>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 xml:space="preserve">      </w:t>
      </w:r>
      <w:r w:rsidRPr="00B61FF1">
        <w:rPr>
          <w:rFonts w:ascii="Arial" w:hAnsi="Arial" w:cs="Arial"/>
          <w:sz w:val="24"/>
          <w:szCs w:val="24"/>
          <w:u w:val="single"/>
        </w:rPr>
        <w:t>A transfer request submitted for an over-the-counter agreement for the sale of compliance instruments for which delivery will take place no more than three days from the date the parties enter into the transaction agreement must provide the following information:</w:t>
      </w:r>
    </w:p>
    <w:p w14:paraId="09FE14F2" w14:textId="77777777" w:rsidR="00627764" w:rsidRPr="00B61FF1" w:rsidRDefault="00627764" w:rsidP="00627764">
      <w:pPr>
        <w:tabs>
          <w:tab w:val="left" w:pos="1710"/>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u w:val="single"/>
        </w:rPr>
        <w:t>Date the entity entered into the transaction agreement.</w:t>
      </w:r>
    </w:p>
    <w:p w14:paraId="73763B03" w14:textId="77777777" w:rsidR="00627764" w:rsidRPr="00B61FF1" w:rsidRDefault="00627764" w:rsidP="00627764">
      <w:pPr>
        <w:tabs>
          <w:tab w:val="left" w:pos="1710"/>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u w:val="single"/>
        </w:rPr>
        <w:t xml:space="preserve">Date of settlement.  If completion of the transfer request process is the last step of the agreement, the date the transfer request is submitted should be entered as the settlement date.  If there are financial or other terms to be settled after the transfer request is approved, the date those terms are to be settled should be entered as the settlement date.  </w:t>
      </w:r>
    </w:p>
    <w:p w14:paraId="19C2DDA6"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u w:val="single"/>
        </w:rPr>
        <w:t xml:space="preserve">Price of the compliance instrument in U.S. dollars or Canadian dollars. </w:t>
      </w:r>
    </w:p>
    <w:p w14:paraId="63BDF102" w14:textId="77777777" w:rsidR="00627764" w:rsidRPr="00B61FF1" w:rsidRDefault="00627764" w:rsidP="00627764">
      <w:pPr>
        <w:tabs>
          <w:tab w:val="left" w:pos="1080"/>
        </w:tabs>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 xml:space="preserve">      </w:t>
      </w:r>
      <w:r w:rsidRPr="00B61FF1">
        <w:rPr>
          <w:rFonts w:ascii="Arial" w:hAnsi="Arial" w:cs="Arial"/>
          <w:sz w:val="24"/>
          <w:szCs w:val="24"/>
          <w:u w:val="single"/>
        </w:rPr>
        <w:t>A transfer request submitted for an over-the-counter agreement for the sale of compliance instruments for which delivery is to take place more than three days from the date the parties enter into the transaction agreement or that involves multiple transfers of allowances over time or the bundled sale of allowances with other products must provide the following information:</w:t>
      </w:r>
    </w:p>
    <w:p w14:paraId="08D3D36A" w14:textId="77777777" w:rsidR="00627764" w:rsidRPr="00B61FF1" w:rsidRDefault="00627764" w:rsidP="00627764">
      <w:pPr>
        <w:tabs>
          <w:tab w:val="left" w:pos="1710"/>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u w:val="single"/>
        </w:rPr>
        <w:t>Date the entity entered into the transaction agreement.</w:t>
      </w:r>
    </w:p>
    <w:p w14:paraId="41623C62" w14:textId="77777777" w:rsidR="00627764" w:rsidRPr="00B61FF1" w:rsidRDefault="00627764" w:rsidP="00627764">
      <w:pPr>
        <w:tabs>
          <w:tab w:val="left" w:pos="1710"/>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u w:val="single"/>
        </w:rPr>
        <w:t>Date the transaction agreement terminates.</w:t>
      </w:r>
    </w:p>
    <w:p w14:paraId="70B36240"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u w:val="single"/>
        </w:rPr>
        <w:t>If the transaction agreement provides for further compliance instrument transfers after the current transfer request is approved, specify the scheduled frequency as monthly, quarterly, annual, or unspecified.</w:t>
      </w:r>
    </w:p>
    <w:p w14:paraId="2CCD2B9C"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If the transaction agreement provides for transfers of other products, identify the products specified in the agreement.</w:t>
      </w:r>
    </w:p>
    <w:p w14:paraId="560ECAF9"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ab/>
      </w:r>
      <w:r w:rsidRPr="00B61FF1">
        <w:rPr>
          <w:rFonts w:ascii="Arial" w:hAnsi="Arial" w:cs="Arial"/>
          <w:sz w:val="24"/>
          <w:szCs w:val="24"/>
          <w:u w:val="single"/>
        </w:rPr>
        <w:t xml:space="preserve">If the transaction agreement specifies a fixed price for the compliance instruments, provide the price in U.S. dollars or Canadian dollars. </w:t>
      </w:r>
    </w:p>
    <w:p w14:paraId="108DA15B"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 xml:space="preserve">      </w:t>
      </w:r>
      <w:r w:rsidRPr="00B61FF1">
        <w:rPr>
          <w:rFonts w:ascii="Arial" w:hAnsi="Arial" w:cs="Arial"/>
          <w:sz w:val="24"/>
          <w:szCs w:val="24"/>
          <w:u w:val="single"/>
        </w:rPr>
        <w:t>If the transaction agreement sets the price as a cost base plus a margin, then provide the cost base and the margin.</w:t>
      </w:r>
    </w:p>
    <w:p w14:paraId="2473CCF1"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(G)</w:t>
      </w:r>
      <w:r w:rsidRPr="00B61FF1">
        <w:rPr>
          <w:rFonts w:ascii="Arial" w:hAnsi="Arial" w:cs="Arial"/>
          <w:sz w:val="24"/>
          <w:szCs w:val="24"/>
        </w:rPr>
        <w:tab/>
      </w:r>
      <w:r w:rsidRPr="00B61FF1">
        <w:rPr>
          <w:rFonts w:ascii="Arial" w:hAnsi="Arial" w:cs="Arial"/>
          <w:sz w:val="24"/>
          <w:szCs w:val="24"/>
          <w:u w:val="single"/>
        </w:rPr>
        <w:t>If the transaction agreement does not specify the price using one of the above formats, provide a brief description of the pricing method.</w:t>
      </w:r>
    </w:p>
    <w:p w14:paraId="098A0BD3" w14:textId="77777777" w:rsidR="00627764" w:rsidRPr="00B61FF1" w:rsidRDefault="00627764" w:rsidP="00627764">
      <w:pPr>
        <w:tabs>
          <w:tab w:val="left" w:pos="1080"/>
        </w:tabs>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 xml:space="preserve">     </w:t>
      </w:r>
      <w:r w:rsidRPr="00B61FF1">
        <w:rPr>
          <w:rFonts w:ascii="Arial" w:hAnsi="Arial" w:cs="Arial"/>
          <w:sz w:val="24"/>
          <w:szCs w:val="24"/>
          <w:u w:val="single"/>
        </w:rPr>
        <w:t xml:space="preserve"> A transfer request submitted for an Exchange-Based Agreement must provide the following information:</w:t>
      </w:r>
    </w:p>
    <w:p w14:paraId="0FF46211" w14:textId="77777777" w:rsidR="00627764" w:rsidRPr="00B61FF1" w:rsidRDefault="00627764" w:rsidP="00627764">
      <w:pPr>
        <w:tabs>
          <w:tab w:val="left" w:pos="1800"/>
        </w:tabs>
        <w:spacing w:line="360" w:lineRule="auto"/>
        <w:ind w:left="108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u w:val="single"/>
        </w:rPr>
        <w:t>Identify the exchange where the transaction is conducted.</w:t>
      </w:r>
    </w:p>
    <w:p w14:paraId="2D62D36F" w14:textId="77777777" w:rsidR="00627764" w:rsidRPr="00B61FF1" w:rsidRDefault="00627764" w:rsidP="00627764">
      <w:pPr>
        <w:tabs>
          <w:tab w:val="left" w:pos="1800"/>
        </w:tabs>
        <w:spacing w:line="360" w:lineRule="auto"/>
        <w:ind w:left="108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u w:val="single"/>
        </w:rPr>
        <w:t>Identify the exchange code for the contract.</w:t>
      </w:r>
    </w:p>
    <w:p w14:paraId="43561813" w14:textId="77777777" w:rsidR="00627764" w:rsidRPr="00B61FF1" w:rsidRDefault="00627764" w:rsidP="00627764">
      <w:pPr>
        <w:tabs>
          <w:tab w:val="left" w:pos="1800"/>
        </w:tabs>
        <w:spacing w:line="360" w:lineRule="auto"/>
        <w:ind w:left="108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Identify the contract as spot or futures.</w:t>
      </w:r>
    </w:p>
    <w:p w14:paraId="58E66712" w14:textId="77777777" w:rsidR="00627764" w:rsidRPr="00B61FF1" w:rsidRDefault="00627764" w:rsidP="00627764">
      <w:pPr>
        <w:tabs>
          <w:tab w:val="left" w:pos="1800"/>
        </w:tabs>
        <w:spacing w:line="360" w:lineRule="auto"/>
        <w:ind w:left="108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 xml:space="preserve">      </w:t>
      </w:r>
      <w:r w:rsidRPr="00B61FF1">
        <w:rPr>
          <w:rFonts w:ascii="Arial" w:hAnsi="Arial" w:cs="Arial"/>
          <w:sz w:val="24"/>
          <w:szCs w:val="24"/>
          <w:u w:val="single"/>
        </w:rPr>
        <w:t>Date of close of trading for the contract.</w:t>
      </w:r>
    </w:p>
    <w:p w14:paraId="1A0CF309" w14:textId="77777777" w:rsidR="00627764" w:rsidRPr="00B61FF1" w:rsidRDefault="00627764" w:rsidP="00627764">
      <w:pPr>
        <w:tabs>
          <w:tab w:val="left" w:pos="1800"/>
        </w:tabs>
        <w:spacing w:line="360" w:lineRule="auto"/>
        <w:ind w:left="108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 xml:space="preserve">      </w:t>
      </w:r>
      <w:r w:rsidRPr="00B61FF1">
        <w:rPr>
          <w:rFonts w:ascii="Arial" w:hAnsi="Arial" w:cs="Arial"/>
          <w:sz w:val="24"/>
          <w:szCs w:val="24"/>
          <w:u w:val="single"/>
        </w:rPr>
        <w:t>Price at close of trading for the contract.</w:t>
      </w:r>
    </w:p>
    <w:p w14:paraId="7DD45D68" w14:textId="0D4A2269" w:rsidR="00627764" w:rsidRPr="00B61FF1" w:rsidRDefault="00627764" w:rsidP="00627764">
      <w:pPr>
        <w:tabs>
          <w:tab w:val="left" w:pos="1800"/>
        </w:tabs>
        <w:spacing w:line="360" w:lineRule="auto"/>
        <w:ind w:left="1080" w:hanging="720"/>
        <w:rPr>
          <w:rFonts w:ascii="Arial" w:hAnsi="Arial" w:cs="Arial"/>
          <w:sz w:val="24"/>
          <w:szCs w:val="24"/>
          <w:u w:val="single"/>
        </w:rPr>
      </w:pPr>
      <w:r w:rsidRPr="00B61FF1">
        <w:rPr>
          <w:rFonts w:ascii="Arial" w:hAnsi="Arial" w:cs="Arial"/>
          <w:sz w:val="24"/>
          <w:szCs w:val="24"/>
          <w:u w:val="single"/>
        </w:rPr>
        <w:t>(6)</w:t>
      </w:r>
      <w:r w:rsidRPr="00B61FF1">
        <w:rPr>
          <w:rFonts w:ascii="Arial" w:hAnsi="Arial" w:cs="Arial"/>
          <w:sz w:val="24"/>
          <w:szCs w:val="24"/>
        </w:rPr>
        <w:t xml:space="preserve">      </w:t>
      </w:r>
      <w:r w:rsidR="00995258" w:rsidRPr="00B61FF1">
        <w:rPr>
          <w:rFonts w:ascii="Arial" w:hAnsi="Arial" w:cs="Arial"/>
          <w:sz w:val="24"/>
          <w:szCs w:val="24"/>
          <w:u w:val="single"/>
        </w:rPr>
        <w:t>If</w:t>
      </w:r>
      <w:r w:rsidRPr="00B61FF1">
        <w:rPr>
          <w:rFonts w:ascii="Arial" w:hAnsi="Arial" w:cs="Arial"/>
          <w:sz w:val="24"/>
          <w:szCs w:val="24"/>
          <w:u w:val="single"/>
        </w:rPr>
        <w:t xml:space="preserve"> the transaction agreements </w:t>
      </w:r>
      <w:r w:rsidR="00995258" w:rsidRPr="00B61FF1">
        <w:rPr>
          <w:rFonts w:ascii="Arial" w:hAnsi="Arial" w:cs="Arial"/>
          <w:sz w:val="24"/>
          <w:szCs w:val="24"/>
          <w:u w:val="single"/>
        </w:rPr>
        <w:t>do</w:t>
      </w:r>
      <w:r w:rsidRPr="00B61FF1">
        <w:rPr>
          <w:rFonts w:ascii="Arial" w:hAnsi="Arial" w:cs="Arial"/>
          <w:sz w:val="24"/>
          <w:szCs w:val="24"/>
          <w:u w:val="single"/>
        </w:rPr>
        <w:t xml:space="preserve"> not contain a price for compliance instrume</w:t>
      </w:r>
      <w:r w:rsidR="00995258" w:rsidRPr="00B61FF1">
        <w:rPr>
          <w:rFonts w:ascii="Arial" w:hAnsi="Arial" w:cs="Arial"/>
          <w:sz w:val="24"/>
          <w:szCs w:val="24"/>
          <w:u w:val="single"/>
        </w:rPr>
        <w:t>nts, e</w:t>
      </w:r>
      <w:r w:rsidRPr="00B61FF1">
        <w:rPr>
          <w:rFonts w:ascii="Arial" w:hAnsi="Arial" w:cs="Arial"/>
          <w:sz w:val="24"/>
          <w:szCs w:val="24"/>
          <w:u w:val="single"/>
        </w:rPr>
        <w:t>ntities may enter a price of zero into the transfer request if the transfer request is submitted to fulfill one of the following transaction agreement types and the entity discloses the agreement type in the transfer request.</w:t>
      </w:r>
    </w:p>
    <w:p w14:paraId="57106760"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 xml:space="preserve">      </w:t>
      </w:r>
      <w:r w:rsidRPr="00B61FF1">
        <w:rPr>
          <w:rFonts w:ascii="Arial" w:hAnsi="Arial" w:cs="Arial"/>
          <w:sz w:val="24"/>
          <w:szCs w:val="24"/>
          <w:u w:val="single"/>
        </w:rPr>
        <w:t>The proposed transfer is between entities with a direct corporate association.</w:t>
      </w:r>
    </w:p>
    <w:p w14:paraId="2B5AACD0"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 xml:space="preserve">      </w:t>
      </w:r>
      <w:r w:rsidRPr="00B61FF1">
        <w:rPr>
          <w:rFonts w:ascii="Arial" w:hAnsi="Arial" w:cs="Arial"/>
          <w:sz w:val="24"/>
          <w:szCs w:val="24"/>
          <w:u w:val="single"/>
        </w:rPr>
        <w:t>The proposed transfer is from an entity’s holding account to its compliance account.</w:t>
      </w:r>
    </w:p>
    <w:p w14:paraId="50A4605C"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 xml:space="preserve">      </w:t>
      </w:r>
      <w:r w:rsidRPr="00B61FF1">
        <w:rPr>
          <w:rFonts w:ascii="Arial" w:hAnsi="Arial" w:cs="Arial"/>
          <w:sz w:val="24"/>
          <w:szCs w:val="24"/>
          <w:u w:val="single"/>
        </w:rPr>
        <w:t>The proposed transfer is from a publicly-owned utility to an entity or a Joint Powers Authority operating a generation facility as a joint venture with the utility.</w:t>
      </w:r>
    </w:p>
    <w:p w14:paraId="4D11771F"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 xml:space="preserve">      </w:t>
      </w:r>
      <w:r w:rsidRPr="00B61FF1">
        <w:rPr>
          <w:rFonts w:ascii="Arial" w:hAnsi="Arial" w:cs="Arial"/>
          <w:sz w:val="24"/>
          <w:szCs w:val="24"/>
          <w:u w:val="single"/>
        </w:rPr>
        <w:t>The proposed transfer is from a public utility to a federal power authority to cover emissions associated with imported power.</w:t>
      </w:r>
    </w:p>
    <w:p w14:paraId="3213C7F7" w14:textId="77777777" w:rsidR="00627764" w:rsidRPr="00B61FF1" w:rsidRDefault="00627764" w:rsidP="00627764">
      <w:pPr>
        <w:spacing w:line="360" w:lineRule="auto"/>
        <w:ind w:left="180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 xml:space="preserve">      </w:t>
      </w:r>
      <w:r w:rsidRPr="00B61FF1">
        <w:rPr>
          <w:rFonts w:ascii="Arial" w:hAnsi="Arial" w:cs="Arial"/>
          <w:sz w:val="24"/>
          <w:szCs w:val="24"/>
          <w:u w:val="single"/>
        </w:rPr>
        <w:t>The proposed transfer is from an electric distribution utility to an entity operating a generation facility under a tolling agreement or other long-term power purchase agreement that does not specify a price or cost basis for the sale of the compliance instruments alone.</w:t>
      </w:r>
    </w:p>
    <w:p w14:paraId="3BEB1131" w14:textId="77777777" w:rsidR="00984C47" w:rsidRPr="00B61FF1" w:rsidRDefault="00627764" w:rsidP="00995258">
      <w:pPr>
        <w:spacing w:line="360" w:lineRule="auto"/>
        <w:ind w:left="180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 xml:space="preserve">      </w:t>
      </w:r>
      <w:r w:rsidRPr="00B61FF1">
        <w:rPr>
          <w:rFonts w:ascii="Arial" w:hAnsi="Arial" w:cs="Arial"/>
          <w:sz w:val="24"/>
          <w:szCs w:val="24"/>
          <w:u w:val="single"/>
        </w:rPr>
        <w:t>The proposed transfer results from a transaction agreement that bundles compliance instruments with other products and does not specify a price or cost basis for the sale of the compliance instruments alone.</w:t>
      </w:r>
    </w:p>
    <w:p w14:paraId="43FF6310" w14:textId="77777777" w:rsidR="00FE6B15" w:rsidRPr="00B61FF1" w:rsidRDefault="00402B2D" w:rsidP="00402B2D">
      <w:pPr>
        <w:spacing w:line="360" w:lineRule="auto"/>
        <w:ind w:left="1080" w:hanging="720"/>
        <w:rPr>
          <w:rFonts w:ascii="Arial" w:hAnsi="Arial" w:cs="Arial"/>
          <w:strike/>
          <w:sz w:val="24"/>
          <w:szCs w:val="24"/>
        </w:rPr>
      </w:pPr>
      <w:r w:rsidRPr="00B61FF1">
        <w:rPr>
          <w:rFonts w:ascii="Arial" w:hAnsi="Arial" w:cs="Arial"/>
          <w:strike/>
          <w:sz w:val="24"/>
          <w:szCs w:val="24"/>
        </w:rPr>
        <w:t>(1)</w:t>
      </w:r>
      <w:r w:rsidRPr="00B61FF1">
        <w:rPr>
          <w:rFonts w:ascii="Arial" w:hAnsi="Arial" w:cs="Arial"/>
          <w:strike/>
          <w:sz w:val="24"/>
          <w:szCs w:val="24"/>
        </w:rPr>
        <w:tab/>
      </w:r>
      <w:r w:rsidR="00C41FC0" w:rsidRPr="00B61FF1">
        <w:rPr>
          <w:rFonts w:ascii="Arial" w:hAnsi="Arial" w:cs="Arial"/>
          <w:strike/>
          <w:sz w:val="24"/>
          <w:szCs w:val="24"/>
        </w:rPr>
        <w:t>Holding a</w:t>
      </w:r>
      <w:r w:rsidR="00FE6B15" w:rsidRPr="00B61FF1">
        <w:rPr>
          <w:rFonts w:ascii="Arial" w:hAnsi="Arial" w:cs="Arial"/>
          <w:strike/>
          <w:sz w:val="24"/>
          <w:szCs w:val="24"/>
        </w:rPr>
        <w:t>ccount number</w:t>
      </w:r>
      <w:r w:rsidR="00DF009B" w:rsidRPr="00B61FF1">
        <w:rPr>
          <w:rFonts w:ascii="Arial" w:hAnsi="Arial" w:cs="Arial"/>
          <w:strike/>
          <w:sz w:val="24"/>
          <w:szCs w:val="24"/>
        </w:rPr>
        <w:t xml:space="preserve"> of the source account</w:t>
      </w:r>
      <w:r w:rsidR="00FE6B15" w:rsidRPr="00B61FF1">
        <w:rPr>
          <w:rFonts w:ascii="Arial" w:hAnsi="Arial" w:cs="Arial"/>
          <w:strike/>
          <w:sz w:val="24"/>
          <w:szCs w:val="24"/>
        </w:rPr>
        <w:t xml:space="preserve"> and </w:t>
      </w:r>
      <w:r w:rsidR="00DF009B" w:rsidRPr="00B61FF1">
        <w:rPr>
          <w:rFonts w:ascii="Arial" w:hAnsi="Arial" w:cs="Arial"/>
          <w:strike/>
          <w:sz w:val="24"/>
          <w:szCs w:val="24"/>
        </w:rPr>
        <w:t xml:space="preserve">identification of two individuals who are the primary </w:t>
      </w:r>
      <w:r w:rsidR="00FE6B15" w:rsidRPr="00B61FF1">
        <w:rPr>
          <w:rFonts w:ascii="Arial" w:hAnsi="Arial" w:cs="Arial"/>
          <w:strike/>
          <w:sz w:val="24"/>
          <w:szCs w:val="24"/>
        </w:rPr>
        <w:t xml:space="preserve">account representative </w:t>
      </w:r>
      <w:r w:rsidR="00DF009B" w:rsidRPr="00B61FF1">
        <w:rPr>
          <w:rFonts w:ascii="Arial" w:hAnsi="Arial" w:cs="Arial"/>
          <w:strike/>
          <w:sz w:val="24"/>
          <w:szCs w:val="24"/>
        </w:rPr>
        <w:t>and/or alternate account representatives initiating the transfer request</w:t>
      </w:r>
      <w:r w:rsidR="00FE6B15" w:rsidRPr="00B61FF1">
        <w:rPr>
          <w:rFonts w:ascii="Arial" w:hAnsi="Arial" w:cs="Arial"/>
          <w:strike/>
          <w:sz w:val="24"/>
          <w:szCs w:val="24"/>
        </w:rPr>
        <w:t>;</w:t>
      </w:r>
    </w:p>
    <w:p w14:paraId="3788239F" w14:textId="77777777" w:rsidR="00FE6B15" w:rsidRPr="00B61FF1" w:rsidRDefault="00402B2D" w:rsidP="00402B2D">
      <w:pPr>
        <w:spacing w:line="360" w:lineRule="auto"/>
        <w:ind w:left="1080" w:hanging="720"/>
        <w:rPr>
          <w:rFonts w:ascii="Arial" w:hAnsi="Arial" w:cs="Arial"/>
          <w:strike/>
          <w:sz w:val="24"/>
          <w:szCs w:val="24"/>
        </w:rPr>
      </w:pPr>
      <w:r w:rsidRPr="00B61FF1">
        <w:rPr>
          <w:rFonts w:ascii="Arial" w:hAnsi="Arial" w:cs="Arial"/>
          <w:strike/>
          <w:sz w:val="24"/>
          <w:szCs w:val="24"/>
        </w:rPr>
        <w:t>(2)</w:t>
      </w:r>
      <w:r w:rsidRPr="00B61FF1">
        <w:rPr>
          <w:rFonts w:ascii="Arial" w:hAnsi="Arial" w:cs="Arial"/>
          <w:strike/>
          <w:sz w:val="24"/>
          <w:szCs w:val="24"/>
        </w:rPr>
        <w:tab/>
      </w:r>
      <w:r w:rsidR="00C41FC0" w:rsidRPr="00B61FF1">
        <w:rPr>
          <w:rFonts w:ascii="Arial" w:hAnsi="Arial" w:cs="Arial"/>
          <w:strike/>
          <w:sz w:val="24"/>
          <w:szCs w:val="24"/>
        </w:rPr>
        <w:t>Holding a</w:t>
      </w:r>
      <w:r w:rsidR="00FE6B15" w:rsidRPr="00B61FF1">
        <w:rPr>
          <w:rFonts w:ascii="Arial" w:hAnsi="Arial" w:cs="Arial"/>
          <w:strike/>
          <w:sz w:val="24"/>
          <w:szCs w:val="24"/>
        </w:rPr>
        <w:t>ccount number</w:t>
      </w:r>
      <w:r w:rsidR="00DF009B" w:rsidRPr="00B61FF1">
        <w:rPr>
          <w:rFonts w:ascii="Arial" w:hAnsi="Arial" w:cs="Arial"/>
          <w:strike/>
          <w:sz w:val="24"/>
          <w:szCs w:val="24"/>
        </w:rPr>
        <w:t xml:space="preserve"> of destination account</w:t>
      </w:r>
      <w:r w:rsidR="00FE6B15" w:rsidRPr="00B61FF1">
        <w:rPr>
          <w:rFonts w:ascii="Arial" w:hAnsi="Arial" w:cs="Arial"/>
          <w:strike/>
          <w:sz w:val="24"/>
          <w:szCs w:val="24"/>
        </w:rPr>
        <w:t xml:space="preserve"> and </w:t>
      </w:r>
      <w:r w:rsidR="00DF009B" w:rsidRPr="00B61FF1">
        <w:rPr>
          <w:rFonts w:ascii="Arial" w:hAnsi="Arial" w:cs="Arial"/>
          <w:strike/>
          <w:sz w:val="24"/>
          <w:szCs w:val="24"/>
        </w:rPr>
        <w:t xml:space="preserve">identification of a primary </w:t>
      </w:r>
      <w:r w:rsidR="00FE6B15" w:rsidRPr="00B61FF1">
        <w:rPr>
          <w:rFonts w:ascii="Arial" w:hAnsi="Arial" w:cs="Arial"/>
          <w:strike/>
          <w:sz w:val="24"/>
          <w:szCs w:val="24"/>
        </w:rPr>
        <w:t>account representative</w:t>
      </w:r>
      <w:r w:rsidR="00DF009B" w:rsidRPr="00B61FF1">
        <w:rPr>
          <w:rFonts w:ascii="Arial" w:hAnsi="Arial" w:cs="Arial"/>
          <w:strike/>
          <w:sz w:val="24"/>
          <w:szCs w:val="24"/>
        </w:rPr>
        <w:t xml:space="preserve"> or alternate account representative for the destination account confirming the transfer request</w:t>
      </w:r>
      <w:r w:rsidR="00FE6B15" w:rsidRPr="00B61FF1">
        <w:rPr>
          <w:rFonts w:ascii="Arial" w:hAnsi="Arial" w:cs="Arial"/>
          <w:strike/>
          <w:sz w:val="24"/>
          <w:szCs w:val="24"/>
        </w:rPr>
        <w:t>;</w:t>
      </w:r>
    </w:p>
    <w:p w14:paraId="7CCB572F" w14:textId="77777777" w:rsidR="00FE6B15" w:rsidRPr="00B61FF1" w:rsidRDefault="00402B2D" w:rsidP="00402B2D">
      <w:pPr>
        <w:spacing w:line="360" w:lineRule="auto"/>
        <w:ind w:left="1080" w:hanging="720"/>
        <w:rPr>
          <w:rFonts w:ascii="Arial" w:hAnsi="Arial" w:cs="Arial"/>
          <w:strike/>
          <w:sz w:val="24"/>
          <w:szCs w:val="24"/>
        </w:rPr>
      </w:pPr>
      <w:r w:rsidRPr="00B61FF1">
        <w:rPr>
          <w:rFonts w:ascii="Arial" w:hAnsi="Arial" w:cs="Arial"/>
          <w:strike/>
          <w:sz w:val="24"/>
          <w:szCs w:val="24"/>
        </w:rPr>
        <w:t>(3)</w:t>
      </w:r>
      <w:r w:rsidRPr="00B61FF1">
        <w:rPr>
          <w:rFonts w:ascii="Arial" w:hAnsi="Arial" w:cs="Arial"/>
          <w:strike/>
          <w:sz w:val="24"/>
          <w:szCs w:val="24"/>
        </w:rPr>
        <w:tab/>
      </w:r>
      <w:r w:rsidR="00FE6B15" w:rsidRPr="00B61FF1">
        <w:rPr>
          <w:rFonts w:ascii="Arial" w:hAnsi="Arial" w:cs="Arial"/>
          <w:strike/>
          <w:sz w:val="24"/>
          <w:szCs w:val="24"/>
        </w:rPr>
        <w:t>Serial number</w:t>
      </w:r>
      <w:r w:rsidR="00DF009B" w:rsidRPr="00B61FF1">
        <w:rPr>
          <w:rFonts w:ascii="Arial" w:hAnsi="Arial" w:cs="Arial"/>
          <w:strike/>
          <w:sz w:val="24"/>
          <w:szCs w:val="24"/>
        </w:rPr>
        <w:t>s</w:t>
      </w:r>
      <w:r w:rsidR="00FE6B15" w:rsidRPr="00B61FF1">
        <w:rPr>
          <w:rFonts w:ascii="Arial" w:hAnsi="Arial" w:cs="Arial"/>
          <w:strike/>
          <w:sz w:val="24"/>
          <w:szCs w:val="24"/>
        </w:rPr>
        <w:t xml:space="preserve"> of </w:t>
      </w:r>
      <w:r w:rsidR="00C41FC0" w:rsidRPr="00B61FF1">
        <w:rPr>
          <w:rFonts w:ascii="Arial" w:hAnsi="Arial" w:cs="Arial"/>
          <w:strike/>
          <w:sz w:val="24"/>
          <w:szCs w:val="24"/>
        </w:rPr>
        <w:t xml:space="preserve">the </w:t>
      </w:r>
      <w:r w:rsidR="00FE6B15" w:rsidRPr="00B61FF1">
        <w:rPr>
          <w:rFonts w:ascii="Arial" w:hAnsi="Arial" w:cs="Arial"/>
          <w:strike/>
          <w:sz w:val="24"/>
          <w:szCs w:val="24"/>
        </w:rPr>
        <w:t>compliance instrument</w:t>
      </w:r>
      <w:r w:rsidR="00FF484A" w:rsidRPr="00B61FF1">
        <w:rPr>
          <w:rFonts w:ascii="Arial" w:hAnsi="Arial" w:cs="Arial"/>
          <w:strike/>
          <w:sz w:val="24"/>
          <w:szCs w:val="24"/>
        </w:rPr>
        <w:t>s</w:t>
      </w:r>
      <w:r w:rsidR="00FE6B15" w:rsidRPr="00B61FF1">
        <w:rPr>
          <w:rFonts w:ascii="Arial" w:hAnsi="Arial" w:cs="Arial"/>
          <w:strike/>
          <w:sz w:val="24"/>
          <w:szCs w:val="24"/>
        </w:rPr>
        <w:t>;</w:t>
      </w:r>
    </w:p>
    <w:p w14:paraId="1FDCB0C5" w14:textId="77777777" w:rsidR="00FE6B15" w:rsidRPr="00B61FF1" w:rsidRDefault="00D60FF3" w:rsidP="00402B2D">
      <w:pPr>
        <w:spacing w:line="360" w:lineRule="auto"/>
        <w:ind w:left="1080" w:hanging="720"/>
        <w:rPr>
          <w:rFonts w:ascii="Arial" w:hAnsi="Arial" w:cs="Arial"/>
          <w:strike/>
          <w:sz w:val="24"/>
          <w:szCs w:val="24"/>
        </w:rPr>
      </w:pPr>
      <w:r w:rsidRPr="00B61FF1">
        <w:rPr>
          <w:rFonts w:ascii="Arial" w:hAnsi="Arial" w:cs="Arial"/>
          <w:strike/>
          <w:sz w:val="24"/>
          <w:szCs w:val="24"/>
          <w:u w:val="single"/>
        </w:rPr>
        <w:t>(4</w:t>
      </w:r>
      <w:r w:rsidR="00DB16F4" w:rsidRPr="00B61FF1">
        <w:rPr>
          <w:rFonts w:ascii="Arial" w:hAnsi="Arial" w:cs="Arial"/>
          <w:strike/>
          <w:sz w:val="24"/>
          <w:szCs w:val="24"/>
          <w:u w:val="single"/>
        </w:rPr>
        <w:t>)</w:t>
      </w:r>
      <w:r w:rsidR="00402B2D" w:rsidRPr="00B61FF1">
        <w:rPr>
          <w:rFonts w:ascii="Arial" w:hAnsi="Arial" w:cs="Arial"/>
          <w:strike/>
          <w:sz w:val="24"/>
          <w:szCs w:val="24"/>
        </w:rPr>
        <w:tab/>
      </w:r>
      <w:r w:rsidR="00FE6B15" w:rsidRPr="00B61FF1">
        <w:rPr>
          <w:rFonts w:ascii="Arial" w:hAnsi="Arial" w:cs="Arial"/>
          <w:strike/>
          <w:sz w:val="24"/>
          <w:szCs w:val="24"/>
        </w:rPr>
        <w:t xml:space="preserve">Date of </w:t>
      </w:r>
      <w:r w:rsidR="00C41FC0" w:rsidRPr="00B61FF1">
        <w:rPr>
          <w:rFonts w:ascii="Arial" w:hAnsi="Arial" w:cs="Arial"/>
          <w:strike/>
          <w:sz w:val="24"/>
          <w:szCs w:val="24"/>
        </w:rPr>
        <w:t xml:space="preserve">the </w:t>
      </w:r>
      <w:r w:rsidR="00FE6B15" w:rsidRPr="00B61FF1">
        <w:rPr>
          <w:rFonts w:ascii="Arial" w:hAnsi="Arial" w:cs="Arial"/>
          <w:strike/>
          <w:sz w:val="24"/>
          <w:szCs w:val="24"/>
        </w:rPr>
        <w:t>transaction agreement</w:t>
      </w:r>
      <w:r w:rsidR="00DF009B" w:rsidRPr="00B61FF1">
        <w:rPr>
          <w:rFonts w:ascii="Arial" w:hAnsi="Arial" w:cs="Arial"/>
          <w:strike/>
          <w:sz w:val="24"/>
          <w:szCs w:val="24"/>
        </w:rPr>
        <w:t xml:space="preserve"> for which the transfer request is submitted</w:t>
      </w:r>
      <w:r w:rsidR="00FE6B15" w:rsidRPr="00B61FF1">
        <w:rPr>
          <w:rFonts w:ascii="Arial" w:hAnsi="Arial" w:cs="Arial"/>
          <w:strike/>
          <w:sz w:val="24"/>
          <w:szCs w:val="24"/>
        </w:rPr>
        <w:t>;</w:t>
      </w:r>
    </w:p>
    <w:p w14:paraId="7076316E" w14:textId="77777777" w:rsidR="00FE6B15" w:rsidRPr="00B61FF1" w:rsidRDefault="00D60FF3" w:rsidP="00402B2D">
      <w:pPr>
        <w:spacing w:line="360" w:lineRule="auto"/>
        <w:ind w:left="1080" w:hanging="720"/>
        <w:rPr>
          <w:rFonts w:ascii="Arial" w:hAnsi="Arial" w:cs="Arial"/>
          <w:strike/>
          <w:sz w:val="24"/>
          <w:szCs w:val="24"/>
        </w:rPr>
      </w:pPr>
      <w:r w:rsidRPr="00B61FF1">
        <w:rPr>
          <w:rFonts w:ascii="Arial" w:hAnsi="Arial" w:cs="Arial"/>
          <w:strike/>
          <w:sz w:val="24"/>
          <w:szCs w:val="24"/>
          <w:u w:val="single"/>
        </w:rPr>
        <w:t>(5</w:t>
      </w:r>
      <w:r w:rsidR="00DB16F4" w:rsidRPr="00B61FF1">
        <w:rPr>
          <w:rFonts w:ascii="Arial" w:hAnsi="Arial" w:cs="Arial"/>
          <w:strike/>
          <w:sz w:val="24"/>
          <w:szCs w:val="24"/>
          <w:u w:val="single"/>
        </w:rPr>
        <w:t>)</w:t>
      </w:r>
      <w:r w:rsidR="00402B2D" w:rsidRPr="00B61FF1">
        <w:rPr>
          <w:rFonts w:ascii="Arial" w:hAnsi="Arial" w:cs="Arial"/>
          <w:strike/>
          <w:sz w:val="24"/>
          <w:szCs w:val="24"/>
        </w:rPr>
        <w:tab/>
      </w:r>
      <w:r w:rsidR="00DF009B" w:rsidRPr="00B61FF1">
        <w:rPr>
          <w:rFonts w:ascii="Arial" w:hAnsi="Arial" w:cs="Arial"/>
          <w:strike/>
          <w:sz w:val="24"/>
          <w:szCs w:val="24"/>
        </w:rPr>
        <w:t>Actual or expected s</w:t>
      </w:r>
      <w:r w:rsidR="00FE6B15" w:rsidRPr="00B61FF1">
        <w:rPr>
          <w:rFonts w:ascii="Arial" w:hAnsi="Arial" w:cs="Arial"/>
          <w:strike/>
          <w:sz w:val="24"/>
          <w:szCs w:val="24"/>
        </w:rPr>
        <w:t xml:space="preserve">ettlement date, if not the same as date of </w:t>
      </w:r>
      <w:r w:rsidR="00DF009B" w:rsidRPr="00B61FF1">
        <w:rPr>
          <w:rFonts w:ascii="Arial" w:hAnsi="Arial" w:cs="Arial"/>
          <w:strike/>
          <w:sz w:val="24"/>
          <w:szCs w:val="24"/>
        </w:rPr>
        <w:t xml:space="preserve">the </w:t>
      </w:r>
      <w:r w:rsidR="00FE6B15" w:rsidRPr="00B61FF1">
        <w:rPr>
          <w:rFonts w:ascii="Arial" w:hAnsi="Arial" w:cs="Arial"/>
          <w:strike/>
          <w:sz w:val="24"/>
          <w:szCs w:val="24"/>
        </w:rPr>
        <w:t>transaction agreement;</w:t>
      </w:r>
    </w:p>
    <w:p w14:paraId="01534E30" w14:textId="77777777" w:rsidR="00DF009B" w:rsidRPr="00B61FF1" w:rsidRDefault="00D60FF3" w:rsidP="00402B2D">
      <w:pPr>
        <w:spacing w:line="360" w:lineRule="auto"/>
        <w:ind w:left="1080" w:hanging="720"/>
        <w:rPr>
          <w:rFonts w:ascii="Arial" w:hAnsi="Arial" w:cs="Arial"/>
          <w:strike/>
          <w:sz w:val="24"/>
          <w:szCs w:val="24"/>
        </w:rPr>
      </w:pPr>
      <w:r w:rsidRPr="00B61FF1">
        <w:rPr>
          <w:rFonts w:ascii="Arial" w:hAnsi="Arial" w:cs="Arial"/>
          <w:strike/>
          <w:sz w:val="24"/>
          <w:szCs w:val="24"/>
          <w:u w:val="single"/>
        </w:rPr>
        <w:t>(6</w:t>
      </w:r>
      <w:r w:rsidR="00DB16F4" w:rsidRPr="00B61FF1">
        <w:rPr>
          <w:rFonts w:ascii="Arial" w:hAnsi="Arial" w:cs="Arial"/>
          <w:strike/>
          <w:sz w:val="24"/>
          <w:szCs w:val="24"/>
          <w:u w:val="single"/>
        </w:rPr>
        <w:t>)</w:t>
      </w:r>
      <w:r w:rsidR="00402B2D" w:rsidRPr="00B61FF1">
        <w:rPr>
          <w:rFonts w:ascii="Arial" w:hAnsi="Arial" w:cs="Arial"/>
          <w:strike/>
          <w:sz w:val="24"/>
          <w:szCs w:val="24"/>
        </w:rPr>
        <w:tab/>
      </w:r>
      <w:r w:rsidR="00FE6B15" w:rsidRPr="00B61FF1">
        <w:rPr>
          <w:rFonts w:ascii="Arial" w:hAnsi="Arial" w:cs="Arial"/>
          <w:strike/>
          <w:sz w:val="24"/>
          <w:szCs w:val="24"/>
        </w:rPr>
        <w:t>Price of the</w:t>
      </w:r>
      <w:r w:rsidR="00082BC6" w:rsidRPr="00B61FF1">
        <w:rPr>
          <w:rFonts w:ascii="Arial" w:hAnsi="Arial" w:cs="Arial"/>
          <w:strike/>
          <w:sz w:val="24"/>
          <w:szCs w:val="24"/>
        </w:rPr>
        <w:t xml:space="preserve"> compliance </w:t>
      </w:r>
      <w:r w:rsidR="00FE6B15" w:rsidRPr="00B61FF1">
        <w:rPr>
          <w:rFonts w:ascii="Arial" w:hAnsi="Arial" w:cs="Arial"/>
          <w:strike/>
          <w:sz w:val="24"/>
          <w:szCs w:val="24"/>
        </w:rPr>
        <w:t xml:space="preserve">instrument in U.S. dollars.  </w:t>
      </w:r>
      <w:r w:rsidR="00DF009B" w:rsidRPr="00B61FF1">
        <w:rPr>
          <w:rFonts w:ascii="Arial" w:hAnsi="Arial" w:cs="Arial"/>
          <w:strike/>
          <w:sz w:val="24"/>
          <w:szCs w:val="24"/>
        </w:rPr>
        <w:t>Disclosure of price is not required for transfers between entities with a direct corporate association or from an entity’s holding account to its compliance account.</w:t>
      </w:r>
    </w:p>
    <w:p w14:paraId="73EB3969" w14:textId="77777777" w:rsidR="00E16E77" w:rsidRPr="00B61FF1" w:rsidRDefault="00E16E77" w:rsidP="00E16E77">
      <w:pPr>
        <w:spacing w:line="360" w:lineRule="auto"/>
        <w:ind w:left="1080" w:hanging="720"/>
        <w:rPr>
          <w:rFonts w:ascii="Arial" w:hAnsi="Arial" w:cs="Arial"/>
          <w:strike/>
          <w:sz w:val="24"/>
          <w:szCs w:val="24"/>
        </w:rPr>
      </w:pPr>
      <w:r w:rsidRPr="00B61FF1">
        <w:rPr>
          <w:rFonts w:ascii="Arial" w:hAnsi="Arial" w:cs="Arial"/>
          <w:strike/>
          <w:sz w:val="24"/>
          <w:szCs w:val="24"/>
        </w:rPr>
        <w:t>(7)</w:t>
      </w:r>
      <w:r w:rsidRPr="00B61FF1">
        <w:rPr>
          <w:rFonts w:ascii="Arial" w:hAnsi="Arial" w:cs="Arial"/>
          <w:strike/>
          <w:sz w:val="24"/>
          <w:szCs w:val="24"/>
        </w:rPr>
        <w:tab/>
        <w:t>If California links to Canadian jurisdictions pursuant to subarticle 12,</w:t>
      </w:r>
      <w:r w:rsidR="00087DB0" w:rsidRPr="00B61FF1">
        <w:rPr>
          <w:rFonts w:ascii="Arial" w:hAnsi="Arial" w:cs="Arial"/>
          <w:strike/>
          <w:sz w:val="24"/>
          <w:szCs w:val="24"/>
        </w:rPr>
        <w:t xml:space="preserve"> </w:t>
      </w:r>
      <w:r w:rsidRPr="00B61FF1">
        <w:rPr>
          <w:rFonts w:ascii="Arial" w:hAnsi="Arial" w:cs="Arial"/>
          <w:strike/>
          <w:sz w:val="24"/>
          <w:szCs w:val="24"/>
        </w:rPr>
        <w:t>the price of the compliance instrument may be reported in Canadian dollars in section 95921(b)(6).</w:t>
      </w:r>
    </w:p>
    <w:p w14:paraId="22067745" w14:textId="77777777" w:rsidR="00F94FA9" w:rsidRPr="00B61FF1" w:rsidRDefault="00F94FA9" w:rsidP="00F94FA9">
      <w:pPr>
        <w:spacing w:line="360" w:lineRule="auto"/>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Transfer Request Deficiencies</w:t>
      </w:r>
    </w:p>
    <w:p w14:paraId="6D1A5653" w14:textId="77777777" w:rsidR="00F94FA9" w:rsidRPr="00B61FF1" w:rsidRDefault="00F94FA9" w:rsidP="00F94FA9">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If the accounts administrator detects a deficiency in a transfer request before it is recorded into the tracking system:</w:t>
      </w:r>
    </w:p>
    <w:p w14:paraId="266E9A33" w14:textId="77777777" w:rsidR="00F94FA9" w:rsidRPr="00B61FF1" w:rsidRDefault="00F94FA9" w:rsidP="00F94FA9">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accounts administrator will inform the entities submitting the request</w:t>
      </w:r>
      <w:r w:rsidR="00A81D42" w:rsidRPr="00B61FF1">
        <w:rPr>
          <w:rFonts w:ascii="Arial" w:hAnsi="Arial" w:cs="Arial"/>
          <w:sz w:val="24"/>
          <w:szCs w:val="24"/>
          <w:u w:val="single"/>
        </w:rPr>
        <w:t xml:space="preserve"> that the transfer request is deficient</w:t>
      </w:r>
      <w:r w:rsidRPr="00B61FF1">
        <w:rPr>
          <w:rFonts w:ascii="Arial" w:hAnsi="Arial" w:cs="Arial"/>
          <w:sz w:val="24"/>
          <w:szCs w:val="24"/>
        </w:rPr>
        <w:t xml:space="preserve"> and</w:t>
      </w:r>
      <w:r w:rsidR="00A81D42" w:rsidRPr="00B61FF1">
        <w:rPr>
          <w:rFonts w:ascii="Arial" w:hAnsi="Arial" w:cs="Arial"/>
          <w:sz w:val="24"/>
          <w:szCs w:val="24"/>
          <w:u w:val="single"/>
        </w:rPr>
        <w:t xml:space="preserve"> inform</w:t>
      </w:r>
      <w:r w:rsidRPr="00B61FF1">
        <w:rPr>
          <w:rFonts w:ascii="Arial" w:hAnsi="Arial" w:cs="Arial"/>
          <w:sz w:val="24"/>
          <w:szCs w:val="24"/>
        </w:rPr>
        <w:t xml:space="preserve"> the Executive Officer of the deficiency;</w:t>
      </w:r>
    </w:p>
    <w:p w14:paraId="7C1E6DAA" w14:textId="77777777" w:rsidR="00A81D42" w:rsidRPr="00B61FF1" w:rsidRDefault="00A81D42" w:rsidP="00A81D42">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The accounts administrator will inform the entity responsible for the deficiency of the specific problem to be remedied.</w:t>
      </w:r>
    </w:p>
    <w:p w14:paraId="36621C7A" w14:textId="77777777" w:rsidR="00F94FA9" w:rsidRPr="00B61FF1" w:rsidRDefault="00F94FA9" w:rsidP="00F94FA9">
      <w:pPr>
        <w:spacing w:line="360" w:lineRule="auto"/>
        <w:ind w:left="1800" w:hanging="720"/>
        <w:rPr>
          <w:rFonts w:ascii="Arial" w:hAnsi="Arial" w:cs="Arial"/>
          <w:sz w:val="24"/>
          <w:szCs w:val="24"/>
        </w:rPr>
      </w:pPr>
      <w:r w:rsidRPr="00B61FF1">
        <w:rPr>
          <w:rFonts w:ascii="Arial" w:hAnsi="Arial" w:cs="Arial"/>
          <w:sz w:val="24"/>
          <w:szCs w:val="24"/>
          <w:u w:val="single"/>
        </w:rPr>
        <w:t>(</w:t>
      </w:r>
      <w:r w:rsidR="00A81D42" w:rsidRPr="00B61FF1">
        <w:rPr>
          <w:rFonts w:ascii="Arial" w:hAnsi="Arial" w:cs="Arial"/>
          <w:sz w:val="24"/>
          <w:szCs w:val="24"/>
          <w:u w:val="single"/>
        </w:rPr>
        <w:t>C</w:t>
      </w:r>
      <w:r w:rsidRPr="00B61FF1">
        <w:rPr>
          <w:rFonts w:ascii="Arial" w:hAnsi="Arial" w:cs="Arial"/>
          <w:sz w:val="24"/>
          <w:szCs w:val="24"/>
          <w:u w:val="single"/>
        </w:rPr>
        <w:t>)</w:t>
      </w:r>
      <w:r w:rsidR="005A7C3A" w:rsidRPr="00B61FF1">
        <w:rPr>
          <w:rFonts w:ascii="Arial" w:hAnsi="Arial" w:cs="Arial"/>
          <w:strike/>
          <w:sz w:val="24"/>
          <w:szCs w:val="24"/>
        </w:rPr>
        <w:t>(B)</w:t>
      </w:r>
      <w:r w:rsidRPr="00B61FF1">
        <w:rPr>
          <w:rFonts w:ascii="Arial" w:hAnsi="Arial" w:cs="Arial"/>
          <w:sz w:val="24"/>
          <w:szCs w:val="24"/>
        </w:rPr>
        <w:tab/>
        <w:t>The entities submitting the transfer request may resubmit the request with the deficiency corrected within the time limit set pursuant to sections 95921(a)(1)(C) and (E); and</w:t>
      </w:r>
    </w:p>
    <w:p w14:paraId="6CEB48C3" w14:textId="77777777" w:rsidR="00F94FA9" w:rsidRPr="00B61FF1" w:rsidRDefault="00F94FA9" w:rsidP="00F94FA9">
      <w:pPr>
        <w:spacing w:line="360" w:lineRule="auto"/>
        <w:ind w:left="1800" w:hanging="720"/>
        <w:rPr>
          <w:rFonts w:ascii="Arial" w:hAnsi="Arial" w:cs="Arial"/>
          <w:sz w:val="24"/>
          <w:szCs w:val="24"/>
        </w:rPr>
      </w:pPr>
      <w:r w:rsidRPr="00B61FF1">
        <w:rPr>
          <w:rFonts w:ascii="Arial" w:hAnsi="Arial" w:cs="Arial"/>
          <w:sz w:val="24"/>
          <w:szCs w:val="24"/>
          <w:u w:val="single"/>
        </w:rPr>
        <w:t>(</w:t>
      </w:r>
      <w:r w:rsidR="00A81D42" w:rsidRPr="00B61FF1">
        <w:rPr>
          <w:rFonts w:ascii="Arial" w:hAnsi="Arial" w:cs="Arial"/>
          <w:sz w:val="24"/>
          <w:szCs w:val="24"/>
          <w:u w:val="single"/>
        </w:rPr>
        <w:t>D</w:t>
      </w:r>
      <w:r w:rsidRPr="00B61FF1">
        <w:rPr>
          <w:rFonts w:ascii="Arial" w:hAnsi="Arial" w:cs="Arial"/>
          <w:sz w:val="24"/>
          <w:szCs w:val="24"/>
          <w:u w:val="single"/>
        </w:rPr>
        <w:t>)</w:t>
      </w:r>
      <w:r w:rsidR="005A7C3A" w:rsidRPr="00B61FF1">
        <w:rPr>
          <w:rFonts w:ascii="Arial" w:hAnsi="Arial" w:cs="Arial"/>
          <w:strike/>
          <w:sz w:val="24"/>
          <w:szCs w:val="24"/>
        </w:rPr>
        <w:t>(C)</w:t>
      </w:r>
      <w:r w:rsidRPr="00B61FF1">
        <w:rPr>
          <w:rFonts w:ascii="Arial" w:hAnsi="Arial" w:cs="Arial"/>
          <w:sz w:val="24"/>
          <w:szCs w:val="24"/>
        </w:rPr>
        <w:tab/>
        <w:t>If the entities fail to submit an acceptable transfer request within the time limit, then they must either withdraw the transfer request or submit a new transfer request.  Penalties may still apply pursuant to section 95921(a)(3).</w:t>
      </w:r>
    </w:p>
    <w:p w14:paraId="195355E1" w14:textId="77777777" w:rsidR="00F94FA9" w:rsidRPr="00B61FF1" w:rsidRDefault="00F94FA9" w:rsidP="00F94FA9">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If the accounts administrator detects a deficiency in a transfer request after it is recorded into the tracking system:</w:t>
      </w:r>
    </w:p>
    <w:p w14:paraId="2D126817" w14:textId="77777777" w:rsidR="00F94FA9" w:rsidRPr="00B61FF1" w:rsidRDefault="00F94FA9" w:rsidP="00F94FA9">
      <w:pPr>
        <w:spacing w:line="360" w:lineRule="auto"/>
        <w:ind w:left="1800" w:hanging="720"/>
        <w:rPr>
          <w:rFonts w:ascii="Arial" w:hAnsi="Arial" w:cs="Arial"/>
          <w:strike/>
          <w:sz w:val="24"/>
          <w:szCs w:val="24"/>
        </w:rPr>
      </w:pPr>
      <w:r w:rsidRPr="00B61FF1">
        <w:rPr>
          <w:rFonts w:ascii="Arial" w:hAnsi="Arial" w:cs="Arial"/>
          <w:sz w:val="24"/>
          <w:szCs w:val="24"/>
        </w:rPr>
        <w:t>(A)</w:t>
      </w:r>
      <w:r w:rsidRPr="00B61FF1">
        <w:rPr>
          <w:rFonts w:ascii="Arial" w:hAnsi="Arial" w:cs="Arial"/>
          <w:sz w:val="24"/>
          <w:szCs w:val="24"/>
        </w:rPr>
        <w:tab/>
        <w:t>The accounts administrator will inform the entities submitting the request</w:t>
      </w:r>
      <w:r w:rsidR="00A81D42" w:rsidRPr="00B61FF1">
        <w:rPr>
          <w:rFonts w:ascii="Arial" w:hAnsi="Arial" w:cs="Arial"/>
          <w:sz w:val="24"/>
          <w:szCs w:val="24"/>
          <w:u w:val="single"/>
        </w:rPr>
        <w:t xml:space="preserve"> that the transfer request is deficient</w:t>
      </w:r>
      <w:r w:rsidRPr="00B61FF1">
        <w:rPr>
          <w:rFonts w:ascii="Arial" w:hAnsi="Arial" w:cs="Arial"/>
          <w:sz w:val="24"/>
          <w:szCs w:val="24"/>
        </w:rPr>
        <w:t xml:space="preserve"> and</w:t>
      </w:r>
      <w:r w:rsidR="00A81D42" w:rsidRPr="00B61FF1">
        <w:rPr>
          <w:rFonts w:ascii="Arial" w:hAnsi="Arial" w:cs="Arial"/>
          <w:sz w:val="24"/>
          <w:szCs w:val="24"/>
          <w:u w:val="single"/>
        </w:rPr>
        <w:t xml:space="preserve"> inform</w:t>
      </w:r>
      <w:r w:rsidRPr="00B61FF1">
        <w:rPr>
          <w:rFonts w:ascii="Arial" w:hAnsi="Arial" w:cs="Arial"/>
          <w:sz w:val="24"/>
          <w:szCs w:val="24"/>
        </w:rPr>
        <w:t xml:space="preserve"> the Executive Officer of the deficiency; </w:t>
      </w:r>
      <w:r w:rsidR="00A81D42" w:rsidRPr="00B61FF1">
        <w:rPr>
          <w:rFonts w:ascii="Arial" w:hAnsi="Arial" w:cs="Arial"/>
          <w:strike/>
          <w:sz w:val="24"/>
          <w:szCs w:val="24"/>
        </w:rPr>
        <w:t>and</w:t>
      </w:r>
    </w:p>
    <w:p w14:paraId="362FFB8B" w14:textId="3C7C65FD" w:rsidR="00A81D42" w:rsidRPr="00B61FF1" w:rsidRDefault="00A81D42" w:rsidP="00A81D42">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 xml:space="preserve">If the deficiency is </w:t>
      </w:r>
      <w:r w:rsidR="00995258" w:rsidRPr="00B61FF1">
        <w:rPr>
          <w:rFonts w:ascii="Arial" w:hAnsi="Arial" w:cs="Arial"/>
          <w:sz w:val="24"/>
          <w:szCs w:val="24"/>
          <w:u w:val="single"/>
        </w:rPr>
        <w:t>based on</w:t>
      </w:r>
      <w:r w:rsidRPr="00B61FF1">
        <w:rPr>
          <w:rFonts w:ascii="Arial" w:hAnsi="Arial" w:cs="Arial"/>
          <w:sz w:val="24"/>
          <w:szCs w:val="24"/>
          <w:u w:val="single"/>
        </w:rPr>
        <w:t xml:space="preserve"> the information submitted by the representative of the source account, the Executive Officer will inform the submitting representative of the specific deficiency;</w:t>
      </w:r>
    </w:p>
    <w:p w14:paraId="69D1DE62" w14:textId="77777777" w:rsidR="00A81D42" w:rsidRPr="00B61FF1" w:rsidRDefault="00A81D42" w:rsidP="00515561">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If the deficiency is a violation of the holding limit, the Executive Officer will inform the primary account representative for the account listed on the transfer request as the destination account</w:t>
      </w:r>
      <w:r w:rsidR="00515561" w:rsidRPr="00B61FF1">
        <w:rPr>
          <w:rFonts w:ascii="Arial" w:hAnsi="Arial" w:cs="Arial"/>
          <w:sz w:val="24"/>
          <w:szCs w:val="24"/>
          <w:u w:val="single"/>
        </w:rPr>
        <w:t xml:space="preserve"> of the deficiency; and</w:t>
      </w:r>
    </w:p>
    <w:p w14:paraId="334D3C1B" w14:textId="77777777" w:rsidR="00F94FA9" w:rsidRPr="00B61FF1" w:rsidRDefault="005A7C3A" w:rsidP="00F94FA9">
      <w:pPr>
        <w:spacing w:line="360" w:lineRule="auto"/>
        <w:ind w:left="1800" w:hanging="720"/>
        <w:rPr>
          <w:rFonts w:ascii="Arial" w:hAnsi="Arial" w:cs="Arial"/>
          <w:sz w:val="24"/>
          <w:szCs w:val="24"/>
        </w:rPr>
      </w:pPr>
      <w:r w:rsidRPr="00B61FF1">
        <w:rPr>
          <w:rFonts w:ascii="Arial" w:hAnsi="Arial" w:cs="Arial"/>
          <w:sz w:val="24"/>
          <w:szCs w:val="24"/>
          <w:u w:val="single"/>
        </w:rPr>
        <w:t>(D)</w:t>
      </w:r>
      <w:r w:rsidR="00F94FA9" w:rsidRPr="00B61FF1">
        <w:rPr>
          <w:rFonts w:ascii="Arial" w:hAnsi="Arial" w:cs="Arial"/>
          <w:strike/>
          <w:sz w:val="24"/>
          <w:szCs w:val="24"/>
        </w:rPr>
        <w:t>(B)</w:t>
      </w:r>
      <w:r w:rsidR="00F94FA9" w:rsidRPr="00B61FF1">
        <w:rPr>
          <w:rFonts w:ascii="Arial" w:hAnsi="Arial" w:cs="Arial"/>
          <w:sz w:val="24"/>
          <w:szCs w:val="24"/>
        </w:rPr>
        <w:tab/>
        <w:t>If the entities that submitted the transfer request cannot correct the defi</w:t>
      </w:r>
      <w:r w:rsidR="00515561" w:rsidRPr="00B61FF1">
        <w:rPr>
          <w:rFonts w:ascii="Arial" w:hAnsi="Arial" w:cs="Arial"/>
          <w:sz w:val="24"/>
          <w:szCs w:val="24"/>
          <w:u w:val="single"/>
        </w:rPr>
        <w:t>ci</w:t>
      </w:r>
      <w:r w:rsidR="00F94FA9" w:rsidRPr="00B61FF1">
        <w:rPr>
          <w:rFonts w:ascii="Arial" w:hAnsi="Arial" w:cs="Arial"/>
          <w:sz w:val="24"/>
          <w:szCs w:val="24"/>
        </w:rPr>
        <w:t>ency within five business days after notification by the accounts administrator, the Executive Officer may instruct the accounts administrator to reverse the transfer.</w:t>
      </w:r>
    </w:p>
    <w:p w14:paraId="35079DDE" w14:textId="77777777" w:rsidR="00F94FA9" w:rsidRPr="00B61FF1" w:rsidRDefault="00F94FA9" w:rsidP="00F94FA9">
      <w:pPr>
        <w:spacing w:line="360" w:lineRule="auto"/>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Transfers Involving Exchange Clearing Holding Accounts.</w:t>
      </w:r>
    </w:p>
    <w:p w14:paraId="0040211F" w14:textId="77777777" w:rsidR="00F94FA9" w:rsidRPr="00B61FF1" w:rsidRDefault="00F94FA9" w:rsidP="00F94FA9">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 request to transfer compliance instru</w:t>
      </w:r>
      <w:r w:rsidRPr="00B61FF1">
        <w:rPr>
          <w:rFonts w:ascii="Arial" w:hAnsi="Arial" w:cs="Arial"/>
          <w:strike/>
          <w:sz w:val="24"/>
          <w:szCs w:val="24"/>
        </w:rPr>
        <w:t>e</w:t>
      </w:r>
      <w:r w:rsidRPr="00B61FF1">
        <w:rPr>
          <w:rFonts w:ascii="Arial" w:hAnsi="Arial" w:cs="Arial"/>
          <w:sz w:val="24"/>
          <w:szCs w:val="24"/>
        </w:rPr>
        <w:t>ments to an exchange clearing holding account will list the exchange clearing holding account as the destination account.</w:t>
      </w:r>
    </w:p>
    <w:p w14:paraId="37436313" w14:textId="77777777" w:rsidR="00F94FA9" w:rsidRPr="00B61FF1" w:rsidRDefault="00F94FA9" w:rsidP="00F94FA9">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All of the compliance instruments received by an exchange clearing holding account must be transferred to one or more destination accounts within five days of receiving them.</w:t>
      </w:r>
    </w:p>
    <w:p w14:paraId="2F3CAE51" w14:textId="77777777" w:rsidR="00F94FA9" w:rsidRPr="00B61FF1" w:rsidRDefault="00F94FA9" w:rsidP="00F94FA9">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 request to transfer compliance instruments to or from an exchange clearing holding account does not require confirmation by an account representative of the destination account pursuant to section 95921(a)(1)(C).</w:t>
      </w:r>
    </w:p>
    <w:p w14:paraId="45F81631" w14:textId="77777777" w:rsidR="00BF5D19" w:rsidRPr="00B61FF1" w:rsidRDefault="00BF5D19" w:rsidP="00F94FA9">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A request to transfer compliance instruments from an exchange clearing holding account does not require confirmation by a second account.</w:t>
      </w:r>
    </w:p>
    <w:p w14:paraId="59783B8D" w14:textId="77777777" w:rsidR="00F16A28" w:rsidRPr="00B61FF1" w:rsidRDefault="00F16A28" w:rsidP="00BF5D19">
      <w:pPr>
        <w:tabs>
          <w:tab w:val="left" w:pos="720"/>
        </w:tabs>
        <w:spacing w:line="360" w:lineRule="auto"/>
        <w:ind w:left="720" w:hanging="720"/>
        <w:rPr>
          <w:rFonts w:ascii="Arial" w:hAnsi="Arial" w:cs="Arial"/>
          <w:sz w:val="24"/>
          <w:szCs w:val="24"/>
        </w:rPr>
      </w:pPr>
      <w:r w:rsidRPr="00B61FF1">
        <w:rPr>
          <w:rFonts w:ascii="Arial" w:hAnsi="Arial" w:cs="Arial"/>
          <w:sz w:val="24"/>
          <w:szCs w:val="24"/>
        </w:rPr>
        <w:t>(</w:t>
      </w:r>
      <w:r w:rsidR="00BF5D19" w:rsidRPr="00B61FF1">
        <w:rPr>
          <w:rFonts w:ascii="Arial" w:hAnsi="Arial" w:cs="Arial"/>
          <w:sz w:val="24"/>
          <w:szCs w:val="24"/>
        </w:rPr>
        <w:t>e</w:t>
      </w:r>
      <w:r w:rsidRPr="00B61FF1">
        <w:rPr>
          <w:rFonts w:ascii="Arial" w:hAnsi="Arial" w:cs="Arial"/>
          <w:sz w:val="24"/>
          <w:szCs w:val="24"/>
        </w:rPr>
        <w:t>)</w:t>
      </w:r>
      <w:r w:rsidRPr="00B61FF1">
        <w:rPr>
          <w:rFonts w:ascii="Arial" w:hAnsi="Arial" w:cs="Arial"/>
          <w:sz w:val="24"/>
          <w:szCs w:val="24"/>
        </w:rPr>
        <w:tab/>
        <w:t xml:space="preserve">Protection of Confidential Information.  The Executive Officer will </w:t>
      </w:r>
      <w:r w:rsidR="00BF5D19" w:rsidRPr="00B61FF1">
        <w:rPr>
          <w:rFonts w:ascii="Arial" w:hAnsi="Arial" w:cs="Arial"/>
          <w:sz w:val="24"/>
          <w:szCs w:val="24"/>
        </w:rPr>
        <w:t xml:space="preserve">protect confidential information to the extent permitted by law by ensuring </w:t>
      </w:r>
      <w:r w:rsidRPr="00B61FF1">
        <w:rPr>
          <w:rFonts w:ascii="Arial" w:hAnsi="Arial" w:cs="Arial"/>
          <w:sz w:val="24"/>
          <w:szCs w:val="24"/>
        </w:rPr>
        <w:t>that the accounts administrator:</w:t>
      </w:r>
    </w:p>
    <w:p w14:paraId="749183AF" w14:textId="77777777" w:rsidR="00F16A28" w:rsidRPr="00B61FF1" w:rsidRDefault="00786AAF" w:rsidP="00786AAF">
      <w:pPr>
        <w:pStyle w:val="ListParagraph"/>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r>
      <w:r w:rsidR="00F16A28" w:rsidRPr="00B61FF1">
        <w:rPr>
          <w:rFonts w:ascii="Arial" w:hAnsi="Arial" w:cs="Arial"/>
          <w:sz w:val="24"/>
          <w:szCs w:val="24"/>
        </w:rPr>
        <w:t>Releases information on the trans</w:t>
      </w:r>
      <w:r w:rsidR="00BF5D19" w:rsidRPr="00B61FF1">
        <w:rPr>
          <w:rFonts w:ascii="Arial" w:hAnsi="Arial" w:cs="Arial"/>
          <w:sz w:val="24"/>
          <w:szCs w:val="24"/>
        </w:rPr>
        <w:t>fer</w:t>
      </w:r>
      <w:r w:rsidR="00F16A28" w:rsidRPr="00B61FF1">
        <w:rPr>
          <w:rFonts w:ascii="Arial" w:hAnsi="Arial" w:cs="Arial"/>
          <w:sz w:val="24"/>
          <w:szCs w:val="24"/>
        </w:rPr>
        <w:t xml:space="preserve"> price and quantity of compliance instruments in a manner</w:t>
      </w:r>
      <w:r w:rsidR="00BF5D19" w:rsidRPr="00B61FF1">
        <w:rPr>
          <w:rFonts w:ascii="Arial" w:hAnsi="Arial" w:cs="Arial"/>
          <w:sz w:val="24"/>
          <w:szCs w:val="24"/>
        </w:rPr>
        <w:t xml:space="preserve"> that is timely and maintains the confidentiality of the parties to a transfer</w:t>
      </w:r>
      <w:r w:rsidR="00F16A28" w:rsidRPr="00B61FF1">
        <w:rPr>
          <w:rFonts w:ascii="Arial" w:hAnsi="Arial" w:cs="Arial"/>
          <w:sz w:val="24"/>
          <w:szCs w:val="24"/>
        </w:rPr>
        <w:t xml:space="preserve">; </w:t>
      </w:r>
    </w:p>
    <w:p w14:paraId="0D75CD42" w14:textId="77777777" w:rsidR="00F16A28" w:rsidRPr="00B61FF1" w:rsidRDefault="00786AAF" w:rsidP="00786AAF">
      <w:pPr>
        <w:pStyle w:val="ListParagraph"/>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F16A28" w:rsidRPr="00B61FF1">
        <w:rPr>
          <w:rFonts w:ascii="Arial" w:hAnsi="Arial" w:cs="Arial"/>
          <w:sz w:val="24"/>
          <w:szCs w:val="24"/>
        </w:rPr>
        <w:t xml:space="preserve">Except as needed for market oversight and investigation by the Executive Officer, protects as confidential all other information obtained through </w:t>
      </w:r>
      <w:r w:rsidR="00BF5D19" w:rsidRPr="00B61FF1">
        <w:rPr>
          <w:rFonts w:ascii="Arial" w:hAnsi="Arial" w:cs="Arial"/>
          <w:sz w:val="24"/>
          <w:szCs w:val="24"/>
        </w:rPr>
        <w:t>transfer requests</w:t>
      </w:r>
      <w:r w:rsidR="00F16A28" w:rsidRPr="00B61FF1">
        <w:rPr>
          <w:rFonts w:ascii="Arial" w:hAnsi="Arial" w:cs="Arial"/>
          <w:sz w:val="24"/>
          <w:szCs w:val="24"/>
        </w:rPr>
        <w:t>;</w:t>
      </w:r>
    </w:p>
    <w:p w14:paraId="7B501A0A" w14:textId="77777777" w:rsidR="00F16A28" w:rsidRPr="00B61FF1" w:rsidRDefault="00786AAF" w:rsidP="00786AAF">
      <w:pPr>
        <w:pStyle w:val="ListParagraph"/>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F16A28" w:rsidRPr="00B61FF1">
        <w:rPr>
          <w:rFonts w:ascii="Arial" w:hAnsi="Arial" w:cs="Arial"/>
          <w:sz w:val="24"/>
          <w:szCs w:val="24"/>
        </w:rPr>
        <w:t>Protects as confidential the quantity and serial numbers of compliance instruments contained in holding accounts; and</w:t>
      </w:r>
    </w:p>
    <w:p w14:paraId="4B03F342" w14:textId="77777777" w:rsidR="00F16A28" w:rsidRPr="00B61FF1" w:rsidRDefault="00786AAF" w:rsidP="00786AAF">
      <w:pPr>
        <w:pStyle w:val="ListParagraph"/>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F16A28" w:rsidRPr="00B61FF1">
        <w:rPr>
          <w:rFonts w:ascii="Arial" w:hAnsi="Arial" w:cs="Arial"/>
          <w:sz w:val="24"/>
          <w:szCs w:val="24"/>
        </w:rPr>
        <w:t xml:space="preserve">Releases information on the quantity </w:t>
      </w:r>
      <w:r w:rsidR="00F16A28" w:rsidRPr="00B61FF1">
        <w:rPr>
          <w:rFonts w:ascii="Arial" w:hAnsi="Arial" w:cs="Arial"/>
          <w:strike/>
          <w:sz w:val="24"/>
          <w:szCs w:val="24"/>
        </w:rPr>
        <w:t>and serial numbers</w:t>
      </w:r>
      <w:r w:rsidR="00F16A28" w:rsidRPr="00B61FF1">
        <w:rPr>
          <w:rFonts w:ascii="Arial" w:hAnsi="Arial" w:cs="Arial"/>
          <w:sz w:val="24"/>
          <w:szCs w:val="24"/>
        </w:rPr>
        <w:t xml:space="preserve"> of compliance instruments contained in compliance accounts in a timely manner.</w:t>
      </w:r>
    </w:p>
    <w:p w14:paraId="71980E1B" w14:textId="77777777" w:rsidR="00F16A28" w:rsidRPr="00B61FF1" w:rsidRDefault="00402B2D" w:rsidP="00F16A28">
      <w:pPr>
        <w:spacing w:line="360" w:lineRule="auto"/>
        <w:ind w:left="720" w:hanging="720"/>
        <w:rPr>
          <w:rFonts w:ascii="Arial" w:hAnsi="Arial" w:cs="Arial"/>
          <w:sz w:val="24"/>
          <w:szCs w:val="24"/>
        </w:rPr>
      </w:pPr>
      <w:r w:rsidRPr="00B61FF1">
        <w:rPr>
          <w:rFonts w:ascii="Arial" w:hAnsi="Arial" w:cs="Arial"/>
          <w:sz w:val="24"/>
          <w:szCs w:val="24"/>
        </w:rPr>
        <w:t>(</w:t>
      </w:r>
      <w:r w:rsidR="00BF5D19" w:rsidRPr="00B61FF1">
        <w:rPr>
          <w:rFonts w:ascii="Arial" w:hAnsi="Arial" w:cs="Arial"/>
          <w:sz w:val="24"/>
          <w:szCs w:val="24"/>
        </w:rPr>
        <w:t>f</w:t>
      </w:r>
      <w:r w:rsidRPr="00B61FF1">
        <w:rPr>
          <w:rFonts w:ascii="Arial" w:hAnsi="Arial" w:cs="Arial"/>
          <w:sz w:val="24"/>
          <w:szCs w:val="24"/>
        </w:rPr>
        <w:t>)</w:t>
      </w:r>
      <w:r w:rsidRPr="00B61FF1">
        <w:rPr>
          <w:rFonts w:ascii="Arial" w:hAnsi="Arial" w:cs="Arial"/>
          <w:sz w:val="24"/>
          <w:szCs w:val="24"/>
        </w:rPr>
        <w:tab/>
      </w:r>
      <w:r w:rsidR="00F16A28" w:rsidRPr="00B61FF1">
        <w:rPr>
          <w:rFonts w:ascii="Arial" w:hAnsi="Arial" w:cs="Arial"/>
          <w:sz w:val="24"/>
          <w:szCs w:val="24"/>
        </w:rPr>
        <w:t xml:space="preserve">General Prohibitions on Trading.  </w:t>
      </w:r>
    </w:p>
    <w:p w14:paraId="7162078F" w14:textId="1D62FE7C" w:rsidR="00F16A28" w:rsidRPr="00B61FF1" w:rsidRDefault="001641B3" w:rsidP="00FE6A4C">
      <w:pPr>
        <w:pStyle w:val="ListParagraph"/>
        <w:numPr>
          <w:ilvl w:val="1"/>
          <w:numId w:val="39"/>
        </w:numPr>
        <w:spacing w:line="360" w:lineRule="auto"/>
        <w:rPr>
          <w:rFonts w:ascii="Arial" w:hAnsi="Arial" w:cs="Arial"/>
          <w:dstrike/>
          <w:sz w:val="24"/>
          <w:szCs w:val="24"/>
        </w:rPr>
      </w:pPr>
      <w:r w:rsidRPr="00B61FF1">
        <w:rPr>
          <w:rFonts w:ascii="Arial" w:hAnsi="Arial" w:cs="Arial"/>
          <w:sz w:val="24"/>
          <w:szCs w:val="24"/>
        </w:rPr>
        <w:t xml:space="preserve">An entity cannot </w:t>
      </w:r>
      <w:r w:rsidR="00740A5D" w:rsidRPr="00B61FF1">
        <w:rPr>
          <w:rFonts w:ascii="Arial" w:hAnsi="Arial" w:cs="Arial"/>
          <w:sz w:val="24"/>
          <w:szCs w:val="24"/>
        </w:rPr>
        <w:t>acquire</w:t>
      </w:r>
      <w:r w:rsidRPr="00B61FF1">
        <w:rPr>
          <w:rFonts w:ascii="Arial" w:hAnsi="Arial" w:cs="Arial"/>
          <w:sz w:val="24"/>
          <w:szCs w:val="24"/>
        </w:rPr>
        <w:t xml:space="preserve"> allowances and hold them in its own holding account </w:t>
      </w:r>
      <w:r w:rsidR="00BF5D19" w:rsidRPr="00B61FF1">
        <w:rPr>
          <w:rFonts w:ascii="Arial" w:hAnsi="Arial" w:cs="Arial"/>
          <w:sz w:val="24"/>
          <w:szCs w:val="24"/>
        </w:rPr>
        <w:t xml:space="preserve">on behalf of </w:t>
      </w:r>
      <w:r w:rsidRPr="00B61FF1">
        <w:rPr>
          <w:rFonts w:ascii="Arial" w:hAnsi="Arial" w:cs="Arial"/>
          <w:sz w:val="24"/>
          <w:szCs w:val="24"/>
        </w:rPr>
        <w:t>another entity</w:t>
      </w:r>
      <w:r w:rsidRPr="00B61FF1">
        <w:rPr>
          <w:rFonts w:ascii="Arial" w:hAnsi="Arial" w:cs="Arial"/>
          <w:strike/>
          <w:sz w:val="24"/>
          <w:szCs w:val="24"/>
        </w:rPr>
        <w:t>.</w:t>
      </w:r>
      <w:r w:rsidR="00995258" w:rsidRPr="00B61FF1">
        <w:rPr>
          <w:rFonts w:ascii="Arial" w:hAnsi="Arial" w:cs="Arial"/>
          <w:sz w:val="24"/>
          <w:szCs w:val="24"/>
          <w:u w:val="single"/>
        </w:rPr>
        <w:t xml:space="preserve"> Including the following restrictions:</w:t>
      </w:r>
    </w:p>
    <w:p w14:paraId="58C8EC90" w14:textId="6AF22BB0" w:rsidR="005A7C3A" w:rsidRPr="00B61FF1" w:rsidRDefault="005A7C3A" w:rsidP="00FE6A4C">
      <w:pPr>
        <w:pStyle w:val="ListParagraph"/>
        <w:numPr>
          <w:ilvl w:val="2"/>
          <w:numId w:val="39"/>
        </w:numPr>
        <w:tabs>
          <w:tab w:val="left" w:pos="6390"/>
        </w:tabs>
        <w:spacing w:line="360" w:lineRule="auto"/>
        <w:rPr>
          <w:rFonts w:ascii="Arial" w:hAnsi="Arial" w:cs="Arial"/>
          <w:sz w:val="24"/>
          <w:szCs w:val="24"/>
          <w:u w:val="single"/>
        </w:rPr>
      </w:pPr>
      <w:r w:rsidRPr="00B61FF1">
        <w:rPr>
          <w:rFonts w:ascii="Arial" w:hAnsi="Arial" w:cs="Arial"/>
          <w:sz w:val="24"/>
          <w:szCs w:val="24"/>
          <w:u w:val="single"/>
        </w:rPr>
        <w:t xml:space="preserve">An entity may not hold </w:t>
      </w:r>
      <w:r w:rsidR="00B01C02" w:rsidRPr="00B61FF1">
        <w:rPr>
          <w:rFonts w:ascii="Arial" w:hAnsi="Arial" w:cs="Arial"/>
          <w:sz w:val="24"/>
          <w:szCs w:val="24"/>
          <w:u w:val="single"/>
        </w:rPr>
        <w:t>allowances</w:t>
      </w:r>
      <w:r w:rsidRPr="00B61FF1">
        <w:rPr>
          <w:rFonts w:ascii="Arial" w:hAnsi="Arial" w:cs="Arial"/>
          <w:sz w:val="24"/>
          <w:szCs w:val="24"/>
          <w:u w:val="single"/>
        </w:rPr>
        <w:t xml:space="preserve"> in which a second entity has an</w:t>
      </w:r>
      <w:r w:rsidR="0072510D" w:rsidRPr="00B61FF1">
        <w:rPr>
          <w:rFonts w:ascii="Arial" w:hAnsi="Arial" w:cs="Arial"/>
          <w:sz w:val="24"/>
          <w:szCs w:val="24"/>
          <w:u w:val="single"/>
        </w:rPr>
        <w:t>y</w:t>
      </w:r>
      <w:r w:rsidRPr="00B61FF1">
        <w:rPr>
          <w:rFonts w:ascii="Arial" w:hAnsi="Arial" w:cs="Arial"/>
          <w:sz w:val="24"/>
          <w:szCs w:val="24"/>
          <w:u w:val="single"/>
        </w:rPr>
        <w:t xml:space="preserve"> ownership or financial interest.</w:t>
      </w:r>
    </w:p>
    <w:p w14:paraId="41BE3C98" w14:textId="7AFC1E63" w:rsidR="00C60E7B" w:rsidRPr="00B61FF1" w:rsidRDefault="00C60E7B" w:rsidP="00FE6A4C">
      <w:pPr>
        <w:pStyle w:val="ListParagraph"/>
        <w:numPr>
          <w:ilvl w:val="2"/>
          <w:numId w:val="39"/>
        </w:numPr>
        <w:tabs>
          <w:tab w:val="left" w:pos="6390"/>
        </w:tabs>
        <w:spacing w:line="360" w:lineRule="auto"/>
        <w:rPr>
          <w:rFonts w:ascii="Arial" w:hAnsi="Arial" w:cs="Arial"/>
          <w:sz w:val="24"/>
          <w:szCs w:val="24"/>
          <w:u w:val="single"/>
        </w:rPr>
      </w:pPr>
      <w:r w:rsidRPr="00B61FF1">
        <w:rPr>
          <w:rFonts w:ascii="Arial" w:hAnsi="Arial" w:cs="Arial"/>
          <w:sz w:val="24"/>
          <w:szCs w:val="24"/>
          <w:u w:val="single"/>
        </w:rPr>
        <w:t xml:space="preserve">An entity may not hold </w:t>
      </w:r>
      <w:r w:rsidR="00B01C02" w:rsidRPr="00B61FF1">
        <w:rPr>
          <w:rFonts w:ascii="Arial" w:hAnsi="Arial" w:cs="Arial"/>
          <w:sz w:val="24"/>
          <w:szCs w:val="24"/>
          <w:u w:val="single"/>
        </w:rPr>
        <w:t>allowances</w:t>
      </w:r>
      <w:r w:rsidRPr="00B61FF1">
        <w:rPr>
          <w:rFonts w:ascii="Arial" w:hAnsi="Arial" w:cs="Arial"/>
          <w:sz w:val="24"/>
          <w:szCs w:val="24"/>
          <w:u w:val="single"/>
        </w:rPr>
        <w:t xml:space="preserve"> </w:t>
      </w:r>
      <w:r w:rsidR="00995258" w:rsidRPr="00B61FF1">
        <w:rPr>
          <w:rFonts w:ascii="Arial" w:hAnsi="Arial" w:cs="Arial"/>
          <w:sz w:val="24"/>
          <w:szCs w:val="24"/>
          <w:u w:val="single"/>
        </w:rPr>
        <w:t>pursuant to</w:t>
      </w:r>
      <w:r w:rsidRPr="00B61FF1">
        <w:rPr>
          <w:rFonts w:ascii="Arial" w:hAnsi="Arial" w:cs="Arial"/>
          <w:sz w:val="24"/>
          <w:szCs w:val="24"/>
          <w:u w:val="single"/>
        </w:rPr>
        <w:t xml:space="preserve"> an agreement </w:t>
      </w:r>
      <w:r w:rsidR="00995258" w:rsidRPr="00B61FF1">
        <w:rPr>
          <w:rFonts w:ascii="Arial" w:hAnsi="Arial" w:cs="Arial"/>
          <w:sz w:val="24"/>
          <w:szCs w:val="24"/>
          <w:u w:val="single"/>
        </w:rPr>
        <w:t>that</w:t>
      </w:r>
      <w:r w:rsidRPr="00B61FF1">
        <w:rPr>
          <w:rFonts w:ascii="Arial" w:hAnsi="Arial" w:cs="Arial"/>
          <w:sz w:val="24"/>
          <w:szCs w:val="24"/>
          <w:u w:val="single"/>
        </w:rPr>
        <w:t xml:space="preserve"> gives a second entity control over the holding or planned disposition of </w:t>
      </w:r>
      <w:r w:rsidR="00B01C02" w:rsidRPr="00B61FF1">
        <w:rPr>
          <w:rFonts w:ascii="Arial" w:hAnsi="Arial" w:cs="Arial"/>
          <w:sz w:val="24"/>
          <w:szCs w:val="24"/>
          <w:u w:val="single"/>
        </w:rPr>
        <w:t>allowances</w:t>
      </w:r>
      <w:r w:rsidR="00995258" w:rsidRPr="00B61FF1">
        <w:rPr>
          <w:rFonts w:ascii="Arial" w:hAnsi="Arial" w:cs="Arial"/>
          <w:sz w:val="24"/>
          <w:szCs w:val="24"/>
          <w:u w:val="single"/>
        </w:rPr>
        <w:t xml:space="preserve"> while the instruments</w:t>
      </w:r>
      <w:r w:rsidRPr="00B61FF1">
        <w:rPr>
          <w:rFonts w:ascii="Arial" w:hAnsi="Arial" w:cs="Arial"/>
          <w:sz w:val="24"/>
          <w:szCs w:val="24"/>
          <w:u w:val="single"/>
        </w:rPr>
        <w:t xml:space="preserve"> reside in the first entity’s accounts, or control over the acquisition of </w:t>
      </w:r>
      <w:r w:rsidR="00B01C02" w:rsidRPr="00B61FF1">
        <w:rPr>
          <w:rFonts w:ascii="Arial" w:hAnsi="Arial" w:cs="Arial"/>
          <w:sz w:val="24"/>
          <w:szCs w:val="24"/>
          <w:u w:val="single"/>
        </w:rPr>
        <w:t>allowances</w:t>
      </w:r>
      <w:r w:rsidRPr="00B61FF1">
        <w:rPr>
          <w:rFonts w:ascii="Arial" w:hAnsi="Arial" w:cs="Arial"/>
          <w:sz w:val="24"/>
          <w:szCs w:val="24"/>
          <w:u w:val="single"/>
        </w:rPr>
        <w:t xml:space="preserve"> by the first entity.  These prohibitions do not apply to agreements that only specify a date to deliver a specified quantity of </w:t>
      </w:r>
      <w:r w:rsidR="00B01C02" w:rsidRPr="00B61FF1">
        <w:rPr>
          <w:rFonts w:ascii="Arial" w:hAnsi="Arial" w:cs="Arial"/>
          <w:sz w:val="24"/>
          <w:szCs w:val="24"/>
          <w:u w:val="single"/>
        </w:rPr>
        <w:t>allowances</w:t>
      </w:r>
      <w:r w:rsidRPr="00B61FF1">
        <w:rPr>
          <w:rFonts w:ascii="Arial" w:hAnsi="Arial" w:cs="Arial"/>
          <w:sz w:val="24"/>
          <w:szCs w:val="24"/>
          <w:u w:val="single"/>
        </w:rPr>
        <w:t xml:space="preserve"> and that include no terms applying to </w:t>
      </w:r>
      <w:r w:rsidR="00B01C02" w:rsidRPr="00B61FF1">
        <w:rPr>
          <w:rFonts w:ascii="Arial" w:hAnsi="Arial" w:cs="Arial"/>
          <w:sz w:val="24"/>
          <w:szCs w:val="24"/>
          <w:u w:val="single"/>
        </w:rPr>
        <w:t>allowances</w:t>
      </w:r>
      <w:r w:rsidRPr="00B61FF1">
        <w:rPr>
          <w:rFonts w:ascii="Arial" w:hAnsi="Arial" w:cs="Arial"/>
          <w:sz w:val="24"/>
          <w:szCs w:val="24"/>
          <w:u w:val="single"/>
        </w:rPr>
        <w:t xml:space="preserve"> residing in another entity’s account.</w:t>
      </w:r>
    </w:p>
    <w:p w14:paraId="347859BC" w14:textId="451C58BC" w:rsidR="005A7C3A" w:rsidRPr="00B61FF1" w:rsidRDefault="005A7C3A" w:rsidP="00FE6A4C">
      <w:pPr>
        <w:pStyle w:val="ListParagraph"/>
        <w:numPr>
          <w:ilvl w:val="2"/>
          <w:numId w:val="39"/>
        </w:numPr>
        <w:tabs>
          <w:tab w:val="left" w:pos="6390"/>
        </w:tabs>
        <w:spacing w:line="360" w:lineRule="auto"/>
        <w:rPr>
          <w:rFonts w:ascii="Arial" w:hAnsi="Arial" w:cs="Arial"/>
          <w:sz w:val="24"/>
          <w:szCs w:val="24"/>
          <w:u w:val="single"/>
        </w:rPr>
      </w:pPr>
      <w:r w:rsidRPr="00B61FF1">
        <w:rPr>
          <w:rFonts w:ascii="Arial" w:hAnsi="Arial" w:cs="Arial"/>
          <w:sz w:val="24"/>
          <w:szCs w:val="24"/>
          <w:u w:val="single"/>
        </w:rPr>
        <w:t xml:space="preserve">An entity may purchase and hold </w:t>
      </w:r>
      <w:r w:rsidR="00B01C02" w:rsidRPr="00B61FF1">
        <w:rPr>
          <w:rFonts w:ascii="Arial" w:hAnsi="Arial" w:cs="Arial"/>
          <w:sz w:val="24"/>
          <w:szCs w:val="24"/>
          <w:u w:val="single"/>
        </w:rPr>
        <w:t>allowances</w:t>
      </w:r>
      <w:r w:rsidRPr="00B61FF1">
        <w:rPr>
          <w:rFonts w:ascii="Arial" w:hAnsi="Arial" w:cs="Arial"/>
          <w:sz w:val="24"/>
          <w:szCs w:val="24"/>
          <w:u w:val="single"/>
        </w:rPr>
        <w:t xml:space="preserve"> for later transfer to members of a direct corporate association.</w:t>
      </w:r>
    </w:p>
    <w:p w14:paraId="08175931" w14:textId="77777777" w:rsidR="00F16A28" w:rsidRPr="00B61FF1" w:rsidRDefault="00786AAF" w:rsidP="001641B3">
      <w:pPr>
        <w:pStyle w:val="ListParagraph"/>
        <w:spacing w:line="360" w:lineRule="auto"/>
        <w:ind w:left="1080" w:hanging="720"/>
        <w:rPr>
          <w:rFonts w:ascii="Arial" w:hAnsi="Arial" w:cs="Arial"/>
          <w:sz w:val="24"/>
          <w:szCs w:val="24"/>
        </w:rPr>
      </w:pPr>
      <w:r w:rsidRPr="00B61FF1">
        <w:rPr>
          <w:rFonts w:ascii="Arial" w:hAnsi="Arial" w:cs="Arial"/>
          <w:sz w:val="24"/>
          <w:szCs w:val="24"/>
        </w:rPr>
        <w:t>(</w:t>
      </w:r>
      <w:r w:rsidR="00BF5D19" w:rsidRPr="00B61FF1">
        <w:rPr>
          <w:rFonts w:ascii="Arial" w:hAnsi="Arial" w:cs="Arial"/>
          <w:sz w:val="24"/>
          <w:szCs w:val="24"/>
        </w:rPr>
        <w:t>2</w:t>
      </w:r>
      <w:r w:rsidRPr="00B61FF1">
        <w:rPr>
          <w:rFonts w:ascii="Arial" w:hAnsi="Arial" w:cs="Arial"/>
          <w:sz w:val="24"/>
          <w:szCs w:val="24"/>
        </w:rPr>
        <w:t>)</w:t>
      </w:r>
      <w:r w:rsidRPr="00B61FF1">
        <w:rPr>
          <w:rFonts w:ascii="Arial" w:hAnsi="Arial" w:cs="Arial"/>
          <w:sz w:val="24"/>
          <w:szCs w:val="24"/>
        </w:rPr>
        <w:tab/>
      </w:r>
      <w:r w:rsidR="00F16A28" w:rsidRPr="00B61FF1">
        <w:rPr>
          <w:rFonts w:ascii="Arial" w:hAnsi="Arial" w:cs="Arial"/>
          <w:sz w:val="24"/>
          <w:szCs w:val="24"/>
        </w:rPr>
        <w:t>A trade involving, related to, or associated with</w:t>
      </w:r>
      <w:r w:rsidR="001641B3" w:rsidRPr="00B61FF1">
        <w:rPr>
          <w:rFonts w:ascii="Arial" w:hAnsi="Arial" w:cs="Arial"/>
          <w:sz w:val="24"/>
          <w:szCs w:val="24"/>
        </w:rPr>
        <w:t xml:space="preserve"> any of the following are prohibited</w:t>
      </w:r>
      <w:r w:rsidR="00F16A28" w:rsidRPr="00B61FF1">
        <w:rPr>
          <w:rFonts w:ascii="Arial" w:hAnsi="Arial" w:cs="Arial"/>
          <w:sz w:val="24"/>
          <w:szCs w:val="24"/>
        </w:rPr>
        <w:t xml:space="preserve">: </w:t>
      </w:r>
    </w:p>
    <w:p w14:paraId="02C562C1" w14:textId="77777777" w:rsidR="00F16A28" w:rsidRPr="00B61FF1" w:rsidRDefault="00786AAF" w:rsidP="00786AAF">
      <w:pPr>
        <w:pStyle w:val="ListParagraph"/>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00F16A28" w:rsidRPr="00B61FF1">
        <w:rPr>
          <w:rFonts w:ascii="Arial" w:hAnsi="Arial" w:cs="Arial"/>
          <w:sz w:val="24"/>
          <w:szCs w:val="24"/>
        </w:rPr>
        <w:t>Any manipulative or deceptive device in violation of this article;</w:t>
      </w:r>
    </w:p>
    <w:p w14:paraId="696A3132" w14:textId="77777777" w:rsidR="00F16A28" w:rsidRPr="00B61FF1" w:rsidRDefault="00786AAF" w:rsidP="00786AAF">
      <w:pPr>
        <w:pStyle w:val="ListParagraph"/>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00F16A28" w:rsidRPr="00B61FF1">
        <w:rPr>
          <w:rFonts w:ascii="Arial" w:hAnsi="Arial" w:cs="Arial"/>
          <w:sz w:val="24"/>
          <w:szCs w:val="24"/>
        </w:rPr>
        <w:t xml:space="preserve">A corner or an attempt to corner the market for a </w:t>
      </w:r>
      <w:r w:rsidR="00BF5D19" w:rsidRPr="00B61FF1">
        <w:rPr>
          <w:rFonts w:ascii="Arial" w:hAnsi="Arial" w:cs="Arial"/>
          <w:sz w:val="24"/>
          <w:szCs w:val="24"/>
        </w:rPr>
        <w:t>compliance</w:t>
      </w:r>
      <w:r w:rsidR="00F16A28" w:rsidRPr="00B61FF1">
        <w:rPr>
          <w:rFonts w:ascii="Arial" w:hAnsi="Arial" w:cs="Arial"/>
          <w:sz w:val="24"/>
          <w:szCs w:val="24"/>
        </w:rPr>
        <w:t xml:space="preserve"> instrument;</w:t>
      </w:r>
    </w:p>
    <w:p w14:paraId="29EE3604" w14:textId="77777777" w:rsidR="00F16A28" w:rsidRPr="00B61FF1" w:rsidRDefault="00786AAF" w:rsidP="00786AAF">
      <w:pPr>
        <w:pStyle w:val="ListParagraph"/>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36299F" w:rsidRPr="00B61FF1">
        <w:rPr>
          <w:rFonts w:ascii="Arial" w:hAnsi="Arial" w:cs="Arial"/>
          <w:sz w:val="24"/>
          <w:szCs w:val="24"/>
        </w:rPr>
        <w:t>Fraud, or an attempt to defraud</w:t>
      </w:r>
      <w:r w:rsidR="00F16A28" w:rsidRPr="00B61FF1">
        <w:rPr>
          <w:rFonts w:ascii="Arial" w:hAnsi="Arial" w:cs="Arial"/>
          <w:sz w:val="24"/>
          <w:szCs w:val="24"/>
        </w:rPr>
        <w:t xml:space="preserve"> any other entity;</w:t>
      </w:r>
    </w:p>
    <w:p w14:paraId="329B02AF" w14:textId="77777777" w:rsidR="00F16A28" w:rsidRPr="00B61FF1" w:rsidRDefault="00786AAF" w:rsidP="00786AAF">
      <w:pPr>
        <w:pStyle w:val="ListParagraph"/>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r>
      <w:r w:rsidR="0036299F" w:rsidRPr="00B61FF1">
        <w:rPr>
          <w:rFonts w:ascii="Arial" w:hAnsi="Arial" w:cs="Arial"/>
          <w:sz w:val="24"/>
          <w:szCs w:val="24"/>
        </w:rPr>
        <w:t xml:space="preserve">A false, misleading </w:t>
      </w:r>
      <w:r w:rsidR="00F16A28" w:rsidRPr="00B61FF1">
        <w:rPr>
          <w:rFonts w:ascii="Arial" w:hAnsi="Arial" w:cs="Arial"/>
          <w:sz w:val="24"/>
          <w:szCs w:val="24"/>
        </w:rPr>
        <w:t>or inaccurate report concerning information or conditions that affects or tends to affect the price of a compliance instrument;</w:t>
      </w:r>
    </w:p>
    <w:p w14:paraId="7FC2B522" w14:textId="77777777" w:rsidR="00F16A28" w:rsidRPr="00B61FF1" w:rsidRDefault="00786AAF" w:rsidP="00786AAF">
      <w:pPr>
        <w:pStyle w:val="ListParagraph"/>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r>
      <w:r w:rsidR="00F16A28" w:rsidRPr="00B61FF1">
        <w:rPr>
          <w:rFonts w:ascii="Arial" w:hAnsi="Arial" w:cs="Arial"/>
          <w:sz w:val="24"/>
          <w:szCs w:val="24"/>
        </w:rPr>
        <w:t>An application, report, statement, or document required to be filed pursuant to this article which is false or misleading with respect to a material fact, or which omits to state a material fact necessary to make the cont</w:t>
      </w:r>
      <w:r w:rsidR="002A7976" w:rsidRPr="00B61FF1">
        <w:rPr>
          <w:rFonts w:ascii="Arial" w:hAnsi="Arial" w:cs="Arial"/>
          <w:sz w:val="24"/>
          <w:szCs w:val="24"/>
        </w:rPr>
        <w:t>ents therein not misleading; or</w:t>
      </w:r>
    </w:p>
    <w:p w14:paraId="6BABD714" w14:textId="77777777" w:rsidR="00F16A28" w:rsidRPr="00B61FF1" w:rsidRDefault="002A7976" w:rsidP="002A7976">
      <w:pPr>
        <w:pStyle w:val="ListParagraph"/>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r>
      <w:r w:rsidR="00F16A28" w:rsidRPr="00B61FF1">
        <w:rPr>
          <w:rFonts w:ascii="Arial" w:hAnsi="Arial" w:cs="Arial"/>
          <w:sz w:val="24"/>
          <w:szCs w:val="24"/>
        </w:rPr>
        <w:t xml:space="preserve">Any trick, scheme, or artifice to falsify or conceal a material fact, including use of any false statements or representations, written or oral, or documents made </w:t>
      </w:r>
      <w:r w:rsidR="00E03AB3" w:rsidRPr="00B61FF1">
        <w:rPr>
          <w:rFonts w:ascii="Arial" w:hAnsi="Arial" w:cs="Arial"/>
          <w:sz w:val="24"/>
          <w:szCs w:val="24"/>
        </w:rPr>
        <w:t xml:space="preserve">by </w:t>
      </w:r>
      <w:r w:rsidR="00F16A28" w:rsidRPr="00B61FF1">
        <w:rPr>
          <w:rFonts w:ascii="Arial" w:hAnsi="Arial" w:cs="Arial"/>
          <w:sz w:val="24"/>
          <w:szCs w:val="24"/>
        </w:rPr>
        <w:t>or provided to an entity on or through which transactions in compliance instruments occur, are settled, or are cleared.</w:t>
      </w:r>
    </w:p>
    <w:p w14:paraId="3A6712AD" w14:textId="77777777" w:rsidR="00685AC0" w:rsidRPr="00B61FF1" w:rsidRDefault="00685AC0" w:rsidP="002A7976">
      <w:pPr>
        <w:pStyle w:val="ListParagraph"/>
        <w:spacing w:line="360" w:lineRule="auto"/>
        <w:ind w:left="1800" w:hanging="720"/>
        <w:rPr>
          <w:rFonts w:ascii="Arial" w:hAnsi="Arial" w:cs="Arial"/>
          <w:sz w:val="24"/>
          <w:szCs w:val="24"/>
        </w:rPr>
      </w:pPr>
      <w:r w:rsidRPr="00B61FF1">
        <w:rPr>
          <w:rFonts w:ascii="Arial" w:hAnsi="Arial" w:cs="Arial"/>
          <w:sz w:val="24"/>
          <w:szCs w:val="24"/>
        </w:rPr>
        <w:t xml:space="preserve">(G) </w:t>
      </w:r>
      <w:r w:rsidRPr="00B61FF1">
        <w:rPr>
          <w:rFonts w:ascii="Arial" w:hAnsi="Arial" w:cs="Arial"/>
          <w:sz w:val="24"/>
          <w:szCs w:val="24"/>
        </w:rPr>
        <w:tab/>
        <w:t>A fact is material if it could probably influence a decision by the Executive Officer, the Board, or the Board’s staff.</w:t>
      </w:r>
    </w:p>
    <w:p w14:paraId="1F444CCB" w14:textId="77777777" w:rsidR="00F16A28" w:rsidRPr="00B61FF1" w:rsidRDefault="00F16A28" w:rsidP="00FE6A4C">
      <w:pPr>
        <w:pStyle w:val="ListParagraph"/>
        <w:numPr>
          <w:ilvl w:val="0"/>
          <w:numId w:val="37"/>
        </w:numPr>
        <w:spacing w:line="360" w:lineRule="auto"/>
        <w:rPr>
          <w:rFonts w:ascii="Arial" w:hAnsi="Arial" w:cs="Arial"/>
          <w:sz w:val="24"/>
          <w:szCs w:val="24"/>
        </w:rPr>
      </w:pPr>
      <w:r w:rsidRPr="00B61FF1">
        <w:rPr>
          <w:rFonts w:ascii="Arial" w:hAnsi="Arial" w:cs="Arial"/>
          <w:sz w:val="24"/>
          <w:szCs w:val="24"/>
        </w:rPr>
        <w:t>Restrictions on Registered Entities.  If an entity registered pursuant to section 95830 violates any provision specified in this article the Executive Officer may:</w:t>
      </w:r>
    </w:p>
    <w:p w14:paraId="1A42C856" w14:textId="77777777" w:rsidR="00E871CD" w:rsidRPr="00B61FF1" w:rsidRDefault="00F16A28" w:rsidP="00F16A28">
      <w:pPr>
        <w:spacing w:line="360" w:lineRule="auto"/>
        <w:ind w:left="1080" w:hanging="720"/>
        <w:rPr>
          <w:rFonts w:ascii="Arial" w:hAnsi="Arial" w:cs="Arial"/>
          <w:sz w:val="24"/>
          <w:szCs w:val="24"/>
        </w:rPr>
      </w:pPr>
      <w:r w:rsidRPr="00B61FF1">
        <w:rPr>
          <w:rFonts w:ascii="Arial" w:hAnsi="Arial" w:cs="Arial"/>
          <w:sz w:val="24"/>
          <w:szCs w:val="24"/>
        </w:rPr>
        <w:t xml:space="preserve"> </w:t>
      </w:r>
      <w:r w:rsidR="00402B2D" w:rsidRPr="00B61FF1">
        <w:rPr>
          <w:rFonts w:ascii="Arial" w:hAnsi="Arial" w:cs="Arial"/>
          <w:sz w:val="24"/>
          <w:szCs w:val="24"/>
        </w:rPr>
        <w:t>(1)</w:t>
      </w:r>
      <w:r w:rsidR="00402B2D" w:rsidRPr="00B61FF1">
        <w:rPr>
          <w:rFonts w:ascii="Arial" w:hAnsi="Arial" w:cs="Arial"/>
          <w:sz w:val="24"/>
          <w:szCs w:val="24"/>
        </w:rPr>
        <w:tab/>
      </w:r>
      <w:r w:rsidR="00E871CD" w:rsidRPr="00B61FF1">
        <w:rPr>
          <w:rFonts w:ascii="Arial" w:hAnsi="Arial" w:cs="Arial"/>
          <w:sz w:val="24"/>
          <w:szCs w:val="24"/>
        </w:rPr>
        <w:t xml:space="preserve">Reduce the number of compliance instruments a covered entity or opt-in covered entity may have in its holding account below the amount allowed by the holding limit pursuant to </w:t>
      </w:r>
      <w:r w:rsidR="009469FB" w:rsidRPr="00B61FF1">
        <w:rPr>
          <w:rFonts w:ascii="Arial" w:hAnsi="Arial" w:cs="Arial"/>
          <w:sz w:val="24"/>
          <w:szCs w:val="24"/>
        </w:rPr>
        <w:t xml:space="preserve">section </w:t>
      </w:r>
      <w:r w:rsidR="00E871CD" w:rsidRPr="00B61FF1">
        <w:rPr>
          <w:rFonts w:ascii="Arial" w:hAnsi="Arial" w:cs="Arial"/>
          <w:sz w:val="24"/>
          <w:szCs w:val="24"/>
        </w:rPr>
        <w:t>95920;</w:t>
      </w:r>
    </w:p>
    <w:p w14:paraId="0F0C54C0" w14:textId="77777777" w:rsidR="00E871CD" w:rsidRPr="00B61FF1" w:rsidRDefault="00402B2D" w:rsidP="00402B2D">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00E871CD" w:rsidRPr="00B61FF1">
        <w:rPr>
          <w:rFonts w:ascii="Arial" w:hAnsi="Arial" w:cs="Arial"/>
          <w:sz w:val="24"/>
          <w:szCs w:val="24"/>
        </w:rPr>
        <w:t xml:space="preserve">Increase the annual surrender obligation for a covered entity or an opt-in covered entity to a percentage of its reported </w:t>
      </w:r>
      <w:r w:rsidR="009469FB" w:rsidRPr="00B61FF1">
        <w:rPr>
          <w:rFonts w:ascii="Arial" w:hAnsi="Arial" w:cs="Arial"/>
          <w:sz w:val="24"/>
          <w:szCs w:val="24"/>
        </w:rPr>
        <w:t xml:space="preserve">and verified or assigned </w:t>
      </w:r>
      <w:r w:rsidR="00E871CD" w:rsidRPr="00B61FF1">
        <w:rPr>
          <w:rFonts w:ascii="Arial" w:hAnsi="Arial" w:cs="Arial"/>
          <w:sz w:val="24"/>
          <w:szCs w:val="24"/>
        </w:rPr>
        <w:t>emissions above the 30% obligation pursuant to</w:t>
      </w:r>
      <w:r w:rsidR="009469FB" w:rsidRPr="00B61FF1">
        <w:rPr>
          <w:rFonts w:ascii="Arial" w:hAnsi="Arial" w:cs="Arial"/>
          <w:sz w:val="24"/>
          <w:szCs w:val="24"/>
        </w:rPr>
        <w:t xml:space="preserve"> section</w:t>
      </w:r>
      <w:r w:rsidR="00E871CD" w:rsidRPr="00B61FF1">
        <w:rPr>
          <w:rFonts w:ascii="Arial" w:hAnsi="Arial" w:cs="Arial"/>
          <w:sz w:val="24"/>
          <w:szCs w:val="24"/>
        </w:rPr>
        <w:t xml:space="preserve"> 95855; </w:t>
      </w:r>
    </w:p>
    <w:p w14:paraId="671C047E" w14:textId="77777777" w:rsidR="009469FB" w:rsidRPr="00B61FF1" w:rsidRDefault="00402B2D" w:rsidP="00402B2D">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00E871CD" w:rsidRPr="00B61FF1">
        <w:rPr>
          <w:rFonts w:ascii="Arial" w:hAnsi="Arial" w:cs="Arial"/>
          <w:sz w:val="24"/>
          <w:szCs w:val="24"/>
        </w:rPr>
        <w:t>Suspend or revoke the registration of opt-in covered entities, voluntarily associated entities, and other entities registered pursuant to section 95830</w:t>
      </w:r>
      <w:r w:rsidR="0036299F" w:rsidRPr="00B61FF1">
        <w:rPr>
          <w:rFonts w:ascii="Arial" w:hAnsi="Arial" w:cs="Arial"/>
          <w:sz w:val="24"/>
          <w:szCs w:val="24"/>
        </w:rPr>
        <w:t xml:space="preserve">; </w:t>
      </w:r>
    </w:p>
    <w:p w14:paraId="38E53F33" w14:textId="77777777" w:rsidR="00085BC8" w:rsidRPr="00B61FF1" w:rsidRDefault="00085BC8" w:rsidP="00085BC8">
      <w:pPr>
        <w:pStyle w:val="ListParagraph"/>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If registration is revoked or suspended the entity must sell or voluntarily retire all compliance instruments in its holding accou</w:t>
      </w:r>
      <w:r w:rsidR="00E03AB3" w:rsidRPr="00B61FF1">
        <w:rPr>
          <w:rFonts w:ascii="Arial" w:hAnsi="Arial" w:cs="Arial"/>
          <w:sz w:val="24"/>
          <w:szCs w:val="24"/>
        </w:rPr>
        <w:t>nt within 30 days of revocation; and</w:t>
      </w:r>
    </w:p>
    <w:p w14:paraId="4DB650CF" w14:textId="77777777" w:rsidR="00085BC8" w:rsidRPr="00B61FF1" w:rsidRDefault="00085BC8" w:rsidP="00085BC8">
      <w:pPr>
        <w:pStyle w:val="ListParagraph"/>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registration is revoked or suspended and the entity fails to sell or voluntarily retire all compliance instruments in its holding account within 30 days of revocation, the accounts administrator will transfer the remaining instruments into the Auction Holding Account for sale at auction on behalf of the entity pursuant to section 95910(d)</w:t>
      </w:r>
      <w:r w:rsidR="00E03AB3" w:rsidRPr="00B61FF1">
        <w:rPr>
          <w:rFonts w:ascii="Arial" w:hAnsi="Arial" w:cs="Arial"/>
          <w:sz w:val="24"/>
          <w:szCs w:val="24"/>
        </w:rPr>
        <w:t>;</w:t>
      </w:r>
    </w:p>
    <w:p w14:paraId="6646E166" w14:textId="77777777" w:rsidR="00085BC8" w:rsidRPr="00B61FF1" w:rsidRDefault="009469FB" w:rsidP="00402B2D">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00085BC8" w:rsidRPr="00B61FF1">
        <w:rPr>
          <w:rFonts w:ascii="Arial" w:hAnsi="Arial" w:cs="Arial"/>
          <w:sz w:val="24"/>
          <w:szCs w:val="24"/>
        </w:rPr>
        <w:t>Limit or prohibit transfers in or</w:t>
      </w:r>
      <w:r w:rsidR="0036299F" w:rsidRPr="00B61FF1">
        <w:rPr>
          <w:rFonts w:ascii="Arial" w:hAnsi="Arial" w:cs="Arial"/>
          <w:sz w:val="24"/>
          <w:szCs w:val="24"/>
        </w:rPr>
        <w:t xml:space="preserve"> out of the holding account; or</w:t>
      </w:r>
      <w:r w:rsidR="00085BC8" w:rsidRPr="00B61FF1">
        <w:rPr>
          <w:rFonts w:ascii="Arial" w:hAnsi="Arial" w:cs="Arial"/>
          <w:sz w:val="24"/>
          <w:szCs w:val="24"/>
        </w:rPr>
        <w:t xml:space="preserve"> </w:t>
      </w:r>
    </w:p>
    <w:p w14:paraId="4841FBD7" w14:textId="77777777" w:rsidR="00FE6B15" w:rsidRPr="00B61FF1" w:rsidRDefault="00085BC8" w:rsidP="00402B2D">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All of the above.</w:t>
      </w:r>
      <w:r w:rsidR="00E871CD" w:rsidRPr="00B61FF1">
        <w:rPr>
          <w:rFonts w:ascii="Arial" w:hAnsi="Arial" w:cs="Arial"/>
          <w:sz w:val="24"/>
          <w:szCs w:val="24"/>
        </w:rPr>
        <w:t xml:space="preserve"> </w:t>
      </w:r>
    </w:p>
    <w:p w14:paraId="266755A0" w14:textId="77777777" w:rsidR="001641B3" w:rsidRPr="00B61FF1" w:rsidRDefault="001641B3" w:rsidP="00C45ECC">
      <w:pPr>
        <w:spacing w:line="360" w:lineRule="auto"/>
        <w:ind w:left="720" w:hanging="720"/>
        <w:rPr>
          <w:rFonts w:ascii="Arial" w:hAnsi="Arial" w:cs="Arial"/>
          <w:sz w:val="24"/>
          <w:szCs w:val="24"/>
        </w:rPr>
      </w:pPr>
      <w:r w:rsidRPr="00B61FF1">
        <w:rPr>
          <w:rFonts w:ascii="Arial" w:hAnsi="Arial" w:cs="Arial"/>
          <w:sz w:val="24"/>
          <w:szCs w:val="24"/>
        </w:rPr>
        <w:t>(</w:t>
      </w:r>
      <w:r w:rsidR="006A4600" w:rsidRPr="00B61FF1">
        <w:rPr>
          <w:rFonts w:ascii="Arial" w:hAnsi="Arial" w:cs="Arial"/>
          <w:sz w:val="24"/>
          <w:szCs w:val="24"/>
        </w:rPr>
        <w:t>h</w:t>
      </w:r>
      <w:r w:rsidRPr="00B61FF1">
        <w:rPr>
          <w:rFonts w:ascii="Arial" w:hAnsi="Arial" w:cs="Arial"/>
          <w:sz w:val="24"/>
          <w:szCs w:val="24"/>
        </w:rPr>
        <w:t>)</w:t>
      </w:r>
      <w:r w:rsidRPr="00B61FF1">
        <w:rPr>
          <w:rFonts w:ascii="Arial" w:hAnsi="Arial" w:cs="Arial"/>
          <w:sz w:val="24"/>
          <w:szCs w:val="24"/>
        </w:rPr>
        <w:tab/>
        <w:t>Information Reporting By Holders of Exchange Clearing Holding Accounts</w:t>
      </w:r>
      <w:r w:rsidR="00BE52EF" w:rsidRPr="00B61FF1">
        <w:rPr>
          <w:rFonts w:ascii="Arial" w:hAnsi="Arial" w:cs="Arial"/>
          <w:sz w:val="24"/>
          <w:szCs w:val="24"/>
        </w:rPr>
        <w:t>.</w:t>
      </w:r>
    </w:p>
    <w:p w14:paraId="654CB1E4" w14:textId="77777777" w:rsidR="001641B3" w:rsidRPr="00B61FF1" w:rsidRDefault="001C552D" w:rsidP="00FE6A4C">
      <w:pPr>
        <w:pStyle w:val="ListParagraph"/>
        <w:numPr>
          <w:ilvl w:val="1"/>
          <w:numId w:val="40"/>
        </w:numPr>
        <w:spacing w:line="360" w:lineRule="auto"/>
        <w:rPr>
          <w:rFonts w:ascii="Arial" w:hAnsi="Arial" w:cs="Arial"/>
          <w:sz w:val="24"/>
          <w:szCs w:val="24"/>
        </w:rPr>
      </w:pPr>
      <w:r w:rsidRPr="00B61FF1">
        <w:rPr>
          <w:rFonts w:ascii="Arial" w:hAnsi="Arial" w:cs="Arial"/>
          <w:sz w:val="24"/>
          <w:szCs w:val="24"/>
        </w:rPr>
        <w:t>Holders of exchange clearing holding accounts must make the transaction records available to ARB within 10 calendar days of a request from</w:t>
      </w:r>
      <w:r w:rsidR="001F459B" w:rsidRPr="00B61FF1">
        <w:rPr>
          <w:rFonts w:ascii="Arial" w:hAnsi="Arial" w:cs="Arial"/>
          <w:sz w:val="24"/>
          <w:szCs w:val="24"/>
        </w:rPr>
        <w:t xml:space="preserve"> the Executive Officer</w:t>
      </w:r>
      <w:r w:rsidR="001641B3" w:rsidRPr="00B61FF1">
        <w:rPr>
          <w:rFonts w:ascii="Arial" w:hAnsi="Arial" w:cs="Arial"/>
          <w:sz w:val="24"/>
          <w:szCs w:val="24"/>
        </w:rPr>
        <w:t>.</w:t>
      </w:r>
    </w:p>
    <w:p w14:paraId="4A515EB4" w14:textId="77777777" w:rsidR="001641B3" w:rsidRPr="00B61FF1" w:rsidRDefault="001641B3" w:rsidP="00FE6A4C">
      <w:pPr>
        <w:pStyle w:val="ListParagraph"/>
        <w:numPr>
          <w:ilvl w:val="1"/>
          <w:numId w:val="40"/>
        </w:numPr>
        <w:spacing w:line="360" w:lineRule="auto"/>
        <w:rPr>
          <w:rFonts w:ascii="Arial" w:hAnsi="Arial" w:cs="Arial"/>
          <w:sz w:val="24"/>
          <w:szCs w:val="24"/>
        </w:rPr>
      </w:pPr>
      <w:r w:rsidRPr="00B61FF1">
        <w:rPr>
          <w:rFonts w:ascii="Arial" w:hAnsi="Arial" w:cs="Arial"/>
          <w:sz w:val="24"/>
          <w:szCs w:val="24"/>
        </w:rPr>
        <w:t>Holders of exchange clearing holding accounts must retain transaction records containing the information listed in 95921(</w:t>
      </w:r>
      <w:r w:rsidR="006A4600" w:rsidRPr="00B61FF1">
        <w:rPr>
          <w:rFonts w:ascii="Arial" w:hAnsi="Arial" w:cs="Arial"/>
          <w:sz w:val="24"/>
          <w:szCs w:val="24"/>
        </w:rPr>
        <w:t>b</w:t>
      </w:r>
      <w:r w:rsidRPr="00B61FF1">
        <w:rPr>
          <w:rFonts w:ascii="Arial" w:hAnsi="Arial" w:cs="Arial"/>
          <w:sz w:val="24"/>
          <w:szCs w:val="24"/>
        </w:rPr>
        <w:t xml:space="preserve">) for </w:t>
      </w:r>
      <w:r w:rsidR="00BA4406" w:rsidRPr="00B61FF1">
        <w:rPr>
          <w:rFonts w:ascii="Arial" w:hAnsi="Arial" w:cs="Arial"/>
          <w:sz w:val="24"/>
          <w:szCs w:val="24"/>
        </w:rPr>
        <w:t>10</w:t>
      </w:r>
      <w:r w:rsidRPr="00B61FF1">
        <w:rPr>
          <w:rFonts w:ascii="Arial" w:hAnsi="Arial" w:cs="Arial"/>
          <w:sz w:val="24"/>
          <w:szCs w:val="24"/>
        </w:rPr>
        <w:t xml:space="preserve"> years.</w:t>
      </w:r>
    </w:p>
    <w:p w14:paraId="2EAB084B" w14:textId="77777777" w:rsidR="001641B3" w:rsidRPr="00B61FF1" w:rsidRDefault="001C552D" w:rsidP="00FE6A4C">
      <w:pPr>
        <w:pStyle w:val="ListParagraph"/>
        <w:numPr>
          <w:ilvl w:val="1"/>
          <w:numId w:val="40"/>
        </w:numPr>
        <w:spacing w:line="360" w:lineRule="auto"/>
        <w:rPr>
          <w:rFonts w:ascii="Arial" w:hAnsi="Arial" w:cs="Arial"/>
          <w:sz w:val="24"/>
          <w:szCs w:val="24"/>
        </w:rPr>
      </w:pPr>
      <w:r w:rsidRPr="00B61FF1">
        <w:rPr>
          <w:rFonts w:ascii="Arial" w:hAnsi="Arial" w:cs="Arial"/>
          <w:sz w:val="24"/>
          <w:szCs w:val="24"/>
        </w:rPr>
        <w:t>Holders of exchange clearing holding accounts are not required to include the information listed in 95921(</w:t>
      </w:r>
      <w:r w:rsidR="006A4600" w:rsidRPr="00B61FF1">
        <w:rPr>
          <w:rFonts w:ascii="Arial" w:hAnsi="Arial" w:cs="Arial"/>
          <w:sz w:val="24"/>
          <w:szCs w:val="24"/>
        </w:rPr>
        <w:t>b</w:t>
      </w:r>
      <w:r w:rsidRPr="00B61FF1">
        <w:rPr>
          <w:rFonts w:ascii="Arial" w:hAnsi="Arial" w:cs="Arial"/>
          <w:sz w:val="24"/>
          <w:szCs w:val="24"/>
        </w:rPr>
        <w:t>)(4), (5), (6), and (7) in transfer requests to the accounts administrator</w:t>
      </w:r>
      <w:r w:rsidR="001641B3" w:rsidRPr="00B61FF1">
        <w:rPr>
          <w:rFonts w:ascii="Arial" w:hAnsi="Arial" w:cs="Arial"/>
          <w:sz w:val="24"/>
          <w:szCs w:val="24"/>
        </w:rPr>
        <w:t>.</w:t>
      </w:r>
    </w:p>
    <w:p w14:paraId="7269E41C" w14:textId="77777777" w:rsidR="001C552D" w:rsidRPr="00B61FF1" w:rsidRDefault="001C552D" w:rsidP="001C552D">
      <w:pPr>
        <w:pStyle w:val="ListParagraph"/>
        <w:spacing w:line="360" w:lineRule="auto"/>
        <w:ind w:left="1080"/>
        <w:rPr>
          <w:rFonts w:ascii="Arial" w:hAnsi="Arial" w:cs="Arial"/>
          <w:sz w:val="24"/>
          <w:szCs w:val="24"/>
          <w:u w:val="double"/>
        </w:rPr>
      </w:pPr>
    </w:p>
    <w:p w14:paraId="6360EF38"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8C62AA9"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055F5DC7" w14:textId="77777777" w:rsidR="00D25ED9" w:rsidRPr="00B61FF1" w:rsidRDefault="00D25ED9">
      <w:pPr>
        <w:autoSpaceDE/>
        <w:autoSpaceDN/>
        <w:adjustRightInd/>
        <w:rPr>
          <w:rFonts w:ascii="Arial" w:hAnsi="Arial" w:cs="Arial"/>
          <w:b/>
          <w:bCs/>
          <w:iCs/>
          <w:sz w:val="24"/>
          <w:szCs w:val="24"/>
        </w:rPr>
      </w:pPr>
      <w:bookmarkStart w:id="391" w:name="_Toc265660930"/>
      <w:bookmarkStart w:id="392" w:name="_Toc268526232"/>
      <w:bookmarkStart w:id="393" w:name="_Toc269798093"/>
      <w:bookmarkStart w:id="394" w:name="_Toc259776459"/>
    </w:p>
    <w:p w14:paraId="369D609A" w14:textId="77777777" w:rsidR="00FE6B15" w:rsidRPr="00B61FF1" w:rsidRDefault="00FE6B15" w:rsidP="004E3B67">
      <w:pPr>
        <w:pStyle w:val="Heading2"/>
        <w:keepNext w:val="0"/>
        <w:rPr>
          <w:i/>
          <w:szCs w:val="24"/>
        </w:rPr>
      </w:pPr>
      <w:bookmarkStart w:id="395" w:name="_Toc299094962"/>
      <w:bookmarkStart w:id="396" w:name="_Toc302746816"/>
      <w:bookmarkStart w:id="397" w:name="_Toc352146274"/>
      <w:bookmarkStart w:id="398" w:name="_Toc361659878"/>
      <w:r w:rsidRPr="00B61FF1">
        <w:rPr>
          <w:szCs w:val="24"/>
        </w:rPr>
        <w:t>§ 95922.  Banking, Expiration, and Voluntary Retirement</w:t>
      </w:r>
      <w:bookmarkEnd w:id="391"/>
      <w:bookmarkEnd w:id="392"/>
      <w:bookmarkEnd w:id="393"/>
      <w:bookmarkEnd w:id="394"/>
      <w:r w:rsidR="00A26C38" w:rsidRPr="00B61FF1">
        <w:rPr>
          <w:szCs w:val="24"/>
        </w:rPr>
        <w:t>.</w:t>
      </w:r>
      <w:bookmarkEnd w:id="395"/>
      <w:bookmarkEnd w:id="396"/>
      <w:bookmarkEnd w:id="397"/>
      <w:bookmarkEnd w:id="398"/>
    </w:p>
    <w:p w14:paraId="4E8FCE75" w14:textId="77777777" w:rsidR="00FE6B15" w:rsidRPr="00B61FF1" w:rsidRDefault="00FE6B15" w:rsidP="00635712">
      <w:pPr>
        <w:numPr>
          <w:ilvl w:val="0"/>
          <w:numId w:val="3"/>
        </w:numPr>
        <w:spacing w:line="360" w:lineRule="auto"/>
        <w:rPr>
          <w:rFonts w:ascii="Arial" w:hAnsi="Arial" w:cs="Arial"/>
          <w:sz w:val="24"/>
          <w:szCs w:val="24"/>
        </w:rPr>
      </w:pPr>
      <w:r w:rsidRPr="00B61FF1">
        <w:rPr>
          <w:rFonts w:ascii="Arial" w:hAnsi="Arial" w:cs="Arial"/>
          <w:sz w:val="24"/>
          <w:szCs w:val="24"/>
        </w:rPr>
        <w:t xml:space="preserve">Allowances </w:t>
      </w:r>
      <w:r w:rsidR="00E15BD6" w:rsidRPr="00B61FF1">
        <w:rPr>
          <w:rFonts w:ascii="Arial" w:hAnsi="Arial" w:cs="Arial"/>
          <w:sz w:val="24"/>
          <w:szCs w:val="24"/>
        </w:rPr>
        <w:t>I</w:t>
      </w:r>
      <w:r w:rsidRPr="00B61FF1">
        <w:rPr>
          <w:rFonts w:ascii="Arial" w:hAnsi="Arial" w:cs="Arial"/>
          <w:sz w:val="24"/>
          <w:szCs w:val="24"/>
        </w:rPr>
        <w:t xml:space="preserve">ssued for a </w:t>
      </w:r>
      <w:r w:rsidR="00E15BD6" w:rsidRPr="00B61FF1">
        <w:rPr>
          <w:rFonts w:ascii="Arial" w:hAnsi="Arial" w:cs="Arial"/>
          <w:sz w:val="24"/>
          <w:szCs w:val="24"/>
        </w:rPr>
        <w:t>C</w:t>
      </w:r>
      <w:r w:rsidRPr="00B61FF1">
        <w:rPr>
          <w:rFonts w:ascii="Arial" w:hAnsi="Arial" w:cs="Arial"/>
          <w:sz w:val="24"/>
          <w:szCs w:val="24"/>
        </w:rPr>
        <w:t xml:space="preserve">urrent or </w:t>
      </w:r>
      <w:r w:rsidR="00E15BD6" w:rsidRPr="00B61FF1">
        <w:rPr>
          <w:rFonts w:ascii="Arial" w:hAnsi="Arial" w:cs="Arial"/>
          <w:sz w:val="24"/>
          <w:szCs w:val="24"/>
        </w:rPr>
        <w:t>P</w:t>
      </w:r>
      <w:r w:rsidRPr="00B61FF1">
        <w:rPr>
          <w:rFonts w:ascii="Arial" w:hAnsi="Arial" w:cs="Arial"/>
          <w:sz w:val="24"/>
          <w:szCs w:val="24"/>
        </w:rPr>
        <w:t xml:space="preserve">revious </w:t>
      </w:r>
      <w:r w:rsidR="00E15BD6" w:rsidRPr="00B61FF1">
        <w:rPr>
          <w:rFonts w:ascii="Arial" w:hAnsi="Arial" w:cs="Arial"/>
          <w:sz w:val="24"/>
          <w:szCs w:val="24"/>
        </w:rPr>
        <w:t>C</w:t>
      </w:r>
      <w:r w:rsidRPr="00B61FF1">
        <w:rPr>
          <w:rFonts w:ascii="Arial" w:hAnsi="Arial" w:cs="Arial"/>
          <w:sz w:val="24"/>
          <w:szCs w:val="24"/>
        </w:rPr>
        <w:t xml:space="preserve">ompliance </w:t>
      </w:r>
      <w:r w:rsidR="00E15BD6" w:rsidRPr="00B61FF1">
        <w:rPr>
          <w:rFonts w:ascii="Arial" w:hAnsi="Arial" w:cs="Arial"/>
          <w:sz w:val="24"/>
          <w:szCs w:val="24"/>
        </w:rPr>
        <w:t>P</w:t>
      </w:r>
      <w:r w:rsidRPr="00B61FF1">
        <w:rPr>
          <w:rFonts w:ascii="Arial" w:hAnsi="Arial" w:cs="Arial"/>
          <w:sz w:val="24"/>
          <w:szCs w:val="24"/>
        </w:rPr>
        <w:t xml:space="preserve">eriod.  A CA GHG allowance or an allowance </w:t>
      </w:r>
      <w:r w:rsidR="00E15BD6" w:rsidRPr="00B61FF1">
        <w:rPr>
          <w:rFonts w:ascii="Arial" w:hAnsi="Arial" w:cs="Arial"/>
          <w:sz w:val="24"/>
          <w:szCs w:val="24"/>
        </w:rPr>
        <w:t xml:space="preserve">issued by an </w:t>
      </w:r>
      <w:r w:rsidRPr="00B61FF1">
        <w:rPr>
          <w:rFonts w:ascii="Arial" w:hAnsi="Arial" w:cs="Arial"/>
          <w:sz w:val="24"/>
          <w:szCs w:val="24"/>
        </w:rPr>
        <w:t xml:space="preserve">approved </w:t>
      </w:r>
      <w:r w:rsidR="00E15BD6" w:rsidRPr="00B61FF1">
        <w:rPr>
          <w:rFonts w:ascii="Arial" w:hAnsi="Arial" w:cs="Arial"/>
          <w:sz w:val="24"/>
          <w:szCs w:val="24"/>
        </w:rPr>
        <w:t xml:space="preserve">GHG ETS </w:t>
      </w:r>
      <w:r w:rsidRPr="00B61FF1">
        <w:rPr>
          <w:rFonts w:ascii="Arial" w:hAnsi="Arial" w:cs="Arial"/>
          <w:sz w:val="24"/>
          <w:szCs w:val="24"/>
        </w:rPr>
        <w:t xml:space="preserve">pursuant to subarticle 12 may be held (“banked”) by an entity registered pursuant to section </w:t>
      </w:r>
      <w:r w:rsidR="00E03AB3" w:rsidRPr="00B61FF1">
        <w:rPr>
          <w:rFonts w:ascii="Arial" w:hAnsi="Arial" w:cs="Arial"/>
          <w:sz w:val="24"/>
          <w:szCs w:val="24"/>
        </w:rPr>
        <w:t>95830</w:t>
      </w:r>
      <w:r w:rsidRPr="00B61FF1">
        <w:rPr>
          <w:rFonts w:ascii="Arial" w:hAnsi="Arial" w:cs="Arial"/>
          <w:sz w:val="24"/>
          <w:szCs w:val="24"/>
        </w:rPr>
        <w:t>.</w:t>
      </w:r>
    </w:p>
    <w:p w14:paraId="7DF04886" w14:textId="77777777" w:rsidR="00FE6B15" w:rsidRPr="00B61FF1" w:rsidRDefault="00FE6B15" w:rsidP="00635712">
      <w:pPr>
        <w:numPr>
          <w:ilvl w:val="0"/>
          <w:numId w:val="3"/>
        </w:numPr>
        <w:spacing w:line="360" w:lineRule="auto"/>
        <w:rPr>
          <w:rFonts w:ascii="Arial" w:hAnsi="Arial" w:cs="Arial"/>
          <w:sz w:val="24"/>
          <w:szCs w:val="24"/>
        </w:rPr>
      </w:pPr>
      <w:r w:rsidRPr="00B61FF1">
        <w:rPr>
          <w:rFonts w:ascii="Arial" w:hAnsi="Arial" w:cs="Arial"/>
          <w:sz w:val="24"/>
          <w:szCs w:val="24"/>
        </w:rPr>
        <w:t xml:space="preserve">Allowances </w:t>
      </w:r>
      <w:r w:rsidR="00E15BD6" w:rsidRPr="00B61FF1">
        <w:rPr>
          <w:rFonts w:ascii="Arial" w:hAnsi="Arial" w:cs="Arial"/>
          <w:sz w:val="24"/>
          <w:szCs w:val="24"/>
        </w:rPr>
        <w:t>I</w:t>
      </w:r>
      <w:r w:rsidRPr="00B61FF1">
        <w:rPr>
          <w:rFonts w:ascii="Arial" w:hAnsi="Arial" w:cs="Arial"/>
          <w:sz w:val="24"/>
          <w:szCs w:val="24"/>
        </w:rPr>
        <w:t xml:space="preserve">ssued for a </w:t>
      </w:r>
      <w:r w:rsidR="00E15BD6" w:rsidRPr="00B61FF1">
        <w:rPr>
          <w:rFonts w:ascii="Arial" w:hAnsi="Arial" w:cs="Arial"/>
          <w:sz w:val="24"/>
          <w:szCs w:val="24"/>
        </w:rPr>
        <w:t>F</w:t>
      </w:r>
      <w:r w:rsidRPr="00B61FF1">
        <w:rPr>
          <w:rFonts w:ascii="Arial" w:hAnsi="Arial" w:cs="Arial"/>
          <w:sz w:val="24"/>
          <w:szCs w:val="24"/>
        </w:rPr>
        <w:t xml:space="preserve">uture </w:t>
      </w:r>
      <w:r w:rsidR="00E15BD6" w:rsidRPr="00B61FF1">
        <w:rPr>
          <w:rFonts w:ascii="Arial" w:hAnsi="Arial" w:cs="Arial"/>
          <w:sz w:val="24"/>
          <w:szCs w:val="24"/>
        </w:rPr>
        <w:t>C</w:t>
      </w:r>
      <w:r w:rsidRPr="00B61FF1">
        <w:rPr>
          <w:rFonts w:ascii="Arial" w:hAnsi="Arial" w:cs="Arial"/>
          <w:sz w:val="24"/>
          <w:szCs w:val="24"/>
        </w:rPr>
        <w:t xml:space="preserve">ompliance </w:t>
      </w:r>
      <w:r w:rsidR="00E15BD6" w:rsidRPr="00B61FF1">
        <w:rPr>
          <w:rFonts w:ascii="Arial" w:hAnsi="Arial" w:cs="Arial"/>
          <w:sz w:val="24"/>
          <w:szCs w:val="24"/>
        </w:rPr>
        <w:t>P</w:t>
      </w:r>
      <w:r w:rsidRPr="00B61FF1">
        <w:rPr>
          <w:rFonts w:ascii="Arial" w:hAnsi="Arial" w:cs="Arial"/>
          <w:sz w:val="24"/>
          <w:szCs w:val="24"/>
        </w:rPr>
        <w:t xml:space="preserve">eriod.  A CA GHG Allowance or an allowance approved pursuant to subarticle 12 issued from an allowance budget year within a future compliance period may be held by an entity registered pursuant to section </w:t>
      </w:r>
      <w:r w:rsidR="00E03AB3" w:rsidRPr="00B61FF1">
        <w:rPr>
          <w:rFonts w:ascii="Arial" w:hAnsi="Arial" w:cs="Arial"/>
          <w:sz w:val="24"/>
          <w:szCs w:val="24"/>
        </w:rPr>
        <w:t>95830</w:t>
      </w:r>
      <w:r w:rsidRPr="00B61FF1">
        <w:rPr>
          <w:rFonts w:ascii="Arial" w:hAnsi="Arial" w:cs="Arial"/>
          <w:sz w:val="24"/>
          <w:szCs w:val="24"/>
        </w:rPr>
        <w:t>.</w:t>
      </w:r>
    </w:p>
    <w:p w14:paraId="061B3DB6" w14:textId="77777777" w:rsidR="00FE6B15" w:rsidRPr="00B61FF1" w:rsidRDefault="00FE6B15" w:rsidP="00635712">
      <w:pPr>
        <w:numPr>
          <w:ilvl w:val="0"/>
          <w:numId w:val="3"/>
        </w:numPr>
        <w:spacing w:line="360" w:lineRule="auto"/>
        <w:rPr>
          <w:rFonts w:ascii="Arial" w:hAnsi="Arial" w:cs="Arial"/>
          <w:sz w:val="24"/>
          <w:szCs w:val="24"/>
        </w:rPr>
      </w:pPr>
      <w:r w:rsidRPr="00B61FF1">
        <w:rPr>
          <w:rFonts w:ascii="Arial" w:hAnsi="Arial" w:cs="Arial"/>
          <w:sz w:val="24"/>
          <w:szCs w:val="24"/>
        </w:rPr>
        <w:t xml:space="preserve">Expiration of Compliance Instruments.  A California compliance instrument does not expire and is not </w:t>
      </w:r>
      <w:r w:rsidR="00E15BD6" w:rsidRPr="00B61FF1">
        <w:rPr>
          <w:rFonts w:ascii="Arial" w:hAnsi="Arial" w:cs="Arial"/>
          <w:sz w:val="24"/>
          <w:szCs w:val="24"/>
        </w:rPr>
        <w:t>retired in</w:t>
      </w:r>
      <w:r w:rsidRPr="00B61FF1">
        <w:rPr>
          <w:rFonts w:ascii="Arial" w:hAnsi="Arial" w:cs="Arial"/>
          <w:sz w:val="24"/>
          <w:szCs w:val="24"/>
        </w:rPr>
        <w:t xml:space="preserve"> the tracking system until:</w:t>
      </w:r>
    </w:p>
    <w:p w14:paraId="5E1B1A80" w14:textId="77777777" w:rsidR="00FE6B15" w:rsidRPr="00B61FF1" w:rsidRDefault="00FE6B15" w:rsidP="00635712">
      <w:pPr>
        <w:numPr>
          <w:ilvl w:val="1"/>
          <w:numId w:val="3"/>
        </w:numPr>
        <w:spacing w:line="360" w:lineRule="auto"/>
        <w:rPr>
          <w:rFonts w:ascii="Arial" w:hAnsi="Arial" w:cs="Arial"/>
          <w:sz w:val="24"/>
          <w:szCs w:val="24"/>
        </w:rPr>
      </w:pPr>
      <w:r w:rsidRPr="00B61FF1">
        <w:rPr>
          <w:rFonts w:ascii="Arial" w:hAnsi="Arial" w:cs="Arial"/>
          <w:sz w:val="24"/>
          <w:szCs w:val="24"/>
        </w:rPr>
        <w:t xml:space="preserve">It is surrendered by a covered entity or opt-in covered entity and retired by the Executive Officer; </w:t>
      </w:r>
    </w:p>
    <w:p w14:paraId="50D480DB" w14:textId="77777777" w:rsidR="00FE6B15" w:rsidRPr="00B61FF1" w:rsidRDefault="00FE6B15" w:rsidP="00635712">
      <w:pPr>
        <w:numPr>
          <w:ilvl w:val="1"/>
          <w:numId w:val="3"/>
        </w:numPr>
        <w:spacing w:line="360" w:lineRule="auto"/>
        <w:rPr>
          <w:rFonts w:ascii="Arial" w:hAnsi="Arial" w:cs="Arial"/>
          <w:sz w:val="24"/>
          <w:szCs w:val="24"/>
        </w:rPr>
      </w:pPr>
      <w:r w:rsidRPr="00B61FF1">
        <w:rPr>
          <w:rFonts w:ascii="Arial" w:hAnsi="Arial" w:cs="Arial"/>
          <w:sz w:val="24"/>
          <w:szCs w:val="24"/>
        </w:rPr>
        <w:t>An entity voluntarily submits the instrument to the Executive Officer for retirement; or</w:t>
      </w:r>
    </w:p>
    <w:p w14:paraId="03604208" w14:textId="77777777" w:rsidR="00FE6B15" w:rsidRPr="00B61FF1" w:rsidRDefault="00FE6B15" w:rsidP="00635712">
      <w:pPr>
        <w:numPr>
          <w:ilvl w:val="1"/>
          <w:numId w:val="3"/>
        </w:numPr>
        <w:spacing w:line="360" w:lineRule="auto"/>
        <w:rPr>
          <w:rFonts w:ascii="Arial" w:hAnsi="Arial" w:cs="Arial"/>
          <w:sz w:val="24"/>
          <w:szCs w:val="24"/>
        </w:rPr>
      </w:pPr>
      <w:r w:rsidRPr="00B61FF1">
        <w:rPr>
          <w:rFonts w:ascii="Arial" w:hAnsi="Arial" w:cs="Arial"/>
          <w:sz w:val="24"/>
          <w:szCs w:val="24"/>
        </w:rPr>
        <w:t xml:space="preserve">The instrument is retired by an approved external GHG emissions trading system to which the </w:t>
      </w:r>
      <w:r w:rsidR="00E03AB3" w:rsidRPr="00B61FF1">
        <w:rPr>
          <w:rFonts w:ascii="Arial" w:hAnsi="Arial" w:cs="Arial"/>
          <w:sz w:val="24"/>
          <w:szCs w:val="24"/>
        </w:rPr>
        <w:t>Cap-and-Trade Program</w:t>
      </w:r>
      <w:r w:rsidRPr="00B61FF1">
        <w:rPr>
          <w:rFonts w:ascii="Arial" w:hAnsi="Arial" w:cs="Arial"/>
          <w:sz w:val="24"/>
          <w:szCs w:val="24"/>
        </w:rPr>
        <w:t xml:space="preserve"> is linked </w:t>
      </w:r>
      <w:r w:rsidR="00E15BD6" w:rsidRPr="00B61FF1">
        <w:rPr>
          <w:rFonts w:ascii="Arial" w:hAnsi="Arial" w:cs="Arial"/>
          <w:sz w:val="24"/>
          <w:szCs w:val="24"/>
        </w:rPr>
        <w:t xml:space="preserve">pursuant to </w:t>
      </w:r>
      <w:r w:rsidRPr="00B61FF1">
        <w:rPr>
          <w:rFonts w:ascii="Arial" w:hAnsi="Arial" w:cs="Arial"/>
          <w:sz w:val="24"/>
          <w:szCs w:val="24"/>
        </w:rPr>
        <w:t>subarticle 12.</w:t>
      </w:r>
    </w:p>
    <w:p w14:paraId="1ED1D2AC" w14:textId="77777777" w:rsidR="00FE6B15" w:rsidRPr="00B61FF1" w:rsidRDefault="00FE6B15" w:rsidP="00635712">
      <w:pPr>
        <w:numPr>
          <w:ilvl w:val="0"/>
          <w:numId w:val="3"/>
        </w:numPr>
        <w:spacing w:line="360" w:lineRule="auto"/>
        <w:rPr>
          <w:rFonts w:ascii="Arial" w:hAnsi="Arial" w:cs="Arial"/>
          <w:sz w:val="24"/>
          <w:szCs w:val="24"/>
        </w:rPr>
      </w:pPr>
      <w:r w:rsidRPr="00B61FF1">
        <w:rPr>
          <w:rFonts w:ascii="Arial" w:hAnsi="Arial" w:cs="Arial"/>
          <w:sz w:val="24"/>
          <w:szCs w:val="24"/>
        </w:rPr>
        <w:t xml:space="preserve">Voluntary Retirement of Compliance Instruments.  </w:t>
      </w:r>
    </w:p>
    <w:p w14:paraId="728BD8F0" w14:textId="77777777" w:rsidR="00FE6B15" w:rsidRPr="00B61FF1" w:rsidRDefault="00FE6B15" w:rsidP="00635712">
      <w:pPr>
        <w:numPr>
          <w:ilvl w:val="1"/>
          <w:numId w:val="3"/>
        </w:numPr>
        <w:spacing w:line="360" w:lineRule="auto"/>
        <w:rPr>
          <w:rFonts w:ascii="Arial" w:hAnsi="Arial" w:cs="Arial"/>
          <w:sz w:val="24"/>
          <w:szCs w:val="24"/>
        </w:rPr>
      </w:pPr>
      <w:r w:rsidRPr="00B61FF1">
        <w:rPr>
          <w:rFonts w:ascii="Arial" w:hAnsi="Arial" w:cs="Arial"/>
          <w:sz w:val="24"/>
          <w:szCs w:val="24"/>
        </w:rPr>
        <w:t xml:space="preserve">An entity registered pursuant to section </w:t>
      </w:r>
      <w:r w:rsidR="00E03AB3" w:rsidRPr="00B61FF1">
        <w:rPr>
          <w:rFonts w:ascii="Arial" w:hAnsi="Arial" w:cs="Arial"/>
          <w:sz w:val="24"/>
          <w:szCs w:val="24"/>
        </w:rPr>
        <w:t>95830</w:t>
      </w:r>
      <w:r w:rsidRPr="00B61FF1">
        <w:rPr>
          <w:rFonts w:ascii="Arial" w:hAnsi="Arial" w:cs="Arial"/>
          <w:sz w:val="24"/>
          <w:szCs w:val="24"/>
        </w:rPr>
        <w:t xml:space="preserve"> may voluntarily submit any compliance instrument for retirement.</w:t>
      </w:r>
    </w:p>
    <w:p w14:paraId="7A0E61D3" w14:textId="77777777" w:rsidR="00FE6B15" w:rsidRPr="00B61FF1" w:rsidRDefault="00FE6B15" w:rsidP="00635712">
      <w:pPr>
        <w:numPr>
          <w:ilvl w:val="1"/>
          <w:numId w:val="3"/>
        </w:numPr>
        <w:spacing w:line="360" w:lineRule="auto"/>
        <w:rPr>
          <w:rFonts w:ascii="Arial" w:hAnsi="Arial" w:cs="Arial"/>
          <w:sz w:val="24"/>
          <w:szCs w:val="24"/>
        </w:rPr>
      </w:pPr>
      <w:r w:rsidRPr="00B61FF1">
        <w:rPr>
          <w:rFonts w:ascii="Arial" w:hAnsi="Arial" w:cs="Arial"/>
          <w:sz w:val="24"/>
          <w:szCs w:val="24"/>
        </w:rPr>
        <w:t xml:space="preserve">To voluntarily retire a compliance instrument, the registered entity submits a transaction report to the accounts administrator listing its account number, the </w:t>
      </w:r>
      <w:r w:rsidRPr="00B61FF1">
        <w:rPr>
          <w:rFonts w:ascii="Arial" w:hAnsi="Arial" w:cs="Arial"/>
          <w:strike/>
          <w:sz w:val="24"/>
          <w:szCs w:val="24"/>
        </w:rPr>
        <w:t>serial</w:t>
      </w:r>
      <w:r w:rsidRPr="00B61FF1">
        <w:rPr>
          <w:rFonts w:ascii="Arial" w:hAnsi="Arial" w:cs="Arial"/>
          <w:sz w:val="24"/>
          <w:szCs w:val="24"/>
        </w:rPr>
        <w:t xml:space="preserve"> number</w:t>
      </w:r>
      <w:r w:rsidRPr="00B61FF1">
        <w:rPr>
          <w:rFonts w:ascii="Arial" w:hAnsi="Arial" w:cs="Arial"/>
          <w:strike/>
          <w:sz w:val="24"/>
          <w:szCs w:val="24"/>
        </w:rPr>
        <w:t>s</w:t>
      </w:r>
      <w:r w:rsidRPr="00B61FF1">
        <w:rPr>
          <w:rFonts w:ascii="Arial" w:hAnsi="Arial" w:cs="Arial"/>
          <w:sz w:val="24"/>
          <w:szCs w:val="24"/>
        </w:rPr>
        <w:t xml:space="preserve"> of </w:t>
      </w:r>
      <w:r w:rsidRPr="00B61FF1">
        <w:rPr>
          <w:rFonts w:ascii="Arial" w:hAnsi="Arial" w:cs="Arial"/>
          <w:strike/>
          <w:sz w:val="24"/>
          <w:szCs w:val="24"/>
        </w:rPr>
        <w:t>the</w:t>
      </w:r>
      <w:r w:rsidRPr="00B61FF1">
        <w:rPr>
          <w:rFonts w:ascii="Arial" w:hAnsi="Arial" w:cs="Arial"/>
          <w:sz w:val="24"/>
          <w:szCs w:val="24"/>
        </w:rPr>
        <w:t xml:space="preserve"> instruments to be retired, and the ARB Retirement Account as the destination account.</w:t>
      </w:r>
    </w:p>
    <w:p w14:paraId="14CBD890" w14:textId="77777777" w:rsidR="00FE6B15" w:rsidRPr="00B61FF1" w:rsidRDefault="00FE6B15" w:rsidP="004E3B67">
      <w:pPr>
        <w:spacing w:line="360" w:lineRule="auto"/>
        <w:rPr>
          <w:rFonts w:ascii="Arial" w:hAnsi="Arial" w:cs="Arial"/>
          <w:sz w:val="24"/>
          <w:szCs w:val="24"/>
        </w:rPr>
      </w:pPr>
    </w:p>
    <w:p w14:paraId="6B3FB7FE"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6828782"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58953FFF" w14:textId="77777777" w:rsidR="00BD1FA4" w:rsidRPr="00B61FF1" w:rsidRDefault="00BD1FA4" w:rsidP="00EC7AFC">
      <w:pPr>
        <w:rPr>
          <w:rFonts w:ascii="Arial" w:hAnsi="Arial" w:cs="Arial"/>
        </w:rPr>
      </w:pPr>
    </w:p>
    <w:p w14:paraId="70C4F532" w14:textId="77777777" w:rsidR="00BA6081" w:rsidRPr="00B61FF1" w:rsidRDefault="00BA6081" w:rsidP="00BA6081">
      <w:pPr>
        <w:pStyle w:val="Heading2"/>
        <w:keepNext w:val="0"/>
        <w:rPr>
          <w:i/>
          <w:szCs w:val="24"/>
          <w:u w:val="single"/>
        </w:rPr>
      </w:pPr>
      <w:bookmarkStart w:id="399" w:name="_Toc361659879"/>
      <w:r w:rsidRPr="00B61FF1">
        <w:rPr>
          <w:szCs w:val="24"/>
          <w:u w:val="single"/>
        </w:rPr>
        <w:t>§ 95923.  Disclosure of Cap-and-Trade Contractors.</w:t>
      </w:r>
      <w:bookmarkEnd w:id="399"/>
      <w:r w:rsidRPr="00B61FF1">
        <w:rPr>
          <w:szCs w:val="24"/>
          <w:u w:val="single"/>
        </w:rPr>
        <w:t xml:space="preserve"> </w:t>
      </w:r>
    </w:p>
    <w:p w14:paraId="4EFF7E04" w14:textId="77777777" w:rsidR="00BA6081" w:rsidRPr="00B61FF1" w:rsidRDefault="00BA6081" w:rsidP="00BA6081">
      <w:pPr>
        <w:spacing w:line="360" w:lineRule="auto"/>
        <w:ind w:left="72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Criteria for Determining Cap-and-Trade Contractors. </w:t>
      </w:r>
    </w:p>
    <w:p w14:paraId="3A924D39" w14:textId="62C2C423" w:rsidR="00BA6081" w:rsidRPr="00B61FF1" w:rsidRDefault="00BA6081" w:rsidP="00BA6081">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00B01C02" w:rsidRPr="00B61FF1">
        <w:rPr>
          <w:rFonts w:ascii="Arial" w:hAnsi="Arial" w:cs="Arial"/>
          <w:sz w:val="24"/>
          <w:szCs w:val="24"/>
          <w:u w:val="single"/>
        </w:rPr>
        <w:t>A “Cap-and-Trade Contractor” is</w:t>
      </w:r>
      <w:r w:rsidRPr="00B61FF1">
        <w:rPr>
          <w:rFonts w:ascii="Arial" w:hAnsi="Arial" w:cs="Arial"/>
          <w:sz w:val="24"/>
          <w:szCs w:val="24"/>
          <w:u w:val="single"/>
        </w:rPr>
        <w:t xml:space="preserve"> a contractor </w:t>
      </w:r>
      <w:r w:rsidR="00B01C02" w:rsidRPr="00B61FF1">
        <w:rPr>
          <w:rFonts w:ascii="Arial" w:hAnsi="Arial" w:cs="Arial"/>
          <w:sz w:val="24"/>
          <w:szCs w:val="24"/>
          <w:u w:val="single"/>
        </w:rPr>
        <w:t>employed by an entity register</w:t>
      </w:r>
      <w:r w:rsidR="001F3A12" w:rsidRPr="00B61FF1">
        <w:rPr>
          <w:rFonts w:ascii="Arial" w:hAnsi="Arial" w:cs="Arial"/>
          <w:sz w:val="24"/>
          <w:szCs w:val="24"/>
          <w:u w:val="single"/>
        </w:rPr>
        <w:t>e</w:t>
      </w:r>
      <w:r w:rsidR="00B01C02" w:rsidRPr="00B61FF1">
        <w:rPr>
          <w:rFonts w:ascii="Arial" w:hAnsi="Arial" w:cs="Arial"/>
          <w:sz w:val="24"/>
          <w:szCs w:val="24"/>
          <w:u w:val="single"/>
        </w:rPr>
        <w:t xml:space="preserve">d in the cap-and-trade program </w:t>
      </w:r>
      <w:r w:rsidRPr="00B61FF1">
        <w:rPr>
          <w:rFonts w:ascii="Arial" w:hAnsi="Arial" w:cs="Arial"/>
          <w:sz w:val="24"/>
          <w:szCs w:val="24"/>
          <w:u w:val="single"/>
        </w:rPr>
        <w:t xml:space="preserve">to work on cap-and-trade compliance if the contractor: </w:t>
      </w:r>
    </w:p>
    <w:p w14:paraId="19A96185" w14:textId="77777777" w:rsidR="00BA6081" w:rsidRPr="00B61FF1" w:rsidRDefault="00BA6081" w:rsidP="00BA6081">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Verifies the entity’s emissions as part of ARB’s Mandatory Reporting Regulation;</w:t>
      </w:r>
    </w:p>
    <w:p w14:paraId="120EEEAE" w14:textId="04B27527" w:rsidR="00BA6081" w:rsidRPr="00B61FF1" w:rsidRDefault="00BA6081" w:rsidP="00BA6081">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 xml:space="preserve">Advises or consults </w:t>
      </w:r>
      <w:r w:rsidR="00B01C02" w:rsidRPr="00B61FF1">
        <w:rPr>
          <w:rFonts w:ascii="Arial" w:hAnsi="Arial" w:cs="Arial"/>
          <w:sz w:val="24"/>
          <w:szCs w:val="24"/>
          <w:u w:val="single"/>
        </w:rPr>
        <w:t xml:space="preserve">with </w:t>
      </w:r>
      <w:r w:rsidRPr="00B61FF1">
        <w:rPr>
          <w:rFonts w:ascii="Arial" w:hAnsi="Arial" w:cs="Arial"/>
          <w:sz w:val="24"/>
          <w:szCs w:val="24"/>
          <w:u w:val="single"/>
        </w:rPr>
        <w:t xml:space="preserve">the entity </w:t>
      </w:r>
      <w:r w:rsidR="00B01C02" w:rsidRPr="00B61FF1">
        <w:rPr>
          <w:rFonts w:ascii="Arial" w:hAnsi="Arial" w:cs="Arial"/>
          <w:sz w:val="24"/>
          <w:szCs w:val="24"/>
          <w:u w:val="single"/>
        </w:rPr>
        <w:t>regarding</w:t>
      </w:r>
      <w:r w:rsidRPr="00B61FF1">
        <w:rPr>
          <w:rFonts w:ascii="Arial" w:hAnsi="Arial" w:cs="Arial"/>
          <w:sz w:val="24"/>
          <w:szCs w:val="24"/>
          <w:u w:val="single"/>
        </w:rPr>
        <w:t xml:space="preserve"> compliance with the Cap-and-Trade Program, and receives information from another registered Cap-and-Trade participant; </w:t>
      </w:r>
    </w:p>
    <w:p w14:paraId="61E74800" w14:textId="77777777" w:rsidR="00BA6081" w:rsidRPr="00B61FF1" w:rsidRDefault="00BA6081" w:rsidP="00BA6081">
      <w:pPr>
        <w:spacing w:line="360" w:lineRule="auto"/>
        <w:ind w:left="72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An entity employing Cap-and-Trade Contractors defined per 95923(a) must disclose the following information for each Cap-and-Trade Contractor</w:t>
      </w:r>
      <w:r w:rsidR="0037698C" w:rsidRPr="00B61FF1">
        <w:rPr>
          <w:rFonts w:ascii="Arial" w:hAnsi="Arial" w:cs="Arial"/>
          <w:sz w:val="24"/>
          <w:szCs w:val="24"/>
          <w:u w:val="single"/>
        </w:rPr>
        <w:t>, unless already disclosed pursuant to section 95914(c)(</w:t>
      </w:r>
      <w:r w:rsidR="00523942" w:rsidRPr="00B61FF1">
        <w:rPr>
          <w:rFonts w:ascii="Arial" w:hAnsi="Arial" w:cs="Arial"/>
          <w:sz w:val="24"/>
          <w:szCs w:val="24"/>
          <w:u w:val="single"/>
        </w:rPr>
        <w:t>3)</w:t>
      </w:r>
      <w:r w:rsidRPr="00B61FF1">
        <w:rPr>
          <w:rFonts w:ascii="Arial" w:hAnsi="Arial" w:cs="Arial"/>
          <w:sz w:val="24"/>
          <w:szCs w:val="24"/>
          <w:u w:val="single"/>
        </w:rPr>
        <w:t>:</w:t>
      </w:r>
    </w:p>
    <w:p w14:paraId="00C20A16" w14:textId="77777777" w:rsidR="00BA6081" w:rsidRPr="00B61FF1" w:rsidRDefault="00BA6081" w:rsidP="00BA6081">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Information to identify the Contractor, including:</w:t>
      </w:r>
    </w:p>
    <w:p w14:paraId="2F09988E" w14:textId="77777777" w:rsidR="00BA6081" w:rsidRPr="00B61FF1" w:rsidRDefault="00BA6081" w:rsidP="00BA6081">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Name;</w:t>
      </w:r>
    </w:p>
    <w:p w14:paraId="1E2E39A9" w14:textId="77777777" w:rsidR="00BA6081" w:rsidRPr="00B61FF1" w:rsidRDefault="00BA6081" w:rsidP="00BA6081">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Contact information;</w:t>
      </w:r>
    </w:p>
    <w:p w14:paraId="6E66BE9A" w14:textId="77777777" w:rsidR="00BA6081" w:rsidRPr="00B61FF1" w:rsidRDefault="00BA6081" w:rsidP="00BA6081">
      <w:pPr>
        <w:tabs>
          <w:tab w:val="left" w:pos="1800"/>
        </w:tabs>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Physical work address of the Contractor;</w:t>
      </w:r>
    </w:p>
    <w:p w14:paraId="76AB16F6" w14:textId="77777777" w:rsidR="00BA6081" w:rsidRPr="00B61FF1" w:rsidRDefault="00BA6081" w:rsidP="00BA6081">
      <w:pPr>
        <w:tabs>
          <w:tab w:val="left" w:pos="1080"/>
        </w:tabs>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 xml:space="preserve"> </w:t>
      </w:r>
      <w:r w:rsidRPr="00B61FF1">
        <w:rPr>
          <w:rFonts w:ascii="Arial" w:hAnsi="Arial" w:cs="Arial"/>
          <w:sz w:val="24"/>
          <w:szCs w:val="24"/>
        </w:rPr>
        <w:tab/>
      </w:r>
      <w:r w:rsidRPr="00B61FF1">
        <w:rPr>
          <w:rFonts w:ascii="Arial" w:hAnsi="Arial" w:cs="Arial"/>
          <w:sz w:val="24"/>
          <w:szCs w:val="24"/>
          <w:u w:val="single"/>
        </w:rPr>
        <w:t>A brief description of the work performed by the Contractor, to include information sufficient to explain the entity’s evaluation of the measures contained in section 95923(a) used to determine the Contractor relationship.</w:t>
      </w:r>
    </w:p>
    <w:p w14:paraId="1C9CCB16" w14:textId="77777777" w:rsidR="00BA6081" w:rsidRPr="00B61FF1" w:rsidRDefault="00BA6081" w:rsidP="00BA6081">
      <w:pPr>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The entity must disclose the information pursuant to section 95923(d) to the Executive Officer:</w:t>
      </w:r>
    </w:p>
    <w:p w14:paraId="4627DE3D" w14:textId="77777777" w:rsidR="00BA6081" w:rsidRPr="00B61FF1" w:rsidRDefault="00BA6081" w:rsidP="00BA6081">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When registering pursuant to section 95830;</w:t>
      </w:r>
    </w:p>
    <w:p w14:paraId="02859C6F" w14:textId="77777777" w:rsidR="00BA6081" w:rsidRPr="00B61FF1" w:rsidRDefault="00BA6081" w:rsidP="00BA6081">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At any time after registering when a Contractual agreement pursuant to section 95923(a) is created;</w:t>
      </w:r>
    </w:p>
    <w:p w14:paraId="5ACF12BC" w14:textId="77777777" w:rsidR="00BA6081" w:rsidRPr="00B61FF1" w:rsidRDefault="00BA6081" w:rsidP="00BA6081">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Within 30 days of a change to the information disclosed on Contractors.</w:t>
      </w:r>
    </w:p>
    <w:p w14:paraId="550E89EB" w14:textId="77777777" w:rsidR="00BA6081" w:rsidRPr="00B61FF1" w:rsidRDefault="00BA6081" w:rsidP="00EC7AFC">
      <w:pPr>
        <w:rPr>
          <w:rFonts w:ascii="Arial" w:hAnsi="Arial" w:cs="Arial"/>
        </w:rPr>
      </w:pPr>
    </w:p>
    <w:p w14:paraId="29CDE220" w14:textId="77777777" w:rsidR="00FE6B15" w:rsidRPr="00B61FF1" w:rsidRDefault="00FE6B15" w:rsidP="00CC193F">
      <w:pPr>
        <w:pStyle w:val="Heading1"/>
      </w:pPr>
      <w:bookmarkStart w:id="400" w:name="_Toc245811502"/>
      <w:bookmarkStart w:id="401" w:name="_Toc245899517"/>
      <w:bookmarkStart w:id="402" w:name="_Toc299094963"/>
      <w:bookmarkStart w:id="403" w:name="_Toc302746817"/>
      <w:bookmarkStart w:id="404" w:name="_Toc352146275"/>
      <w:bookmarkStart w:id="405" w:name="_Toc361659880"/>
      <w:bookmarkStart w:id="406" w:name="_Toc258822501"/>
      <w:bookmarkStart w:id="407" w:name="_Toc266690266"/>
      <w:bookmarkStart w:id="408" w:name="_Toc245811504"/>
      <w:bookmarkStart w:id="409" w:name="_Toc245811510"/>
      <w:bookmarkEnd w:id="326"/>
      <w:bookmarkEnd w:id="327"/>
      <w:bookmarkEnd w:id="371"/>
      <w:r w:rsidRPr="00B61FF1">
        <w:t>Subarticle 12</w:t>
      </w:r>
      <w:bookmarkEnd w:id="400"/>
      <w:bookmarkEnd w:id="401"/>
      <w:r w:rsidRPr="00B61FF1">
        <w:t>: Linkage to External Greenhouse Gas Emissions Trading Systems</w:t>
      </w:r>
      <w:bookmarkEnd w:id="402"/>
      <w:bookmarkEnd w:id="403"/>
      <w:bookmarkEnd w:id="404"/>
      <w:bookmarkEnd w:id="405"/>
    </w:p>
    <w:p w14:paraId="5A68B2BA" w14:textId="77777777" w:rsidR="00FE6B15" w:rsidRPr="00B61FF1" w:rsidRDefault="00FE6B15" w:rsidP="004E3B67">
      <w:pPr>
        <w:pStyle w:val="Heading2"/>
        <w:keepNext w:val="0"/>
        <w:rPr>
          <w:i/>
          <w:szCs w:val="24"/>
        </w:rPr>
      </w:pPr>
      <w:bookmarkStart w:id="410" w:name="_Toc258822493"/>
      <w:bookmarkStart w:id="411" w:name="_Toc266690259"/>
      <w:bookmarkStart w:id="412" w:name="_Toc269206254"/>
      <w:bookmarkStart w:id="413" w:name="_Toc269798095"/>
      <w:bookmarkStart w:id="414" w:name="_Toc299094964"/>
      <w:bookmarkStart w:id="415" w:name="_Toc302746818"/>
      <w:bookmarkStart w:id="416" w:name="_Toc352146276"/>
      <w:bookmarkStart w:id="417" w:name="_Toc361659881"/>
      <w:bookmarkStart w:id="418" w:name="_Toc245811503"/>
      <w:bookmarkStart w:id="419" w:name="_Toc245899518"/>
      <w:bookmarkStart w:id="420" w:name="_Toc246820616"/>
      <w:r w:rsidRPr="00B61FF1">
        <w:rPr>
          <w:szCs w:val="24"/>
        </w:rPr>
        <w:t>§ 95940.  General Requirements</w:t>
      </w:r>
      <w:bookmarkEnd w:id="410"/>
      <w:bookmarkEnd w:id="411"/>
      <w:bookmarkEnd w:id="412"/>
      <w:bookmarkEnd w:id="413"/>
      <w:r w:rsidR="00A26C38" w:rsidRPr="00B61FF1">
        <w:rPr>
          <w:szCs w:val="24"/>
        </w:rPr>
        <w:t>.</w:t>
      </w:r>
      <w:bookmarkEnd w:id="414"/>
      <w:bookmarkEnd w:id="415"/>
      <w:bookmarkEnd w:id="416"/>
      <w:bookmarkEnd w:id="417"/>
    </w:p>
    <w:p w14:paraId="7D9D5FE2"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 xml:space="preserve">A compliance instrument issued by an external greenhouse gas emissions trading system (GHG ETS) may be used to meet the requirements of this Article if the external GHG ETS and the compliance instrument have been approved pursuant to </w:t>
      </w:r>
      <w:r w:rsidR="00241AD1" w:rsidRPr="00B61FF1">
        <w:rPr>
          <w:rFonts w:ascii="Arial" w:hAnsi="Arial" w:cs="Arial"/>
          <w:sz w:val="24"/>
          <w:szCs w:val="24"/>
        </w:rPr>
        <w:t xml:space="preserve">this section and </w:t>
      </w:r>
      <w:r w:rsidRPr="00B61FF1">
        <w:rPr>
          <w:rFonts w:ascii="Arial" w:hAnsi="Arial" w:cs="Arial"/>
          <w:sz w:val="24"/>
          <w:szCs w:val="24"/>
        </w:rPr>
        <w:t>section 95941.</w:t>
      </w:r>
    </w:p>
    <w:p w14:paraId="19746AE6" w14:textId="77777777" w:rsidR="00FE6B15" w:rsidRPr="00B61FF1" w:rsidRDefault="00FE6B15" w:rsidP="004E3B67">
      <w:pPr>
        <w:spacing w:line="360" w:lineRule="auto"/>
        <w:rPr>
          <w:rFonts w:ascii="Arial" w:hAnsi="Arial" w:cs="Arial"/>
          <w:sz w:val="24"/>
          <w:szCs w:val="24"/>
        </w:rPr>
      </w:pPr>
    </w:p>
    <w:p w14:paraId="2235AE88"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0755AFF"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313095F8" w14:textId="77777777" w:rsidR="00BD1FA4" w:rsidRPr="00B61FF1" w:rsidRDefault="00BD1FA4" w:rsidP="00EC7AFC">
      <w:pPr>
        <w:rPr>
          <w:rFonts w:ascii="Arial" w:hAnsi="Arial" w:cs="Arial"/>
        </w:rPr>
      </w:pPr>
    </w:p>
    <w:p w14:paraId="2FF620D0" w14:textId="77777777" w:rsidR="00FE6B15" w:rsidRPr="00B61FF1" w:rsidRDefault="00FE6B15" w:rsidP="004E3B67">
      <w:pPr>
        <w:pStyle w:val="Heading2"/>
        <w:keepNext w:val="0"/>
        <w:rPr>
          <w:i/>
          <w:szCs w:val="24"/>
        </w:rPr>
      </w:pPr>
      <w:bookmarkStart w:id="421" w:name="_Toc258822494"/>
      <w:bookmarkStart w:id="422" w:name="_Toc266690260"/>
      <w:bookmarkStart w:id="423" w:name="_Toc269206255"/>
      <w:bookmarkStart w:id="424" w:name="_Toc269798096"/>
      <w:bookmarkStart w:id="425" w:name="_Toc299094965"/>
      <w:bookmarkStart w:id="426" w:name="_Toc302746819"/>
      <w:bookmarkStart w:id="427" w:name="_Toc352146277"/>
      <w:bookmarkStart w:id="428" w:name="_Toc361659882"/>
      <w:r w:rsidRPr="00B61FF1">
        <w:rPr>
          <w:szCs w:val="24"/>
        </w:rPr>
        <w:t xml:space="preserve">§ 95941.  Procedures for Approval of External </w:t>
      </w:r>
      <w:bookmarkEnd w:id="421"/>
      <w:bookmarkEnd w:id="422"/>
      <w:r w:rsidRPr="00B61FF1">
        <w:rPr>
          <w:szCs w:val="24"/>
        </w:rPr>
        <w:t>GHG ETS</w:t>
      </w:r>
      <w:bookmarkEnd w:id="423"/>
      <w:bookmarkEnd w:id="424"/>
      <w:r w:rsidR="00A26C38" w:rsidRPr="00B61FF1">
        <w:rPr>
          <w:szCs w:val="24"/>
        </w:rPr>
        <w:t>.</w:t>
      </w:r>
      <w:bookmarkEnd w:id="425"/>
      <w:bookmarkEnd w:id="426"/>
      <w:bookmarkEnd w:id="427"/>
      <w:bookmarkEnd w:id="428"/>
    </w:p>
    <w:p w14:paraId="1055A91D"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The Board may approve a linkage with an external GHG ETS after public notice and opportunity for public comment in accordance with the Administrative Procedure Act (Government Code sections 11340 et seq.).  Provisions set forth in this Article shall specify which compliance instruments issued by a linked GHG ETS may be used to meet a compliance obligation under this Article.</w:t>
      </w:r>
    </w:p>
    <w:p w14:paraId="41457BB0" w14:textId="77777777" w:rsidR="00FE6B15" w:rsidRPr="00B61FF1" w:rsidRDefault="00FE6B15" w:rsidP="004E3B67">
      <w:pPr>
        <w:spacing w:line="360" w:lineRule="auto"/>
        <w:rPr>
          <w:rFonts w:ascii="Arial" w:hAnsi="Arial" w:cs="Arial"/>
          <w:sz w:val="24"/>
          <w:szCs w:val="24"/>
        </w:rPr>
      </w:pPr>
    </w:p>
    <w:p w14:paraId="21A6EF56"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C3870B0"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3C47DD7D" w14:textId="77777777" w:rsidR="00FE6B15" w:rsidRPr="00B61FF1" w:rsidRDefault="00FE6B15" w:rsidP="004E3B67">
      <w:pPr>
        <w:pStyle w:val="Heading2"/>
        <w:keepNext w:val="0"/>
        <w:rPr>
          <w:i/>
          <w:szCs w:val="24"/>
        </w:rPr>
      </w:pPr>
      <w:bookmarkStart w:id="429" w:name="_Toc258822495"/>
      <w:bookmarkStart w:id="430" w:name="_Toc266690261"/>
      <w:bookmarkStart w:id="431" w:name="_Toc269206256"/>
      <w:bookmarkStart w:id="432" w:name="_Toc269798097"/>
      <w:bookmarkStart w:id="433" w:name="_Toc299094966"/>
      <w:bookmarkStart w:id="434" w:name="_Toc302746820"/>
      <w:bookmarkStart w:id="435" w:name="_Toc352146278"/>
      <w:bookmarkStart w:id="436" w:name="_Toc361659883"/>
      <w:r w:rsidRPr="00B61FF1">
        <w:rPr>
          <w:szCs w:val="24"/>
        </w:rPr>
        <w:t>§ 95942</w:t>
      </w:r>
      <w:bookmarkEnd w:id="429"/>
      <w:r w:rsidRPr="00B61FF1">
        <w:rPr>
          <w:szCs w:val="24"/>
        </w:rPr>
        <w:t xml:space="preserve">.  </w:t>
      </w:r>
      <w:r w:rsidR="00E16E77" w:rsidRPr="00B61FF1">
        <w:rPr>
          <w:szCs w:val="24"/>
        </w:rPr>
        <w:t>Interchange</w:t>
      </w:r>
      <w:r w:rsidRPr="00B61FF1">
        <w:rPr>
          <w:szCs w:val="24"/>
        </w:rPr>
        <w:t xml:space="preserve"> of Compliance Instruments </w:t>
      </w:r>
      <w:r w:rsidR="00E16E77" w:rsidRPr="00B61FF1">
        <w:rPr>
          <w:szCs w:val="24"/>
        </w:rPr>
        <w:t>with Linked</w:t>
      </w:r>
      <w:r w:rsidRPr="00B61FF1">
        <w:rPr>
          <w:szCs w:val="24"/>
        </w:rPr>
        <w:t xml:space="preserve"> External </w:t>
      </w:r>
      <w:bookmarkEnd w:id="430"/>
      <w:bookmarkEnd w:id="431"/>
      <w:bookmarkEnd w:id="432"/>
      <w:r w:rsidR="00BE5C8D" w:rsidRPr="00B61FF1">
        <w:rPr>
          <w:szCs w:val="24"/>
        </w:rPr>
        <w:t>G</w:t>
      </w:r>
      <w:r w:rsidR="00E16E77" w:rsidRPr="00B61FF1">
        <w:rPr>
          <w:szCs w:val="24"/>
        </w:rPr>
        <w:t>reenhouse Gas Emissions Trading Systems</w:t>
      </w:r>
      <w:r w:rsidR="00A26C38" w:rsidRPr="00B61FF1">
        <w:rPr>
          <w:szCs w:val="24"/>
        </w:rPr>
        <w:t>.</w:t>
      </w:r>
      <w:bookmarkEnd w:id="433"/>
      <w:bookmarkEnd w:id="434"/>
      <w:bookmarkEnd w:id="435"/>
      <w:bookmarkEnd w:id="436"/>
    </w:p>
    <w:p w14:paraId="2C08DE2D" w14:textId="77777777" w:rsidR="00FE6B15" w:rsidRPr="00B61FF1" w:rsidRDefault="00FE6B15" w:rsidP="00635712">
      <w:pPr>
        <w:numPr>
          <w:ilvl w:val="0"/>
          <w:numId w:val="4"/>
        </w:numPr>
        <w:spacing w:line="360" w:lineRule="auto"/>
        <w:rPr>
          <w:rFonts w:ascii="Arial" w:hAnsi="Arial" w:cs="Arial"/>
          <w:sz w:val="24"/>
          <w:szCs w:val="24"/>
        </w:rPr>
      </w:pPr>
      <w:r w:rsidRPr="00B61FF1">
        <w:rPr>
          <w:rFonts w:ascii="Arial" w:hAnsi="Arial" w:cs="Arial"/>
          <w:sz w:val="24"/>
          <w:szCs w:val="24"/>
        </w:rPr>
        <w:t>Once a linkage is approved, a compliance instrument issued by the approved external GHG ETS, as specified in</w:t>
      </w:r>
      <w:r w:rsidR="00241AD1" w:rsidRPr="00B61FF1">
        <w:rPr>
          <w:rFonts w:ascii="Arial" w:hAnsi="Arial" w:cs="Arial"/>
          <w:sz w:val="24"/>
          <w:szCs w:val="24"/>
        </w:rPr>
        <w:t xml:space="preserve"> this</w:t>
      </w:r>
      <w:r w:rsidRPr="00B61FF1">
        <w:rPr>
          <w:rFonts w:ascii="Arial" w:hAnsi="Arial" w:cs="Arial"/>
          <w:sz w:val="24"/>
          <w:szCs w:val="24"/>
        </w:rPr>
        <w:t xml:space="preserve"> section, may be used to meet a compliance obligation under this Article.</w:t>
      </w:r>
    </w:p>
    <w:p w14:paraId="6B402F0D" w14:textId="77777777" w:rsidR="00FE6B15" w:rsidRPr="00B61FF1" w:rsidRDefault="00FE6B15" w:rsidP="00BE5C8D">
      <w:pPr>
        <w:numPr>
          <w:ilvl w:val="0"/>
          <w:numId w:val="4"/>
        </w:numPr>
        <w:spacing w:line="360" w:lineRule="auto"/>
        <w:rPr>
          <w:rFonts w:ascii="Arial" w:hAnsi="Arial" w:cs="Arial"/>
          <w:sz w:val="24"/>
          <w:szCs w:val="24"/>
        </w:rPr>
      </w:pPr>
      <w:r w:rsidRPr="00B61FF1">
        <w:rPr>
          <w:rFonts w:ascii="Arial" w:hAnsi="Arial" w:cs="Arial"/>
          <w:sz w:val="24"/>
          <w:szCs w:val="24"/>
        </w:rPr>
        <w:t xml:space="preserve">An allowance issued by an approved external GHG ETS and specified in </w:t>
      </w:r>
      <w:r w:rsidR="00241AD1" w:rsidRPr="00B61FF1">
        <w:rPr>
          <w:rFonts w:ascii="Arial" w:hAnsi="Arial" w:cs="Arial"/>
          <w:sz w:val="24"/>
          <w:szCs w:val="24"/>
        </w:rPr>
        <w:t xml:space="preserve">this </w:t>
      </w:r>
      <w:r w:rsidRPr="00B61FF1">
        <w:rPr>
          <w:rFonts w:ascii="Arial" w:hAnsi="Arial" w:cs="Arial"/>
          <w:sz w:val="24"/>
          <w:szCs w:val="24"/>
        </w:rPr>
        <w:t xml:space="preserve">section is not subject to the quantitative usage limit specified in section 95854.  </w:t>
      </w:r>
    </w:p>
    <w:p w14:paraId="1859E33C" w14:textId="77777777" w:rsidR="00FE6B15" w:rsidRPr="00B61FF1" w:rsidRDefault="00FE6B15" w:rsidP="00BE5C8D">
      <w:pPr>
        <w:numPr>
          <w:ilvl w:val="0"/>
          <w:numId w:val="4"/>
        </w:numPr>
        <w:spacing w:line="360" w:lineRule="auto"/>
        <w:rPr>
          <w:rFonts w:ascii="Arial" w:hAnsi="Arial" w:cs="Arial"/>
          <w:sz w:val="24"/>
          <w:szCs w:val="24"/>
        </w:rPr>
      </w:pPr>
      <w:r w:rsidRPr="00B61FF1">
        <w:rPr>
          <w:rFonts w:ascii="Arial" w:hAnsi="Arial" w:cs="Arial"/>
          <w:sz w:val="24"/>
          <w:szCs w:val="24"/>
        </w:rPr>
        <w:t>An offset credit or sector-based credit issued by an external GHG ETS is subject to the quantitative usage limit specified in section 95854, when used to meet a compliance obligation under this Article.</w:t>
      </w:r>
    </w:p>
    <w:p w14:paraId="4B6F42A6" w14:textId="77777777" w:rsidR="00E16E77" w:rsidRPr="00B61FF1" w:rsidRDefault="00E16E77" w:rsidP="00BE5C8D">
      <w:pPr>
        <w:tabs>
          <w:tab w:val="num" w:pos="720"/>
        </w:tabs>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Once a linkage is approved, a compliance instrument issued by California may be used to meet a compliance obligation within the approved External GHG ETS.</w:t>
      </w:r>
    </w:p>
    <w:p w14:paraId="065CA995" w14:textId="77777777" w:rsidR="00E16E77" w:rsidRPr="00B61FF1" w:rsidRDefault="00E16E77" w:rsidP="00BE5C8D">
      <w:pPr>
        <w:tabs>
          <w:tab w:val="num" w:pos="720"/>
        </w:tabs>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Once a linkage is approved, a compliance instrument issued by the linked jurisdiction may be used to meet a compliance obligation in California.</w:t>
      </w:r>
    </w:p>
    <w:p w14:paraId="2BE2735A" w14:textId="5011E7DF" w:rsidR="00E16E77" w:rsidRPr="00B61FF1" w:rsidRDefault="00E16E77" w:rsidP="00BE5C8D">
      <w:pPr>
        <w:tabs>
          <w:tab w:val="num" w:pos="720"/>
        </w:tabs>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The administrator of the approved External GHG ETS must agree to inform the Executive Officer of any</w:t>
      </w:r>
      <w:r w:rsidR="007E4857" w:rsidRPr="00B61FF1">
        <w:rPr>
          <w:rFonts w:ascii="Arial" w:hAnsi="Arial" w:cs="Arial"/>
          <w:sz w:val="24"/>
          <w:szCs w:val="24"/>
        </w:rPr>
        <w:t xml:space="preserve"> </w:t>
      </w:r>
      <w:r w:rsidR="007E4857" w:rsidRPr="00B61FF1">
        <w:rPr>
          <w:rFonts w:ascii="Arial" w:hAnsi="Arial" w:cs="Arial"/>
          <w:sz w:val="24"/>
          <w:szCs w:val="24"/>
          <w:u w:val="single"/>
        </w:rPr>
        <w:t>of the serial numbers of</w:t>
      </w:r>
      <w:r w:rsidRPr="00B61FF1">
        <w:rPr>
          <w:rFonts w:ascii="Arial" w:hAnsi="Arial" w:cs="Arial"/>
          <w:sz w:val="24"/>
          <w:szCs w:val="24"/>
        </w:rPr>
        <w:t xml:space="preserve"> California compliance instruments that the External GHG ETS accepts for compliance.</w:t>
      </w:r>
    </w:p>
    <w:p w14:paraId="296FFC58" w14:textId="1DC0F07A" w:rsidR="00FE6B15" w:rsidRPr="00B61FF1" w:rsidRDefault="00E16E77" w:rsidP="00F43CE0">
      <w:pPr>
        <w:tabs>
          <w:tab w:val="num" w:pos="720"/>
        </w:tabs>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The Executive Officer will agree to inform the appropriate official in the approved External GHG ETS of any</w:t>
      </w:r>
      <w:r w:rsidR="007E4857" w:rsidRPr="00B61FF1">
        <w:rPr>
          <w:rFonts w:ascii="Arial" w:hAnsi="Arial" w:cs="Arial"/>
          <w:sz w:val="24"/>
          <w:szCs w:val="24"/>
        </w:rPr>
        <w:t xml:space="preserve"> </w:t>
      </w:r>
      <w:r w:rsidR="007E4857" w:rsidRPr="00B61FF1">
        <w:rPr>
          <w:rFonts w:ascii="Arial" w:hAnsi="Arial" w:cs="Arial"/>
          <w:sz w:val="24"/>
          <w:szCs w:val="24"/>
          <w:u w:val="single"/>
        </w:rPr>
        <w:t>of the serial numbers of</w:t>
      </w:r>
      <w:r w:rsidRPr="00B61FF1">
        <w:rPr>
          <w:rFonts w:ascii="Arial" w:hAnsi="Arial" w:cs="Arial"/>
          <w:sz w:val="24"/>
          <w:szCs w:val="24"/>
        </w:rPr>
        <w:t xml:space="preserve"> compliance instrument</w:t>
      </w:r>
      <w:r w:rsidR="007E4857" w:rsidRPr="00B61FF1">
        <w:rPr>
          <w:rFonts w:ascii="Arial" w:hAnsi="Arial" w:cs="Arial"/>
          <w:sz w:val="24"/>
          <w:szCs w:val="24"/>
          <w:u w:val="single"/>
        </w:rPr>
        <w:t>s</w:t>
      </w:r>
      <w:r w:rsidRPr="00B61FF1">
        <w:rPr>
          <w:rFonts w:ascii="Arial" w:hAnsi="Arial" w:cs="Arial"/>
          <w:sz w:val="24"/>
          <w:szCs w:val="24"/>
        </w:rPr>
        <w:t xml:space="preserve"> accepted by California for compliance.</w:t>
      </w:r>
    </w:p>
    <w:p w14:paraId="48307BBC" w14:textId="77777777" w:rsidR="00BE5C8D" w:rsidRPr="00B61FF1" w:rsidRDefault="00BE5C8D" w:rsidP="00F43CE0">
      <w:pPr>
        <w:tabs>
          <w:tab w:val="num" w:pos="720"/>
        </w:tabs>
        <w:spacing w:line="360" w:lineRule="auto"/>
        <w:ind w:left="720" w:hanging="720"/>
        <w:rPr>
          <w:rFonts w:ascii="Arial" w:hAnsi="Arial" w:cs="Arial"/>
          <w:sz w:val="24"/>
          <w:szCs w:val="24"/>
        </w:rPr>
      </w:pPr>
      <w:r w:rsidRPr="00B61FF1">
        <w:rPr>
          <w:rFonts w:ascii="Arial" w:hAnsi="Arial" w:cs="Arial"/>
          <w:sz w:val="24"/>
          <w:szCs w:val="24"/>
        </w:rPr>
        <w:t>(h)</w:t>
      </w:r>
      <w:r w:rsidR="00F43CE0" w:rsidRPr="00B61FF1">
        <w:rPr>
          <w:rFonts w:ascii="Arial" w:hAnsi="Arial" w:cs="Arial"/>
          <w:sz w:val="24"/>
          <w:szCs w:val="24"/>
        </w:rPr>
        <w:tab/>
      </w:r>
      <w:r w:rsidRPr="00B61FF1">
        <w:rPr>
          <w:rFonts w:ascii="Arial" w:hAnsi="Arial" w:cs="Arial"/>
          <w:sz w:val="24"/>
          <w:szCs w:val="24"/>
        </w:rPr>
        <w:t>The Executive Officer will register into the Retirement Account compliance</w:t>
      </w:r>
      <w:r w:rsidR="00F43CE0" w:rsidRPr="00B61FF1">
        <w:rPr>
          <w:rFonts w:ascii="Arial" w:hAnsi="Arial" w:cs="Arial"/>
          <w:sz w:val="24"/>
          <w:szCs w:val="24"/>
        </w:rPr>
        <w:t xml:space="preserve"> </w:t>
      </w:r>
      <w:r w:rsidRPr="00B61FF1">
        <w:rPr>
          <w:rFonts w:ascii="Arial" w:hAnsi="Arial" w:cs="Arial"/>
          <w:sz w:val="24"/>
          <w:szCs w:val="24"/>
        </w:rPr>
        <w:t>instruments issued by California that are used for compliance within the</w:t>
      </w:r>
      <w:r w:rsidR="00F43CE0" w:rsidRPr="00B61FF1">
        <w:rPr>
          <w:rFonts w:ascii="Arial" w:hAnsi="Arial" w:cs="Arial"/>
          <w:sz w:val="24"/>
          <w:szCs w:val="24"/>
        </w:rPr>
        <w:t xml:space="preserve"> </w:t>
      </w:r>
      <w:r w:rsidRPr="00B61FF1">
        <w:rPr>
          <w:rFonts w:ascii="Arial" w:hAnsi="Arial" w:cs="Arial"/>
          <w:sz w:val="24"/>
          <w:szCs w:val="24"/>
        </w:rPr>
        <w:t>approved External GHG ETS, along with information identifying the</w:t>
      </w:r>
      <w:r w:rsidR="00F43CE0" w:rsidRPr="00B61FF1">
        <w:rPr>
          <w:rFonts w:ascii="Arial" w:hAnsi="Arial" w:cs="Arial"/>
          <w:sz w:val="24"/>
          <w:szCs w:val="24"/>
        </w:rPr>
        <w:t xml:space="preserve"> </w:t>
      </w:r>
      <w:r w:rsidRPr="00B61FF1">
        <w:rPr>
          <w:rFonts w:ascii="Arial" w:hAnsi="Arial" w:cs="Arial"/>
          <w:sz w:val="24"/>
          <w:szCs w:val="24"/>
        </w:rPr>
        <w:t>External GHG ETS actually retiring</w:t>
      </w:r>
      <w:r w:rsidR="00F43CE0" w:rsidRPr="00B61FF1">
        <w:rPr>
          <w:rFonts w:ascii="Arial" w:hAnsi="Arial" w:cs="Arial"/>
          <w:sz w:val="24"/>
          <w:szCs w:val="24"/>
        </w:rPr>
        <w:t xml:space="preserve"> </w:t>
      </w:r>
      <w:r w:rsidRPr="00B61FF1">
        <w:rPr>
          <w:rFonts w:ascii="Arial" w:hAnsi="Arial" w:cs="Arial"/>
          <w:sz w:val="24"/>
          <w:szCs w:val="24"/>
        </w:rPr>
        <w:t>the compliance instruments.</w:t>
      </w:r>
    </w:p>
    <w:p w14:paraId="0707A4E1"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4B4D0D73"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6609DA14" w14:textId="77777777" w:rsidR="00BD1FA4" w:rsidRPr="00B61FF1" w:rsidRDefault="00BD1FA4" w:rsidP="00EC7AFC">
      <w:pPr>
        <w:rPr>
          <w:rFonts w:ascii="Arial" w:hAnsi="Arial" w:cs="Arial"/>
        </w:rPr>
      </w:pPr>
    </w:p>
    <w:bookmarkEnd w:id="418"/>
    <w:bookmarkEnd w:id="419"/>
    <w:bookmarkEnd w:id="420"/>
    <w:p w14:paraId="23002149" w14:textId="77777777" w:rsidR="00FE6B15" w:rsidRPr="00B61FF1" w:rsidRDefault="00FE6B15" w:rsidP="009129B7">
      <w:pPr>
        <w:rPr>
          <w:rFonts w:ascii="Arial" w:hAnsi="Arial" w:cs="Arial"/>
        </w:rPr>
      </w:pPr>
    </w:p>
    <w:p w14:paraId="5709B633" w14:textId="77777777" w:rsidR="00F43CE0" w:rsidRPr="00B61FF1" w:rsidRDefault="00F43CE0" w:rsidP="00F43CE0">
      <w:pPr>
        <w:pStyle w:val="Heading2"/>
        <w:keepNext w:val="0"/>
        <w:rPr>
          <w:i/>
          <w:szCs w:val="24"/>
        </w:rPr>
      </w:pPr>
      <w:bookmarkStart w:id="437" w:name="_Toc361659884"/>
      <w:r w:rsidRPr="00B61FF1">
        <w:rPr>
          <w:szCs w:val="24"/>
        </w:rPr>
        <w:t>§ 95943.  Linked External GHG ETS.</w:t>
      </w:r>
      <w:bookmarkEnd w:id="437"/>
    </w:p>
    <w:p w14:paraId="2A9FA3B6" w14:textId="77777777" w:rsidR="00F43CE0" w:rsidRPr="00B61FF1" w:rsidRDefault="00F43CE0" w:rsidP="00F43CE0">
      <w:pPr>
        <w:spacing w:line="360" w:lineRule="auto"/>
        <w:rPr>
          <w:rFonts w:ascii="Arial" w:hAnsi="Arial" w:cs="Arial"/>
          <w:b/>
          <w:bCs/>
          <w:sz w:val="24"/>
          <w:szCs w:val="24"/>
        </w:rPr>
      </w:pPr>
      <w:bookmarkStart w:id="438" w:name="_Toc294275139"/>
      <w:bookmarkStart w:id="439" w:name="_Toc299094968"/>
      <w:bookmarkStart w:id="440" w:name="_Toc299095085"/>
      <w:bookmarkStart w:id="441" w:name="_Toc302746822"/>
      <w:bookmarkStart w:id="442" w:name="_Toc352146279"/>
      <w:bookmarkStart w:id="443" w:name="_Toc258822502"/>
      <w:bookmarkStart w:id="444" w:name="_Toc266690267"/>
      <w:bookmarkStart w:id="445" w:name="_Toc268526239"/>
      <w:bookmarkStart w:id="446" w:name="_Toc269206259"/>
      <w:bookmarkStart w:id="447" w:name="_Toc269798100"/>
      <w:bookmarkStart w:id="448" w:name="_Toc275870247"/>
      <w:bookmarkStart w:id="449" w:name="_Toc291245693"/>
      <w:bookmarkStart w:id="450" w:name="_Toc258822504"/>
      <w:bookmarkStart w:id="451" w:name="_Toc266690269"/>
      <w:bookmarkStart w:id="452" w:name="_Toc275870268"/>
      <w:bookmarkStart w:id="453" w:name="_Toc294275163"/>
      <w:bookmarkStart w:id="454" w:name="_Toc271271513"/>
      <w:bookmarkEnd w:id="406"/>
      <w:bookmarkEnd w:id="407"/>
      <w:bookmarkEnd w:id="408"/>
      <w:bookmarkEnd w:id="409"/>
      <w:r w:rsidRPr="00B61FF1">
        <w:rPr>
          <w:rFonts w:ascii="Arial" w:hAnsi="Arial" w:cs="Arial"/>
          <w:sz w:val="24"/>
          <w:szCs w:val="24"/>
        </w:rPr>
        <w:t>Covered or opt-in entities may use compliance instruments issued by the</w:t>
      </w:r>
      <w:r w:rsidRPr="00B61FF1">
        <w:rPr>
          <w:rFonts w:ascii="Arial" w:hAnsi="Arial" w:cs="Arial"/>
          <w:b/>
          <w:bCs/>
          <w:sz w:val="24"/>
          <w:szCs w:val="24"/>
        </w:rPr>
        <w:t xml:space="preserve"> </w:t>
      </w:r>
      <w:r w:rsidRPr="00B61FF1">
        <w:rPr>
          <w:rFonts w:ascii="Arial" w:hAnsi="Arial" w:cs="Arial"/>
          <w:sz w:val="24"/>
          <w:szCs w:val="24"/>
        </w:rPr>
        <w:t>following programs to meet their compliance obligation under this article:</w:t>
      </w:r>
    </w:p>
    <w:p w14:paraId="49584725" w14:textId="77777777" w:rsidR="00F43CE0" w:rsidRPr="00B61FF1" w:rsidRDefault="00F43CE0" w:rsidP="00F43CE0">
      <w:pPr>
        <w:spacing w:line="360" w:lineRule="auto"/>
        <w:ind w:left="720" w:hanging="720"/>
        <w:rPr>
          <w:rFonts w:ascii="Arial" w:hAnsi="Arial" w:cs="Arial"/>
          <w:b/>
          <w:bCs/>
          <w:sz w:val="24"/>
          <w:szCs w:val="24"/>
        </w:rPr>
      </w:pPr>
      <w:r w:rsidRPr="00B61FF1">
        <w:rPr>
          <w:rFonts w:ascii="Arial" w:hAnsi="Arial" w:cs="Arial"/>
          <w:sz w:val="24"/>
          <w:szCs w:val="24"/>
        </w:rPr>
        <w:t>(a)</w:t>
      </w:r>
      <w:r w:rsidRPr="00B61FF1">
        <w:rPr>
          <w:rFonts w:ascii="Arial" w:hAnsi="Arial" w:cs="Arial"/>
          <w:b/>
          <w:bCs/>
          <w:sz w:val="24"/>
          <w:szCs w:val="24"/>
        </w:rPr>
        <w:tab/>
      </w:r>
      <w:r w:rsidRPr="00B61FF1">
        <w:rPr>
          <w:rFonts w:ascii="Arial" w:hAnsi="Arial" w:cs="Arial"/>
          <w:sz w:val="24"/>
          <w:szCs w:val="24"/>
        </w:rPr>
        <w:t>Government of</w:t>
      </w:r>
      <w:r w:rsidRPr="00B61FF1">
        <w:rPr>
          <w:rFonts w:ascii="Arial" w:hAnsi="Arial" w:cs="Arial"/>
          <w:b/>
          <w:bCs/>
          <w:sz w:val="24"/>
          <w:szCs w:val="24"/>
        </w:rPr>
        <w:t xml:space="preserve"> </w:t>
      </w:r>
      <w:r w:rsidRPr="00B61FF1">
        <w:rPr>
          <w:rFonts w:ascii="Arial" w:hAnsi="Arial" w:cs="Arial"/>
          <w:sz w:val="24"/>
          <w:szCs w:val="24"/>
        </w:rPr>
        <w:t>Quebec</w:t>
      </w:r>
      <w:r w:rsidRPr="00B61FF1">
        <w:rPr>
          <w:rFonts w:ascii="Arial" w:hAnsi="Arial" w:cs="Arial"/>
          <w:b/>
          <w:bCs/>
          <w:sz w:val="24"/>
          <w:szCs w:val="24"/>
        </w:rPr>
        <w:t xml:space="preserve"> </w:t>
      </w:r>
      <w:r w:rsidRPr="00B61FF1">
        <w:rPr>
          <w:rFonts w:ascii="Arial" w:hAnsi="Arial" w:cs="Arial"/>
          <w:sz w:val="24"/>
          <w:szCs w:val="24"/>
        </w:rPr>
        <w:t>(effective</w:t>
      </w:r>
      <w:r w:rsidRPr="00B61FF1">
        <w:rPr>
          <w:rFonts w:ascii="Arial" w:hAnsi="Arial" w:cs="Arial"/>
          <w:b/>
          <w:bCs/>
          <w:sz w:val="24"/>
          <w:szCs w:val="24"/>
        </w:rPr>
        <w:t xml:space="preserve"> </w:t>
      </w:r>
      <w:r w:rsidRPr="00B61FF1">
        <w:rPr>
          <w:rFonts w:ascii="Arial" w:hAnsi="Arial" w:cs="Arial"/>
          <w:sz w:val="24"/>
          <w:szCs w:val="24"/>
        </w:rPr>
        <w:t>January</w:t>
      </w:r>
      <w:r w:rsidRPr="00B61FF1">
        <w:rPr>
          <w:rFonts w:ascii="Arial" w:hAnsi="Arial" w:cs="Arial"/>
          <w:b/>
          <w:bCs/>
          <w:sz w:val="24"/>
          <w:szCs w:val="24"/>
        </w:rPr>
        <w:t xml:space="preserve"> </w:t>
      </w:r>
      <w:r w:rsidRPr="00B61FF1">
        <w:rPr>
          <w:rFonts w:ascii="Arial" w:hAnsi="Arial" w:cs="Arial"/>
          <w:sz w:val="24"/>
          <w:szCs w:val="24"/>
        </w:rPr>
        <w:t>1, 2014)</w:t>
      </w:r>
      <w:r w:rsidRPr="00B61FF1">
        <w:rPr>
          <w:rFonts w:ascii="Arial" w:hAnsi="Arial" w:cs="Arial"/>
          <w:b/>
          <w:bCs/>
          <w:sz w:val="24"/>
          <w:szCs w:val="24"/>
        </w:rPr>
        <w:t>.</w:t>
      </w:r>
    </w:p>
    <w:p w14:paraId="5AAE41F6" w14:textId="77777777" w:rsidR="00087DB0" w:rsidRPr="00B61FF1" w:rsidRDefault="00087DB0" w:rsidP="00087DB0">
      <w:pPr>
        <w:rPr>
          <w:sz w:val="24"/>
          <w:szCs w:val="24"/>
        </w:rPr>
      </w:pPr>
    </w:p>
    <w:p w14:paraId="6A256D4E" w14:textId="77777777" w:rsidR="00F43CE0" w:rsidRPr="00B61FF1" w:rsidRDefault="00F43CE0" w:rsidP="00F43CE0">
      <w:pPr>
        <w:rPr>
          <w:rFonts w:ascii="Arial" w:hAnsi="Arial" w:cs="Arial"/>
        </w:rPr>
      </w:pPr>
      <w:r w:rsidRPr="00B61FF1">
        <w:rPr>
          <w:rFonts w:ascii="Arial" w:hAnsi="Arial" w:cs="Arial"/>
        </w:rPr>
        <w:t xml:space="preserve">NOTE:  Authority cited:  Sections 38510, 38560, 38562, 38570, 38571, 38580, 39600 and 39601, Health and Safety Code. </w:t>
      </w:r>
    </w:p>
    <w:p w14:paraId="38DF3B9A" w14:textId="77777777" w:rsidR="00F43CE0" w:rsidRPr="00B61FF1" w:rsidRDefault="00F43CE0" w:rsidP="00F43CE0">
      <w:pPr>
        <w:rPr>
          <w:rFonts w:ascii="Arial" w:hAnsi="Arial" w:cs="Arial"/>
        </w:rPr>
      </w:pPr>
      <w:r w:rsidRPr="00B61FF1">
        <w:rPr>
          <w:rFonts w:ascii="Arial" w:hAnsi="Arial" w:cs="Arial"/>
        </w:rPr>
        <w:t>Reference:  Sections 38530, 38560.5, 38564, 38565, 38570 and 39600, Health and Safety Code.</w:t>
      </w:r>
    </w:p>
    <w:p w14:paraId="66FE5CDB" w14:textId="77777777" w:rsidR="00F43CE0" w:rsidRPr="00B61FF1" w:rsidRDefault="00F43CE0" w:rsidP="00F43CE0">
      <w:pPr>
        <w:rPr>
          <w:rFonts w:ascii="Arial" w:hAnsi="Arial" w:cs="Arial"/>
        </w:rPr>
      </w:pPr>
    </w:p>
    <w:p w14:paraId="473D3C90" w14:textId="77777777" w:rsidR="00F43CE0" w:rsidRPr="00B61FF1" w:rsidRDefault="00F43CE0" w:rsidP="00F43CE0">
      <w:pPr>
        <w:rPr>
          <w:rFonts w:ascii="Arial" w:hAnsi="Arial" w:cs="Arial"/>
        </w:rPr>
      </w:pPr>
    </w:p>
    <w:p w14:paraId="55AB6278" w14:textId="77777777" w:rsidR="00FE6A4C" w:rsidRPr="00B61FF1" w:rsidRDefault="00FE6A4C" w:rsidP="00CC193F">
      <w:pPr>
        <w:pStyle w:val="Heading1"/>
      </w:pPr>
      <w:bookmarkStart w:id="455" w:name="_Toc361659885"/>
      <w:r w:rsidRPr="00B61FF1">
        <w:t>Subarticle 13: ARB Offset Credits and Registry Offset Credits</w:t>
      </w:r>
      <w:bookmarkEnd w:id="455"/>
    </w:p>
    <w:p w14:paraId="2AED8876" w14:textId="77777777" w:rsidR="00FE6A4C" w:rsidRPr="00B61FF1" w:rsidRDefault="00FE6A4C" w:rsidP="00FE6A4C">
      <w:pPr>
        <w:keepNext/>
        <w:spacing w:before="240" w:after="60" w:line="360" w:lineRule="auto"/>
        <w:outlineLvl w:val="1"/>
        <w:rPr>
          <w:rFonts w:ascii="Arial" w:hAnsi="Arial" w:cs="Arial"/>
          <w:b/>
          <w:bCs/>
          <w:iCs/>
          <w:sz w:val="24"/>
          <w:szCs w:val="24"/>
        </w:rPr>
      </w:pPr>
      <w:bookmarkStart w:id="456" w:name="_Toc294275140"/>
      <w:bookmarkStart w:id="457" w:name="_Toc294863570"/>
      <w:bookmarkStart w:id="458" w:name="_Toc299094969"/>
      <w:bookmarkStart w:id="459" w:name="_Toc299095086"/>
      <w:bookmarkStart w:id="460" w:name="_Toc302746823"/>
      <w:bookmarkStart w:id="461" w:name="_Toc361659886"/>
      <w:r w:rsidRPr="00B61FF1">
        <w:rPr>
          <w:rFonts w:ascii="Arial" w:hAnsi="Arial" w:cs="Arial"/>
          <w:b/>
          <w:bCs/>
          <w:iCs/>
          <w:sz w:val="24"/>
          <w:szCs w:val="24"/>
        </w:rPr>
        <w:t>§ 95970.  General Requirements for ARB Offset Credits</w:t>
      </w:r>
      <w:bookmarkEnd w:id="456"/>
      <w:bookmarkEnd w:id="457"/>
      <w:r w:rsidRPr="00B61FF1">
        <w:rPr>
          <w:rFonts w:ascii="Arial" w:hAnsi="Arial" w:cs="Arial"/>
          <w:b/>
          <w:bCs/>
          <w:iCs/>
          <w:sz w:val="24"/>
          <w:szCs w:val="24"/>
        </w:rPr>
        <w:t>.</w:t>
      </w:r>
      <w:bookmarkEnd w:id="458"/>
      <w:bookmarkEnd w:id="459"/>
      <w:bookmarkEnd w:id="460"/>
      <w:bookmarkEnd w:id="461"/>
    </w:p>
    <w:p w14:paraId="7598DBCC" w14:textId="77777777" w:rsidR="00FE6A4C" w:rsidRPr="00B61FF1" w:rsidRDefault="00FE6A4C" w:rsidP="00FE6A4C">
      <w:pPr>
        <w:spacing w:line="360" w:lineRule="auto"/>
        <w:rPr>
          <w:rFonts w:ascii="Arial" w:hAnsi="Arial" w:cs="Arial"/>
          <w:sz w:val="24"/>
          <w:szCs w:val="24"/>
        </w:rPr>
      </w:pPr>
      <w:r w:rsidRPr="00B61FF1">
        <w:rPr>
          <w:rFonts w:ascii="Arial" w:hAnsi="Arial" w:cs="Arial"/>
          <w:sz w:val="24"/>
          <w:szCs w:val="24"/>
        </w:rPr>
        <w:t xml:space="preserve">An Offset Project Operator or Authorized Project Designee must ensure the requirements for ARB offset credits and registry offset credits are met as follows:    </w:t>
      </w:r>
    </w:p>
    <w:p w14:paraId="04352583" w14:textId="77777777" w:rsidR="00FE6A4C" w:rsidRPr="00B61FF1" w:rsidRDefault="00FE6A4C" w:rsidP="00FE6A4C">
      <w:pPr>
        <w:tabs>
          <w:tab w:val="left" w:pos="720"/>
        </w:tabs>
        <w:spacing w:line="360" w:lineRule="auto"/>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registry offset credit must:</w:t>
      </w:r>
    </w:p>
    <w:p w14:paraId="05ECC492" w14:textId="77777777" w:rsidR="00FE6A4C" w:rsidRPr="00B61FF1" w:rsidRDefault="00FE6A4C" w:rsidP="00FE6A4C">
      <w:pPr>
        <w:tabs>
          <w:tab w:val="left" w:pos="1080"/>
        </w:tabs>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Represent a GHG emission reduction or GHG removal enhancement that is real, additional, quantifiable, permanent, verifiable, and enforceable; </w:t>
      </w:r>
    </w:p>
    <w:p w14:paraId="673DCE6F" w14:textId="77777777" w:rsidR="00FE6A4C" w:rsidRPr="00B61FF1" w:rsidRDefault="00FE6A4C" w:rsidP="00FE6A4C">
      <w:pPr>
        <w:tabs>
          <w:tab w:val="left" w:pos="1080"/>
        </w:tabs>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Result from the use of a Compliance Offset Protocol that meets the requirements of section 95972 and is adopted by the Board pursuant to section 95971;</w:t>
      </w:r>
    </w:p>
    <w:p w14:paraId="4925576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Result from an offset project that meets the requirements specified in section 95973;</w:t>
      </w:r>
    </w:p>
    <w:p w14:paraId="38971DE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Result from an offset project that is listed pursuant to section 95975;</w:t>
      </w:r>
    </w:p>
    <w:p w14:paraId="1862063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Result from an offset project that follows the monitoring, reporting and record retention requirements pursuant to section 95976;</w:t>
      </w:r>
    </w:p>
    <w:p w14:paraId="0394949E" w14:textId="77777777" w:rsidR="00FE6A4C" w:rsidRPr="00B61FF1" w:rsidRDefault="00FE6A4C" w:rsidP="00FE6A4C">
      <w:pPr>
        <w:tabs>
          <w:tab w:val="left" w:pos="1080"/>
        </w:tabs>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Result from an offset project that is verified pursuant to sections 95977 through 95978; and</w:t>
      </w:r>
    </w:p>
    <w:p w14:paraId="76162CD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(7)</w:t>
      </w:r>
      <w:r w:rsidRPr="00B61FF1">
        <w:rPr>
          <w:rFonts w:ascii="Arial" w:hAnsi="Arial" w:cs="Arial"/>
          <w:sz w:val="24"/>
          <w:szCs w:val="24"/>
        </w:rPr>
        <w:tab/>
        <w:t>Be issued pursuant to section 95980.1 by an Offset Project Registry approved pursuant to section 95986.</w:t>
      </w:r>
    </w:p>
    <w:p w14:paraId="4BC22957" w14:textId="77777777" w:rsidR="00FE6A4C" w:rsidRPr="00B61FF1" w:rsidRDefault="00FE6A4C" w:rsidP="00FE6A4C">
      <w:pPr>
        <w:tabs>
          <w:tab w:val="left" w:pos="0"/>
        </w:tabs>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 ARB offset credit must meet the requirements in sections 95970(a)(1) through (a)(6) and:</w:t>
      </w:r>
    </w:p>
    <w:p w14:paraId="72B8B928" w14:textId="77777777" w:rsidR="00FE6A4C" w:rsidRPr="00B61FF1" w:rsidRDefault="00FE6A4C" w:rsidP="00FE6A4C">
      <w:pPr>
        <w:tabs>
          <w:tab w:val="left" w:pos="1080"/>
        </w:tabs>
        <w:spacing w:line="360" w:lineRule="auto"/>
        <w:ind w:left="36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Be issued pursuant to section 95981.1; </w:t>
      </w:r>
    </w:p>
    <w:p w14:paraId="33A42978" w14:textId="77777777" w:rsidR="00FE6A4C" w:rsidRPr="00B61FF1" w:rsidRDefault="00FE6A4C" w:rsidP="00FE6A4C">
      <w:pPr>
        <w:tabs>
          <w:tab w:val="left" w:pos="1080"/>
        </w:tabs>
        <w:spacing w:line="360" w:lineRule="auto"/>
        <w:ind w:left="36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Be registered pursuant to section 95982; and</w:t>
      </w:r>
    </w:p>
    <w:p w14:paraId="3BD7B6D6" w14:textId="77777777" w:rsidR="00FE6A4C" w:rsidRPr="00B61FF1" w:rsidRDefault="00FE6A4C" w:rsidP="00FE6A4C">
      <w:pPr>
        <w:tabs>
          <w:tab w:val="left" w:pos="1080"/>
        </w:tabs>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When used for compliance under this article, be subject to the quantitative usage limit pursuant to section 95854.</w:t>
      </w:r>
    </w:p>
    <w:p w14:paraId="5D8E0C34" w14:textId="77777777" w:rsidR="00FE6A4C" w:rsidRPr="00B61FF1" w:rsidRDefault="00FE6A4C" w:rsidP="00FE6A4C">
      <w:pPr>
        <w:rPr>
          <w:rFonts w:ascii="Arial" w:hAnsi="Arial" w:cs="Arial"/>
        </w:rPr>
      </w:pPr>
    </w:p>
    <w:p w14:paraId="2D770647"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4A388E09"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76ADCA9B" w14:textId="77777777" w:rsidR="00FE6A4C" w:rsidRPr="00B61FF1" w:rsidRDefault="00FE6A4C" w:rsidP="00FE6A4C">
      <w:pPr>
        <w:rPr>
          <w:rFonts w:ascii="Arial" w:hAnsi="Arial" w:cs="Arial"/>
        </w:rPr>
      </w:pPr>
    </w:p>
    <w:p w14:paraId="04428643" w14:textId="77777777" w:rsidR="00FE6A4C" w:rsidRPr="00B61FF1" w:rsidRDefault="00FE6A4C" w:rsidP="00FE6A4C">
      <w:pPr>
        <w:keepNext/>
        <w:spacing w:before="240" w:after="60" w:line="360" w:lineRule="auto"/>
        <w:outlineLvl w:val="1"/>
        <w:rPr>
          <w:rFonts w:ascii="Arial" w:hAnsi="Arial" w:cs="Arial"/>
          <w:b/>
          <w:bCs/>
          <w:iCs/>
          <w:sz w:val="24"/>
          <w:szCs w:val="24"/>
        </w:rPr>
      </w:pPr>
      <w:bookmarkStart w:id="462" w:name="_Toc258822503"/>
      <w:bookmarkStart w:id="463" w:name="_Toc266690268"/>
      <w:bookmarkStart w:id="464" w:name="_Toc268526240"/>
      <w:bookmarkStart w:id="465" w:name="_Toc269206260"/>
      <w:bookmarkStart w:id="466" w:name="_Toc269798101"/>
      <w:bookmarkStart w:id="467" w:name="_Toc275870248"/>
      <w:bookmarkStart w:id="468" w:name="_Toc291245694"/>
      <w:bookmarkStart w:id="469" w:name="_Toc294275141"/>
      <w:bookmarkStart w:id="470" w:name="_Toc294863571"/>
      <w:bookmarkStart w:id="471" w:name="_Toc299094970"/>
      <w:bookmarkStart w:id="472" w:name="_Toc299095087"/>
      <w:bookmarkStart w:id="473" w:name="_Toc302746824"/>
      <w:bookmarkStart w:id="474" w:name="_Toc361659887"/>
      <w:r w:rsidRPr="00B61FF1">
        <w:rPr>
          <w:rFonts w:ascii="Arial" w:hAnsi="Arial" w:cs="Arial"/>
          <w:b/>
          <w:bCs/>
          <w:iCs/>
          <w:sz w:val="24"/>
          <w:szCs w:val="24"/>
        </w:rPr>
        <w:t xml:space="preserve">§ 95971.  Procedures for Approval of </w:t>
      </w:r>
      <w:bookmarkEnd w:id="462"/>
      <w:bookmarkEnd w:id="463"/>
      <w:bookmarkEnd w:id="464"/>
      <w:bookmarkEnd w:id="465"/>
      <w:r w:rsidRPr="00B61FF1">
        <w:rPr>
          <w:rFonts w:ascii="Arial" w:hAnsi="Arial" w:cs="Arial"/>
          <w:b/>
          <w:bCs/>
          <w:iCs/>
          <w:sz w:val="24"/>
          <w:szCs w:val="24"/>
        </w:rPr>
        <w:t>Compliance Offset Protocols</w:t>
      </w:r>
      <w:bookmarkEnd w:id="466"/>
      <w:bookmarkEnd w:id="467"/>
      <w:bookmarkEnd w:id="468"/>
      <w:bookmarkEnd w:id="469"/>
      <w:bookmarkEnd w:id="470"/>
      <w:r w:rsidRPr="00B61FF1">
        <w:rPr>
          <w:rFonts w:ascii="Arial" w:hAnsi="Arial" w:cs="Arial"/>
          <w:b/>
          <w:bCs/>
          <w:iCs/>
          <w:sz w:val="24"/>
          <w:szCs w:val="24"/>
        </w:rPr>
        <w:t>.</w:t>
      </w:r>
      <w:bookmarkEnd w:id="471"/>
      <w:bookmarkEnd w:id="472"/>
      <w:bookmarkEnd w:id="473"/>
      <w:bookmarkEnd w:id="474"/>
    </w:p>
    <w:p w14:paraId="072565D3" w14:textId="77777777" w:rsidR="00FE6A4C" w:rsidRPr="00B61FF1" w:rsidRDefault="00FE6A4C" w:rsidP="00FE6A4C">
      <w:pPr>
        <w:keepNext/>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The Board shall provide public notice of and opportunity for public comment prior to approving any </w:t>
      </w:r>
      <w:bookmarkStart w:id="475" w:name="OLE_LINK1"/>
      <w:bookmarkStart w:id="476" w:name="OLE_LINK2"/>
      <w:r w:rsidRPr="00B61FF1">
        <w:rPr>
          <w:rFonts w:ascii="Arial" w:hAnsi="Arial" w:cs="Arial"/>
          <w:sz w:val="24"/>
          <w:szCs w:val="24"/>
        </w:rPr>
        <w:t>Compliance Offset Protocols</w:t>
      </w:r>
      <w:bookmarkEnd w:id="475"/>
      <w:bookmarkEnd w:id="476"/>
      <w:r w:rsidRPr="00B61FF1">
        <w:rPr>
          <w:rFonts w:ascii="Arial" w:hAnsi="Arial" w:cs="Arial"/>
          <w:sz w:val="24"/>
          <w:szCs w:val="24"/>
        </w:rPr>
        <w:t>, including updates or modifications to existing Compliance Offset Protocols.</w:t>
      </w:r>
    </w:p>
    <w:p w14:paraId="40C00CF2" w14:textId="617B2AB6" w:rsidR="00FE6A4C" w:rsidRPr="00B61FF1" w:rsidRDefault="00FE6A4C" w:rsidP="00FE6A4C">
      <w:pPr>
        <w:keepNext/>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All Compliance Offset Protocols shall be reviewed and periodically revised</w:t>
      </w:r>
      <w:r w:rsidR="00BA7D26" w:rsidRPr="00B61FF1">
        <w:rPr>
          <w:rFonts w:ascii="Arial" w:hAnsi="Arial" w:cs="Arial"/>
          <w:sz w:val="24"/>
          <w:szCs w:val="24"/>
          <w:u w:val="single"/>
        </w:rPr>
        <w:t>,</w:t>
      </w:r>
      <w:r w:rsidRPr="00B61FF1">
        <w:rPr>
          <w:rFonts w:ascii="Arial" w:hAnsi="Arial" w:cs="Arial"/>
          <w:sz w:val="24"/>
          <w:szCs w:val="24"/>
        </w:rPr>
        <w:t xml:space="preserve"> if needed</w:t>
      </w:r>
      <w:r w:rsidR="00BA7D26" w:rsidRPr="00B61FF1">
        <w:rPr>
          <w:rFonts w:ascii="Arial" w:hAnsi="Arial" w:cs="Arial"/>
          <w:sz w:val="24"/>
          <w:szCs w:val="24"/>
          <w:u w:val="single"/>
        </w:rPr>
        <w:t>,</w:t>
      </w:r>
      <w:r w:rsidRPr="00B61FF1">
        <w:rPr>
          <w:rFonts w:ascii="Arial" w:hAnsi="Arial" w:cs="Arial"/>
          <w:sz w:val="24"/>
          <w:szCs w:val="24"/>
        </w:rPr>
        <w:t xml:space="preserve"> </w:t>
      </w:r>
      <w:r w:rsidRPr="00B61FF1">
        <w:rPr>
          <w:rFonts w:ascii="Arial" w:hAnsi="Arial" w:cs="Arial"/>
          <w:sz w:val="24"/>
          <w:szCs w:val="24"/>
          <w:u w:val="single"/>
        </w:rPr>
        <w:t>in compliance with the California Administrative Procedure Act, if applicable</w:t>
      </w:r>
      <w:r w:rsidRPr="00B61FF1">
        <w:rPr>
          <w:rFonts w:ascii="Arial" w:hAnsi="Arial" w:cs="Arial"/>
          <w:sz w:val="24"/>
          <w:szCs w:val="24"/>
        </w:rPr>
        <w:t xml:space="preserve">.  </w:t>
      </w:r>
    </w:p>
    <w:p w14:paraId="22BD69B8" w14:textId="77777777" w:rsidR="00FE6A4C" w:rsidRPr="00B61FF1" w:rsidRDefault="00FE6A4C" w:rsidP="00FE6A4C">
      <w:pPr>
        <w:spacing w:line="360" w:lineRule="auto"/>
        <w:rPr>
          <w:rFonts w:ascii="Arial" w:hAnsi="Arial" w:cs="Arial"/>
          <w:sz w:val="24"/>
          <w:szCs w:val="24"/>
        </w:rPr>
      </w:pPr>
    </w:p>
    <w:p w14:paraId="578D8E76"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6C9F1DCE" w14:textId="77777777" w:rsidR="00FE6A4C" w:rsidRPr="00B61FF1" w:rsidRDefault="00FE6A4C" w:rsidP="00FE6A4C">
      <w:pPr>
        <w:keepNext/>
        <w:spacing w:line="360" w:lineRule="auto"/>
        <w:rPr>
          <w:rFonts w:ascii="Arial" w:hAnsi="Arial" w:cs="Arial"/>
          <w:b/>
          <w:bCs/>
          <w:iCs/>
          <w:sz w:val="24"/>
          <w:szCs w:val="24"/>
        </w:rPr>
      </w:pPr>
      <w:r w:rsidRPr="00B61FF1">
        <w:rPr>
          <w:rFonts w:ascii="Arial" w:hAnsi="Arial" w:cs="Arial"/>
        </w:rPr>
        <w:t>Reference:  Sections 38530, 38560.5, 38564, 38565, 38570 and 39600, Health and Safety Code.</w:t>
      </w:r>
      <w:bookmarkStart w:id="477" w:name="_Toc268526241"/>
      <w:bookmarkStart w:id="478" w:name="_Toc269206261"/>
      <w:bookmarkStart w:id="479" w:name="_Toc269798102"/>
      <w:bookmarkStart w:id="480" w:name="_Toc275870249"/>
      <w:bookmarkStart w:id="481" w:name="_Toc291245695"/>
      <w:bookmarkStart w:id="482" w:name="_Toc294275142"/>
      <w:bookmarkStart w:id="483" w:name="_Toc294863572"/>
    </w:p>
    <w:p w14:paraId="2F4758FB" w14:textId="77777777" w:rsidR="00FE6A4C" w:rsidRPr="00B61FF1" w:rsidRDefault="00FE6A4C" w:rsidP="00FE6A4C">
      <w:pPr>
        <w:keepNext/>
        <w:spacing w:before="240" w:after="60" w:line="360" w:lineRule="auto"/>
        <w:outlineLvl w:val="1"/>
        <w:rPr>
          <w:rFonts w:ascii="Arial" w:hAnsi="Arial" w:cs="Arial"/>
          <w:b/>
          <w:bCs/>
          <w:iCs/>
          <w:sz w:val="24"/>
          <w:szCs w:val="24"/>
        </w:rPr>
      </w:pPr>
      <w:bookmarkStart w:id="484" w:name="_Toc299094971"/>
      <w:bookmarkStart w:id="485" w:name="_Toc299095088"/>
      <w:bookmarkStart w:id="486" w:name="_Toc302746825"/>
      <w:bookmarkStart w:id="487" w:name="_Toc361659888"/>
      <w:r w:rsidRPr="00B61FF1">
        <w:rPr>
          <w:rFonts w:ascii="Arial" w:hAnsi="Arial" w:cs="Arial"/>
          <w:b/>
          <w:bCs/>
          <w:iCs/>
          <w:sz w:val="24"/>
          <w:szCs w:val="24"/>
        </w:rPr>
        <w:t>§ 95972.  Requirements for Compliance Offset Protocols</w:t>
      </w:r>
      <w:bookmarkEnd w:id="477"/>
      <w:bookmarkEnd w:id="478"/>
      <w:bookmarkEnd w:id="479"/>
      <w:bookmarkEnd w:id="480"/>
      <w:bookmarkEnd w:id="481"/>
      <w:bookmarkEnd w:id="482"/>
      <w:bookmarkEnd w:id="483"/>
      <w:r w:rsidRPr="00B61FF1">
        <w:rPr>
          <w:rFonts w:ascii="Arial" w:hAnsi="Arial" w:cs="Arial"/>
          <w:b/>
          <w:bCs/>
          <w:iCs/>
          <w:sz w:val="24"/>
          <w:szCs w:val="24"/>
        </w:rPr>
        <w:t>.</w:t>
      </w:r>
      <w:bookmarkEnd w:id="484"/>
      <w:bookmarkEnd w:id="485"/>
      <w:bookmarkEnd w:id="486"/>
      <w:bookmarkEnd w:id="487"/>
    </w:p>
    <w:p w14:paraId="5F2D5373"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To be approved by the Board, a Compliance Offset Protocol must:</w:t>
      </w:r>
    </w:p>
    <w:p w14:paraId="68E73A7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Accurately determine the extent to which GHG emission reductions and GHG removal enhancements are achieved by the offset project type;</w:t>
      </w:r>
    </w:p>
    <w:p w14:paraId="09B9EED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Establish data collection and monitoring procedures relevant to the type of GHG emissions sources, GHG sinks, and GHG reservoirs for that offset project type;</w:t>
      </w:r>
    </w:p>
    <w:p w14:paraId="3D0BCC1A" w14:textId="77777777" w:rsidR="00FE6A4C" w:rsidRPr="00B61FF1" w:rsidRDefault="00FE6A4C" w:rsidP="00FE6A4C">
      <w:pPr>
        <w:spacing w:line="360" w:lineRule="auto"/>
        <w:ind w:left="1077" w:hanging="717"/>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Establish a project baseline that reflects a conservative estimate of business-as-usual performance or practices for the offset project type;</w:t>
      </w:r>
    </w:p>
    <w:p w14:paraId="08A1C4CF" w14:textId="77777777" w:rsidR="00FE6A4C" w:rsidRPr="00B61FF1" w:rsidRDefault="00FE6A4C" w:rsidP="00FE6A4C">
      <w:pPr>
        <w:spacing w:line="360" w:lineRule="auto"/>
        <w:ind w:left="1077" w:hanging="717"/>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Account for activity-shifting leakage and market-shifting leakage for the  offset project type, unless the Compliance Offset Protocol stipulates eligibility conditions for use of the Compliance Offset Protocol that eliminate the risk of activity-shifting and/or market-shifting leakage;</w:t>
      </w:r>
    </w:p>
    <w:p w14:paraId="4107F7FD" w14:textId="77777777" w:rsidR="00FE6A4C" w:rsidRPr="00B61FF1" w:rsidRDefault="00FE6A4C" w:rsidP="00FE6A4C">
      <w:pPr>
        <w:spacing w:line="360" w:lineRule="auto"/>
        <w:ind w:left="1077" w:hanging="717"/>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Account for any uncertainty in quantification factors for the offset project type;</w:t>
      </w:r>
    </w:p>
    <w:p w14:paraId="69C186FD" w14:textId="77777777" w:rsidR="00FE6A4C" w:rsidRPr="00B61FF1" w:rsidRDefault="00FE6A4C" w:rsidP="00FE6A4C">
      <w:pPr>
        <w:spacing w:line="360" w:lineRule="auto"/>
        <w:ind w:left="1077" w:hanging="717"/>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Ensure GHG emission reductions and GHG removal enhancements are permanent;</w:t>
      </w:r>
    </w:p>
    <w:p w14:paraId="40648F32" w14:textId="77777777" w:rsidR="00FE6A4C" w:rsidRPr="00B61FF1" w:rsidRDefault="00FE6A4C" w:rsidP="00FE6A4C">
      <w:pPr>
        <w:spacing w:line="360" w:lineRule="auto"/>
        <w:ind w:left="1077" w:hanging="717"/>
        <w:rPr>
          <w:rFonts w:ascii="Arial" w:hAnsi="Arial" w:cs="Arial"/>
          <w:sz w:val="24"/>
          <w:szCs w:val="24"/>
        </w:rPr>
      </w:pPr>
      <w:r w:rsidRPr="00B61FF1">
        <w:rPr>
          <w:rFonts w:ascii="Arial" w:hAnsi="Arial" w:cs="Arial"/>
          <w:sz w:val="24"/>
          <w:szCs w:val="24"/>
        </w:rPr>
        <w:t>(7)</w:t>
      </w:r>
      <w:r w:rsidRPr="00B61FF1">
        <w:rPr>
          <w:rFonts w:ascii="Arial" w:hAnsi="Arial" w:cs="Arial"/>
          <w:sz w:val="24"/>
          <w:szCs w:val="24"/>
        </w:rPr>
        <w:tab/>
        <w:t xml:space="preserve">Include a mechanism to ensure permanence of GHG removal enhancements for sequestration offset project types; </w:t>
      </w:r>
    </w:p>
    <w:p w14:paraId="6CD6519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(8)</w:t>
      </w:r>
      <w:r w:rsidRPr="00B61FF1">
        <w:rPr>
          <w:rFonts w:ascii="Arial" w:hAnsi="Arial" w:cs="Arial"/>
          <w:sz w:val="24"/>
          <w:szCs w:val="24"/>
        </w:rPr>
        <w:tab/>
        <w:t>Establish the length of the crediting period pursuant to section 95972(b) for the relevant offset project type; and</w:t>
      </w:r>
    </w:p>
    <w:p w14:paraId="75052BA7" w14:textId="77777777" w:rsidR="00FE6A4C" w:rsidRPr="00B61FF1" w:rsidRDefault="00FE6A4C" w:rsidP="00FE6A4C">
      <w:pPr>
        <w:tabs>
          <w:tab w:val="left" w:pos="1080"/>
        </w:tabs>
        <w:spacing w:line="360" w:lineRule="auto"/>
        <w:ind w:left="1080" w:hanging="720"/>
        <w:rPr>
          <w:rFonts w:ascii="Arial" w:hAnsi="Arial" w:cs="Arial"/>
          <w:sz w:val="24"/>
          <w:szCs w:val="24"/>
        </w:rPr>
      </w:pPr>
      <w:r w:rsidRPr="00B61FF1">
        <w:rPr>
          <w:rFonts w:ascii="Arial" w:hAnsi="Arial" w:cs="Arial"/>
          <w:sz w:val="24"/>
          <w:szCs w:val="24"/>
        </w:rPr>
        <w:t>(9)</w:t>
      </w:r>
      <w:r w:rsidRPr="00B61FF1">
        <w:rPr>
          <w:rFonts w:ascii="Arial" w:hAnsi="Arial" w:cs="Arial"/>
          <w:sz w:val="24"/>
          <w:szCs w:val="24"/>
        </w:rPr>
        <w:tab/>
        <w:t>Establish the eligibility and additionality of projects using standard criteria, and quantify GHG reductions and GHG removal enhancements using standardized baseline assumptions, emission factors, and monitoring methods.</w:t>
      </w:r>
    </w:p>
    <w:p w14:paraId="6268942F"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Crediting Periods.  The crediting period for a non-sequestration offset project must be no less than 7 years and no greater than 10 years, unless specified otherwise in a Compliance Offset Protocol.  The crediting period for a sequestration offset project must be no less than 10 years and no greater than 30 years.  </w:t>
      </w:r>
    </w:p>
    <w:p w14:paraId="6109CC47"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Geographic Applicability.  A Compliance Offset Protocol must specify where the protocol is applicable.  The geographic boundary must be within the United States</w:t>
      </w:r>
      <w:r w:rsidRPr="00B61FF1">
        <w:rPr>
          <w:rFonts w:ascii="Arial" w:hAnsi="Arial" w:cs="Arial"/>
          <w:strike/>
          <w:sz w:val="24"/>
          <w:szCs w:val="24"/>
        </w:rPr>
        <w:t xml:space="preserve"> or its</w:t>
      </w:r>
      <w:r w:rsidRPr="00B61FF1">
        <w:rPr>
          <w:rFonts w:ascii="Arial" w:hAnsi="Arial" w:cs="Arial"/>
          <w:sz w:val="24"/>
          <w:szCs w:val="24"/>
          <w:u w:val="single"/>
        </w:rPr>
        <w:t>, United States</w:t>
      </w:r>
      <w:r w:rsidRPr="00B61FF1">
        <w:rPr>
          <w:rFonts w:ascii="Arial" w:hAnsi="Arial" w:cs="Arial"/>
          <w:sz w:val="24"/>
          <w:szCs w:val="24"/>
        </w:rPr>
        <w:t xml:space="preserve"> Territories, Canada, or Mexico.</w:t>
      </w:r>
    </w:p>
    <w:p w14:paraId="4FEEADA3" w14:textId="77777777" w:rsidR="00FE6A4C" w:rsidRPr="00B61FF1" w:rsidRDefault="00FE6A4C" w:rsidP="00FE6A4C">
      <w:pPr>
        <w:spacing w:line="360" w:lineRule="auto"/>
        <w:ind w:left="720" w:hanging="720"/>
        <w:rPr>
          <w:rFonts w:ascii="Arial" w:hAnsi="Arial" w:cs="Arial"/>
          <w:sz w:val="24"/>
          <w:szCs w:val="24"/>
          <w:u w:val="single"/>
        </w:rPr>
      </w:pPr>
    </w:p>
    <w:p w14:paraId="12882AFF"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24975C95" w14:textId="2C3F8784" w:rsidR="0069726D" w:rsidRPr="00115DAC" w:rsidRDefault="00FE6A4C" w:rsidP="00115DAC">
      <w:pPr>
        <w:rPr>
          <w:rFonts w:ascii="Arial" w:hAnsi="Arial" w:cs="Arial"/>
        </w:rPr>
      </w:pPr>
      <w:r w:rsidRPr="00B61FF1">
        <w:rPr>
          <w:rFonts w:ascii="Arial" w:hAnsi="Arial" w:cs="Arial"/>
        </w:rPr>
        <w:t>Reference:  Sections 38530, 38560.5, 38564, 38565, 38570 and 39600, Health and Safety Code.</w:t>
      </w:r>
      <w:bookmarkStart w:id="488" w:name="_Toc258822505"/>
      <w:bookmarkStart w:id="489" w:name="_Toc266690270"/>
      <w:bookmarkStart w:id="490" w:name="_Toc268526242"/>
      <w:bookmarkStart w:id="491" w:name="_Toc269206262"/>
      <w:bookmarkStart w:id="492" w:name="_Toc269798103"/>
      <w:bookmarkStart w:id="493" w:name="_Toc275870250"/>
      <w:bookmarkStart w:id="494" w:name="_Toc291245696"/>
      <w:bookmarkStart w:id="495" w:name="_Toc294275143"/>
      <w:bookmarkStart w:id="496" w:name="_Toc294863573"/>
      <w:bookmarkStart w:id="497" w:name="_Toc299094972"/>
      <w:bookmarkStart w:id="498" w:name="_Toc299095089"/>
      <w:bookmarkStart w:id="499" w:name="_Toc302746826"/>
    </w:p>
    <w:p w14:paraId="76FA71E6" w14:textId="77777777" w:rsidR="00FE6A4C" w:rsidRPr="00B61FF1" w:rsidRDefault="00FE6A4C" w:rsidP="00FE6A4C">
      <w:pPr>
        <w:spacing w:before="240" w:after="60" w:line="360" w:lineRule="auto"/>
        <w:outlineLvl w:val="1"/>
        <w:rPr>
          <w:rFonts w:ascii="Arial" w:hAnsi="Arial" w:cs="Arial"/>
          <w:b/>
          <w:bCs/>
          <w:iCs/>
          <w:sz w:val="24"/>
          <w:szCs w:val="24"/>
        </w:rPr>
      </w:pPr>
      <w:bookmarkStart w:id="500" w:name="_Toc361659889"/>
      <w:r w:rsidRPr="00B61FF1">
        <w:rPr>
          <w:rFonts w:ascii="Arial" w:hAnsi="Arial" w:cs="Arial"/>
          <w:b/>
          <w:bCs/>
          <w:iCs/>
          <w:sz w:val="24"/>
          <w:szCs w:val="24"/>
        </w:rPr>
        <w:t>§ 95973</w:t>
      </w:r>
      <w:bookmarkEnd w:id="488"/>
      <w:bookmarkEnd w:id="489"/>
      <w:bookmarkEnd w:id="490"/>
      <w:bookmarkEnd w:id="491"/>
      <w:bookmarkEnd w:id="492"/>
      <w:r w:rsidRPr="00B61FF1">
        <w:rPr>
          <w:rFonts w:ascii="Arial" w:hAnsi="Arial" w:cs="Arial"/>
          <w:b/>
          <w:bCs/>
          <w:iCs/>
          <w:sz w:val="24"/>
          <w:szCs w:val="24"/>
        </w:rPr>
        <w:t>.  Requirements for Offset Projects Using ARB Compliance Offset Protocols</w:t>
      </w:r>
      <w:bookmarkEnd w:id="493"/>
      <w:bookmarkEnd w:id="494"/>
      <w:bookmarkEnd w:id="495"/>
      <w:bookmarkEnd w:id="496"/>
      <w:r w:rsidRPr="00B61FF1">
        <w:rPr>
          <w:rFonts w:ascii="Arial" w:hAnsi="Arial" w:cs="Arial"/>
          <w:b/>
          <w:bCs/>
          <w:iCs/>
          <w:sz w:val="24"/>
          <w:szCs w:val="24"/>
        </w:rPr>
        <w:t>.</w:t>
      </w:r>
      <w:bookmarkEnd w:id="497"/>
      <w:bookmarkEnd w:id="498"/>
      <w:bookmarkEnd w:id="499"/>
      <w:bookmarkEnd w:id="500"/>
    </w:p>
    <w:p w14:paraId="00F0897B"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General Requirements for Offset Projects.  To qualify under the provisions set forth in this article, an Offset Project Operator or Authorized Project Designee must ensure that an offset project:</w:t>
      </w:r>
    </w:p>
    <w:p w14:paraId="26D6F02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Meets all of the requirements in a Compliance Offset Protocol approved by the Board pursuant to section 95971;</w:t>
      </w:r>
    </w:p>
    <w:p w14:paraId="1EC7D20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Meets the following additionality requirements, as well as any additionality requirements in the applicable Compliance Offset Protocol, as of the date of Offset Project Commencement:</w:t>
      </w:r>
    </w:p>
    <w:p w14:paraId="72D1FF7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activities that result in GHG reductions and GHG removal enhancements are not required by law, regulation, or any legally binding mandate applicable in the offset project’s jurisdiction, and would not otherwise occur in a conservative business-as-usual scenario;</w:t>
      </w:r>
    </w:p>
    <w:p w14:paraId="7D419BE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Offset Project Commencement date occurs after December 31, 2006, unless otherwise specified in the applicable Compliance Offset Protocol, except as provided in section 95973(c); and</w:t>
      </w:r>
    </w:p>
    <w:p w14:paraId="5905F8B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GHG reductions and GHG removal enhancements resulting from the offset project exceed the project baseline calculated by the Compliance Offset Protocol for that offset project type as set forth in the following:</w:t>
      </w:r>
    </w:p>
    <w:p w14:paraId="5522F5DE"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Compliance Offset Protocol Ozone Depleting Substances Projects, incorporated by reference October 20, 2011;</w:t>
      </w:r>
    </w:p>
    <w:p w14:paraId="393F35BE"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Compliance Offset Protocol Livestock Projects, incorporated by reference October 20, 2011;</w:t>
      </w:r>
    </w:p>
    <w:p w14:paraId="48FD89AC"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Compliance Offset Protocol Urban Forest Projects, incorporated by reference October 20, 2011; </w:t>
      </w:r>
      <w:r w:rsidRPr="00B61FF1">
        <w:rPr>
          <w:rFonts w:ascii="Arial" w:hAnsi="Arial" w:cs="Arial"/>
          <w:strike/>
          <w:sz w:val="24"/>
          <w:szCs w:val="24"/>
        </w:rPr>
        <w:t>and</w:t>
      </w:r>
    </w:p>
    <w:p w14:paraId="4197688C"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rPr>
        <w:t>4.</w:t>
      </w:r>
      <w:r w:rsidRPr="00B61FF1">
        <w:rPr>
          <w:rFonts w:ascii="Arial" w:hAnsi="Arial" w:cs="Arial"/>
          <w:sz w:val="24"/>
          <w:szCs w:val="24"/>
        </w:rPr>
        <w:tab/>
        <w:t>Compliance Offset Protocol U.S. Forest Projects, incorporated by reference October 20, 2011</w:t>
      </w:r>
      <w:r w:rsidRPr="00B61FF1">
        <w:rPr>
          <w:rFonts w:ascii="Arial" w:hAnsi="Arial" w:cs="Arial"/>
          <w:strike/>
          <w:sz w:val="24"/>
          <w:szCs w:val="24"/>
        </w:rPr>
        <w:t>.</w:t>
      </w:r>
      <w:r w:rsidRPr="00B61FF1">
        <w:rPr>
          <w:rFonts w:ascii="Arial" w:hAnsi="Arial" w:cs="Arial"/>
          <w:sz w:val="24"/>
          <w:szCs w:val="24"/>
          <w:u w:val="single"/>
        </w:rPr>
        <w:t>;</w:t>
      </w:r>
    </w:p>
    <w:p w14:paraId="68928D43"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Compliance Offset Protocol Mine Methane Capture Projects, incorporated by reference October XX, 2013; and</w:t>
      </w:r>
    </w:p>
    <w:p w14:paraId="59422B57"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u w:val="single"/>
        </w:rPr>
        <w:t>6.</w:t>
      </w:r>
      <w:r w:rsidRPr="00B61FF1">
        <w:rPr>
          <w:rFonts w:ascii="Arial" w:hAnsi="Arial" w:cs="Arial"/>
          <w:sz w:val="24"/>
          <w:szCs w:val="24"/>
        </w:rPr>
        <w:tab/>
      </w:r>
      <w:r w:rsidRPr="00B61FF1">
        <w:rPr>
          <w:rFonts w:ascii="Arial" w:hAnsi="Arial" w:cs="Arial"/>
          <w:sz w:val="24"/>
          <w:szCs w:val="24"/>
          <w:u w:val="single"/>
        </w:rPr>
        <w:t>Compliance Offset Protocol Rice Cultivation Projects, incorporated by reference October XX, 2013.</w:t>
      </w:r>
    </w:p>
    <w:p w14:paraId="5A8586F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Is located in the United States </w:t>
      </w:r>
      <w:r w:rsidRPr="00B61FF1">
        <w:rPr>
          <w:rFonts w:ascii="Arial" w:hAnsi="Arial" w:cs="Arial"/>
          <w:strike/>
          <w:sz w:val="24"/>
          <w:szCs w:val="24"/>
        </w:rPr>
        <w:t>or its</w:t>
      </w:r>
      <w:r w:rsidRPr="00B61FF1">
        <w:rPr>
          <w:rFonts w:ascii="Arial" w:hAnsi="Arial" w:cs="Arial"/>
          <w:sz w:val="24"/>
          <w:szCs w:val="24"/>
          <w:u w:val="single"/>
        </w:rPr>
        <w:t>, United States</w:t>
      </w:r>
      <w:r w:rsidRPr="00B61FF1">
        <w:rPr>
          <w:rFonts w:ascii="Arial" w:hAnsi="Arial" w:cs="Arial"/>
          <w:sz w:val="24"/>
          <w:szCs w:val="24"/>
        </w:rPr>
        <w:t xml:space="preserve"> Territories, Canada, or Mexico.</w:t>
      </w:r>
    </w:p>
    <w:p w14:paraId="4F969953" w14:textId="19FD3ED3"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Local, Regional, and National </w:t>
      </w:r>
      <w:r w:rsidRPr="00B61FF1">
        <w:rPr>
          <w:rFonts w:ascii="Arial" w:hAnsi="Arial" w:cs="Arial"/>
          <w:sz w:val="24"/>
          <w:szCs w:val="24"/>
          <w:u w:val="single"/>
        </w:rPr>
        <w:t xml:space="preserve">Regulatory and </w:t>
      </w:r>
      <w:r w:rsidRPr="00B61FF1">
        <w:rPr>
          <w:rFonts w:ascii="Arial" w:hAnsi="Arial" w:cs="Arial"/>
          <w:sz w:val="24"/>
          <w:szCs w:val="24"/>
        </w:rPr>
        <w:t xml:space="preserve">Environmental Impact Assessment Requirements.  An Offset Project Operator or Authorized Project Designee must fulfill all local, regional, and national requirements on environmental impact assessments that apply based on the offset project location.  </w:t>
      </w:r>
      <w:r w:rsidRPr="00B61FF1">
        <w:rPr>
          <w:rFonts w:ascii="Arial" w:hAnsi="Arial" w:cs="Arial"/>
          <w:sz w:val="24"/>
          <w:szCs w:val="24"/>
          <w:u w:val="single"/>
        </w:rPr>
        <w:t xml:space="preserve">In addition, offset projects must also fulfill all local, regional, and national environmental and health and safety regulatory requirements that apply based on the offset project location and that directly apply to the offset project, </w:t>
      </w:r>
      <w:r w:rsidR="005001CC">
        <w:rPr>
          <w:rFonts w:ascii="Arial" w:hAnsi="Arial" w:cs="Arial"/>
          <w:sz w:val="24"/>
          <w:szCs w:val="24"/>
          <w:u w:val="single"/>
        </w:rPr>
        <w:t>including as</w:t>
      </w:r>
      <w:r w:rsidRPr="00B61FF1">
        <w:rPr>
          <w:rFonts w:ascii="Arial" w:hAnsi="Arial" w:cs="Arial"/>
          <w:sz w:val="24"/>
          <w:szCs w:val="24"/>
          <w:u w:val="single"/>
        </w:rPr>
        <w:t xml:space="preserve"> specified in a Compliance Offset Protocol.  Offset projects are not eligible to receive ARB or registry offset credits for GHG reductions or GHG removal enhancements</w:t>
      </w:r>
      <w:r w:rsidR="00BA7D26" w:rsidRPr="00B61FF1">
        <w:rPr>
          <w:rFonts w:ascii="Arial" w:hAnsi="Arial" w:cs="Arial"/>
          <w:sz w:val="24"/>
          <w:szCs w:val="24"/>
          <w:u w:val="single"/>
        </w:rPr>
        <w:t xml:space="preserve"> </w:t>
      </w:r>
      <w:r w:rsidRPr="00B61FF1">
        <w:rPr>
          <w:rFonts w:ascii="Arial" w:hAnsi="Arial" w:cs="Arial"/>
          <w:sz w:val="24"/>
          <w:szCs w:val="24"/>
          <w:u w:val="single"/>
        </w:rPr>
        <w:t>if the offset project is not in compliance with regulatory requirements directly applicable to the offset project.</w:t>
      </w:r>
    </w:p>
    <w:p w14:paraId="5F84F3D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Early Action Offset Project Commencement Date.  Offset projects that transition to Compliance Offset Protocols pursuant to section 95990(k) may have an Offset Project Commencement date before December 31, 2006.</w:t>
      </w:r>
    </w:p>
    <w:p w14:paraId="0A8AA3FF" w14:textId="77777777" w:rsidR="00FE6A4C" w:rsidRPr="00B61FF1" w:rsidRDefault="00FE6A4C" w:rsidP="00FE6A4C">
      <w:pPr>
        <w:pStyle w:val="PlainText"/>
        <w:spacing w:line="360" w:lineRule="auto"/>
        <w:ind w:left="720" w:hanging="720"/>
        <w:rPr>
          <w:rFonts w:ascii="Arial" w:eastAsia="Calibri" w:hAnsi="Arial" w:cs="Arial"/>
          <w:sz w:val="24"/>
          <w:szCs w:val="24"/>
        </w:rPr>
      </w:pPr>
      <w:r w:rsidRPr="00B61FF1">
        <w:rPr>
          <w:rFonts w:ascii="Arial" w:hAnsi="Arial" w:cs="Arial"/>
          <w:sz w:val="24"/>
          <w:szCs w:val="24"/>
        </w:rPr>
        <w:t>(d)</w:t>
      </w:r>
      <w:r w:rsidRPr="00B61FF1">
        <w:rPr>
          <w:rFonts w:ascii="Arial" w:hAnsi="Arial" w:cs="Arial"/>
          <w:sz w:val="24"/>
          <w:szCs w:val="24"/>
        </w:rPr>
        <w:tab/>
      </w:r>
      <w:r w:rsidRPr="00B61FF1">
        <w:rPr>
          <w:rFonts w:ascii="Arial" w:eastAsia="Calibri" w:hAnsi="Arial" w:cs="Arial"/>
          <w:sz w:val="24"/>
          <w:szCs w:val="24"/>
        </w:rPr>
        <w:t>Any Offset Project Operator or Authorized Project Designee seeking to list an offset project situated on any of the following categories of land must demonstrate the existence of a limited waiver of sovereign immunity between ARB and the governing body of the Tribe entered into pursuant to section 95975(l):</w:t>
      </w:r>
    </w:p>
    <w:p w14:paraId="03C225E9" w14:textId="77777777" w:rsidR="00FE6A4C" w:rsidRPr="00B61FF1" w:rsidRDefault="00FE6A4C" w:rsidP="00FE6A4C">
      <w:pPr>
        <w:pStyle w:val="PlainText"/>
        <w:spacing w:line="360" w:lineRule="auto"/>
        <w:ind w:left="1080" w:hanging="720"/>
        <w:rPr>
          <w:rFonts w:ascii="Arial" w:eastAsia="Calibri" w:hAnsi="Arial" w:cs="Arial"/>
          <w:sz w:val="24"/>
          <w:szCs w:val="24"/>
        </w:rPr>
      </w:pPr>
      <w:r w:rsidRPr="00B61FF1">
        <w:rPr>
          <w:rFonts w:ascii="Arial" w:eastAsia="Calibri" w:hAnsi="Arial" w:cs="Arial"/>
          <w:sz w:val="24"/>
          <w:szCs w:val="24"/>
        </w:rPr>
        <w:t>(1)</w:t>
      </w:r>
      <w:r w:rsidRPr="00B61FF1">
        <w:rPr>
          <w:rFonts w:ascii="Arial" w:eastAsia="Calibri" w:hAnsi="Arial" w:cs="Arial"/>
          <w:sz w:val="24"/>
          <w:szCs w:val="24"/>
        </w:rPr>
        <w:tab/>
        <w:t>Land that is owned by, or subject to, an ownership or possessory interest of the Tribe;</w:t>
      </w:r>
    </w:p>
    <w:p w14:paraId="4A351EEE" w14:textId="77777777" w:rsidR="00FE6A4C" w:rsidRPr="00B61FF1" w:rsidRDefault="00FE6A4C" w:rsidP="00FE6A4C">
      <w:pPr>
        <w:pStyle w:val="PlainText"/>
        <w:spacing w:line="360" w:lineRule="auto"/>
        <w:ind w:left="1080" w:hanging="720"/>
        <w:rPr>
          <w:rFonts w:ascii="Arial" w:eastAsia="Calibri" w:hAnsi="Arial" w:cs="Arial"/>
          <w:sz w:val="24"/>
          <w:szCs w:val="24"/>
        </w:rPr>
      </w:pPr>
      <w:r w:rsidRPr="00B61FF1">
        <w:rPr>
          <w:rFonts w:ascii="Arial" w:eastAsia="Calibri" w:hAnsi="Arial" w:cs="Arial"/>
          <w:sz w:val="24"/>
          <w:szCs w:val="24"/>
        </w:rPr>
        <w:t>(2)</w:t>
      </w:r>
      <w:r w:rsidRPr="00B61FF1">
        <w:rPr>
          <w:rFonts w:ascii="Arial" w:eastAsia="Calibri" w:hAnsi="Arial" w:cs="Arial"/>
          <w:sz w:val="24"/>
          <w:szCs w:val="24"/>
        </w:rPr>
        <w:tab/>
        <w:t xml:space="preserve">Land that is “Indian lands” of the Tribe, as defined by 25 U.S.C, </w:t>
      </w:r>
      <w:r w:rsidRPr="00B61FF1">
        <w:rPr>
          <w:rFonts w:ascii="Arial" w:hAnsi="Arial" w:cs="Arial"/>
          <w:sz w:val="24"/>
          <w:szCs w:val="24"/>
        </w:rPr>
        <w:t>§</w:t>
      </w:r>
      <w:r w:rsidRPr="00B61FF1">
        <w:rPr>
          <w:rFonts w:ascii="Arial" w:eastAsia="Calibri" w:hAnsi="Arial" w:cs="Arial"/>
          <w:sz w:val="24"/>
          <w:szCs w:val="24"/>
        </w:rPr>
        <w:t xml:space="preserve">81(a)(1); or </w:t>
      </w:r>
    </w:p>
    <w:p w14:paraId="72F06EA5" w14:textId="77777777" w:rsidR="00FE6A4C" w:rsidRPr="00B61FF1" w:rsidRDefault="00FE6A4C" w:rsidP="00FE6A4C">
      <w:pPr>
        <w:pStyle w:val="PlainText"/>
        <w:spacing w:line="360" w:lineRule="auto"/>
        <w:ind w:left="1080" w:hanging="720"/>
        <w:rPr>
          <w:rFonts w:ascii="Arial" w:eastAsia="Calibri" w:hAnsi="Arial" w:cs="Arial"/>
          <w:sz w:val="24"/>
          <w:szCs w:val="24"/>
        </w:rPr>
      </w:pPr>
      <w:r w:rsidRPr="00B61FF1">
        <w:rPr>
          <w:rFonts w:ascii="Arial" w:eastAsia="Calibri" w:hAnsi="Arial" w:cs="Arial"/>
          <w:sz w:val="24"/>
          <w:szCs w:val="24"/>
        </w:rPr>
        <w:t>(3)</w:t>
      </w:r>
      <w:r w:rsidRPr="00B61FF1">
        <w:rPr>
          <w:rFonts w:ascii="Arial" w:eastAsia="Calibri" w:hAnsi="Arial" w:cs="Arial"/>
          <w:sz w:val="24"/>
          <w:szCs w:val="24"/>
        </w:rPr>
        <w:tab/>
        <w:t>Land that is owned by any person, entity, or tribe, within the external borders of such Indian lands.</w:t>
      </w:r>
    </w:p>
    <w:p w14:paraId="0CD19626" w14:textId="77777777" w:rsidR="00FE6A4C" w:rsidRPr="00B61FF1" w:rsidRDefault="00FE6A4C" w:rsidP="00FE6A4C">
      <w:pPr>
        <w:spacing w:line="360" w:lineRule="auto"/>
        <w:rPr>
          <w:rFonts w:ascii="Arial" w:hAnsi="Arial" w:cs="Arial"/>
          <w:sz w:val="24"/>
          <w:szCs w:val="24"/>
        </w:rPr>
      </w:pPr>
    </w:p>
    <w:p w14:paraId="5F79D9FD"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60ACA2DD"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59F0DDF6" w14:textId="77777777" w:rsidR="00FE6A4C" w:rsidRPr="00B61FF1" w:rsidRDefault="00FE6A4C" w:rsidP="00FE6A4C">
      <w:pPr>
        <w:spacing w:before="240" w:after="60" w:line="360" w:lineRule="auto"/>
        <w:outlineLvl w:val="1"/>
        <w:rPr>
          <w:rFonts w:ascii="Arial" w:hAnsi="Arial" w:cs="Arial"/>
          <w:b/>
          <w:bCs/>
          <w:iCs/>
          <w:sz w:val="24"/>
          <w:szCs w:val="24"/>
        </w:rPr>
      </w:pPr>
      <w:bookmarkStart w:id="501" w:name="_Toc268526243"/>
      <w:bookmarkStart w:id="502" w:name="_Toc269206263"/>
      <w:bookmarkStart w:id="503" w:name="_Toc269798104"/>
      <w:bookmarkStart w:id="504" w:name="_Toc275870251"/>
      <w:bookmarkStart w:id="505" w:name="_Toc291245697"/>
      <w:bookmarkStart w:id="506" w:name="_Toc294275144"/>
      <w:bookmarkStart w:id="507" w:name="_Toc294863574"/>
      <w:bookmarkStart w:id="508" w:name="_Toc299094973"/>
      <w:bookmarkStart w:id="509" w:name="_Toc299095090"/>
      <w:bookmarkStart w:id="510" w:name="_Toc302746827"/>
      <w:bookmarkStart w:id="511" w:name="_Toc361659890"/>
      <w:r w:rsidRPr="00B61FF1">
        <w:rPr>
          <w:rFonts w:ascii="Arial" w:hAnsi="Arial" w:cs="Arial"/>
          <w:b/>
          <w:bCs/>
          <w:iCs/>
          <w:sz w:val="24"/>
          <w:szCs w:val="24"/>
        </w:rPr>
        <w:t>§ 95974.  Authorized Project Designee</w:t>
      </w:r>
      <w:bookmarkEnd w:id="501"/>
      <w:bookmarkEnd w:id="502"/>
      <w:bookmarkEnd w:id="503"/>
      <w:bookmarkEnd w:id="504"/>
      <w:bookmarkEnd w:id="505"/>
      <w:bookmarkEnd w:id="506"/>
      <w:bookmarkEnd w:id="507"/>
      <w:r w:rsidRPr="00B61FF1">
        <w:rPr>
          <w:rFonts w:ascii="Arial" w:hAnsi="Arial" w:cs="Arial"/>
          <w:b/>
          <w:bCs/>
          <w:iCs/>
          <w:sz w:val="24"/>
          <w:szCs w:val="24"/>
        </w:rPr>
        <w:t>.</w:t>
      </w:r>
      <w:bookmarkEnd w:id="508"/>
      <w:bookmarkEnd w:id="509"/>
      <w:bookmarkEnd w:id="510"/>
      <w:bookmarkEnd w:id="511"/>
    </w:p>
    <w:p w14:paraId="088012DE"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General Requirements for Designation of Authorized Project Designee.  An Offset Project Operator may designate an entity as an Authorized Project Designee at the time of offset project listing or any time after offset project listing as long as it meets the requirements of section 95974(b).  </w:t>
      </w:r>
      <w:r w:rsidRPr="00B61FF1">
        <w:rPr>
          <w:rFonts w:ascii="Arial" w:hAnsi="Arial" w:cs="Arial"/>
          <w:strike/>
          <w:sz w:val="24"/>
          <w:szCs w:val="24"/>
        </w:rPr>
        <w:t>The Offset Project Operator must identify to ARB or an Offset Project Registry the rights and responsibilities they are assigning or delegating to an Authorized Project Designee.</w:t>
      </w:r>
    </w:p>
    <w:p w14:paraId="346082BA" w14:textId="77777777" w:rsidR="00FE6A4C" w:rsidRPr="00B61FF1" w:rsidRDefault="00FE6A4C" w:rsidP="00FE6A4C">
      <w:pPr>
        <w:spacing w:line="360" w:lineRule="auto"/>
        <w:ind w:left="1080" w:hanging="63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Offset Project Operator may assign ownership rights of ARB offset credits or registry offset credits to the following</w:t>
      </w:r>
      <w:r w:rsidRPr="00B61FF1">
        <w:rPr>
          <w:rFonts w:ascii="Arial" w:hAnsi="Arial" w:cs="Arial"/>
          <w:sz w:val="24"/>
          <w:szCs w:val="24"/>
          <w:u w:val="single"/>
        </w:rPr>
        <w:t xml:space="preserve"> entities at the time of registry offset credit or ARB offset credit issuance pursuant to sections 95980.1 and 95981, respectively</w:t>
      </w:r>
      <w:r w:rsidRPr="00B61FF1">
        <w:rPr>
          <w:rFonts w:ascii="Arial" w:hAnsi="Arial" w:cs="Arial"/>
          <w:sz w:val="24"/>
          <w:szCs w:val="24"/>
        </w:rPr>
        <w:t>:</w:t>
      </w:r>
    </w:p>
    <w:p w14:paraId="7583D642" w14:textId="77777777" w:rsidR="00FE6A4C" w:rsidRPr="00B61FF1" w:rsidRDefault="00FE6A4C" w:rsidP="00FE6A4C">
      <w:pPr>
        <w:numPr>
          <w:ilvl w:val="2"/>
          <w:numId w:val="14"/>
        </w:numPr>
        <w:spacing w:line="360" w:lineRule="auto"/>
        <w:rPr>
          <w:rFonts w:ascii="Arial" w:hAnsi="Arial" w:cs="Arial"/>
          <w:sz w:val="24"/>
          <w:szCs w:val="24"/>
        </w:rPr>
      </w:pPr>
      <w:r w:rsidRPr="00B61FF1">
        <w:rPr>
          <w:rFonts w:ascii="Arial" w:hAnsi="Arial" w:cs="Arial"/>
          <w:sz w:val="24"/>
          <w:szCs w:val="24"/>
        </w:rPr>
        <w:t>Authorized Project Designee; or</w:t>
      </w:r>
    </w:p>
    <w:p w14:paraId="5DBFA71F" w14:textId="77777777" w:rsidR="00FE6A4C" w:rsidRPr="00B61FF1" w:rsidRDefault="00FE6A4C" w:rsidP="00FE6A4C">
      <w:pPr>
        <w:numPr>
          <w:ilvl w:val="2"/>
          <w:numId w:val="14"/>
        </w:numPr>
        <w:spacing w:line="360" w:lineRule="auto"/>
        <w:rPr>
          <w:rFonts w:ascii="Arial" w:hAnsi="Arial" w:cs="Arial"/>
          <w:sz w:val="24"/>
          <w:szCs w:val="24"/>
        </w:rPr>
      </w:pPr>
      <w:r w:rsidRPr="00B61FF1">
        <w:rPr>
          <w:rFonts w:ascii="Arial" w:hAnsi="Arial" w:cs="Arial"/>
          <w:sz w:val="24"/>
          <w:szCs w:val="24"/>
        </w:rPr>
        <w:t>Any other third party not otherwise prohibited by this article.</w:t>
      </w:r>
    </w:p>
    <w:p w14:paraId="1C7B47ED" w14:textId="77777777" w:rsidR="00FE6A4C" w:rsidRPr="00B61FF1" w:rsidRDefault="00FE6A4C" w:rsidP="00FE6A4C">
      <w:pPr>
        <w:spacing w:line="360" w:lineRule="auto"/>
        <w:ind w:left="1080" w:hanging="63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The Offset Project Operator may delegate responsibility to the Authorized Project Designee for performing or meeting </w:t>
      </w:r>
      <w:r w:rsidRPr="00B61FF1">
        <w:rPr>
          <w:rFonts w:ascii="Arial" w:hAnsi="Arial" w:cs="Arial"/>
          <w:sz w:val="24"/>
          <w:szCs w:val="24"/>
          <w:u w:val="single"/>
        </w:rPr>
        <w:t xml:space="preserve">all </w:t>
      </w:r>
      <w:r w:rsidRPr="00B61FF1">
        <w:rPr>
          <w:rFonts w:ascii="Arial" w:hAnsi="Arial" w:cs="Arial"/>
          <w:sz w:val="24"/>
          <w:szCs w:val="24"/>
        </w:rPr>
        <w:t xml:space="preserve">the requirements of sections 95975, 95976, 95977, 95977.1, 95977.2, </w:t>
      </w:r>
      <w:r w:rsidRPr="00B61FF1">
        <w:rPr>
          <w:rFonts w:ascii="Arial" w:hAnsi="Arial" w:cs="Arial"/>
          <w:sz w:val="24"/>
          <w:szCs w:val="24"/>
          <w:u w:val="single"/>
        </w:rPr>
        <w:t xml:space="preserve">95980, 95980.1, </w:t>
      </w:r>
      <w:r w:rsidRPr="00B61FF1">
        <w:rPr>
          <w:rFonts w:ascii="Arial" w:hAnsi="Arial" w:cs="Arial"/>
          <w:sz w:val="24"/>
          <w:szCs w:val="24"/>
        </w:rPr>
        <w:t>95981, 95981.1, 95983, and</w:t>
      </w:r>
      <w:r w:rsidRPr="00B61FF1">
        <w:rPr>
          <w:rFonts w:ascii="Arial" w:hAnsi="Arial" w:cs="Arial"/>
          <w:sz w:val="24"/>
          <w:szCs w:val="24"/>
          <w:u w:val="single"/>
        </w:rPr>
        <w:t>, where specifically identified,</w:t>
      </w:r>
      <w:r w:rsidRPr="00B61FF1">
        <w:rPr>
          <w:rFonts w:ascii="Arial" w:hAnsi="Arial" w:cs="Arial"/>
          <w:sz w:val="24"/>
          <w:szCs w:val="24"/>
        </w:rPr>
        <w:t xml:space="preserve"> sections 95985, and 95990</w:t>
      </w:r>
      <w:r w:rsidRPr="00B61FF1">
        <w:rPr>
          <w:rFonts w:ascii="Arial" w:hAnsi="Arial" w:cs="Arial"/>
          <w:strike/>
          <w:sz w:val="24"/>
          <w:szCs w:val="24"/>
        </w:rPr>
        <w:t>, where specifically identified</w:t>
      </w:r>
      <w:r w:rsidRPr="00B61FF1">
        <w:rPr>
          <w:rFonts w:ascii="Arial" w:hAnsi="Arial" w:cs="Arial"/>
          <w:sz w:val="24"/>
          <w:szCs w:val="24"/>
          <w:u w:val="single"/>
        </w:rPr>
        <w:t>on behalf of the Offset Project Operator</w:t>
      </w:r>
      <w:r w:rsidRPr="00B61FF1">
        <w:rPr>
          <w:rFonts w:ascii="Arial" w:hAnsi="Arial" w:cs="Arial"/>
          <w:sz w:val="24"/>
          <w:szCs w:val="24"/>
        </w:rPr>
        <w:t>.</w:t>
      </w:r>
      <w:r w:rsidRPr="00B61FF1">
        <w:rPr>
          <w:rFonts w:ascii="Arial" w:hAnsi="Arial" w:cs="Arial"/>
          <w:sz w:val="24"/>
          <w:szCs w:val="24"/>
          <w:u w:val="single"/>
        </w:rPr>
        <w:t xml:space="preserve">  </w:t>
      </w:r>
    </w:p>
    <w:p w14:paraId="408305A5" w14:textId="64025416"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If an Authorized Project Designee is designated, the Authorized Project Designee will be responsible for performing </w:t>
      </w:r>
      <w:r w:rsidR="00BA7D26" w:rsidRPr="00B61FF1">
        <w:rPr>
          <w:rFonts w:ascii="Arial" w:hAnsi="Arial" w:cs="Arial"/>
          <w:sz w:val="24"/>
          <w:szCs w:val="24"/>
          <w:u w:val="single"/>
        </w:rPr>
        <w:t>all</w:t>
      </w:r>
      <w:r w:rsidRPr="00B61FF1">
        <w:rPr>
          <w:rFonts w:ascii="Arial" w:hAnsi="Arial" w:cs="Arial"/>
          <w:sz w:val="24"/>
          <w:szCs w:val="24"/>
          <w:u w:val="single"/>
        </w:rPr>
        <w:t xml:space="preserve"> activities to meet the requirements in the section 95974(a)(2) and will be the main point of contact with regard to the offset project for the Offset Project Registry and ARB.  The Offset Project Operator, however, is ultimately responsible for ensuring compliance with the requirements of this article and the applicable Compliance Offset Protocol.</w:t>
      </w:r>
    </w:p>
    <w:p w14:paraId="7D7C6DC5"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an Authorized Project Designee is designated, the Offset Project Operator must designate an individual of the Authorized Project Designee as a Primary Account Representative or Alternate Account Representative on the Offset Project Operator’s tracking system account before the Authorized Project Designee may act on behalf of the Offset Project Operator or submit any documentation to the Offset Project Registry and ARB.  Only an individual authorized on the Offset Project Operator’s tracking system account may sign any documents or attestations to ARB on behalf of the Offset Project Operator for an offset project.</w:t>
      </w:r>
    </w:p>
    <w:p w14:paraId="298C0ED0"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Modifications to Authorized Project Designee and Activities.  An Offset Project Operator may modify or change an Authorized Project Designee, or any other third party authorized pursuant to section 95974(a)(1) for a listed offset project once within each calendar year after the offset project has been listed by ARB or an Offset Project Registry by submitting a request, in writing, to ARB or an Offset Project Registry.</w:t>
      </w:r>
    </w:p>
    <w:p w14:paraId="7D20F8EE" w14:textId="77777777" w:rsidR="00FE6A4C" w:rsidRPr="00B61FF1" w:rsidRDefault="00FE6A4C" w:rsidP="00FE6A4C">
      <w:pPr>
        <w:spacing w:line="360" w:lineRule="auto"/>
        <w:rPr>
          <w:rFonts w:ascii="Arial" w:hAnsi="Arial" w:cs="Arial"/>
          <w:sz w:val="24"/>
          <w:szCs w:val="24"/>
        </w:rPr>
      </w:pPr>
    </w:p>
    <w:p w14:paraId="74FACB94"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5460D630"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bookmarkStart w:id="512" w:name="_Toc275870252"/>
      <w:bookmarkStart w:id="513" w:name="_Toc258822506"/>
      <w:bookmarkStart w:id="514" w:name="_Toc266690271"/>
      <w:bookmarkStart w:id="515" w:name="_Toc268526244"/>
      <w:bookmarkStart w:id="516" w:name="_Toc269206264"/>
      <w:bookmarkStart w:id="517" w:name="_Toc269798105"/>
      <w:bookmarkStart w:id="518" w:name="_Toc291245698"/>
      <w:bookmarkStart w:id="519" w:name="_Toc294275145"/>
      <w:bookmarkStart w:id="520" w:name="_Toc294863575"/>
    </w:p>
    <w:p w14:paraId="2205DF28" w14:textId="77777777" w:rsidR="00FE6A4C" w:rsidRPr="00B61FF1" w:rsidRDefault="00FE6A4C" w:rsidP="00FE6A4C">
      <w:pPr>
        <w:rPr>
          <w:rFonts w:ascii="Arial" w:hAnsi="Arial" w:cs="Arial"/>
          <w:b/>
          <w:bCs/>
          <w:iCs/>
          <w:sz w:val="24"/>
          <w:szCs w:val="24"/>
        </w:rPr>
      </w:pPr>
    </w:p>
    <w:p w14:paraId="564ED4B3" w14:textId="77777777" w:rsidR="00FE6A4C" w:rsidRPr="00B61FF1" w:rsidRDefault="00FE6A4C" w:rsidP="00FE6A4C">
      <w:pPr>
        <w:spacing w:before="240" w:after="60" w:line="360" w:lineRule="auto"/>
        <w:outlineLvl w:val="1"/>
        <w:rPr>
          <w:rFonts w:ascii="Arial" w:hAnsi="Arial" w:cs="Arial"/>
          <w:b/>
          <w:bCs/>
          <w:iCs/>
          <w:sz w:val="24"/>
          <w:szCs w:val="24"/>
        </w:rPr>
      </w:pPr>
      <w:bookmarkStart w:id="521" w:name="_Toc299094974"/>
      <w:bookmarkStart w:id="522" w:name="_Toc299095091"/>
      <w:bookmarkStart w:id="523" w:name="_Toc302746828"/>
      <w:bookmarkStart w:id="524" w:name="_Toc361659891"/>
      <w:r w:rsidRPr="00B61FF1">
        <w:rPr>
          <w:rFonts w:ascii="Arial" w:hAnsi="Arial" w:cs="Arial"/>
          <w:b/>
          <w:bCs/>
          <w:iCs/>
          <w:sz w:val="24"/>
          <w:szCs w:val="24"/>
        </w:rPr>
        <w:t>§ 95975.  Listing of Offset Projects Using ARB Compliance Offset Protocols</w:t>
      </w:r>
      <w:bookmarkEnd w:id="512"/>
      <w:bookmarkEnd w:id="513"/>
      <w:bookmarkEnd w:id="514"/>
      <w:bookmarkEnd w:id="515"/>
      <w:bookmarkEnd w:id="516"/>
      <w:bookmarkEnd w:id="517"/>
      <w:bookmarkEnd w:id="518"/>
      <w:bookmarkEnd w:id="519"/>
      <w:bookmarkEnd w:id="520"/>
      <w:r w:rsidRPr="00B61FF1">
        <w:rPr>
          <w:rFonts w:ascii="Arial" w:hAnsi="Arial" w:cs="Arial"/>
          <w:b/>
          <w:bCs/>
          <w:iCs/>
          <w:sz w:val="24"/>
          <w:szCs w:val="24"/>
        </w:rPr>
        <w:t>.</w:t>
      </w:r>
      <w:bookmarkEnd w:id="521"/>
      <w:bookmarkEnd w:id="522"/>
      <w:bookmarkEnd w:id="523"/>
      <w:bookmarkEnd w:id="524"/>
    </w:p>
    <w:p w14:paraId="2942C8B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General Requirements for Offset Project Operators or Authorized Project Designees Who Are Submitting an Offset Project for Listing.  Before an offset project can be listed by ARB or an Offset Project Registry the Offset Project Operator</w:t>
      </w:r>
      <w:r w:rsidRPr="00B61FF1">
        <w:rPr>
          <w:rFonts w:ascii="Arial" w:hAnsi="Arial" w:cs="Arial"/>
          <w:strike/>
          <w:sz w:val="24"/>
          <w:szCs w:val="24"/>
        </w:rPr>
        <w:t>,</w:t>
      </w:r>
      <w:r w:rsidRPr="00B61FF1">
        <w:rPr>
          <w:rFonts w:ascii="Arial" w:hAnsi="Arial" w:cs="Arial"/>
          <w:sz w:val="24"/>
          <w:szCs w:val="24"/>
        </w:rPr>
        <w:t xml:space="preserve"> </w:t>
      </w:r>
      <w:r w:rsidRPr="00B61FF1">
        <w:rPr>
          <w:rFonts w:ascii="Arial" w:hAnsi="Arial" w:cs="Arial"/>
          <w:sz w:val="24"/>
          <w:szCs w:val="24"/>
          <w:u w:val="single"/>
        </w:rPr>
        <w:t xml:space="preserve">and </w:t>
      </w:r>
      <w:r w:rsidRPr="00B61FF1">
        <w:rPr>
          <w:rFonts w:ascii="Arial" w:hAnsi="Arial" w:cs="Arial"/>
          <w:sz w:val="24"/>
          <w:szCs w:val="24"/>
        </w:rPr>
        <w:t>its Authorized Project Designee</w:t>
      </w:r>
      <w:r w:rsidRPr="00B61FF1">
        <w:rPr>
          <w:rFonts w:ascii="Arial" w:hAnsi="Arial" w:cs="Arial"/>
          <w:strike/>
          <w:sz w:val="24"/>
          <w:szCs w:val="24"/>
        </w:rPr>
        <w:t xml:space="preserve"> and</w:t>
      </w:r>
      <w:r w:rsidRPr="00B61FF1">
        <w:rPr>
          <w:rFonts w:ascii="Arial" w:hAnsi="Arial" w:cs="Arial"/>
          <w:sz w:val="24"/>
          <w:szCs w:val="24"/>
        </w:rPr>
        <w:t>, if applicable,</w:t>
      </w:r>
      <w:r w:rsidRPr="00B61FF1">
        <w:rPr>
          <w:rFonts w:ascii="Arial" w:hAnsi="Arial" w:cs="Arial"/>
          <w:strike/>
          <w:sz w:val="24"/>
          <w:szCs w:val="24"/>
        </w:rPr>
        <w:t xml:space="preserve"> another third party as provided in section 95974(a)(1)</w:t>
      </w:r>
      <w:r w:rsidRPr="00B61FF1">
        <w:rPr>
          <w:rFonts w:ascii="Arial" w:hAnsi="Arial" w:cs="Arial"/>
          <w:sz w:val="24"/>
          <w:szCs w:val="24"/>
        </w:rPr>
        <w:t xml:space="preserve"> must:</w:t>
      </w:r>
    </w:p>
    <w:p w14:paraId="021A1D3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Register with ARB pursuant to section 95830; and</w:t>
      </w:r>
    </w:p>
    <w:p w14:paraId="3EDEDA6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Not be subject to any Holding Account restrictions imposed pursuant to section 96011.</w:t>
      </w:r>
    </w:p>
    <w:p w14:paraId="066DC06C" w14:textId="77777777" w:rsidR="00FE6A4C" w:rsidRPr="00B61FF1" w:rsidRDefault="00FE6A4C" w:rsidP="00FE6A4C">
      <w:pPr>
        <w:suppressAutoHyphens/>
        <w:autoSpaceDN/>
        <w:adjustRightInd/>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the offset project is not listed by ARB, it must be listed by an Offset Project Registry approved pursuant to section 95986.</w:t>
      </w:r>
    </w:p>
    <w:p w14:paraId="3B7BA449" w14:textId="77777777" w:rsidR="00FE6A4C" w:rsidRPr="00B61FF1" w:rsidRDefault="00FE6A4C" w:rsidP="00FE6A4C">
      <w:pPr>
        <w:suppressAutoHyphens/>
        <w:autoSpaceDN/>
        <w:adjustRightInd/>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General Requirements for Offset Project Listing.  For offset projects being listed by ARB or an Offset Project Registry in an initial or renewed crediting period, the Offset Project Operator and any Authorized Project Designees approved pursuant to section 95974 must:</w:t>
      </w:r>
    </w:p>
    <w:p w14:paraId="115A4F14" w14:textId="77777777" w:rsidR="00FE6A4C" w:rsidRPr="00B61FF1" w:rsidRDefault="00FE6A4C" w:rsidP="00FE6A4C">
      <w:pPr>
        <w:numPr>
          <w:ilvl w:val="1"/>
          <w:numId w:val="29"/>
        </w:numPr>
        <w:spacing w:line="360" w:lineRule="auto"/>
        <w:rPr>
          <w:rFonts w:ascii="Arial" w:hAnsi="Arial" w:cs="Arial"/>
          <w:sz w:val="24"/>
          <w:szCs w:val="24"/>
        </w:rPr>
      </w:pPr>
      <w:r w:rsidRPr="00B61FF1">
        <w:rPr>
          <w:rFonts w:ascii="Arial" w:hAnsi="Arial" w:cs="Arial"/>
          <w:sz w:val="24"/>
          <w:szCs w:val="24"/>
        </w:rPr>
        <w:t>Attest, in writing, to ARB as follows:</w:t>
      </w:r>
      <w:r w:rsidRPr="00B61FF1">
        <w:rPr>
          <w:rFonts w:ascii="Arial" w:hAnsi="Arial" w:cs="Arial"/>
          <w:sz w:val="24"/>
          <w:szCs w:val="24"/>
        </w:rPr>
        <w:br/>
        <w:t>“I certify under penalty of perjury under the laws of the State of California the GHG reductions and/or GHG removal enhancements for [project] from [date] to [date] will be measured in accordance with the [appropriate ARB Compliance Offset Protocol] and all information required to be submitted to ARB is true, accurate, and complete</w:t>
      </w:r>
      <w:r w:rsidRPr="00B61FF1">
        <w:rPr>
          <w:rFonts w:ascii="Arial" w:hAnsi="Arial" w:cs="Arial"/>
          <w:strike/>
          <w:sz w:val="24"/>
          <w:szCs w:val="24"/>
        </w:rPr>
        <w:t>;</w:t>
      </w:r>
      <w:r w:rsidRPr="00B61FF1">
        <w:rPr>
          <w:rFonts w:ascii="Arial" w:hAnsi="Arial" w:cs="Arial"/>
          <w:sz w:val="24"/>
          <w:szCs w:val="24"/>
          <w:u w:val="single"/>
        </w:rPr>
        <w:t>.</w:t>
      </w:r>
      <w:r w:rsidRPr="00B61FF1">
        <w:rPr>
          <w:rFonts w:ascii="Arial" w:hAnsi="Arial" w:cs="Arial"/>
          <w:sz w:val="24"/>
          <w:szCs w:val="24"/>
        </w:rPr>
        <w:t>”</w:t>
      </w:r>
      <w:r w:rsidRPr="00B61FF1">
        <w:rPr>
          <w:rFonts w:ascii="Arial" w:hAnsi="Arial" w:cs="Arial"/>
          <w:sz w:val="24"/>
          <w:szCs w:val="24"/>
          <w:u w:val="single"/>
        </w:rPr>
        <w:t>;</w:t>
      </w:r>
    </w:p>
    <w:p w14:paraId="50985B7A" w14:textId="77777777" w:rsidR="00FE6A4C" w:rsidRPr="00B61FF1" w:rsidRDefault="00FE6A4C" w:rsidP="00FE6A4C">
      <w:pPr>
        <w:numPr>
          <w:ilvl w:val="1"/>
          <w:numId w:val="29"/>
        </w:numPr>
        <w:spacing w:line="360" w:lineRule="auto"/>
        <w:rPr>
          <w:rFonts w:ascii="Arial" w:hAnsi="Arial" w:cs="Arial"/>
          <w:sz w:val="24"/>
          <w:szCs w:val="24"/>
        </w:rPr>
      </w:pPr>
      <w:r w:rsidRPr="00B61FF1">
        <w:rPr>
          <w:rFonts w:ascii="Arial" w:hAnsi="Arial" w:cs="Arial"/>
          <w:sz w:val="24"/>
          <w:szCs w:val="24"/>
        </w:rPr>
        <w:t>Attest, in writing, to ARB as follows:</w:t>
      </w:r>
    </w:p>
    <w:p w14:paraId="7FFA2D69"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“I understand I am voluntarily participating in the California Greenhouse Gas Cap-and-Trade Program under title 17, article 5, and by doing so, I am now subject to all regulatory requirements and enforcement mechanisms of this program and subject myself to the jurisdiction of California as the exclusive venue to resolve any and all disputes arising from the enforcement of provisions in this article.”;</w:t>
      </w:r>
    </w:p>
    <w:p w14:paraId="3BAD0A09" w14:textId="77777777" w:rsidR="00FE6A4C" w:rsidRPr="00B61FF1" w:rsidRDefault="00FE6A4C" w:rsidP="00FE6A4C">
      <w:pPr>
        <w:numPr>
          <w:ilvl w:val="1"/>
          <w:numId w:val="30"/>
        </w:numPr>
        <w:spacing w:line="360" w:lineRule="auto"/>
        <w:rPr>
          <w:rFonts w:ascii="Arial" w:hAnsi="Arial" w:cs="Arial"/>
          <w:sz w:val="24"/>
          <w:szCs w:val="24"/>
        </w:rPr>
      </w:pPr>
      <w:r w:rsidRPr="00B61FF1">
        <w:rPr>
          <w:rFonts w:ascii="Arial" w:hAnsi="Arial" w:cs="Arial"/>
          <w:sz w:val="24"/>
          <w:szCs w:val="24"/>
        </w:rPr>
        <w:t>Attest in writing to ARB as follows:</w:t>
      </w:r>
    </w:p>
    <w:p w14:paraId="7866BC87"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 xml:space="preserve">“I understand that the offset project activity and implementation of the offset project must be in accordance with all applicable local, regional, and national environmental and health and safety </w:t>
      </w:r>
      <w:r w:rsidRPr="00B61FF1">
        <w:rPr>
          <w:rFonts w:ascii="Arial" w:hAnsi="Arial" w:cs="Arial"/>
          <w:sz w:val="24"/>
          <w:szCs w:val="24"/>
          <w:u w:val="single"/>
        </w:rPr>
        <w:t>laws and</w:t>
      </w:r>
      <w:r w:rsidRPr="00B61FF1">
        <w:rPr>
          <w:rFonts w:ascii="Arial" w:hAnsi="Arial" w:cs="Arial"/>
          <w:sz w:val="24"/>
          <w:szCs w:val="24"/>
        </w:rPr>
        <w:t xml:space="preserve"> regulations that apply to the offset project location.  I understand that offset projects are not eligible to receive ARB or registry offset credits for GHG reductions and GHG removal enhancements that are not in compliance with the requirements of the cap-and-trade program.”;</w:t>
      </w:r>
    </w:p>
    <w:p w14:paraId="185B8F44"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Provide all documentation required pursuant to section 95975(e) to ARB or an Offset Project Registry; and</w:t>
      </w:r>
    </w:p>
    <w:p w14:paraId="0B93DFE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Disclose GHG reductions and GHG removal enhancements issued credit by any voluntary or mandatory programs for the same offset project being listed or any GHG reductions and GHG removal enhancements used for any GHG mitigation requirement.</w:t>
      </w:r>
    </w:p>
    <w:p w14:paraId="4300426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The attestations in section 95975(c)(1), 95975(c)(2), and 95975(c)(3) </w:t>
      </w:r>
      <w:r w:rsidRPr="00B61FF1">
        <w:rPr>
          <w:rFonts w:ascii="Arial" w:hAnsi="Arial" w:cs="Arial"/>
          <w:strike/>
          <w:sz w:val="24"/>
          <w:szCs w:val="24"/>
        </w:rPr>
        <w:t>may</w:t>
      </w:r>
      <w:r w:rsidRPr="00B61FF1">
        <w:rPr>
          <w:rFonts w:ascii="Arial" w:hAnsi="Arial" w:cs="Arial"/>
          <w:sz w:val="24"/>
          <w:szCs w:val="24"/>
        </w:rPr>
        <w:t xml:space="preserve"> </w:t>
      </w:r>
      <w:r w:rsidRPr="00B61FF1">
        <w:rPr>
          <w:rFonts w:ascii="Arial" w:hAnsi="Arial" w:cs="Arial"/>
          <w:sz w:val="24"/>
          <w:szCs w:val="24"/>
          <w:u w:val="single"/>
        </w:rPr>
        <w:t xml:space="preserve">must </w:t>
      </w:r>
      <w:r w:rsidRPr="00B61FF1">
        <w:rPr>
          <w:rFonts w:ascii="Arial" w:hAnsi="Arial" w:cs="Arial"/>
          <w:sz w:val="24"/>
          <w:szCs w:val="24"/>
        </w:rPr>
        <w:t>be provided to an Offset Project Registry with the listing information</w:t>
      </w:r>
      <w:r w:rsidRPr="00B61FF1">
        <w:rPr>
          <w:rFonts w:ascii="Arial" w:hAnsi="Arial" w:cs="Arial"/>
          <w:sz w:val="24"/>
          <w:szCs w:val="24"/>
          <w:u w:val="single"/>
        </w:rPr>
        <w:t>, if being listed with an Offset Project Registry, or to ARB if being listed with ARB</w:t>
      </w:r>
      <w:r w:rsidRPr="00B61FF1">
        <w:rPr>
          <w:rFonts w:ascii="Arial" w:hAnsi="Arial" w:cs="Arial"/>
          <w:sz w:val="24"/>
          <w:szCs w:val="24"/>
        </w:rPr>
        <w:t xml:space="preserve"> </w:t>
      </w:r>
      <w:r w:rsidRPr="00B61FF1">
        <w:rPr>
          <w:rFonts w:ascii="Arial" w:hAnsi="Arial" w:cs="Arial"/>
          <w:strike/>
          <w:sz w:val="24"/>
          <w:szCs w:val="24"/>
        </w:rPr>
        <w:t>but must be provided to ARB when the requirements in section 95981(b) apply</w:t>
      </w:r>
      <w:r w:rsidRPr="00B61FF1">
        <w:rPr>
          <w:rFonts w:ascii="Arial" w:hAnsi="Arial" w:cs="Arial"/>
          <w:sz w:val="24"/>
          <w:szCs w:val="24"/>
        </w:rPr>
        <w:t>.</w:t>
      </w:r>
    </w:p>
    <w:p w14:paraId="7BFF714E" w14:textId="543EC246"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Offset Project Listing Information Requirements.  Before an offset project is publicly listed for an initial or renewed crediting period the Offset Project Operator or Authorized Project Designee must provide the listing information in a Compliance Offset Protocol for that offset project type as set forth </w:t>
      </w:r>
      <w:r w:rsidR="009B7909" w:rsidRPr="00B61FF1">
        <w:rPr>
          <w:rFonts w:ascii="Arial" w:hAnsi="Arial" w:cs="Arial"/>
          <w:sz w:val="24"/>
          <w:szCs w:val="24"/>
        </w:rPr>
        <w:t>in</w:t>
      </w:r>
      <w:r w:rsidRPr="00B61FF1">
        <w:rPr>
          <w:rFonts w:ascii="Arial" w:hAnsi="Arial" w:cs="Arial"/>
          <w:sz w:val="24"/>
          <w:szCs w:val="24"/>
        </w:rPr>
        <w:t>:</w:t>
      </w:r>
    </w:p>
    <w:p w14:paraId="11AAB70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Compliance Offset Protocol Ozone Depleting Substances Projects, October 20, 2011;</w:t>
      </w:r>
    </w:p>
    <w:p w14:paraId="5D3C140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Compliance Offset Protocol Livestock Projects, October 20, 2011;</w:t>
      </w:r>
    </w:p>
    <w:p w14:paraId="64DA43BC" w14:textId="77777777" w:rsidR="00FE6A4C" w:rsidRPr="00B61FF1" w:rsidRDefault="00FE6A4C" w:rsidP="00FE6A4C">
      <w:pPr>
        <w:spacing w:line="360" w:lineRule="auto"/>
        <w:ind w:left="1080" w:hanging="720"/>
        <w:rPr>
          <w:rFonts w:ascii="Arial" w:hAnsi="Arial" w:cs="Arial"/>
          <w:strike/>
          <w:sz w:val="24"/>
          <w:szCs w:val="24"/>
        </w:rPr>
      </w:pPr>
      <w:r w:rsidRPr="00B61FF1">
        <w:rPr>
          <w:rFonts w:ascii="Arial" w:hAnsi="Arial" w:cs="Arial"/>
          <w:sz w:val="24"/>
          <w:szCs w:val="24"/>
        </w:rPr>
        <w:t>(3)</w:t>
      </w:r>
      <w:r w:rsidRPr="00B61FF1">
        <w:rPr>
          <w:rFonts w:ascii="Arial" w:hAnsi="Arial" w:cs="Arial"/>
          <w:sz w:val="24"/>
          <w:szCs w:val="24"/>
        </w:rPr>
        <w:tab/>
        <w:t xml:space="preserve">Compliance Offset Protocol Urban Forest Projects, October 20, 2011; </w:t>
      </w:r>
      <w:r w:rsidRPr="00B61FF1">
        <w:rPr>
          <w:rFonts w:ascii="Arial" w:hAnsi="Arial" w:cs="Arial"/>
          <w:strike/>
          <w:sz w:val="24"/>
          <w:szCs w:val="24"/>
        </w:rPr>
        <w:t>and</w:t>
      </w:r>
    </w:p>
    <w:p w14:paraId="24657DA8"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rPr>
        <w:t>(4)</w:t>
      </w:r>
      <w:r w:rsidRPr="00B61FF1">
        <w:rPr>
          <w:rFonts w:ascii="Arial" w:hAnsi="Arial" w:cs="Arial"/>
          <w:sz w:val="24"/>
          <w:szCs w:val="24"/>
        </w:rPr>
        <w:tab/>
        <w:t>Compliance Offset Protocol U.S. Forest Projects, October 20, 2011</w:t>
      </w:r>
      <w:r w:rsidRPr="00B61FF1">
        <w:rPr>
          <w:rFonts w:ascii="Arial" w:hAnsi="Arial" w:cs="Arial"/>
          <w:strike/>
          <w:sz w:val="24"/>
          <w:szCs w:val="24"/>
        </w:rPr>
        <w:t>.</w:t>
      </w:r>
      <w:r w:rsidRPr="00B61FF1">
        <w:rPr>
          <w:rFonts w:ascii="Arial" w:hAnsi="Arial" w:cs="Arial"/>
          <w:sz w:val="24"/>
          <w:szCs w:val="24"/>
          <w:u w:val="single"/>
        </w:rPr>
        <w:t xml:space="preserve">; </w:t>
      </w:r>
    </w:p>
    <w:p w14:paraId="64926142"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Compliance Offset Protocol Mine Methane Capture Projects, incorporated by reference October XX, 2013; and</w:t>
      </w:r>
    </w:p>
    <w:p w14:paraId="5EAA08E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u w:val="single"/>
        </w:rPr>
        <w:t>(6)</w:t>
      </w:r>
      <w:r w:rsidRPr="00B61FF1">
        <w:rPr>
          <w:rFonts w:ascii="Arial" w:hAnsi="Arial" w:cs="Arial"/>
          <w:sz w:val="24"/>
          <w:szCs w:val="24"/>
        </w:rPr>
        <w:tab/>
      </w:r>
      <w:r w:rsidRPr="00B61FF1">
        <w:rPr>
          <w:rFonts w:ascii="Arial" w:hAnsi="Arial" w:cs="Arial"/>
          <w:sz w:val="24"/>
          <w:szCs w:val="24"/>
          <w:u w:val="single"/>
        </w:rPr>
        <w:t>Compliance Offset Protocol Rice Cultivation Projects, incorporated by reference October XX, 2013.</w:t>
      </w:r>
    </w:p>
    <w:p w14:paraId="3C245D49" w14:textId="77777777" w:rsidR="00FE6A4C" w:rsidRPr="00B61FF1" w:rsidRDefault="00FE6A4C" w:rsidP="00FE6A4C">
      <w:pPr>
        <w:tabs>
          <w:tab w:val="left" w:pos="-2970"/>
        </w:tabs>
        <w:spacing w:line="360" w:lineRule="auto"/>
        <w:ind w:left="72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ab/>
      </w:r>
      <w:r w:rsidRPr="00B61FF1">
        <w:rPr>
          <w:rFonts w:ascii="Arial" w:hAnsi="Arial" w:cs="Arial"/>
          <w:sz w:val="24"/>
          <w:szCs w:val="24"/>
          <w:u w:val="single"/>
        </w:rPr>
        <w:t xml:space="preserve">Review of Offset Project Listing Information.  ARB or the Offset Project Registry will review the offset project listing information submitted pursuant to section 95975(e) for completeness within 15 calendar days of receiving the listing information from the Offset Project Operator or Authorized Project Designee.  </w:t>
      </w:r>
    </w:p>
    <w:p w14:paraId="5A1B8B6A" w14:textId="77777777" w:rsidR="00FE6A4C" w:rsidRPr="00B61FF1" w:rsidRDefault="00FE6A4C" w:rsidP="00FE6A4C">
      <w:pPr>
        <w:tabs>
          <w:tab w:val="left" w:pos="-2970"/>
        </w:tabs>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f</w:t>
      </w:r>
      <w:r w:rsidRPr="00B61FF1">
        <w:rPr>
          <w:rFonts w:ascii="Arial" w:hAnsi="Arial" w:cs="Arial"/>
          <w:sz w:val="24"/>
          <w:szCs w:val="24"/>
          <w:u w:val="single"/>
        </w:rPr>
        <w:t>g</w:t>
      </w:r>
      <w:r w:rsidRPr="00B61FF1">
        <w:rPr>
          <w:rFonts w:ascii="Arial" w:hAnsi="Arial" w:cs="Arial"/>
          <w:sz w:val="24"/>
          <w:szCs w:val="24"/>
        </w:rPr>
        <w:t>)</w:t>
      </w:r>
      <w:r w:rsidRPr="00B61FF1">
        <w:rPr>
          <w:rFonts w:ascii="Arial" w:hAnsi="Arial" w:cs="Arial"/>
          <w:sz w:val="24"/>
          <w:szCs w:val="24"/>
        </w:rPr>
        <w:tab/>
        <w:t xml:space="preserve">Notice of Completeness for Offset Project Listing Information.  The Offset Project Operator or Authorized Project Designee will be notified after review by ARB or the Offset Project Registry, if the information submitted pursuant to section 95975(e) is complete and may be listed.  If </w:t>
      </w:r>
      <w:r w:rsidRPr="00B61FF1">
        <w:rPr>
          <w:rFonts w:ascii="Arial" w:hAnsi="Arial" w:cs="Arial"/>
          <w:strike/>
          <w:sz w:val="24"/>
          <w:szCs w:val="24"/>
        </w:rPr>
        <w:t>it is</w:t>
      </w:r>
      <w:r w:rsidRPr="00B61FF1">
        <w:rPr>
          <w:rFonts w:ascii="Arial" w:hAnsi="Arial" w:cs="Arial"/>
          <w:sz w:val="24"/>
          <w:szCs w:val="24"/>
          <w:u w:val="single"/>
        </w:rPr>
        <w:t>ARB or the Offset Project Registry</w:t>
      </w:r>
      <w:r w:rsidRPr="00B61FF1">
        <w:rPr>
          <w:rFonts w:ascii="Arial" w:hAnsi="Arial" w:cs="Arial"/>
          <w:sz w:val="24"/>
          <w:szCs w:val="24"/>
        </w:rPr>
        <w:t xml:space="preserve"> determine</w:t>
      </w:r>
      <w:r w:rsidRPr="00B61FF1">
        <w:rPr>
          <w:rFonts w:ascii="Arial" w:hAnsi="Arial" w:cs="Arial"/>
          <w:strike/>
          <w:sz w:val="24"/>
          <w:szCs w:val="24"/>
        </w:rPr>
        <w:t>d</w:t>
      </w:r>
      <w:r w:rsidRPr="00B61FF1">
        <w:rPr>
          <w:rFonts w:ascii="Arial" w:hAnsi="Arial" w:cs="Arial"/>
          <w:sz w:val="24"/>
          <w:szCs w:val="24"/>
        </w:rPr>
        <w:t xml:space="preserve"> that the information submitted pursuant to section 95975(e) is incomplete</w:t>
      </w:r>
      <w:r w:rsidRPr="00B61FF1">
        <w:rPr>
          <w:rFonts w:ascii="Arial" w:hAnsi="Arial" w:cs="Arial"/>
          <w:sz w:val="24"/>
          <w:szCs w:val="24"/>
          <w:u w:val="single"/>
        </w:rPr>
        <w:t xml:space="preserve"> or that a denial of the listing information is required</w:t>
      </w:r>
      <w:r w:rsidRPr="00B61FF1">
        <w:rPr>
          <w:rFonts w:ascii="Arial" w:hAnsi="Arial" w:cs="Arial"/>
          <w:sz w:val="24"/>
          <w:szCs w:val="24"/>
        </w:rPr>
        <w:t xml:space="preserve">, </w:t>
      </w:r>
      <w:r w:rsidRPr="00B61FF1">
        <w:rPr>
          <w:rFonts w:ascii="Arial" w:hAnsi="Arial" w:cs="Arial"/>
          <w:sz w:val="24"/>
          <w:szCs w:val="24"/>
          <w:u w:val="single"/>
        </w:rPr>
        <w:t xml:space="preserve">ARB or the Offset Project Registry will notify </w:t>
      </w:r>
      <w:r w:rsidRPr="00B61FF1">
        <w:rPr>
          <w:rFonts w:ascii="Arial" w:hAnsi="Arial" w:cs="Arial"/>
          <w:sz w:val="24"/>
          <w:szCs w:val="24"/>
        </w:rPr>
        <w:t xml:space="preserve">the Offset Project Operator or Authorized Project Designee </w:t>
      </w:r>
      <w:r w:rsidRPr="00B61FF1">
        <w:rPr>
          <w:rFonts w:ascii="Arial" w:hAnsi="Arial" w:cs="Arial"/>
          <w:sz w:val="24"/>
          <w:szCs w:val="24"/>
          <w:u w:val="single"/>
        </w:rPr>
        <w:t>of this determination</w:t>
      </w:r>
      <w:r w:rsidRPr="00B61FF1">
        <w:rPr>
          <w:rFonts w:ascii="Arial" w:hAnsi="Arial" w:cs="Arial"/>
          <w:strike/>
          <w:sz w:val="24"/>
          <w:szCs w:val="24"/>
        </w:rPr>
        <w:t xml:space="preserve">will be notified </w:t>
      </w:r>
      <w:r w:rsidRPr="00B61FF1">
        <w:rPr>
          <w:rFonts w:ascii="Arial" w:hAnsi="Arial" w:cs="Arial"/>
          <w:sz w:val="24"/>
          <w:szCs w:val="24"/>
        </w:rPr>
        <w:t xml:space="preserve">within 30 calendar days </w:t>
      </w:r>
      <w:r w:rsidRPr="00B61FF1">
        <w:rPr>
          <w:rFonts w:ascii="Arial" w:hAnsi="Arial" w:cs="Arial"/>
          <w:strike/>
          <w:sz w:val="24"/>
          <w:szCs w:val="24"/>
        </w:rPr>
        <w:t>by ARB or an Offset Project Registry</w:t>
      </w:r>
      <w:r w:rsidRPr="00B61FF1">
        <w:rPr>
          <w:rFonts w:ascii="Arial" w:hAnsi="Arial" w:cs="Arial"/>
          <w:sz w:val="24"/>
          <w:szCs w:val="24"/>
          <w:u w:val="single"/>
        </w:rPr>
        <w:t>of receiving the listing information from the Offset Project Operator or Authorized Project Designee</w:t>
      </w:r>
      <w:r w:rsidRPr="00B61FF1">
        <w:rPr>
          <w:rFonts w:ascii="Arial" w:hAnsi="Arial" w:cs="Arial"/>
          <w:sz w:val="24"/>
          <w:szCs w:val="24"/>
        </w:rPr>
        <w:t>.</w:t>
      </w:r>
    </w:p>
    <w:p w14:paraId="6DC04FCD" w14:textId="77777777" w:rsidR="00FE6A4C" w:rsidRPr="00B61FF1" w:rsidRDefault="00FE6A4C" w:rsidP="00FE6A4C">
      <w:pPr>
        <w:tabs>
          <w:tab w:val="left" w:pos="-2970"/>
        </w:tabs>
        <w:spacing w:line="360" w:lineRule="auto"/>
        <w:ind w:left="720" w:hanging="720"/>
        <w:rPr>
          <w:rFonts w:ascii="Arial" w:hAnsi="Arial" w:cs="Arial"/>
          <w:sz w:val="24"/>
          <w:szCs w:val="24"/>
          <w:u w:val="single"/>
        </w:rPr>
      </w:pPr>
      <w:r w:rsidRPr="00B61FF1">
        <w:rPr>
          <w:rFonts w:ascii="Arial" w:hAnsi="Arial" w:cs="Arial"/>
          <w:sz w:val="24"/>
          <w:szCs w:val="24"/>
        </w:rPr>
        <w:t>(</w:t>
      </w:r>
      <w:r w:rsidRPr="00B61FF1">
        <w:rPr>
          <w:rFonts w:ascii="Arial" w:hAnsi="Arial" w:cs="Arial"/>
          <w:strike/>
          <w:sz w:val="24"/>
          <w:szCs w:val="24"/>
        </w:rPr>
        <w:t>g</w:t>
      </w:r>
      <w:r w:rsidRPr="00B61FF1">
        <w:rPr>
          <w:rFonts w:ascii="Arial" w:hAnsi="Arial" w:cs="Arial"/>
          <w:sz w:val="24"/>
          <w:szCs w:val="24"/>
          <w:u w:val="single"/>
        </w:rPr>
        <w:t>h</w:t>
      </w:r>
      <w:r w:rsidRPr="00B61FF1">
        <w:rPr>
          <w:rFonts w:ascii="Arial" w:hAnsi="Arial" w:cs="Arial"/>
          <w:sz w:val="24"/>
          <w:szCs w:val="24"/>
        </w:rPr>
        <w:t>)</w:t>
      </w:r>
      <w:r w:rsidRPr="00B61FF1">
        <w:rPr>
          <w:rFonts w:ascii="Arial" w:hAnsi="Arial" w:cs="Arial"/>
          <w:sz w:val="24"/>
          <w:szCs w:val="24"/>
        </w:rPr>
        <w:tab/>
        <w:t xml:space="preserve">Timing for Offset Project Listing in an Initial Crediting Period.  The Offset Project Operator or Authorized Project Designee must submit the information in section 95975(e) to ARB or an Offset Project Registry no later than the date at which the Offset Project Operator or Authorized Project Designee submits its required Offset Project Data Report </w:t>
      </w:r>
      <w:r w:rsidRPr="00B61FF1">
        <w:rPr>
          <w:rFonts w:ascii="Arial" w:hAnsi="Arial" w:cs="Arial"/>
          <w:sz w:val="24"/>
          <w:szCs w:val="24"/>
          <w:u w:val="single"/>
        </w:rPr>
        <w:t xml:space="preserve">for its initial Reporting Period under a Compliance Offset Protocol </w:t>
      </w:r>
      <w:r w:rsidRPr="00B61FF1">
        <w:rPr>
          <w:rFonts w:ascii="Arial" w:hAnsi="Arial" w:cs="Arial"/>
          <w:sz w:val="24"/>
          <w:szCs w:val="24"/>
        </w:rPr>
        <w:t>to ARB or an Offset Project Registry pursuant to section 95976.</w:t>
      </w:r>
      <w:r w:rsidRPr="00B61FF1">
        <w:rPr>
          <w:rFonts w:ascii="Arial" w:hAnsi="Arial" w:cs="Arial"/>
          <w:sz w:val="24"/>
          <w:szCs w:val="24"/>
          <w:u w:val="single"/>
        </w:rPr>
        <w:t xml:space="preserve">  For offset projects with an Offset Project Commencement date on or after January 1, 2015, the Offset Project Operator or Authorized Project Designee must list the offset project with ARB or an Offset Project Registry within one year of Offset Project Commencement.  If, after January 1, 2015, the Offset Project Operator or Authorized Project Designee does not list the offset project within one year of Offset Project Commencement, it will be ineligible to be listed under a Compliance Offset Protocol and will not be issued registry offset credits and ARB offset credits pursuant to sections 95980 and 95981.</w:t>
      </w:r>
    </w:p>
    <w:p w14:paraId="05C253B4" w14:textId="77777777" w:rsidR="00FE6A4C" w:rsidRPr="00B61FF1" w:rsidRDefault="00FE6A4C" w:rsidP="00FE6A4C">
      <w:pPr>
        <w:tabs>
          <w:tab w:val="left" w:pos="-2970"/>
        </w:tabs>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h</w:t>
      </w:r>
      <w:r w:rsidRPr="00B61FF1">
        <w:rPr>
          <w:rFonts w:ascii="Arial" w:hAnsi="Arial" w:cs="Arial"/>
          <w:sz w:val="24"/>
          <w:szCs w:val="24"/>
          <w:u w:val="single"/>
        </w:rPr>
        <w:t>i</w:t>
      </w:r>
      <w:r w:rsidRPr="00B61FF1">
        <w:rPr>
          <w:rFonts w:ascii="Arial" w:hAnsi="Arial" w:cs="Arial"/>
          <w:sz w:val="24"/>
          <w:szCs w:val="24"/>
        </w:rPr>
        <w:t>)</w:t>
      </w:r>
      <w:r w:rsidRPr="00B61FF1">
        <w:rPr>
          <w:rFonts w:ascii="Arial" w:hAnsi="Arial" w:cs="Arial"/>
          <w:sz w:val="24"/>
          <w:szCs w:val="24"/>
        </w:rPr>
        <w:tab/>
        <w:t>Listing Status of Offset Projects in an Initial Crediting Period.  After the Offset Project Operator or Authorized Project Designee submits the offset project for listing in an initial crediting period and the required documentation pursuant to section 95975(e)</w:t>
      </w:r>
      <w:r w:rsidRPr="00B61FF1">
        <w:rPr>
          <w:rFonts w:ascii="Arial" w:hAnsi="Arial" w:cs="Arial"/>
          <w:sz w:val="24"/>
          <w:szCs w:val="24"/>
          <w:u w:val="single"/>
        </w:rPr>
        <w:t>,</w:t>
      </w:r>
      <w:r w:rsidRPr="00B61FF1">
        <w:rPr>
          <w:rFonts w:ascii="Arial" w:hAnsi="Arial" w:cs="Arial"/>
          <w:sz w:val="24"/>
          <w:szCs w:val="24"/>
        </w:rPr>
        <w:t xml:space="preserve"> and ARB or the Offset Project Registry has reviewed the offset project </w:t>
      </w:r>
      <w:r w:rsidRPr="00B61FF1">
        <w:rPr>
          <w:rFonts w:ascii="Arial" w:hAnsi="Arial" w:cs="Arial"/>
          <w:sz w:val="24"/>
          <w:szCs w:val="24"/>
          <w:u w:val="single"/>
        </w:rPr>
        <w:t>listing information for completeness</w:t>
      </w:r>
      <w:r w:rsidRPr="00B61FF1">
        <w:rPr>
          <w:rFonts w:ascii="Arial" w:hAnsi="Arial" w:cs="Arial"/>
          <w:strike/>
          <w:sz w:val="24"/>
          <w:szCs w:val="24"/>
        </w:rPr>
        <w:t>against the additionality requirements in section 95973(a)(2)</w:t>
      </w:r>
      <w:r w:rsidRPr="00B61FF1">
        <w:rPr>
          <w:rFonts w:ascii="Arial" w:hAnsi="Arial" w:cs="Arial"/>
          <w:sz w:val="24"/>
          <w:szCs w:val="24"/>
        </w:rPr>
        <w:t xml:space="preserve">, the offset project listing status will be “Proposed Project.”  If the offset project is not accepted for listing by an Offset Project Registry, the Offset Project Operator or Authorized Project Designee may request ARB to make a final determination if the offset project meets the requirements in section 95975 to be listed for an initial crediting period by the Offset Project Registry.  In making this determination, ARB may consult with the Offset Project Registry before making the final determination. </w:t>
      </w:r>
    </w:p>
    <w:p w14:paraId="0B11C6FB" w14:textId="77777777" w:rsidR="00FE6A4C" w:rsidRPr="00B61FF1" w:rsidRDefault="00FE6A4C" w:rsidP="00FE6A4C">
      <w:pPr>
        <w:tabs>
          <w:tab w:val="left" w:pos="-2970"/>
        </w:tabs>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i</w:t>
      </w:r>
      <w:r w:rsidRPr="00B61FF1">
        <w:rPr>
          <w:rFonts w:ascii="Arial" w:hAnsi="Arial" w:cs="Arial"/>
          <w:sz w:val="24"/>
          <w:szCs w:val="24"/>
          <w:u w:val="single"/>
        </w:rPr>
        <w:t>j</w:t>
      </w:r>
      <w:r w:rsidRPr="00B61FF1">
        <w:rPr>
          <w:rFonts w:ascii="Arial" w:hAnsi="Arial" w:cs="Arial"/>
          <w:sz w:val="24"/>
          <w:szCs w:val="24"/>
        </w:rPr>
        <w:t>)</w:t>
      </w:r>
      <w:r w:rsidRPr="00B61FF1">
        <w:rPr>
          <w:rFonts w:ascii="Arial" w:hAnsi="Arial" w:cs="Arial"/>
          <w:sz w:val="24"/>
          <w:szCs w:val="24"/>
        </w:rPr>
        <w:tab/>
        <w:t>Timing for Offset Project Listing in a Renewed Crediting Period.  The Offset Project Operator or Authorized Project Designee must submit the information in section 95975(e) for a renewed crediting period to ARB or an Offset Project Registry no earlier than 18 months and no later than 9 months before conclusion of the initial crediting period or a previous renewed crediting period.</w:t>
      </w:r>
    </w:p>
    <w:p w14:paraId="440B5390" w14:textId="77777777" w:rsidR="00FE6A4C" w:rsidRPr="00B61FF1" w:rsidRDefault="00FE6A4C" w:rsidP="00FE6A4C">
      <w:pPr>
        <w:tabs>
          <w:tab w:val="left" w:pos="-2970"/>
        </w:tabs>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j</w:t>
      </w:r>
      <w:r w:rsidRPr="00B61FF1">
        <w:rPr>
          <w:rFonts w:ascii="Arial" w:hAnsi="Arial" w:cs="Arial"/>
          <w:sz w:val="24"/>
          <w:szCs w:val="24"/>
          <w:u w:val="single"/>
        </w:rPr>
        <w:t>k</w:t>
      </w:r>
      <w:r w:rsidRPr="00B61FF1">
        <w:rPr>
          <w:rFonts w:ascii="Arial" w:hAnsi="Arial" w:cs="Arial"/>
          <w:sz w:val="24"/>
          <w:szCs w:val="24"/>
        </w:rPr>
        <w:t>)</w:t>
      </w:r>
      <w:r w:rsidRPr="00B61FF1">
        <w:rPr>
          <w:rFonts w:ascii="Arial" w:hAnsi="Arial" w:cs="Arial"/>
          <w:sz w:val="24"/>
          <w:szCs w:val="24"/>
        </w:rPr>
        <w:tab/>
        <w:t xml:space="preserve">Listing Status of Offset Projects in a Renewed Crediting Period.  After the Offset Project Operator or Authorized Project Designee submits the offset project for listing in a renewed crediting period and the required documentation pursuant to section 95975(e), and ARB or the Offset Project Registry has reviewed the offset project </w:t>
      </w:r>
      <w:r w:rsidRPr="00B61FF1">
        <w:rPr>
          <w:rFonts w:ascii="Arial" w:hAnsi="Arial" w:cs="Arial"/>
          <w:sz w:val="24"/>
          <w:szCs w:val="24"/>
          <w:u w:val="single"/>
        </w:rPr>
        <w:t>listing information for completeness</w:t>
      </w:r>
      <w:r w:rsidRPr="00B61FF1">
        <w:rPr>
          <w:rFonts w:ascii="Arial" w:hAnsi="Arial" w:cs="Arial"/>
          <w:strike/>
          <w:sz w:val="24"/>
          <w:szCs w:val="24"/>
        </w:rPr>
        <w:t>against the additionality requirements in section 95973(a)(2)(A) and 95973(a)(2)(C) as of the date of the commencement of the renewed crediting period</w:t>
      </w:r>
      <w:r w:rsidRPr="00B61FF1">
        <w:rPr>
          <w:rFonts w:ascii="Arial" w:hAnsi="Arial" w:cs="Arial"/>
          <w:sz w:val="24"/>
          <w:szCs w:val="24"/>
        </w:rPr>
        <w:t xml:space="preserve">, the offset project listing status will be “Proposed Renewal.”  If the offset project is not accepted for listing by an Offset Project Registry, the Offset Project Operator or Authorized Project Designee may request ARB to make a final determination if the project meets the requirements in section 95975 to be listed for a renewed crediting period by the Offset Project Registry.  In making this determination, ARB may consult with the Offset Project Registry before making the final determination. </w:t>
      </w:r>
    </w:p>
    <w:p w14:paraId="0191A6FD" w14:textId="77777777" w:rsidR="00FE6A4C" w:rsidRPr="00115DAC" w:rsidRDefault="00FE6A4C" w:rsidP="00FE6A4C">
      <w:pPr>
        <w:pStyle w:val="PlainText"/>
        <w:spacing w:line="360" w:lineRule="auto"/>
        <w:ind w:left="720" w:hanging="720"/>
        <w:rPr>
          <w:rFonts w:ascii="Arial" w:hAnsi="Arial" w:cs="Arial"/>
          <w:sz w:val="24"/>
          <w:szCs w:val="24"/>
        </w:rPr>
      </w:pPr>
      <w:r w:rsidRPr="00115DAC">
        <w:rPr>
          <w:rFonts w:ascii="Arial" w:hAnsi="Arial" w:cs="Arial"/>
          <w:sz w:val="24"/>
          <w:szCs w:val="24"/>
        </w:rPr>
        <w:t>(l)</w:t>
      </w:r>
      <w:r w:rsidRPr="00B61FF1">
        <w:rPr>
          <w:rFonts w:ascii="Arial" w:hAnsi="Arial" w:cs="Arial"/>
          <w:sz w:val="24"/>
          <w:szCs w:val="24"/>
        </w:rPr>
        <w:tab/>
      </w:r>
      <w:r w:rsidRPr="00115DAC">
        <w:rPr>
          <w:rFonts w:ascii="Arial" w:hAnsi="Arial" w:cs="Arial"/>
          <w:sz w:val="24"/>
          <w:szCs w:val="24"/>
        </w:rPr>
        <w:t>Additional Offset Project Listing Requirements for Tribes.  In addition to meeting the listing requirements in sections 95975(c)(1) through (5), Tribes must meet the following requirements before offset projects located on the categories of land specified in section 95973(d) can be listed with ARB or an Offset Project Registry pursuant to this section.  The requirements of this article apply regardless of the category of land on which the offset project is located.</w:t>
      </w:r>
    </w:p>
    <w:p w14:paraId="4BBFEC0F" w14:textId="77777777" w:rsidR="00FE6A4C" w:rsidRPr="00B61FF1" w:rsidRDefault="00FE6A4C" w:rsidP="00FE6A4C">
      <w:pPr>
        <w:pStyle w:val="PlainText"/>
        <w:tabs>
          <w:tab w:val="left" w:pos="1080"/>
        </w:tabs>
        <w:spacing w:line="360" w:lineRule="auto"/>
        <w:ind w:left="1080" w:hanging="720"/>
        <w:rPr>
          <w:rFonts w:ascii="Arial" w:hAnsi="Arial" w:cs="Arial"/>
          <w:sz w:val="24"/>
          <w:szCs w:val="24"/>
          <w:u w:val="single"/>
        </w:rPr>
      </w:pPr>
      <w:r w:rsidRPr="00115DAC">
        <w:rPr>
          <w:rFonts w:ascii="Arial" w:hAnsi="Arial" w:cs="Arial"/>
          <w:sz w:val="24"/>
          <w:szCs w:val="24"/>
        </w:rPr>
        <w:t>(1)</w:t>
      </w:r>
      <w:r w:rsidRPr="00115DAC">
        <w:rPr>
          <w:rFonts w:ascii="Arial" w:hAnsi="Arial" w:cs="Arial"/>
          <w:sz w:val="24"/>
          <w:szCs w:val="24"/>
        </w:rPr>
        <w:tab/>
        <w:t>The governing body of the Tribe must enter into a limited waiver of sovereign immunity with ARB related to its participation in the requirements of the Cap-and-Trade Program for the duration required by the applicable Compliance Offset Protocol(s).  This waiver must include a consent to suit by the State of California, Air Resources Board, in the courts of the State of California, with respect to any action in law or equity commenced by the State of California, Air Resources Board to enforce the obligations of the Tribe with respect to its participation in the Cap-and-Trade Program, irrespective of the form of relief sought, whether monetary or otherwise</w:t>
      </w:r>
      <w:r w:rsidRPr="00115DAC">
        <w:rPr>
          <w:rFonts w:ascii="Arial" w:hAnsi="Arial" w:cs="Arial"/>
          <w:sz w:val="24"/>
          <w:szCs w:val="24"/>
          <w:u w:val="single"/>
        </w:rPr>
        <w:t>, except for purposes of relief under this limited waiver, Tribes shall be treated in the same manner as a California public entity under California Government Code sections 818 and 818.8</w:t>
      </w:r>
      <w:r w:rsidRPr="00115DAC">
        <w:rPr>
          <w:rFonts w:ascii="Arial" w:hAnsi="Arial" w:cs="Arial"/>
          <w:sz w:val="24"/>
          <w:szCs w:val="24"/>
        </w:rPr>
        <w:t>.</w:t>
      </w:r>
    </w:p>
    <w:p w14:paraId="1CCFE57A" w14:textId="77777777" w:rsidR="00FE6A4C" w:rsidRPr="00115DAC" w:rsidRDefault="00FE6A4C" w:rsidP="00FE6A4C">
      <w:pPr>
        <w:pStyle w:val="PlainText"/>
        <w:spacing w:line="360" w:lineRule="auto"/>
        <w:ind w:left="1080" w:hanging="720"/>
        <w:rPr>
          <w:rFonts w:ascii="Arial" w:hAnsi="Arial" w:cs="Arial"/>
          <w:sz w:val="24"/>
          <w:szCs w:val="24"/>
        </w:rPr>
      </w:pPr>
      <w:r w:rsidRPr="00115DAC">
        <w:rPr>
          <w:rFonts w:ascii="Arial" w:hAnsi="Arial" w:cs="Arial"/>
          <w:sz w:val="24"/>
          <w:szCs w:val="24"/>
        </w:rPr>
        <w:t>(2)</w:t>
      </w:r>
      <w:r w:rsidRPr="00B61FF1">
        <w:rPr>
          <w:rFonts w:ascii="Arial" w:hAnsi="Arial" w:cs="Arial"/>
          <w:sz w:val="24"/>
          <w:szCs w:val="24"/>
        </w:rPr>
        <w:tab/>
      </w:r>
      <w:r w:rsidRPr="00115DAC">
        <w:rPr>
          <w:rFonts w:ascii="Arial" w:hAnsi="Arial" w:cs="Arial"/>
          <w:sz w:val="24"/>
          <w:szCs w:val="24"/>
        </w:rPr>
        <w:t xml:space="preserve">The Tribe must provide ARB with documentation demonstrating that the limited waiver of sovereign immunity entered into pursuant to section 95975(l)(1) has been properly adopted in accordance with the Tribe’s Constitution or other organic law, by-laws and ordinances, and applicable federal laws.  </w:t>
      </w:r>
    </w:p>
    <w:p w14:paraId="6EA33915" w14:textId="77777777" w:rsidR="00FE6A4C" w:rsidRPr="00115DAC" w:rsidRDefault="00FE6A4C" w:rsidP="00FE6A4C">
      <w:pPr>
        <w:tabs>
          <w:tab w:val="left" w:pos="-2970"/>
        </w:tabs>
        <w:spacing w:line="360" w:lineRule="auto"/>
        <w:ind w:left="1080" w:hanging="720"/>
        <w:rPr>
          <w:rFonts w:ascii="Arial" w:hAnsi="Arial" w:cs="Arial"/>
          <w:sz w:val="24"/>
          <w:szCs w:val="24"/>
        </w:rPr>
      </w:pPr>
      <w:r w:rsidRPr="00115DAC">
        <w:rPr>
          <w:rFonts w:ascii="Arial" w:hAnsi="Arial" w:cs="Arial"/>
          <w:sz w:val="24"/>
          <w:szCs w:val="24"/>
        </w:rPr>
        <w:t>(3)</w:t>
      </w:r>
      <w:r w:rsidRPr="00115DAC">
        <w:rPr>
          <w:rFonts w:ascii="Arial" w:hAnsi="Arial" w:cs="Arial"/>
          <w:sz w:val="24"/>
          <w:szCs w:val="24"/>
        </w:rPr>
        <w:tab/>
        <w:t>For offset projects located on Indian lands, as defined in 25 U.S.C. §81(a)(1), the Tribe must also provide ARB with proof of federal approval of the Tribe’s participation in the requirements of the Cap-and-Trade Program, or documentation from the U.S. Department of the Interior, Bureau of Indian Affairs that federal approval is not required.</w:t>
      </w:r>
    </w:p>
    <w:p w14:paraId="06D1CA93" w14:textId="77777777" w:rsidR="00FE6A4C" w:rsidRPr="00B61FF1" w:rsidRDefault="00FE6A4C" w:rsidP="00FE6A4C">
      <w:pPr>
        <w:tabs>
          <w:tab w:val="left" w:pos="-2970"/>
        </w:tabs>
        <w:spacing w:line="360" w:lineRule="auto"/>
        <w:ind w:left="720" w:hanging="720"/>
        <w:rPr>
          <w:rFonts w:ascii="Arial" w:hAnsi="Arial" w:cs="Arial"/>
          <w:sz w:val="24"/>
          <w:szCs w:val="24"/>
          <w:u w:val="single"/>
        </w:rPr>
      </w:pPr>
      <w:r w:rsidRPr="00B61FF1">
        <w:rPr>
          <w:rFonts w:ascii="Arial" w:hAnsi="Arial" w:cs="Arial"/>
          <w:sz w:val="24"/>
          <w:szCs w:val="24"/>
          <w:u w:val="single"/>
        </w:rPr>
        <w:t>(m)</w:t>
      </w:r>
      <w:r w:rsidRPr="00B61FF1">
        <w:rPr>
          <w:rFonts w:ascii="Arial" w:hAnsi="Arial" w:cs="Arial"/>
          <w:sz w:val="24"/>
          <w:szCs w:val="24"/>
        </w:rPr>
        <w:tab/>
      </w:r>
      <w:r w:rsidRPr="00B61FF1">
        <w:rPr>
          <w:rFonts w:ascii="Arial" w:hAnsi="Arial" w:cs="Arial"/>
          <w:sz w:val="24"/>
          <w:szCs w:val="24"/>
          <w:u w:val="single"/>
        </w:rPr>
        <w:t xml:space="preserve">Once ARB or an Offset Project Registry approves an offset project for listing, the listing information is considered final, and cannot be changed. </w:t>
      </w:r>
    </w:p>
    <w:p w14:paraId="39552B44" w14:textId="77777777" w:rsidR="00FE6A4C" w:rsidRPr="00B61FF1" w:rsidRDefault="00FE6A4C" w:rsidP="00FE6A4C">
      <w:pPr>
        <w:tabs>
          <w:tab w:val="left" w:pos="-2970"/>
        </w:tabs>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k</w:t>
      </w:r>
      <w:r w:rsidRPr="00B61FF1">
        <w:rPr>
          <w:rFonts w:ascii="Arial" w:hAnsi="Arial" w:cs="Arial"/>
          <w:sz w:val="24"/>
          <w:szCs w:val="24"/>
          <w:u w:val="single"/>
        </w:rPr>
        <w:t>n</w:t>
      </w:r>
      <w:r w:rsidRPr="00B61FF1">
        <w:rPr>
          <w:rFonts w:ascii="Arial" w:hAnsi="Arial" w:cs="Arial"/>
          <w:sz w:val="24"/>
          <w:szCs w:val="24"/>
        </w:rPr>
        <w:t>)</w:t>
      </w:r>
      <w:r w:rsidRPr="00B61FF1">
        <w:rPr>
          <w:rFonts w:ascii="Arial" w:hAnsi="Arial" w:cs="Arial"/>
          <w:sz w:val="24"/>
          <w:szCs w:val="24"/>
        </w:rPr>
        <w:tab/>
        <w:t>Limitations for Crediting Period Renewals.  A crediting period may be renewed if the offset project meets the requirements for additionality pursuant to section</w:t>
      </w:r>
      <w:r w:rsidRPr="00B61FF1">
        <w:rPr>
          <w:rFonts w:ascii="Arial" w:hAnsi="Arial" w:cs="Arial"/>
          <w:strike/>
          <w:sz w:val="24"/>
          <w:szCs w:val="24"/>
        </w:rPr>
        <w:t xml:space="preserve"> 95975(j)</w:t>
      </w:r>
      <w:r w:rsidRPr="00B61FF1">
        <w:rPr>
          <w:rFonts w:ascii="Arial" w:hAnsi="Arial" w:cs="Arial"/>
          <w:sz w:val="24"/>
          <w:szCs w:val="24"/>
          <w:u w:val="single"/>
        </w:rPr>
        <w:t>95973(a)(2) and in the applicable Compliance Offset Protocol</w:t>
      </w:r>
      <w:r w:rsidRPr="00B61FF1">
        <w:rPr>
          <w:rFonts w:ascii="Arial" w:hAnsi="Arial" w:cs="Arial"/>
          <w:sz w:val="24"/>
          <w:szCs w:val="24"/>
        </w:rPr>
        <w:t xml:space="preserve">.  </w:t>
      </w:r>
    </w:p>
    <w:p w14:paraId="13699C9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crediting period for non-sequestration offset projects may be renewed twice for the length of time identified by the Compliance Offset Protocol.</w:t>
      </w:r>
    </w:p>
    <w:p w14:paraId="55A8C18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Sequestration offset projects are not subject to any renewal limits.</w:t>
      </w:r>
    </w:p>
    <w:p w14:paraId="1716AC1A" w14:textId="0A8AB885" w:rsidR="00FE6A4C" w:rsidRPr="00B61FF1" w:rsidRDefault="00115DA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 xml:space="preserve"> </w:t>
      </w:r>
      <w:r w:rsidR="00FE6A4C" w:rsidRPr="00B61FF1">
        <w:rPr>
          <w:rFonts w:ascii="Arial" w:hAnsi="Arial" w:cs="Arial"/>
          <w:sz w:val="24"/>
          <w:szCs w:val="24"/>
          <w:u w:val="single"/>
        </w:rPr>
        <w:t>(o)</w:t>
      </w:r>
      <w:r w:rsidR="00FE6A4C" w:rsidRPr="00B61FF1">
        <w:rPr>
          <w:rFonts w:ascii="Arial" w:hAnsi="Arial" w:cs="Arial"/>
          <w:sz w:val="24"/>
          <w:szCs w:val="24"/>
        </w:rPr>
        <w:tab/>
      </w:r>
      <w:r w:rsidR="00FE6A4C" w:rsidRPr="00B61FF1">
        <w:rPr>
          <w:rFonts w:ascii="Arial" w:hAnsi="Arial" w:cs="Arial"/>
          <w:sz w:val="24"/>
          <w:szCs w:val="24"/>
          <w:u w:val="single"/>
        </w:rPr>
        <w:t>Transferring an Offset Project to Another Offset Project Registry.  If the Offset Project Operator or Authorized Project Designee transfers an offset project listed with an Offset Project Registry to another Offset Project Registry:</w:t>
      </w:r>
    </w:p>
    <w:p w14:paraId="5BD52A9D"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 xml:space="preserve">The Offset Project Registry that originally listed the offset project must change the offset project listing status on its registry system to “Delisted ARB Project.”  </w:t>
      </w:r>
    </w:p>
    <w:p w14:paraId="1BD09DF8"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If the only actions taken by the Offset Project Operator or the Authorized Project Designee were to submit the listing documentation for the offset project, the original Offset Project Registry must retain the information related to the offset project on its website for the duration of one year before it is removed from the registry system.</w:t>
      </w:r>
    </w:p>
    <w:p w14:paraId="2D48F57B"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a verification body submitted an Offset Verification Statement, or Registry Offset Credits or ARB offset credits were issued to the offset project, the original Offset Project Registry must retain the information related to the offset project on its website for the duration of the offset project life.</w:t>
      </w:r>
    </w:p>
    <w:p w14:paraId="62FE46F9"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The new Offset Project Registry must retain the listing date and all listing information as approved by the original Offset Project Registry.  If the offset project has not undergone initial verification, the Offset Project Commencement date may change as a result of verification activities.</w:t>
      </w:r>
    </w:p>
    <w:p w14:paraId="4FF5AFBF" w14:textId="7D9B4EDC"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 xml:space="preserve">The Offset Project Operator or Authorized Project Designee must submit the </w:t>
      </w:r>
      <w:r w:rsidR="009B7909" w:rsidRPr="00B61FF1">
        <w:rPr>
          <w:rFonts w:ascii="Arial" w:hAnsi="Arial" w:cs="Arial"/>
          <w:sz w:val="24"/>
          <w:szCs w:val="24"/>
          <w:u w:val="single"/>
        </w:rPr>
        <w:t xml:space="preserve">original listing documentation reviewed and accepted by </w:t>
      </w:r>
      <w:r w:rsidRPr="00B61FF1">
        <w:rPr>
          <w:rFonts w:ascii="Arial" w:hAnsi="Arial" w:cs="Arial"/>
          <w:sz w:val="24"/>
          <w:szCs w:val="24"/>
          <w:u w:val="single"/>
        </w:rPr>
        <w:t>the original Offset Project Registry pursuant to this section to the new Offset Project Registry.  The Offset Project Operator or Authorized Project Designee may not make changes to the listing documentation pursuant to section 95975(l).</w:t>
      </w:r>
    </w:p>
    <w:p w14:paraId="1F6424CE"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The Offset Project Operator or Authorized Project Designee may not transfer an offset project to another Offset Project Registry during the course of offset verification services, or once a Notice of Offset Verification Services has been submitted pursuant to section 95977.1(b)(1).  Once a Notice of Offset Verification Services has been submitted, the offset verification services must be completed for the applicable Reporting Period before the Offset Project Operator or Authorized Project Designee may transfer the offset project to another Offset Project Registry.</w:t>
      </w:r>
    </w:p>
    <w:p w14:paraId="5FE4B452" w14:textId="77777777" w:rsidR="00FE6A4C" w:rsidRPr="00B61FF1" w:rsidRDefault="00FE6A4C" w:rsidP="00FE6A4C">
      <w:pPr>
        <w:pStyle w:val="PlainText"/>
        <w:spacing w:line="360" w:lineRule="auto"/>
        <w:ind w:left="1080" w:hanging="720"/>
        <w:rPr>
          <w:rFonts w:ascii="Arial" w:hAnsi="Arial" w:cs="Arial"/>
          <w:sz w:val="24"/>
          <w:szCs w:val="24"/>
          <w:u w:val="single"/>
        </w:rPr>
      </w:pPr>
    </w:p>
    <w:p w14:paraId="63E6A48C"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22438B3E"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14419115" w14:textId="77777777" w:rsidR="00FE6A4C" w:rsidRPr="00B61FF1" w:rsidRDefault="00FE6A4C" w:rsidP="00FE6A4C">
      <w:pPr>
        <w:spacing w:before="240" w:after="60" w:line="360" w:lineRule="auto"/>
        <w:outlineLvl w:val="1"/>
        <w:rPr>
          <w:rFonts w:ascii="Arial" w:hAnsi="Arial" w:cs="Arial"/>
          <w:b/>
          <w:bCs/>
          <w:iCs/>
          <w:sz w:val="24"/>
          <w:szCs w:val="24"/>
        </w:rPr>
      </w:pPr>
      <w:bookmarkStart w:id="525" w:name="_Toc258822507"/>
      <w:bookmarkStart w:id="526" w:name="_Toc266690272"/>
      <w:bookmarkStart w:id="527" w:name="_Toc268526245"/>
      <w:bookmarkStart w:id="528" w:name="_Toc269206265"/>
      <w:bookmarkStart w:id="529" w:name="_Toc269798106"/>
      <w:bookmarkStart w:id="530" w:name="_Toc275870253"/>
      <w:bookmarkStart w:id="531" w:name="_Toc291245699"/>
      <w:bookmarkStart w:id="532" w:name="_Toc294275146"/>
      <w:bookmarkStart w:id="533" w:name="_Toc294863576"/>
      <w:bookmarkStart w:id="534" w:name="_Toc299094975"/>
      <w:bookmarkStart w:id="535" w:name="_Toc299095092"/>
      <w:bookmarkStart w:id="536" w:name="_Toc302746829"/>
      <w:bookmarkStart w:id="537" w:name="_Toc361659892"/>
      <w:r w:rsidRPr="00B61FF1">
        <w:rPr>
          <w:rFonts w:ascii="Arial" w:hAnsi="Arial" w:cs="Arial"/>
          <w:b/>
          <w:bCs/>
          <w:iCs/>
          <w:sz w:val="24"/>
          <w:szCs w:val="24"/>
        </w:rPr>
        <w:t>§ 95976.  Monitoring, Reporting, and Record Retention Requirements for Offset Projects</w:t>
      </w:r>
      <w:bookmarkEnd w:id="525"/>
      <w:bookmarkEnd w:id="526"/>
      <w:bookmarkEnd w:id="527"/>
      <w:bookmarkEnd w:id="528"/>
      <w:bookmarkEnd w:id="529"/>
      <w:bookmarkEnd w:id="530"/>
      <w:bookmarkEnd w:id="531"/>
      <w:bookmarkEnd w:id="532"/>
      <w:bookmarkEnd w:id="533"/>
      <w:r w:rsidRPr="00B61FF1">
        <w:rPr>
          <w:rFonts w:ascii="Arial" w:hAnsi="Arial" w:cs="Arial"/>
          <w:b/>
          <w:bCs/>
          <w:iCs/>
          <w:sz w:val="24"/>
          <w:szCs w:val="24"/>
        </w:rPr>
        <w:t>.</w:t>
      </w:r>
      <w:bookmarkEnd w:id="534"/>
      <w:bookmarkEnd w:id="535"/>
      <w:bookmarkEnd w:id="536"/>
      <w:bookmarkEnd w:id="537"/>
    </w:p>
    <w:p w14:paraId="32679803" w14:textId="77777777" w:rsidR="00FE6A4C" w:rsidRPr="00B61FF1" w:rsidRDefault="00FE6A4C" w:rsidP="00FE6A4C">
      <w:pPr>
        <w:suppressAutoHyphens/>
        <w:autoSpaceDN/>
        <w:adjustRightInd/>
        <w:spacing w:line="360" w:lineRule="auto"/>
        <w:ind w:left="720" w:hanging="720"/>
        <w:rPr>
          <w:rFonts w:ascii="Arial" w:hAnsi="Arial" w:cs="Arial"/>
          <w:sz w:val="24"/>
          <w:szCs w:val="24"/>
          <w:shd w:val="clear" w:color="auto" w:fill="00FF00"/>
        </w:rPr>
      </w:pPr>
      <w:r w:rsidRPr="00B61FF1">
        <w:rPr>
          <w:rFonts w:ascii="Arial" w:hAnsi="Arial" w:cs="Arial"/>
          <w:sz w:val="24"/>
          <w:szCs w:val="24"/>
        </w:rPr>
        <w:t>(a)</w:t>
      </w:r>
      <w:r w:rsidRPr="00B61FF1">
        <w:rPr>
          <w:rFonts w:ascii="Arial" w:hAnsi="Arial" w:cs="Arial"/>
          <w:sz w:val="24"/>
          <w:szCs w:val="24"/>
        </w:rPr>
        <w:tab/>
        <w:t xml:space="preserve">General Requirements for Monitoring Equipment for Offset Projects.  The Offset Project Operator or Authorized Project Designee must employ the procedures in the Compliance Offset Protocol for monitoring measurements and project performance for offset projects.  All required monitoring equipment must be maintained and calibrated in a manner and at a frequency required by the equipment manufacturer, unless otherwise specified in the applicable Compliance Offset Protocol.  All modeling, monitoring, sampling, or testing procedures must be conducted in a manner consistent with the applicable procedure. </w:t>
      </w:r>
    </w:p>
    <w:p w14:paraId="4B3F8C92" w14:textId="77777777" w:rsidR="00FE6A4C" w:rsidRPr="00B61FF1" w:rsidRDefault="00FE6A4C" w:rsidP="00FE6A4C">
      <w:pPr>
        <w:suppressAutoHyphens/>
        <w:autoSpaceDN/>
        <w:adjustRightInd/>
        <w:spacing w:line="360" w:lineRule="auto"/>
        <w:ind w:left="720" w:hanging="720"/>
        <w:rPr>
          <w:rFonts w:ascii="Arial" w:hAnsi="Arial" w:cs="Arial"/>
          <w:sz w:val="24"/>
          <w:szCs w:val="24"/>
          <w:shd w:val="clear" w:color="auto" w:fill="00FF00"/>
        </w:rPr>
      </w:pPr>
      <w:r w:rsidRPr="00B61FF1">
        <w:rPr>
          <w:rFonts w:ascii="Arial" w:hAnsi="Arial" w:cs="Arial"/>
          <w:sz w:val="24"/>
          <w:szCs w:val="24"/>
        </w:rPr>
        <w:t>(b)</w:t>
      </w:r>
      <w:r w:rsidRPr="00B61FF1">
        <w:rPr>
          <w:rFonts w:ascii="Arial" w:hAnsi="Arial" w:cs="Arial"/>
          <w:sz w:val="24"/>
          <w:szCs w:val="24"/>
        </w:rPr>
        <w:tab/>
        <w:t xml:space="preserve">The Offset Project Operator or Authorized Project Designee must use the missing data methods as provided in a Compliance Offset Protocol for that offset project type, if provided and applicable. </w:t>
      </w:r>
    </w:p>
    <w:p w14:paraId="6000A2F1" w14:textId="77777777" w:rsidR="00FE6A4C" w:rsidRPr="00B61FF1" w:rsidRDefault="00FE6A4C" w:rsidP="00FE6A4C">
      <w:pPr>
        <w:suppressAutoHyphens/>
        <w:autoSpaceDN/>
        <w:adjustRightInd/>
        <w:spacing w:line="360" w:lineRule="auto"/>
        <w:ind w:left="720" w:hanging="720"/>
        <w:rPr>
          <w:rFonts w:ascii="Arial" w:hAnsi="Arial" w:cs="Arial"/>
          <w:sz w:val="24"/>
          <w:szCs w:val="24"/>
          <w:shd w:val="clear" w:color="auto" w:fill="00FF00"/>
        </w:rPr>
      </w:pPr>
      <w:r w:rsidRPr="00B61FF1">
        <w:rPr>
          <w:rFonts w:ascii="Arial" w:hAnsi="Arial" w:cs="Arial"/>
          <w:sz w:val="24"/>
          <w:szCs w:val="24"/>
        </w:rPr>
        <w:t>(c)</w:t>
      </w:r>
      <w:r w:rsidRPr="00B61FF1">
        <w:rPr>
          <w:rFonts w:ascii="Arial" w:hAnsi="Arial" w:cs="Arial"/>
          <w:sz w:val="24"/>
          <w:szCs w:val="24"/>
        </w:rPr>
        <w:tab/>
        <w:t>An Offset Project Operator or Authorized Project Designee must put in place all monitoring equipment or mechanisms required by a Compliance Offset Protocol for that offset project type as set forth in:</w:t>
      </w:r>
    </w:p>
    <w:p w14:paraId="1377D29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Compliance Offset Protocol Ozone Depleting Substances Projects, October 20, 2011;</w:t>
      </w:r>
    </w:p>
    <w:p w14:paraId="76D6B8E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Compliance Offset Protocol Livestock Projects, October 20, 2011;</w:t>
      </w:r>
    </w:p>
    <w:p w14:paraId="268166A4"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Compliance Offset Protocol Urban Forest Projects, October 20, 2011; </w:t>
      </w:r>
      <w:r w:rsidRPr="00B61FF1">
        <w:rPr>
          <w:rFonts w:ascii="Arial" w:hAnsi="Arial" w:cs="Arial"/>
          <w:strike/>
          <w:sz w:val="24"/>
          <w:szCs w:val="24"/>
        </w:rPr>
        <w:t>and</w:t>
      </w:r>
    </w:p>
    <w:p w14:paraId="4D4B75D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Compliance Offset Protocol U.S. Forest Projects, October 20, 2011</w:t>
      </w:r>
      <w:r w:rsidRPr="00B61FF1">
        <w:rPr>
          <w:rFonts w:ascii="Arial" w:hAnsi="Arial" w:cs="Arial"/>
          <w:strike/>
          <w:sz w:val="24"/>
          <w:szCs w:val="24"/>
        </w:rPr>
        <w:t>.</w:t>
      </w:r>
      <w:r w:rsidRPr="00B61FF1">
        <w:rPr>
          <w:rFonts w:ascii="Arial" w:hAnsi="Arial" w:cs="Arial"/>
          <w:sz w:val="24"/>
          <w:szCs w:val="24"/>
          <w:u w:val="single"/>
        </w:rPr>
        <w:t>;</w:t>
      </w:r>
    </w:p>
    <w:p w14:paraId="62F5D31C"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Compliance Offset Protocol Mine Methane Capture Projects, incorporated by reference October XX, 2013; and</w:t>
      </w:r>
    </w:p>
    <w:p w14:paraId="0BB0D6F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u w:val="single"/>
        </w:rPr>
        <w:t>(6)</w:t>
      </w:r>
      <w:r w:rsidRPr="00B61FF1">
        <w:rPr>
          <w:rFonts w:ascii="Arial" w:hAnsi="Arial" w:cs="Arial"/>
          <w:sz w:val="24"/>
          <w:szCs w:val="24"/>
        </w:rPr>
        <w:tab/>
      </w:r>
      <w:r w:rsidRPr="00B61FF1">
        <w:rPr>
          <w:rFonts w:ascii="Arial" w:hAnsi="Arial" w:cs="Arial"/>
          <w:sz w:val="24"/>
          <w:szCs w:val="24"/>
          <w:u w:val="single"/>
        </w:rPr>
        <w:t>Compliance Offset Protocol Rice Cultivation Projects, incorporated by reference October XX, 2013.</w:t>
      </w:r>
    </w:p>
    <w:p w14:paraId="1A340DB0" w14:textId="77777777" w:rsidR="00FE6A4C" w:rsidRPr="00B61FF1" w:rsidRDefault="00FE6A4C" w:rsidP="00FE6A4C">
      <w:pPr>
        <w:suppressAutoHyphens/>
        <w:autoSpaceDN/>
        <w:adjustRightInd/>
        <w:spacing w:line="360" w:lineRule="auto"/>
        <w:ind w:left="720" w:hanging="720"/>
        <w:rPr>
          <w:rFonts w:ascii="Arial" w:hAnsi="Arial" w:cs="Arial"/>
          <w:sz w:val="24"/>
          <w:szCs w:val="24"/>
          <w:shd w:val="clear" w:color="auto" w:fill="00FF00"/>
        </w:rPr>
      </w:pPr>
      <w:r w:rsidRPr="00B61FF1">
        <w:rPr>
          <w:rFonts w:ascii="Arial" w:hAnsi="Arial" w:cs="Arial"/>
          <w:sz w:val="24"/>
          <w:szCs w:val="24"/>
        </w:rPr>
        <w:t>(d)</w:t>
      </w:r>
      <w:r w:rsidRPr="00B61FF1">
        <w:rPr>
          <w:rFonts w:ascii="Arial" w:hAnsi="Arial" w:cs="Arial"/>
          <w:sz w:val="24"/>
          <w:szCs w:val="24"/>
        </w:rPr>
        <w:tab/>
        <w:t xml:space="preserve">Offset Project Reporting Requirements.  An Offset Project Operator or Authorized Project Designee shall submit an Offset Project Data Report to ARB or an Offset Project Registry </w:t>
      </w:r>
      <w:r w:rsidRPr="00B61FF1">
        <w:rPr>
          <w:rFonts w:ascii="Arial" w:hAnsi="Arial" w:cs="Arial"/>
          <w:strike/>
          <w:sz w:val="24"/>
          <w:szCs w:val="24"/>
        </w:rPr>
        <w:t xml:space="preserve">annually </w:t>
      </w:r>
      <w:r w:rsidRPr="00B61FF1">
        <w:rPr>
          <w:rFonts w:ascii="Arial" w:hAnsi="Arial" w:cs="Arial"/>
          <w:sz w:val="24"/>
          <w:szCs w:val="24"/>
        </w:rPr>
        <w:t>for each Reporting Period</w:t>
      </w:r>
      <w:r w:rsidRPr="00B61FF1">
        <w:rPr>
          <w:rFonts w:ascii="Arial" w:hAnsi="Arial" w:cs="Arial"/>
          <w:sz w:val="24"/>
          <w:szCs w:val="24"/>
          <w:u w:val="single"/>
        </w:rPr>
        <w:t xml:space="preserve"> as defined in section 95802</w:t>
      </w:r>
      <w:r w:rsidRPr="00B61FF1">
        <w:rPr>
          <w:rFonts w:ascii="Arial" w:hAnsi="Arial" w:cs="Arial"/>
          <w:sz w:val="24"/>
          <w:szCs w:val="24"/>
        </w:rPr>
        <w:t xml:space="preserve">.  Each Offset Project Data Report must cover a single Reporting Period.  Reporting Periods must be contiguous; there must be no gaps in reporting once the first Reporting Period has commenced.  </w:t>
      </w:r>
      <w:r w:rsidRPr="00B61FF1">
        <w:rPr>
          <w:rFonts w:ascii="Arial" w:hAnsi="Arial" w:cs="Arial"/>
          <w:sz w:val="24"/>
          <w:szCs w:val="24"/>
          <w:u w:val="single"/>
        </w:rPr>
        <w:t xml:space="preserve">For projects developed under the Compliance Offset Protocol Ozone Depleting Substances Projects, October 20, 2011 there may be one Offset Project Data Report submitted for each offset project and the Offset Project Data Report may cover up to a maximum of 12 months of data.  </w:t>
      </w:r>
      <w:r w:rsidRPr="00B61FF1">
        <w:rPr>
          <w:rFonts w:ascii="Arial" w:hAnsi="Arial" w:cs="Arial"/>
          <w:sz w:val="24"/>
          <w:szCs w:val="24"/>
        </w:rPr>
        <w:t>The Offset Project Operator or Authorized Project Designee must submit an Offset Project Data Report to ARB or an Offset Project Registry within 24 months of listing their offset project pursuant to section 95975.  The Offset Project Data Report shall contain the information required by a Compliance Offset Protocol for that offset project type as set forth in:</w:t>
      </w:r>
    </w:p>
    <w:p w14:paraId="59FDDCB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Compliance Offset Protocol Ozone Depleting Substances Projects, October 20, 2011;</w:t>
      </w:r>
    </w:p>
    <w:p w14:paraId="7B0A73F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Compliance Offset Protocol Livestock Projects, October 20, 2011;</w:t>
      </w:r>
    </w:p>
    <w:p w14:paraId="5B107A4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Compliance Offset Protocol Urban Forest Projects, October 20, 2011; </w:t>
      </w:r>
      <w:r w:rsidRPr="00B61FF1">
        <w:rPr>
          <w:rFonts w:ascii="Arial" w:hAnsi="Arial" w:cs="Arial"/>
          <w:strike/>
          <w:sz w:val="24"/>
          <w:szCs w:val="24"/>
        </w:rPr>
        <w:t>and</w:t>
      </w:r>
    </w:p>
    <w:p w14:paraId="222F55F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Compliance Offset Protocol U.S. Forest Projects, October 20, 2011</w:t>
      </w:r>
      <w:r w:rsidRPr="00B61FF1">
        <w:rPr>
          <w:rFonts w:ascii="Arial" w:hAnsi="Arial" w:cs="Arial"/>
          <w:strike/>
          <w:sz w:val="24"/>
          <w:szCs w:val="24"/>
        </w:rPr>
        <w:t>.</w:t>
      </w:r>
      <w:r w:rsidRPr="00B61FF1">
        <w:rPr>
          <w:rFonts w:ascii="Arial" w:hAnsi="Arial" w:cs="Arial"/>
          <w:sz w:val="24"/>
          <w:szCs w:val="24"/>
          <w:u w:val="single"/>
        </w:rPr>
        <w:t>;</w:t>
      </w:r>
    </w:p>
    <w:p w14:paraId="0D011D8D"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Compliance Offset Protocol Mine Methane Capture Projects, incorporated by reference October XX, 2013; and</w:t>
      </w:r>
    </w:p>
    <w:p w14:paraId="7ED76EA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u w:val="single"/>
        </w:rPr>
        <w:t>(6)</w:t>
      </w:r>
      <w:r w:rsidRPr="00B61FF1">
        <w:rPr>
          <w:rFonts w:ascii="Arial" w:hAnsi="Arial" w:cs="Arial"/>
          <w:sz w:val="24"/>
          <w:szCs w:val="24"/>
        </w:rPr>
        <w:tab/>
      </w:r>
      <w:r w:rsidRPr="00B61FF1">
        <w:rPr>
          <w:rFonts w:ascii="Arial" w:hAnsi="Arial" w:cs="Arial"/>
          <w:sz w:val="24"/>
          <w:szCs w:val="24"/>
          <w:u w:val="single"/>
        </w:rPr>
        <w:t>Compliance Offset Protocol Rice Cultivation Projects, incorporated by reference October XX, 2013.</w:t>
      </w:r>
    </w:p>
    <w:p w14:paraId="29BC107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5</w:t>
      </w:r>
      <w:r w:rsidRPr="00B61FF1">
        <w:rPr>
          <w:rFonts w:ascii="Arial" w:hAnsi="Arial" w:cs="Arial"/>
          <w:sz w:val="24"/>
          <w:szCs w:val="24"/>
          <w:u w:val="single"/>
        </w:rPr>
        <w:t>7</w:t>
      </w:r>
      <w:r w:rsidRPr="00B61FF1">
        <w:rPr>
          <w:rFonts w:ascii="Arial" w:hAnsi="Arial" w:cs="Arial"/>
          <w:sz w:val="24"/>
          <w:szCs w:val="24"/>
        </w:rPr>
        <w:t>)</w:t>
      </w:r>
      <w:r w:rsidRPr="00B61FF1">
        <w:rPr>
          <w:rFonts w:ascii="Arial" w:hAnsi="Arial" w:cs="Arial"/>
          <w:sz w:val="24"/>
          <w:szCs w:val="24"/>
        </w:rPr>
        <w:tab/>
        <w:t>The Offset Project Operator or Authorized Project Designee must attest, in writing, to ARB as follows:</w:t>
      </w:r>
    </w:p>
    <w:p w14:paraId="2ED0C0B5"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 xml:space="preserve">“I certify under penalty of perjury under the laws of the State of California the GHG reductions and/or GHG removal enhancements for [project] from [date] to [date] are measured in accordance with the [appropriate ARB </w:t>
      </w:r>
      <w:r w:rsidRPr="00B61FF1">
        <w:rPr>
          <w:rFonts w:ascii="Arial" w:hAnsi="Arial" w:cs="Arial"/>
          <w:sz w:val="24"/>
          <w:szCs w:val="24"/>
          <w:u w:val="single"/>
        </w:rPr>
        <w:t>Compliance Offset</w:t>
      </w:r>
      <w:r w:rsidRPr="00B61FF1">
        <w:rPr>
          <w:rFonts w:ascii="Arial" w:hAnsi="Arial" w:cs="Arial"/>
          <w:strike/>
          <w:sz w:val="24"/>
          <w:szCs w:val="24"/>
        </w:rPr>
        <w:t>approved p</w:t>
      </w:r>
      <w:r w:rsidRPr="00B61FF1">
        <w:rPr>
          <w:rFonts w:ascii="Arial" w:hAnsi="Arial" w:cs="Arial"/>
          <w:sz w:val="24"/>
          <w:szCs w:val="24"/>
          <w:u w:val="single"/>
        </w:rPr>
        <w:t>P</w:t>
      </w:r>
      <w:r w:rsidRPr="00B61FF1">
        <w:rPr>
          <w:rFonts w:ascii="Arial" w:hAnsi="Arial" w:cs="Arial"/>
          <w:sz w:val="24"/>
          <w:szCs w:val="24"/>
        </w:rPr>
        <w:t>rotocol] and all information required to be submitted to ARB in the Offset Project Data Report is true, accurate, and complete.”</w:t>
      </w:r>
    </w:p>
    <w:p w14:paraId="197DB5ED"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 xml:space="preserve">This attestation </w:t>
      </w:r>
      <w:r w:rsidRPr="00B61FF1">
        <w:rPr>
          <w:rFonts w:ascii="Arial" w:hAnsi="Arial" w:cs="Arial"/>
          <w:strike/>
          <w:sz w:val="24"/>
          <w:szCs w:val="24"/>
        </w:rPr>
        <w:t>may</w:t>
      </w:r>
      <w:r w:rsidRPr="00B61FF1">
        <w:rPr>
          <w:rFonts w:ascii="Arial" w:hAnsi="Arial" w:cs="Arial"/>
          <w:sz w:val="24"/>
          <w:szCs w:val="24"/>
          <w:u w:val="single"/>
        </w:rPr>
        <w:t>must</w:t>
      </w:r>
      <w:r w:rsidRPr="00B61FF1">
        <w:rPr>
          <w:rFonts w:ascii="Arial" w:hAnsi="Arial" w:cs="Arial"/>
          <w:sz w:val="24"/>
          <w:szCs w:val="24"/>
        </w:rPr>
        <w:t xml:space="preserve"> be provided to an Offset Project Registry with the Offset Project Data Report</w:t>
      </w:r>
      <w:r w:rsidRPr="00B61FF1">
        <w:rPr>
          <w:rFonts w:ascii="Arial" w:hAnsi="Arial" w:cs="Arial"/>
          <w:sz w:val="24"/>
          <w:szCs w:val="24"/>
          <w:u w:val="single"/>
        </w:rPr>
        <w:t xml:space="preserve"> if the offset project is listed with an Offset Project Registry, or to ARB if the offset project is listed with ARB</w:t>
      </w:r>
      <w:r w:rsidRPr="00B61FF1">
        <w:rPr>
          <w:rFonts w:ascii="Arial" w:hAnsi="Arial" w:cs="Arial"/>
          <w:strike/>
          <w:sz w:val="24"/>
          <w:szCs w:val="24"/>
        </w:rPr>
        <w:t xml:space="preserve"> but must be provided to ARB when the requirements in section 95981(b) apply</w:t>
      </w:r>
      <w:r w:rsidRPr="00B61FF1">
        <w:rPr>
          <w:rFonts w:ascii="Arial" w:hAnsi="Arial" w:cs="Arial"/>
          <w:sz w:val="24"/>
          <w:szCs w:val="24"/>
        </w:rPr>
        <w:t>.</w:t>
      </w:r>
    </w:p>
    <w:p w14:paraId="06B8F43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6</w:t>
      </w:r>
      <w:r w:rsidRPr="00B61FF1">
        <w:rPr>
          <w:rFonts w:ascii="Arial" w:hAnsi="Arial" w:cs="Arial"/>
          <w:sz w:val="24"/>
          <w:szCs w:val="24"/>
          <w:u w:val="single"/>
        </w:rPr>
        <w:t>8</w:t>
      </w:r>
      <w:r w:rsidRPr="00B61FF1">
        <w:rPr>
          <w:rFonts w:ascii="Arial" w:hAnsi="Arial" w:cs="Arial"/>
          <w:sz w:val="24"/>
          <w:szCs w:val="24"/>
        </w:rPr>
        <w:t>)</w:t>
      </w:r>
      <w:r w:rsidRPr="00B61FF1">
        <w:rPr>
          <w:rFonts w:ascii="Arial" w:hAnsi="Arial" w:cs="Arial"/>
          <w:sz w:val="24"/>
          <w:szCs w:val="24"/>
        </w:rPr>
        <w:tab/>
        <w:t xml:space="preserve">All Offset Project Data Reports must be submitted within four months after the conclusion of each Reporting Period. </w:t>
      </w:r>
    </w:p>
    <w:p w14:paraId="007E3894"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7</w:t>
      </w:r>
      <w:r w:rsidRPr="00B61FF1">
        <w:rPr>
          <w:rFonts w:ascii="Arial" w:hAnsi="Arial" w:cs="Arial"/>
          <w:sz w:val="24"/>
          <w:szCs w:val="24"/>
          <w:u w:val="single"/>
        </w:rPr>
        <w:t>9</w:t>
      </w:r>
      <w:r w:rsidRPr="00B61FF1">
        <w:rPr>
          <w:rFonts w:ascii="Arial" w:hAnsi="Arial" w:cs="Arial"/>
          <w:sz w:val="24"/>
          <w:szCs w:val="24"/>
        </w:rPr>
        <w:t>)</w:t>
      </w:r>
      <w:r w:rsidRPr="00B61FF1">
        <w:rPr>
          <w:rFonts w:ascii="Arial" w:hAnsi="Arial" w:cs="Arial"/>
          <w:sz w:val="24"/>
          <w:szCs w:val="24"/>
        </w:rPr>
        <w:tab/>
        <w:t>If an Offset Project Data Report is not submitted to ARB or an Offset Project Registry by the applicable reporting deadline, the GHG reductions and GHG removal enhancements quantified and reported in the Offset Project Data Report are not eligible to be issued ARB offset credits pursuant to section 95981.</w:t>
      </w:r>
    </w:p>
    <w:p w14:paraId="054D41A3" w14:textId="77777777" w:rsidR="00FE6A4C" w:rsidRPr="00B61FF1" w:rsidRDefault="00FE6A4C" w:rsidP="00FE6A4C">
      <w:pPr>
        <w:suppressAutoHyphens/>
        <w:autoSpaceDN/>
        <w:adjustRightInd/>
        <w:spacing w:line="360" w:lineRule="auto"/>
        <w:ind w:left="720" w:hanging="720"/>
        <w:rPr>
          <w:rFonts w:ascii="Arial" w:hAnsi="Arial" w:cs="Arial"/>
          <w:sz w:val="24"/>
          <w:szCs w:val="24"/>
          <w:shd w:val="clear" w:color="auto" w:fill="00FF00"/>
        </w:rPr>
      </w:pPr>
      <w:r w:rsidRPr="00B61FF1">
        <w:rPr>
          <w:rFonts w:ascii="Arial" w:hAnsi="Arial" w:cs="Arial"/>
          <w:sz w:val="24"/>
          <w:szCs w:val="24"/>
        </w:rPr>
        <w:t>(e)</w:t>
      </w:r>
      <w:r w:rsidRPr="00B61FF1">
        <w:rPr>
          <w:rFonts w:ascii="Arial" w:hAnsi="Arial" w:cs="Arial"/>
          <w:sz w:val="24"/>
          <w:szCs w:val="24"/>
        </w:rPr>
        <w:tab/>
        <w:t>Requirements for Record Retention for Offset Projects.  An Offset Project Operator or Authorized Project Designee must meet the following requirements:</w:t>
      </w:r>
    </w:p>
    <w:p w14:paraId="7FDBC2B5" w14:textId="77777777" w:rsidR="00FE6A4C" w:rsidRPr="00B61FF1" w:rsidRDefault="00FE6A4C" w:rsidP="00FE6A4C">
      <w:pPr>
        <w:suppressAutoHyphens/>
        <w:autoSpaceDN/>
        <w:adjustRightInd/>
        <w:spacing w:line="360" w:lineRule="auto"/>
        <w:ind w:left="1080" w:hanging="720"/>
        <w:rPr>
          <w:rFonts w:ascii="Arial" w:hAnsi="Arial" w:cs="Arial"/>
          <w:sz w:val="24"/>
          <w:szCs w:val="24"/>
          <w:shd w:val="clear" w:color="auto" w:fill="00FF00"/>
        </w:rPr>
      </w:pPr>
      <w:r w:rsidRPr="00B61FF1">
        <w:rPr>
          <w:rFonts w:ascii="Arial" w:hAnsi="Arial" w:cs="Arial"/>
          <w:sz w:val="24"/>
          <w:szCs w:val="24"/>
        </w:rPr>
        <w:t>(1)</w:t>
      </w:r>
      <w:r w:rsidRPr="00B61FF1">
        <w:rPr>
          <w:rFonts w:ascii="Arial" w:hAnsi="Arial" w:cs="Arial"/>
          <w:sz w:val="24"/>
          <w:szCs w:val="24"/>
        </w:rPr>
        <w:tab/>
        <w:t>The Offset Project Operator or Authorized Project Designee must retain the following documents:</w:t>
      </w:r>
    </w:p>
    <w:p w14:paraId="2CC9A3CE"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(A)</w:t>
      </w:r>
      <w:r w:rsidRPr="00B61FF1">
        <w:rPr>
          <w:rFonts w:ascii="Arial" w:hAnsi="Arial" w:cs="Arial"/>
          <w:sz w:val="24"/>
          <w:szCs w:val="24"/>
        </w:rPr>
        <w:tab/>
        <w:t>All information submitted as part of the Offset Project Data Report;</w:t>
      </w:r>
    </w:p>
    <w:p w14:paraId="4E9DEEC6"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(B)</w:t>
      </w:r>
      <w:r w:rsidRPr="00B61FF1">
        <w:rPr>
          <w:rFonts w:ascii="Arial" w:hAnsi="Arial" w:cs="Arial"/>
          <w:sz w:val="24"/>
          <w:szCs w:val="24"/>
        </w:rPr>
        <w:tab/>
        <w:t>Documentation of the offset project boundary, including a list of all GHG emissions sources, GHG sinks, and GHG reservoirs included in the offset project boundary and the project baseline, and the calculation of the project baseline, project emissions, GHG emission reductions, and GHG removal enhancements;</w:t>
      </w:r>
    </w:p>
    <w:p w14:paraId="1BDE1313"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(C)</w:t>
      </w:r>
      <w:r w:rsidRPr="00B61FF1">
        <w:rPr>
          <w:rFonts w:ascii="Arial" w:hAnsi="Arial" w:cs="Arial"/>
          <w:sz w:val="24"/>
          <w:szCs w:val="24"/>
        </w:rPr>
        <w:tab/>
        <w:t>Fuel use and any other underlying measured or sampled data used to calculate project baseline emissions, GHG emission reductions, and GHG removal enhancements for each source, categorized by process and fuel, or material type;</w:t>
      </w:r>
    </w:p>
    <w:p w14:paraId="318E7E05"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(D)</w:t>
      </w:r>
      <w:r w:rsidRPr="00B61FF1">
        <w:rPr>
          <w:rFonts w:ascii="Arial" w:hAnsi="Arial" w:cs="Arial"/>
          <w:sz w:val="24"/>
          <w:szCs w:val="24"/>
        </w:rPr>
        <w:tab/>
        <w:t>Documentation of the process for collecting fuel use or any other underlying measured or sampled data for the offset project and its GHG emissions sources, GHG sinks, and GHG reservoirs for quantifying project baseline emissions, project emissions, GHG emission reductions, and GHG removal enhancements;</w:t>
      </w:r>
    </w:p>
    <w:p w14:paraId="42854F8C"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(E)</w:t>
      </w:r>
      <w:r w:rsidRPr="00B61FF1">
        <w:rPr>
          <w:rFonts w:ascii="Arial" w:hAnsi="Arial" w:cs="Arial"/>
          <w:sz w:val="24"/>
          <w:szCs w:val="24"/>
        </w:rPr>
        <w:tab/>
        <w:t>Documentation of all project baseline emissions, project emissions, GHG emission reductions, and GHG removal enhancements;</w:t>
      </w:r>
    </w:p>
    <w:p w14:paraId="0F497D83"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(F)</w:t>
      </w:r>
      <w:r w:rsidRPr="00B61FF1">
        <w:rPr>
          <w:rFonts w:ascii="Arial" w:hAnsi="Arial" w:cs="Arial"/>
          <w:sz w:val="24"/>
          <w:szCs w:val="24"/>
        </w:rPr>
        <w:tab/>
        <w:t>All point of origin and chain of custody documents required by a Compliance Offset Protocol, if applicable;</w:t>
      </w:r>
    </w:p>
    <w:p w14:paraId="1160C14A"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(G)</w:t>
      </w:r>
      <w:r w:rsidRPr="00B61FF1">
        <w:rPr>
          <w:rFonts w:ascii="Arial" w:hAnsi="Arial" w:cs="Arial"/>
          <w:sz w:val="24"/>
          <w:szCs w:val="24"/>
        </w:rPr>
        <w:tab/>
        <w:t>All chemical analyses, results, and testing-related documentation for material and sources used for inputs to project baseline emissions, project emissions, GHG emission reductions, and GHG removal enhancements;</w:t>
      </w:r>
    </w:p>
    <w:p w14:paraId="47E3FE49"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All model inputs or assumptions used for quantifying project baseline emissions, project emissions, GHG emission reductions, and GHG removal enhancements;</w:t>
      </w:r>
    </w:p>
    <w:p w14:paraId="109F1E86" w14:textId="77777777" w:rsidR="00FE6A4C" w:rsidRPr="00B61FF1" w:rsidRDefault="00FE6A4C" w:rsidP="00FE6A4C">
      <w:pPr>
        <w:suppressAutoHyphens/>
        <w:autoSpaceDN/>
        <w:adjustRightInd/>
        <w:spacing w:line="360" w:lineRule="auto"/>
        <w:ind w:left="1800" w:hanging="720"/>
        <w:rPr>
          <w:rFonts w:ascii="Arial" w:hAnsi="Arial" w:cs="Arial"/>
          <w:sz w:val="24"/>
          <w:szCs w:val="24"/>
          <w:shd w:val="clear" w:color="auto" w:fill="00FF00"/>
        </w:rPr>
      </w:pPr>
      <w:r w:rsidRPr="00B61FF1">
        <w:rPr>
          <w:rFonts w:ascii="Arial" w:hAnsi="Arial" w:cs="Arial"/>
          <w:sz w:val="24"/>
          <w:szCs w:val="24"/>
        </w:rPr>
        <w:t>(I)</w:t>
      </w:r>
      <w:r w:rsidRPr="00B61FF1">
        <w:rPr>
          <w:rFonts w:ascii="Arial" w:hAnsi="Arial" w:cs="Arial"/>
          <w:sz w:val="24"/>
          <w:szCs w:val="24"/>
        </w:rPr>
        <w:tab/>
        <w:t>Any data used to assess the accuracy of project baseline emissions, GHG emission reductions, and GHG removal enhancements from each offset project GHG emissions source, GHG sink, and GHG reservoir, categorized by process;</w:t>
      </w:r>
    </w:p>
    <w:p w14:paraId="4362B2A7"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(J)</w:t>
      </w:r>
      <w:r w:rsidRPr="00B61FF1">
        <w:rPr>
          <w:rFonts w:ascii="Arial" w:hAnsi="Arial" w:cs="Arial"/>
          <w:sz w:val="24"/>
          <w:szCs w:val="24"/>
        </w:rPr>
        <w:tab/>
        <w:t>Quality assurance and quality control information including information regarding any measurement gaps, missing data substitution, calibrations or maintenance records for monitoring equipment, or models providing data for calculating project baseline emissions, project emissions, GHG emission reductions, and GHG removal enhancements;</w:t>
      </w:r>
    </w:p>
    <w:p w14:paraId="3C6C7E72"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(K)</w:t>
      </w:r>
      <w:r w:rsidRPr="00B61FF1">
        <w:rPr>
          <w:rFonts w:ascii="Arial" w:hAnsi="Arial" w:cs="Arial"/>
          <w:sz w:val="24"/>
          <w:szCs w:val="24"/>
        </w:rPr>
        <w:tab/>
        <w:t xml:space="preserve">A detailed technical description of any offset project continuous measurement/monitoring system, including documentation of any findings and approvals by federal, state, and local agencies; </w:t>
      </w:r>
    </w:p>
    <w:p w14:paraId="293BA3B9"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(L)</w:t>
      </w:r>
      <w:r w:rsidRPr="00B61FF1">
        <w:rPr>
          <w:rFonts w:ascii="Arial" w:hAnsi="Arial" w:cs="Arial"/>
          <w:sz w:val="24"/>
          <w:szCs w:val="24"/>
        </w:rPr>
        <w:tab/>
        <w:t xml:space="preserve">Raw and aggregated data from any measurement system; </w:t>
      </w:r>
    </w:p>
    <w:p w14:paraId="7004AE8B"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(M)</w:t>
      </w:r>
      <w:r w:rsidRPr="00B61FF1">
        <w:rPr>
          <w:rFonts w:ascii="Arial" w:hAnsi="Arial" w:cs="Arial"/>
          <w:sz w:val="24"/>
          <w:szCs w:val="24"/>
        </w:rPr>
        <w:tab/>
        <w:t xml:space="preserve">Documentation of any changes over time and the log book on tests, down-times, calibrations, servicing, and maintenance for any measurement/monitoring equipment providing data for project baseline calculations, project emissions, GHG emission reductions, and GHG removal enhancements;  </w:t>
      </w:r>
    </w:p>
    <w:p w14:paraId="7EA90F7E"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(N)</w:t>
      </w:r>
      <w:r w:rsidRPr="00B61FF1">
        <w:rPr>
          <w:rFonts w:ascii="Arial" w:hAnsi="Arial" w:cs="Arial"/>
          <w:sz w:val="24"/>
          <w:szCs w:val="24"/>
        </w:rPr>
        <w:tab/>
        <w:t xml:space="preserve">For sequestration offset projects, documentation of inventory methodologies and sampling procedures including all calculation methodologies and equations used, and any data related to plot sampling; and </w:t>
      </w:r>
    </w:p>
    <w:p w14:paraId="36C43E80"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(O)</w:t>
      </w:r>
      <w:r w:rsidRPr="00B61FF1">
        <w:rPr>
          <w:rFonts w:ascii="Arial" w:hAnsi="Arial" w:cs="Arial"/>
          <w:sz w:val="24"/>
          <w:szCs w:val="24"/>
        </w:rPr>
        <w:tab/>
        <w:t>Any other documentation or data required to be retained by a Compliance Offset Protocol, if applicable.</w:t>
      </w:r>
    </w:p>
    <w:p w14:paraId="219E735E" w14:textId="77777777" w:rsidR="00FE6A4C" w:rsidRPr="00B61FF1" w:rsidRDefault="00FE6A4C" w:rsidP="00FE6A4C">
      <w:pPr>
        <w:suppressAutoHyphens/>
        <w:autoSpaceDN/>
        <w:adjustRightInd/>
        <w:spacing w:line="360" w:lineRule="auto"/>
        <w:ind w:left="1080" w:hanging="720"/>
        <w:rPr>
          <w:rFonts w:ascii="Arial" w:hAnsi="Arial" w:cs="Arial"/>
          <w:sz w:val="24"/>
          <w:szCs w:val="24"/>
          <w:shd w:val="clear" w:color="auto" w:fill="00FF00"/>
        </w:rPr>
      </w:pPr>
      <w:r w:rsidRPr="00B61FF1">
        <w:rPr>
          <w:rFonts w:ascii="Arial" w:hAnsi="Arial" w:cs="Arial"/>
          <w:sz w:val="24"/>
          <w:szCs w:val="24"/>
        </w:rPr>
        <w:t>(2)</w:t>
      </w:r>
      <w:r w:rsidRPr="00B61FF1">
        <w:rPr>
          <w:rFonts w:ascii="Arial" w:hAnsi="Arial" w:cs="Arial"/>
          <w:sz w:val="24"/>
          <w:szCs w:val="24"/>
        </w:rPr>
        <w:tab/>
        <w:t>Documents listed in section 95976(e)(1) associated with the preparation of an Offset Project Data Report shall be retained in paper, electronic, or other usable format for</w:t>
      </w:r>
      <w:bookmarkStart w:id="538" w:name="_Toc258822508"/>
      <w:bookmarkStart w:id="539" w:name="_Toc266690273"/>
      <w:r w:rsidRPr="00B61FF1">
        <w:rPr>
          <w:rFonts w:ascii="Arial" w:hAnsi="Arial" w:cs="Arial"/>
          <w:sz w:val="24"/>
          <w:szCs w:val="24"/>
        </w:rPr>
        <w:t xml:space="preserve"> a minimum of 15 years following the issuance of ARB offset credits related to that Offset Project Data Report.  All other documents shall be retained in paper, electronic, or other usable format for a minimum of 15 years.  </w:t>
      </w:r>
    </w:p>
    <w:p w14:paraId="56BC9FD5" w14:textId="77777777" w:rsidR="00FE6A4C" w:rsidRPr="00B61FF1" w:rsidRDefault="00FE6A4C" w:rsidP="00FE6A4C">
      <w:pPr>
        <w:suppressAutoHyphens/>
        <w:autoSpaceDN/>
        <w:adjustRightInd/>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The documents retained pursuant to this section must be sufficient to allow for the verification of each Offset Project Data Report.  </w:t>
      </w:r>
    </w:p>
    <w:p w14:paraId="1D4CA18C" w14:textId="77777777" w:rsidR="00FE6A4C" w:rsidRPr="00B61FF1" w:rsidRDefault="00FE6A4C" w:rsidP="00FE6A4C">
      <w:pPr>
        <w:suppressAutoHyphens/>
        <w:autoSpaceDN/>
        <w:adjustRightInd/>
        <w:spacing w:line="360" w:lineRule="auto"/>
        <w:ind w:left="1080" w:hanging="720"/>
        <w:rPr>
          <w:rFonts w:ascii="Arial" w:hAnsi="Arial" w:cs="Arial"/>
          <w:sz w:val="24"/>
          <w:szCs w:val="24"/>
          <w:shd w:val="clear" w:color="auto" w:fill="00FF00"/>
        </w:rPr>
      </w:pPr>
      <w:r w:rsidRPr="00B61FF1">
        <w:rPr>
          <w:rFonts w:ascii="Arial" w:hAnsi="Arial" w:cs="Arial"/>
          <w:sz w:val="24"/>
          <w:szCs w:val="24"/>
        </w:rPr>
        <w:t>(4)</w:t>
      </w:r>
      <w:r w:rsidRPr="00B61FF1">
        <w:rPr>
          <w:rFonts w:ascii="Arial" w:hAnsi="Arial" w:cs="Arial"/>
          <w:sz w:val="24"/>
          <w:szCs w:val="24"/>
        </w:rPr>
        <w:tab/>
        <w:t>Upon request by ARB or an Offset Project Registry, the Offset Project Operator or Authorized Project Designee must provide to ARB or an Offset Project Registry all documents pursuant to this section, including data used to develop an Offset Project Data Report within 10 calendar days of the request.</w:t>
      </w:r>
    </w:p>
    <w:p w14:paraId="1FDE324E" w14:textId="77777777" w:rsidR="00FE6A4C" w:rsidRPr="00B61FF1" w:rsidRDefault="00FE6A4C" w:rsidP="00FE6A4C">
      <w:pPr>
        <w:suppressAutoHyphens/>
        <w:autoSpaceDN/>
        <w:adjustRightInd/>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General Procedure for Interim Gas or Fuel Analytical and Monitoring Equipment Data Collection.  This section only applies if a Compliance Offset Protocol does not already include methods for collecting or accounting for data in the event of missing data due to an unforeseen breakdown of gas or fuel analytical monitoring data equipment.  </w:t>
      </w:r>
    </w:p>
    <w:p w14:paraId="2A3CA7E3" w14:textId="77777777" w:rsidR="00FE6A4C" w:rsidRPr="00B61FF1" w:rsidRDefault="00FE6A4C" w:rsidP="00FE6A4C">
      <w:pPr>
        <w:suppressAutoHyphens/>
        <w:autoSpaceDN/>
        <w:adjustRightInd/>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In the event of an unforeseen breakdown of offset project data monitoring equipment and gas or fuel flow monitoring devices required for the GHG emission reductions and GHG removal enhancement estimation, ARB may authorize an Offset Project Operator or Authorized Project Designee to use an interim data collection procedure if ARB determines that the Offset Project Operator or Authorized Project Designee has satisfactorily demonstrated that:</w:t>
      </w:r>
    </w:p>
    <w:p w14:paraId="7401893A"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breakdown may result in a loss of more than 20 percent of the source’s gas or fuel data for the year covered by an Offset Project Data Report;</w:t>
      </w:r>
    </w:p>
    <w:p w14:paraId="79FA6722"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gas or fuel analytical data monitoring equipment cannot be promptly repaired or replaced without shutting down a process unit significantly affecting the offset project operations, or that the monitoring equipment must be replaced and replacement equipment is not immediately available;</w:t>
      </w:r>
    </w:p>
    <w:p w14:paraId="1653874E"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interim procedure will not remain in effect longer than is reasonably necessary for repair or replacement of the malfunctioning data monitoring equipment; and</w:t>
      </w:r>
    </w:p>
    <w:p w14:paraId="1D7A69DE"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request was submitted within 30 calendar days of the breakdown of the gas or fuel analytical data monitoring equipment.</w:t>
      </w:r>
    </w:p>
    <w:p w14:paraId="7C3C3BC4" w14:textId="77777777" w:rsidR="00FE6A4C" w:rsidRPr="00B61FF1" w:rsidRDefault="00FE6A4C" w:rsidP="00FE6A4C">
      <w:pPr>
        <w:suppressAutoHyphens/>
        <w:autoSpaceDN/>
        <w:adjustRightInd/>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An Offset Project Operator or Authorized Project Designee seeking approval of an interim data collection procedure must, within 30 calendar days of the monitoring equipment breakdown, submit a written request to ARB that includes all of the following:</w:t>
      </w:r>
    </w:p>
    <w:p w14:paraId="2DCDD167"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proposed start date and end date of the interim procedure;</w:t>
      </w:r>
    </w:p>
    <w:p w14:paraId="4BE7385B"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 detailed description of what data are affected by the breakdown;</w:t>
      </w:r>
    </w:p>
    <w:p w14:paraId="0069D008"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 discussion of the accuracy of data collected during the interim procedure compared with the data collected under the Offset Project Operator’s or Authorized Project Designee’s usual equipment-based method; and</w:t>
      </w:r>
    </w:p>
    <w:p w14:paraId="765E75A1" w14:textId="77777777" w:rsidR="00FE6A4C" w:rsidRPr="00B61FF1" w:rsidRDefault="00FE6A4C" w:rsidP="00FE6A4C">
      <w:pPr>
        <w:suppressAutoHyphens/>
        <w:autoSpaceDN/>
        <w:adjustRightInd/>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A demonstration that no feasible alternative procedure exists that would provide more accurate emissions data.</w:t>
      </w:r>
    </w:p>
    <w:p w14:paraId="20D3A092" w14:textId="77777777" w:rsidR="00FE6A4C" w:rsidRPr="00B61FF1" w:rsidRDefault="00FE6A4C" w:rsidP="00FE6A4C">
      <w:pPr>
        <w:suppressAutoHyphens/>
        <w:autoSpaceDN/>
        <w:adjustRightInd/>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ARB may limit the duration of the interim data collection procedure or include other conditions for approval.</w:t>
      </w:r>
    </w:p>
    <w:p w14:paraId="71C3C54C" w14:textId="77777777" w:rsidR="00FE6A4C" w:rsidRPr="00B61FF1" w:rsidRDefault="00FE6A4C" w:rsidP="00FE6A4C">
      <w:pPr>
        <w:suppressAutoHyphens/>
        <w:autoSpaceDN/>
        <w:adjustRightInd/>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Data collected pursuant to an approved interim data collection procedure shall be considered captured data for purposes of compliance with a Compliance Offset Protocol.  When approving an interim data collection procedure, ARB shall determine whether the accuracy of data collected under the procedure is reasonably equivalent to data collected from properly functioning monitoring equipment, and if it is not, the relative accuracy to assign for purposes of assessing possible offset material misstatement under section 95977.1(b)(3)(Q) of this article.</w:t>
      </w:r>
    </w:p>
    <w:p w14:paraId="7E74E0A7" w14:textId="77777777" w:rsidR="00FE6A4C" w:rsidRPr="00B61FF1" w:rsidRDefault="00FE6A4C" w:rsidP="00FE6A4C">
      <w:pPr>
        <w:suppressAutoHyphens/>
        <w:autoSpaceDN/>
        <w:adjustRightInd/>
        <w:spacing w:line="360" w:lineRule="auto"/>
        <w:rPr>
          <w:rFonts w:ascii="Arial" w:hAnsi="Arial" w:cs="Arial"/>
          <w:sz w:val="24"/>
          <w:szCs w:val="24"/>
        </w:rPr>
      </w:pPr>
    </w:p>
    <w:p w14:paraId="64DB642C"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4F9ECF6A"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1A87F0C6" w14:textId="77777777" w:rsidR="00FE6A4C" w:rsidRPr="00B61FF1" w:rsidRDefault="00FE6A4C" w:rsidP="00FE6A4C">
      <w:pPr>
        <w:keepNext/>
        <w:spacing w:before="240" w:after="60" w:line="360" w:lineRule="auto"/>
        <w:outlineLvl w:val="1"/>
        <w:rPr>
          <w:rFonts w:ascii="Arial" w:hAnsi="Arial" w:cs="Arial"/>
          <w:b/>
          <w:bCs/>
          <w:iCs/>
          <w:sz w:val="24"/>
          <w:szCs w:val="24"/>
        </w:rPr>
      </w:pPr>
      <w:bookmarkStart w:id="540" w:name="_Toc268526246"/>
      <w:bookmarkStart w:id="541" w:name="_Toc269206266"/>
      <w:bookmarkStart w:id="542" w:name="_Toc269798107"/>
      <w:bookmarkStart w:id="543" w:name="_Toc275870254"/>
      <w:bookmarkStart w:id="544" w:name="_Toc291245700"/>
      <w:bookmarkStart w:id="545" w:name="_Toc294275147"/>
      <w:bookmarkStart w:id="546" w:name="_Toc294863577"/>
      <w:bookmarkStart w:id="547" w:name="_Toc299094976"/>
      <w:bookmarkStart w:id="548" w:name="_Toc299095093"/>
      <w:bookmarkStart w:id="549" w:name="_Toc302746830"/>
      <w:bookmarkStart w:id="550" w:name="_Toc361659893"/>
      <w:bookmarkEnd w:id="538"/>
      <w:bookmarkEnd w:id="539"/>
      <w:r w:rsidRPr="00B61FF1">
        <w:rPr>
          <w:rFonts w:ascii="Arial" w:hAnsi="Arial" w:cs="Arial"/>
          <w:b/>
          <w:bCs/>
          <w:iCs/>
          <w:sz w:val="24"/>
          <w:szCs w:val="24"/>
        </w:rPr>
        <w:t>§ 95977.  Verification of GHG Emission Reductions and GHG Removal Enhancements from Offset Projects</w:t>
      </w:r>
      <w:bookmarkEnd w:id="540"/>
      <w:bookmarkEnd w:id="541"/>
      <w:bookmarkEnd w:id="542"/>
      <w:bookmarkEnd w:id="543"/>
      <w:bookmarkEnd w:id="544"/>
      <w:bookmarkEnd w:id="545"/>
      <w:bookmarkEnd w:id="546"/>
      <w:r w:rsidRPr="00B61FF1">
        <w:rPr>
          <w:rFonts w:ascii="Arial" w:hAnsi="Arial" w:cs="Arial"/>
          <w:b/>
          <w:bCs/>
          <w:iCs/>
          <w:sz w:val="24"/>
          <w:szCs w:val="24"/>
        </w:rPr>
        <w:t>.</w:t>
      </w:r>
      <w:bookmarkEnd w:id="547"/>
      <w:bookmarkEnd w:id="548"/>
      <w:bookmarkEnd w:id="549"/>
      <w:bookmarkEnd w:id="550"/>
    </w:p>
    <w:p w14:paraId="6C2C988B" w14:textId="77777777" w:rsidR="00FE6A4C" w:rsidRPr="00B61FF1" w:rsidRDefault="00FE6A4C" w:rsidP="00FE6A4C">
      <w:pPr>
        <w:numPr>
          <w:ilvl w:val="0"/>
          <w:numId w:val="5"/>
        </w:numPr>
        <w:spacing w:line="360" w:lineRule="auto"/>
        <w:rPr>
          <w:rFonts w:ascii="Arial" w:hAnsi="Arial" w:cs="Arial"/>
          <w:sz w:val="24"/>
          <w:szCs w:val="24"/>
        </w:rPr>
      </w:pPr>
      <w:r w:rsidRPr="00B61FF1">
        <w:rPr>
          <w:rFonts w:ascii="Arial" w:hAnsi="Arial" w:cs="Arial"/>
          <w:sz w:val="24"/>
          <w:szCs w:val="24"/>
        </w:rPr>
        <w:t>General Requirements.  An Offset Project Operator or Authorized Project Designee must obtain the services of an ARB-accredited verification body for the purposes of verifying Offset Project Data Reports submitted under this article.</w:t>
      </w:r>
    </w:p>
    <w:p w14:paraId="05E50AAE" w14:textId="77777777" w:rsidR="00FE6A4C" w:rsidRPr="00B61FF1" w:rsidRDefault="00FE6A4C" w:rsidP="00FE6A4C">
      <w:pPr>
        <w:numPr>
          <w:ilvl w:val="0"/>
          <w:numId w:val="5"/>
        </w:numPr>
        <w:spacing w:line="360" w:lineRule="auto"/>
        <w:rPr>
          <w:rFonts w:ascii="Arial" w:hAnsi="Arial" w:cs="Arial"/>
          <w:sz w:val="24"/>
          <w:szCs w:val="24"/>
        </w:rPr>
      </w:pPr>
      <w:r w:rsidRPr="00B61FF1">
        <w:rPr>
          <w:rFonts w:ascii="Arial" w:hAnsi="Arial" w:cs="Arial"/>
          <w:sz w:val="24"/>
          <w:szCs w:val="24"/>
        </w:rPr>
        <w:t xml:space="preserve">Schedule for Verification of Non-Sequestration Offset Projects.  The verification of GHG emission reductions for non-sequestration offset projects </w:t>
      </w:r>
      <w:r w:rsidRPr="00B61FF1">
        <w:rPr>
          <w:rFonts w:ascii="Arial" w:hAnsi="Arial" w:cs="Arial"/>
          <w:sz w:val="24"/>
          <w:szCs w:val="24"/>
          <w:u w:val="single"/>
        </w:rPr>
        <w:t xml:space="preserve">that produce greater than or equal to 25,000 metric tons of GHG reductions </w:t>
      </w:r>
      <w:r w:rsidRPr="00B61FF1">
        <w:rPr>
          <w:rFonts w:ascii="Arial" w:hAnsi="Arial" w:cs="Arial"/>
          <w:sz w:val="24"/>
          <w:szCs w:val="24"/>
        </w:rPr>
        <w:t xml:space="preserve">must be performed </w:t>
      </w:r>
      <w:r w:rsidRPr="00B61FF1">
        <w:rPr>
          <w:rFonts w:ascii="Arial" w:hAnsi="Arial" w:cs="Arial"/>
          <w:strike/>
          <w:sz w:val="24"/>
          <w:szCs w:val="24"/>
        </w:rPr>
        <w:t xml:space="preserve">annually </w:t>
      </w:r>
      <w:r w:rsidRPr="00B61FF1">
        <w:rPr>
          <w:rFonts w:ascii="Arial" w:hAnsi="Arial" w:cs="Arial"/>
          <w:sz w:val="24"/>
          <w:szCs w:val="24"/>
          <w:u w:val="single"/>
        </w:rPr>
        <w:t xml:space="preserve">on a 12-month rolling basis </w:t>
      </w:r>
      <w:r w:rsidRPr="00B61FF1">
        <w:rPr>
          <w:rFonts w:ascii="Arial" w:hAnsi="Arial" w:cs="Arial"/>
          <w:sz w:val="24"/>
          <w:szCs w:val="24"/>
        </w:rPr>
        <w:t>and cover the Reporting Period for which the most recent Offset Project Data Report was submitted.  For Reporting Periods in which an Offset Project Data Report for a non-sequestration offset project shows that the offset project produced fewer than 25,000 metric tons of GHG reductions, the Offset Project Operator or Authorized Project Designee may choose to perform verification that covers two consecutive Reporting Periods</w:t>
      </w:r>
      <w:r w:rsidRPr="00B61FF1">
        <w:rPr>
          <w:rFonts w:ascii="Arial" w:hAnsi="Arial" w:cs="Arial"/>
          <w:sz w:val="24"/>
          <w:szCs w:val="24"/>
          <w:u w:val="single"/>
        </w:rPr>
        <w:t>, even if for the subsequent Reporting Period the offset project produced greater than or equal to 25,000 metric tons of GHG reductions</w:t>
      </w:r>
      <w:r w:rsidRPr="00B61FF1">
        <w:rPr>
          <w:rFonts w:ascii="Arial" w:hAnsi="Arial" w:cs="Arial"/>
          <w:sz w:val="24"/>
          <w:szCs w:val="24"/>
        </w:rPr>
        <w:t>.</w:t>
      </w:r>
      <w:r w:rsidRPr="00B61FF1">
        <w:rPr>
          <w:rFonts w:ascii="Arial" w:hAnsi="Arial" w:cs="Arial"/>
          <w:sz w:val="24"/>
          <w:szCs w:val="24"/>
          <w:u w:val="single"/>
        </w:rPr>
        <w:t xml:space="preserve">  If an Offset Project Data Report results in zero GHG emission reductions, the Offset Project Operator or Authorized Project Designee may defer verification until the offset project produces an Offset Project Data Report that no longer results in zero GHG emission reductions. </w:t>
      </w:r>
    </w:p>
    <w:p w14:paraId="3ED76431" w14:textId="77777777" w:rsidR="00FE6A4C" w:rsidRPr="00B61FF1" w:rsidRDefault="00FE6A4C" w:rsidP="00FE6A4C">
      <w:pPr>
        <w:numPr>
          <w:ilvl w:val="0"/>
          <w:numId w:val="5"/>
        </w:numPr>
        <w:spacing w:line="360" w:lineRule="auto"/>
        <w:rPr>
          <w:rFonts w:ascii="Arial" w:hAnsi="Arial" w:cs="Arial"/>
          <w:sz w:val="24"/>
          <w:szCs w:val="24"/>
        </w:rPr>
      </w:pPr>
      <w:r w:rsidRPr="00B61FF1">
        <w:rPr>
          <w:rFonts w:ascii="Arial" w:hAnsi="Arial" w:cs="Arial"/>
          <w:sz w:val="24"/>
          <w:szCs w:val="24"/>
        </w:rPr>
        <w:t xml:space="preserve">Schedule for Verification of Sequestration Offset Projects.  </w:t>
      </w:r>
      <w:r w:rsidRPr="00B61FF1">
        <w:rPr>
          <w:rFonts w:ascii="Arial" w:hAnsi="Arial" w:cs="Arial"/>
          <w:strike/>
          <w:sz w:val="24"/>
          <w:szCs w:val="24"/>
        </w:rPr>
        <w:t>The</w:t>
      </w:r>
      <w:r w:rsidRPr="00B61FF1">
        <w:rPr>
          <w:rFonts w:ascii="Arial" w:hAnsi="Arial" w:cs="Arial"/>
          <w:sz w:val="24"/>
          <w:szCs w:val="24"/>
          <w:u w:val="single"/>
        </w:rPr>
        <w:t xml:space="preserve">An initial </w:t>
      </w:r>
      <w:r w:rsidRPr="00B61FF1">
        <w:rPr>
          <w:rFonts w:ascii="Arial" w:hAnsi="Arial" w:cs="Arial"/>
          <w:sz w:val="24"/>
          <w:szCs w:val="24"/>
        </w:rPr>
        <w:t xml:space="preserve">verification of GHG emission reductions and GHG removal enhancements for sequestration offset projects must be performed </w:t>
      </w:r>
      <w:r w:rsidRPr="00B61FF1">
        <w:rPr>
          <w:rFonts w:ascii="Arial" w:hAnsi="Arial" w:cs="Arial"/>
          <w:sz w:val="24"/>
          <w:szCs w:val="24"/>
          <w:u w:val="single"/>
        </w:rPr>
        <w:t xml:space="preserve">following the first Reporting Period and cover one Reporting Period.  After the first Reporting Period, verification must be conducted </w:t>
      </w:r>
      <w:r w:rsidRPr="00B61FF1">
        <w:rPr>
          <w:rFonts w:ascii="Arial" w:hAnsi="Arial" w:cs="Arial"/>
          <w:sz w:val="24"/>
          <w:szCs w:val="24"/>
        </w:rPr>
        <w:t xml:space="preserve">at least once every six years and may cover up to six Reporting Periods for which Offset Project Data Reports were submitted.  After an initial verification with a Positive Offset Verification Statement, reforestation offset projects </w:t>
      </w:r>
      <w:r w:rsidRPr="00B61FF1">
        <w:rPr>
          <w:rFonts w:ascii="Arial" w:hAnsi="Arial" w:cs="Arial"/>
          <w:sz w:val="24"/>
          <w:szCs w:val="24"/>
          <w:u w:val="single"/>
        </w:rPr>
        <w:t xml:space="preserve">and urban forest offset projects that meet the requirements of the applicable Compliance Offset Protocol </w:t>
      </w:r>
      <w:r w:rsidRPr="00B61FF1">
        <w:rPr>
          <w:rFonts w:ascii="Arial" w:hAnsi="Arial" w:cs="Arial"/>
          <w:sz w:val="24"/>
          <w:szCs w:val="24"/>
        </w:rPr>
        <w:t xml:space="preserve">may defer the second verification for twelve years, but verification of Offset Project Data Reports must be performed at least once every six years thereafter. </w:t>
      </w:r>
    </w:p>
    <w:p w14:paraId="682B815E" w14:textId="77777777" w:rsidR="00FE6A4C" w:rsidRPr="00B61FF1" w:rsidRDefault="00FE6A4C" w:rsidP="00FE6A4C">
      <w:pPr>
        <w:numPr>
          <w:ilvl w:val="0"/>
          <w:numId w:val="5"/>
        </w:numPr>
        <w:spacing w:line="360" w:lineRule="auto"/>
        <w:rPr>
          <w:rFonts w:ascii="Arial" w:hAnsi="Arial" w:cs="Arial"/>
          <w:sz w:val="24"/>
          <w:szCs w:val="24"/>
        </w:rPr>
      </w:pPr>
      <w:r w:rsidRPr="00B61FF1">
        <w:rPr>
          <w:rFonts w:ascii="Arial" w:hAnsi="Arial" w:cs="Arial"/>
          <w:sz w:val="24"/>
          <w:szCs w:val="24"/>
        </w:rPr>
        <w:t xml:space="preserve">Timing for Submittal of Offset Verification Statements to ARB or an Offset Project Registry.  Any Offset Verification Statement must be received by ARB or an Offset Project Registry within </w:t>
      </w:r>
      <w:r w:rsidRPr="00B61FF1">
        <w:rPr>
          <w:rFonts w:ascii="Arial" w:hAnsi="Arial" w:cs="Arial"/>
          <w:strike/>
          <w:sz w:val="24"/>
          <w:szCs w:val="24"/>
        </w:rPr>
        <w:t>nine</w:t>
      </w:r>
      <w:r w:rsidRPr="00B61FF1">
        <w:rPr>
          <w:rFonts w:ascii="Arial" w:hAnsi="Arial" w:cs="Arial"/>
          <w:sz w:val="24"/>
          <w:szCs w:val="24"/>
          <w:u w:val="single"/>
        </w:rPr>
        <w:t>eleven</w:t>
      </w:r>
      <w:r w:rsidRPr="00B61FF1">
        <w:rPr>
          <w:rFonts w:ascii="Arial" w:hAnsi="Arial" w:cs="Arial"/>
          <w:sz w:val="24"/>
          <w:szCs w:val="24"/>
        </w:rPr>
        <w:t xml:space="preserve"> months after the conclusion of the Reporting Period for which offset verification services were performed.  If the Offset Verification Statement is not submitted to ARB or an Offset Project Registry by the verification deadline, the GHG reductions and GHG removal enhancements quantified and reported in the Offset Project Data Report are not eligible to be issued ARB offset credits or registry offset credits.  </w:t>
      </w:r>
      <w:r w:rsidRPr="00B61FF1">
        <w:rPr>
          <w:rFonts w:ascii="Arial" w:hAnsi="Arial" w:cs="Arial"/>
          <w:sz w:val="24"/>
          <w:szCs w:val="24"/>
          <w:u w:val="single"/>
        </w:rPr>
        <w:t>The verification body must issue one Offset Verification Statement for each Offset Project Data Report that it verifies for the Offset Project Operator or Authorized Project Designee.</w:t>
      </w:r>
    </w:p>
    <w:p w14:paraId="680EDD9F" w14:textId="77777777" w:rsidR="00FE6A4C" w:rsidRPr="00B61FF1" w:rsidRDefault="00FE6A4C" w:rsidP="00FE6A4C">
      <w:pPr>
        <w:spacing w:line="360" w:lineRule="auto"/>
        <w:ind w:left="720"/>
        <w:rPr>
          <w:rFonts w:ascii="Arial" w:hAnsi="Arial" w:cs="Arial"/>
          <w:strike/>
          <w:sz w:val="24"/>
          <w:szCs w:val="24"/>
        </w:rPr>
      </w:pPr>
    </w:p>
    <w:p w14:paraId="1D58FAE0" w14:textId="77777777" w:rsidR="00FE6A4C" w:rsidRPr="00B61FF1" w:rsidRDefault="00FE6A4C" w:rsidP="00FE6A4C">
      <w:pPr>
        <w:pStyle w:val="ListParagraph"/>
        <w:ind w:left="0"/>
        <w:rPr>
          <w:rFonts w:ascii="Arial" w:hAnsi="Arial" w:cs="Arial"/>
        </w:rPr>
      </w:pPr>
      <w:r w:rsidRPr="00B61FF1">
        <w:rPr>
          <w:rFonts w:ascii="Arial" w:hAnsi="Arial" w:cs="Arial"/>
        </w:rPr>
        <w:t>NOTE:  Authority cited:  Sections 38510, 38560, 38562, 38570, 38571, 38580, 39600 and 39601, Health and Safety Code.</w:t>
      </w:r>
    </w:p>
    <w:p w14:paraId="799D1C3E" w14:textId="77777777" w:rsidR="00FE6A4C" w:rsidRPr="00B61FF1" w:rsidRDefault="00FE6A4C" w:rsidP="00FE6A4C">
      <w:pPr>
        <w:pStyle w:val="ListParagraph"/>
        <w:ind w:left="0"/>
        <w:rPr>
          <w:rFonts w:ascii="Arial" w:hAnsi="Arial" w:cs="Arial"/>
        </w:rPr>
      </w:pPr>
      <w:r w:rsidRPr="00B61FF1">
        <w:rPr>
          <w:rFonts w:ascii="Arial" w:hAnsi="Arial" w:cs="Arial"/>
        </w:rPr>
        <w:t>Reference:  Sections 38530, 38560.5, 38564, 38565, 38570 and 39600, Health and Safety Code.</w:t>
      </w:r>
    </w:p>
    <w:p w14:paraId="1B51718F" w14:textId="77777777" w:rsidR="00FE6A4C" w:rsidRPr="00B61FF1" w:rsidRDefault="00FE6A4C" w:rsidP="00FE6A4C">
      <w:pPr>
        <w:keepNext/>
        <w:spacing w:before="240" w:after="60" w:line="360" w:lineRule="auto"/>
        <w:outlineLvl w:val="1"/>
        <w:rPr>
          <w:rFonts w:ascii="Arial" w:hAnsi="Arial" w:cs="Arial"/>
          <w:b/>
          <w:bCs/>
          <w:iCs/>
          <w:sz w:val="24"/>
          <w:szCs w:val="24"/>
        </w:rPr>
      </w:pPr>
      <w:bookmarkStart w:id="551" w:name="_Toc291245701"/>
      <w:bookmarkStart w:id="552" w:name="_Toc294275148"/>
      <w:bookmarkStart w:id="553" w:name="_Toc294863578"/>
      <w:bookmarkStart w:id="554" w:name="_Toc299094977"/>
      <w:bookmarkStart w:id="555" w:name="_Toc299095094"/>
      <w:bookmarkStart w:id="556" w:name="_Toc302746831"/>
      <w:bookmarkStart w:id="557" w:name="_Toc361659894"/>
      <w:r w:rsidRPr="00B61FF1">
        <w:rPr>
          <w:rFonts w:ascii="Arial" w:hAnsi="Arial" w:cs="Arial"/>
          <w:b/>
          <w:bCs/>
          <w:iCs/>
          <w:sz w:val="24"/>
          <w:szCs w:val="24"/>
        </w:rPr>
        <w:t>§ 95977.1.  Requirements for Offset Verification Services</w:t>
      </w:r>
      <w:bookmarkEnd w:id="551"/>
      <w:bookmarkEnd w:id="552"/>
      <w:bookmarkEnd w:id="553"/>
      <w:r w:rsidRPr="00B61FF1">
        <w:rPr>
          <w:rFonts w:ascii="Arial" w:hAnsi="Arial" w:cs="Arial"/>
          <w:b/>
          <w:bCs/>
          <w:iCs/>
          <w:sz w:val="24"/>
          <w:szCs w:val="24"/>
        </w:rPr>
        <w:t>.</w:t>
      </w:r>
      <w:bookmarkEnd w:id="554"/>
      <w:bookmarkEnd w:id="555"/>
      <w:bookmarkEnd w:id="556"/>
      <w:bookmarkEnd w:id="557"/>
    </w:p>
    <w:p w14:paraId="1E7E3851" w14:textId="77777777" w:rsidR="00FE6A4C" w:rsidRPr="00B61FF1" w:rsidRDefault="00FE6A4C" w:rsidP="00FE6A4C">
      <w:pPr>
        <w:tabs>
          <w:tab w:val="left" w:pos="0"/>
        </w:tabs>
        <w:spacing w:line="360" w:lineRule="auto"/>
        <w:ind w:left="81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Rotation of Verification Bodies.  An offset project shall not have more than six consecutive </w:t>
      </w:r>
      <w:r w:rsidRPr="00B61FF1">
        <w:rPr>
          <w:rFonts w:ascii="Arial" w:hAnsi="Arial" w:cs="Arial"/>
          <w:strike/>
          <w:sz w:val="24"/>
          <w:szCs w:val="24"/>
        </w:rPr>
        <w:t>years of offset project data</w:t>
      </w:r>
      <w:r w:rsidRPr="00B61FF1">
        <w:rPr>
          <w:rFonts w:ascii="Arial" w:hAnsi="Arial" w:cs="Arial"/>
          <w:sz w:val="24"/>
          <w:szCs w:val="24"/>
          <w:u w:val="single"/>
        </w:rPr>
        <w:t>Reporting Periods</w:t>
      </w:r>
      <w:r w:rsidRPr="00B61FF1">
        <w:rPr>
          <w:rFonts w:ascii="Arial" w:hAnsi="Arial" w:cs="Arial"/>
          <w:sz w:val="24"/>
          <w:szCs w:val="24"/>
        </w:rPr>
        <w:t xml:space="preserve"> verified by the same verification body or verifier(s)</w:t>
      </w:r>
      <w:r w:rsidRPr="00B61FF1">
        <w:rPr>
          <w:rFonts w:ascii="Arial" w:hAnsi="Arial" w:cs="Arial"/>
          <w:sz w:val="24"/>
          <w:szCs w:val="24"/>
          <w:u w:val="single"/>
        </w:rPr>
        <w:t>, unless otherwise specified in section 95977.1(a)(1) or (a)(2)</w:t>
      </w:r>
      <w:r w:rsidRPr="00B61FF1">
        <w:rPr>
          <w:rFonts w:ascii="Arial" w:hAnsi="Arial" w:cs="Arial"/>
          <w:sz w:val="24"/>
          <w:szCs w:val="24"/>
        </w:rPr>
        <w:t xml:space="preserve">.  An Offset Project Operator or Authorized Project Designee may contract with a previous verification body or verifier(s) only if at least three </w:t>
      </w:r>
      <w:r w:rsidRPr="00B61FF1">
        <w:rPr>
          <w:rFonts w:ascii="Arial" w:hAnsi="Arial" w:cs="Arial"/>
          <w:strike/>
          <w:sz w:val="24"/>
          <w:szCs w:val="24"/>
        </w:rPr>
        <w:t>years of the offset project data</w:t>
      </w:r>
      <w:r w:rsidRPr="00B61FF1">
        <w:rPr>
          <w:rFonts w:ascii="Arial" w:hAnsi="Arial" w:cs="Arial"/>
          <w:sz w:val="24"/>
          <w:szCs w:val="24"/>
          <w:u w:val="single"/>
        </w:rPr>
        <w:t>consecutive Reporting Periods</w:t>
      </w:r>
      <w:r w:rsidRPr="00B61FF1">
        <w:rPr>
          <w:rFonts w:ascii="Arial" w:hAnsi="Arial" w:cs="Arial"/>
          <w:sz w:val="24"/>
          <w:szCs w:val="24"/>
        </w:rPr>
        <w:t xml:space="preserve"> have been verified by a different verification body or verifier(s) before the previous verification body is selected again</w:t>
      </w:r>
      <w:r w:rsidRPr="00B61FF1">
        <w:rPr>
          <w:rFonts w:ascii="Arial" w:hAnsi="Arial" w:cs="Arial"/>
          <w:sz w:val="24"/>
          <w:szCs w:val="24"/>
          <w:u w:val="single"/>
        </w:rPr>
        <w:t>, unless otherwise specified in section 95977.1(a)(1) or (a)(2)</w:t>
      </w:r>
      <w:r w:rsidRPr="00B61FF1">
        <w:rPr>
          <w:rFonts w:ascii="Arial" w:hAnsi="Arial" w:cs="Arial"/>
          <w:sz w:val="24"/>
          <w:szCs w:val="24"/>
        </w:rPr>
        <w:t xml:space="preserve">.  The </w:t>
      </w:r>
      <w:r w:rsidRPr="00B61FF1">
        <w:rPr>
          <w:rFonts w:ascii="Arial" w:hAnsi="Arial" w:cs="Arial"/>
          <w:strike/>
          <w:sz w:val="24"/>
          <w:szCs w:val="24"/>
        </w:rPr>
        <w:t>six year</w:t>
      </w:r>
      <w:r w:rsidRPr="00B61FF1">
        <w:rPr>
          <w:rFonts w:ascii="Arial" w:hAnsi="Arial" w:cs="Arial"/>
          <w:sz w:val="24"/>
          <w:szCs w:val="24"/>
        </w:rPr>
        <w:t xml:space="preserve"> rotation requirement</w:t>
      </w:r>
      <w:r w:rsidRPr="00B61FF1">
        <w:rPr>
          <w:rFonts w:ascii="Arial" w:hAnsi="Arial" w:cs="Arial"/>
          <w:sz w:val="24"/>
          <w:szCs w:val="24"/>
          <w:u w:val="single"/>
        </w:rPr>
        <w:t>s in this section are</w:t>
      </w:r>
      <w:r w:rsidRPr="00B61FF1">
        <w:rPr>
          <w:rFonts w:ascii="Arial" w:hAnsi="Arial" w:cs="Arial"/>
          <w:strike/>
          <w:sz w:val="24"/>
          <w:szCs w:val="24"/>
        </w:rPr>
        <w:t>is</w:t>
      </w:r>
      <w:r w:rsidRPr="00B61FF1">
        <w:rPr>
          <w:rFonts w:ascii="Arial" w:hAnsi="Arial" w:cs="Arial"/>
          <w:sz w:val="24"/>
          <w:szCs w:val="24"/>
        </w:rPr>
        <w:t xml:space="preserve"> applied between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and the verification body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verifier(s) on an offset project basis. </w:t>
      </w:r>
    </w:p>
    <w:p w14:paraId="6B434C32" w14:textId="77777777" w:rsidR="00FE6A4C" w:rsidRPr="00B61FF1" w:rsidRDefault="00FE6A4C" w:rsidP="00FE6A4C">
      <w:pPr>
        <w:spacing w:line="360" w:lineRule="auto"/>
        <w:ind w:left="1170" w:hanging="81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For offset projects developed under the Compliance Offset Protocol Ozone Depleting Substances Projects, October 20, 2011, the following shall apply:  An Offset Project Operator or Authorized Project Designee shall not have more than six offset projects verified by the same verification body and verifier(s).  An Offset Project Operator or Authorized Project Designee may contract with a previous verification body and verifier(s) only if at least three consecutive offset projects have been verified by a different verification body or verifier(s) before the previous verification body is selected again.</w:t>
      </w:r>
    </w:p>
    <w:p w14:paraId="0FCF1307" w14:textId="43E3F829" w:rsidR="00FE6A4C" w:rsidRPr="00B61FF1" w:rsidRDefault="00FE6A4C" w:rsidP="00FE6A4C">
      <w:pPr>
        <w:spacing w:line="360" w:lineRule="auto"/>
        <w:ind w:left="1170" w:hanging="81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For reforestation offset projects developed under</w:t>
      </w:r>
      <w:r w:rsidR="009B7909" w:rsidRPr="00B61FF1">
        <w:rPr>
          <w:rFonts w:ascii="Arial" w:hAnsi="Arial" w:cs="Arial"/>
          <w:sz w:val="24"/>
          <w:szCs w:val="24"/>
          <w:u w:val="single"/>
        </w:rPr>
        <w:t xml:space="preserve">, </w:t>
      </w:r>
      <w:r w:rsidR="001F3A12" w:rsidRPr="00B61FF1">
        <w:rPr>
          <w:rFonts w:ascii="Arial" w:hAnsi="Arial" w:cs="Arial"/>
          <w:sz w:val="24"/>
          <w:szCs w:val="24"/>
          <w:u w:val="single"/>
        </w:rPr>
        <w:t>and meeting the requirements</w:t>
      </w:r>
      <w:r w:rsidR="009B7909" w:rsidRPr="00B61FF1">
        <w:rPr>
          <w:rFonts w:ascii="Arial" w:hAnsi="Arial" w:cs="Arial"/>
          <w:sz w:val="24"/>
          <w:szCs w:val="24"/>
          <w:u w:val="single"/>
        </w:rPr>
        <w:t xml:space="preserve"> of,</w:t>
      </w:r>
      <w:r w:rsidRPr="00B61FF1">
        <w:rPr>
          <w:rFonts w:ascii="Arial" w:hAnsi="Arial" w:cs="Arial"/>
          <w:sz w:val="24"/>
          <w:szCs w:val="24"/>
          <w:u w:val="single"/>
        </w:rPr>
        <w:t xml:space="preserve"> the Compliance Offset Protocol U.S. Forest Projects, October 20, 2011, and urban forest offset projects developed under, and meet</w:t>
      </w:r>
      <w:r w:rsidR="009B7909" w:rsidRPr="00B61FF1">
        <w:rPr>
          <w:rFonts w:ascii="Arial" w:hAnsi="Arial" w:cs="Arial"/>
          <w:sz w:val="24"/>
          <w:szCs w:val="24"/>
          <w:u w:val="single"/>
        </w:rPr>
        <w:t>ing</w:t>
      </w:r>
      <w:r w:rsidRPr="00B61FF1">
        <w:rPr>
          <w:rFonts w:ascii="Arial" w:hAnsi="Arial" w:cs="Arial"/>
          <w:sz w:val="24"/>
          <w:szCs w:val="24"/>
          <w:u w:val="single"/>
        </w:rPr>
        <w:t xml:space="preserve"> the requirements </w:t>
      </w:r>
      <w:r w:rsidR="009B7909" w:rsidRPr="00B61FF1">
        <w:rPr>
          <w:rFonts w:ascii="Arial" w:hAnsi="Arial" w:cs="Arial"/>
          <w:sz w:val="24"/>
          <w:szCs w:val="24"/>
          <w:u w:val="single"/>
        </w:rPr>
        <w:t>of</w:t>
      </w:r>
      <w:r w:rsidRPr="00B61FF1">
        <w:rPr>
          <w:rFonts w:ascii="Arial" w:hAnsi="Arial" w:cs="Arial"/>
          <w:sz w:val="24"/>
          <w:szCs w:val="24"/>
          <w:u w:val="single"/>
        </w:rPr>
        <w:t xml:space="preserve">, the Compliance Offset Protocol Urban Forest Projects, October 20, 2011, the following shall apply:  An Offset Project Operator or Authorized Project Designee that has deferred the second verification for 12 years may have up to 13 Offset Project Data Reports verified by the same verification body and verifier(s).  If an Offset Project Operator or Authorized Project Designee has not deferred the second verification to 12 years, the requirements in section 95977.1(a) for rotation of verification bodies and verifier(s) shall apply.  An Offset Project Operator or Authorized Project Designee may contract with a previous verification body and verifier(s) only if at least three consecutive Offset Project Data Reports have been verified by a different verification body or verifier(s) before the previous verification body is selected again. </w:t>
      </w:r>
    </w:p>
    <w:p w14:paraId="1619A69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Offset Verification Services.  Offset Verification Services shall be subject to the following requirements.</w:t>
      </w:r>
    </w:p>
    <w:p w14:paraId="7117FD4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Notice of Offset Verification Services for Offset Projects.  Before offset verification services</w:t>
      </w:r>
      <w:r w:rsidRPr="00B61FF1">
        <w:rPr>
          <w:rFonts w:ascii="Arial" w:hAnsi="Arial" w:cs="Arial"/>
          <w:sz w:val="24"/>
          <w:szCs w:val="24"/>
          <w:u w:val="single"/>
        </w:rPr>
        <w:t>, as defined in section 95977.1(b)(3),</w:t>
      </w:r>
      <w:r w:rsidRPr="00B61FF1">
        <w:rPr>
          <w:rFonts w:ascii="Arial" w:hAnsi="Arial" w:cs="Arial"/>
          <w:sz w:val="24"/>
          <w:szCs w:val="24"/>
        </w:rPr>
        <w:t xml:space="preserve"> may begin, the verification body must submit a Notice of Offset Verification Services to ARB and an Offset Project Registry, if applicable.  The verification body may begin offset verification services for the Offset Project Operator or Authorized Project Designee </w:t>
      </w:r>
      <w:r w:rsidRPr="00B61FF1">
        <w:rPr>
          <w:rFonts w:ascii="Arial" w:hAnsi="Arial" w:cs="Arial"/>
          <w:strike/>
          <w:sz w:val="24"/>
          <w:szCs w:val="24"/>
        </w:rPr>
        <w:t>10 working</w:t>
      </w:r>
      <w:r w:rsidRPr="00B61FF1">
        <w:rPr>
          <w:rFonts w:ascii="Arial" w:hAnsi="Arial" w:cs="Arial"/>
          <w:sz w:val="24"/>
          <w:szCs w:val="24"/>
          <w:u w:val="single"/>
        </w:rPr>
        <w:t xml:space="preserve">30 calendar </w:t>
      </w:r>
      <w:r w:rsidRPr="00B61FF1">
        <w:rPr>
          <w:rFonts w:ascii="Arial" w:hAnsi="Arial" w:cs="Arial"/>
          <w:sz w:val="24"/>
          <w:szCs w:val="24"/>
        </w:rPr>
        <w:t xml:space="preserve">days after the Notice for Offset Verification Services is received by ARB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the Offset Project Registry, or earlier, if approved by ARB in writing. The Notice </w:t>
      </w:r>
      <w:r w:rsidRPr="00B61FF1">
        <w:rPr>
          <w:rFonts w:ascii="Arial" w:hAnsi="Arial" w:cs="Arial"/>
          <w:strike/>
          <w:sz w:val="24"/>
          <w:szCs w:val="24"/>
        </w:rPr>
        <w:t>for</w:t>
      </w:r>
      <w:r w:rsidRPr="00B61FF1">
        <w:rPr>
          <w:rFonts w:ascii="Arial" w:hAnsi="Arial" w:cs="Arial"/>
          <w:sz w:val="24"/>
          <w:szCs w:val="24"/>
          <w:u w:val="single"/>
        </w:rPr>
        <w:t>of</w:t>
      </w:r>
      <w:r w:rsidRPr="00B61FF1">
        <w:rPr>
          <w:rFonts w:ascii="Arial" w:hAnsi="Arial" w:cs="Arial"/>
          <w:sz w:val="24"/>
          <w:szCs w:val="24"/>
        </w:rPr>
        <w:t xml:space="preserve"> Offset Verification Services must include the following information:</w:t>
      </w:r>
    </w:p>
    <w:p w14:paraId="405BE57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name of the offset project type, including the length of the offset project crediting period, and title of the Compliance Offset Protocol used to implement the offset project;</w:t>
      </w:r>
    </w:p>
    <w:p w14:paraId="207E858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 list of staff who will be designated to provide offset verification services as part of an offset verification team, including the names of each designated staff member, the lead verifier, independent reviewer, all subcontractors, and a description of the roles and responsibilities each team member will have during the offset verification process;</w:t>
      </w:r>
    </w:p>
    <w:p w14:paraId="30D6807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Documentation that the offset verification team has the skills required to provide offset verification services for the Offset Project Operator or Authorized Project Designee.  At least one offset verification team member must be accredited by ARB as an offset project specific verifier for an offset project of that type; and</w:t>
      </w:r>
    </w:p>
    <w:p w14:paraId="300A191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General information on the Offset Project Operator or Authorized Project Designee, including:</w:t>
      </w:r>
    </w:p>
    <w:p w14:paraId="0E713703"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name of the Offset Project Operator or Authorized Project Designee, including contact information, address, telephone number, and email address;</w:t>
      </w:r>
    </w:p>
    <w:p w14:paraId="285835A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The locations that will be subject to offset verification services; </w:t>
      </w:r>
    </w:p>
    <w:p w14:paraId="5B0EE6B0"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date(s) of on-site visits, with address and contact information; and</w:t>
      </w:r>
    </w:p>
    <w:p w14:paraId="65B4CF6B"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A brief description of expected offset verification services to be performed, including expected completion date.</w:t>
      </w:r>
    </w:p>
    <w:p w14:paraId="648621C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If any information submitted pursuant to sections 95977.1(b)(1)(B) and 95977.1(b)(1)(D) changes after the Notice for Offset Verification Services is submitted to ARB and the Offset Project Registry, if applicable, the verification body must notify ARB and the Offset Project Registry by submitting an updated </w:t>
      </w:r>
      <w:r w:rsidRPr="00B61FF1">
        <w:rPr>
          <w:rFonts w:ascii="Arial" w:hAnsi="Arial" w:cs="Arial"/>
          <w:strike/>
          <w:sz w:val="24"/>
          <w:szCs w:val="24"/>
        </w:rPr>
        <w:t>conflict of interest self-evaluation form</w:t>
      </w:r>
      <w:r w:rsidRPr="00B61FF1">
        <w:rPr>
          <w:rFonts w:ascii="Arial" w:hAnsi="Arial" w:cs="Arial"/>
          <w:sz w:val="24"/>
          <w:szCs w:val="24"/>
          <w:u w:val="single"/>
        </w:rPr>
        <w:t>Notice of Offset Verification Services</w:t>
      </w:r>
      <w:r w:rsidRPr="00B61FF1">
        <w:rPr>
          <w:rFonts w:ascii="Arial" w:hAnsi="Arial" w:cs="Arial"/>
          <w:sz w:val="24"/>
          <w:szCs w:val="24"/>
        </w:rPr>
        <w:t xml:space="preserve"> as soon as the change is made, but, at least five days prior to the start of offset verification services.  If any information submitted pursuant to sections 95977.1(b)(1)(B) and 95977.1(b)(1)(D) changes during offset verification services, the verification body must notify ARB and the Offset Project Registry, if applicable. In either instance, the </w:t>
      </w:r>
      <w:r w:rsidRPr="00B61FF1">
        <w:rPr>
          <w:rFonts w:ascii="Arial" w:hAnsi="Arial" w:cs="Arial"/>
          <w:strike/>
          <w:sz w:val="24"/>
          <w:szCs w:val="24"/>
        </w:rPr>
        <w:t>conflict of interest</w:t>
      </w:r>
      <w:r w:rsidRPr="00B61FF1">
        <w:rPr>
          <w:rFonts w:ascii="Arial" w:hAnsi="Arial" w:cs="Arial"/>
          <w:sz w:val="24"/>
          <w:szCs w:val="24"/>
          <w:u w:val="single"/>
        </w:rPr>
        <w:t>Notice of Offset Verification Services</w:t>
      </w:r>
      <w:r w:rsidRPr="00B61FF1">
        <w:rPr>
          <w:rFonts w:ascii="Arial" w:hAnsi="Arial" w:cs="Arial"/>
          <w:sz w:val="24"/>
          <w:szCs w:val="24"/>
        </w:rPr>
        <w:t xml:space="preserve"> must be resubmitted to ARB </w:t>
      </w:r>
      <w:r w:rsidRPr="00B61FF1">
        <w:rPr>
          <w:rFonts w:ascii="Arial" w:hAnsi="Arial" w:cs="Arial"/>
          <w:sz w:val="24"/>
          <w:szCs w:val="24"/>
          <w:u w:val="single"/>
        </w:rPr>
        <w:t>and</w:t>
      </w:r>
      <w:r w:rsidRPr="00B61FF1">
        <w:rPr>
          <w:rFonts w:ascii="Arial" w:hAnsi="Arial" w:cs="Arial"/>
          <w:strike/>
          <w:sz w:val="24"/>
          <w:szCs w:val="24"/>
        </w:rPr>
        <w:t>or</w:t>
      </w:r>
      <w:r w:rsidRPr="00B61FF1">
        <w:rPr>
          <w:rFonts w:ascii="Arial" w:hAnsi="Arial" w:cs="Arial"/>
          <w:sz w:val="24"/>
          <w:szCs w:val="24"/>
        </w:rPr>
        <w:t xml:space="preserve"> the Offset Project Registry, as applicable. </w:t>
      </w:r>
    </w:p>
    <w:p w14:paraId="08CA83F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Offset verification services must include the following: </w:t>
      </w:r>
    </w:p>
    <w:p w14:paraId="5C358F2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Offset Verification Plan.  The Offset Project Operator or Authorized Project Designee must submit the following information necessary to develop an Offset Verification Plan</w:t>
      </w:r>
      <w:r w:rsidRPr="00B61FF1">
        <w:rPr>
          <w:rFonts w:ascii="Arial" w:hAnsi="Arial" w:cs="Arial"/>
          <w:sz w:val="24"/>
          <w:szCs w:val="24"/>
          <w:u w:val="single"/>
        </w:rPr>
        <w:t xml:space="preserve"> to the offset verification team</w:t>
      </w:r>
      <w:r w:rsidRPr="00B61FF1">
        <w:rPr>
          <w:rFonts w:ascii="Arial" w:hAnsi="Arial" w:cs="Arial"/>
          <w:sz w:val="24"/>
          <w:szCs w:val="24"/>
        </w:rPr>
        <w:t>:</w:t>
      </w:r>
    </w:p>
    <w:p w14:paraId="0DC248CE"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Information to allow the offset verification team to develop a general understanding of offset project boundaries, operations, project baseline emissions, and annual GHG reductions and GHG removal enhancements;</w:t>
      </w:r>
    </w:p>
    <w:p w14:paraId="716FB4B0"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Information regarding the training or qualifications of personnel involved in developing the Offset Project Data Report;</w:t>
      </w:r>
    </w:p>
    <w:p w14:paraId="6573CA6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name and date of the Compliance Offset Protocol used to quantify and report project baselines, GHG reductions, GHG removal enhancements, and other required data as applicable in the Compliance Offset Protocol; and</w:t>
      </w:r>
    </w:p>
    <w:p w14:paraId="2629DFF7"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Information about any data management system, offset project monitoring system, and models used to track project baselines, GHG reductions, GHG removal enhancements, and other required data as applicable in the Compliance Offset Protocol.</w:t>
      </w:r>
    </w:p>
    <w:p w14:paraId="2F81BFD4"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trike/>
          <w:sz w:val="24"/>
          <w:szCs w:val="24"/>
        </w:rPr>
        <w:t>(B)</w:t>
      </w:r>
      <w:r w:rsidRPr="00B61FF1">
        <w:rPr>
          <w:rFonts w:ascii="Arial" w:hAnsi="Arial" w:cs="Arial"/>
          <w:sz w:val="24"/>
          <w:szCs w:val="24"/>
          <w:u w:val="single"/>
        </w:rPr>
        <w:t>5.</w:t>
      </w:r>
      <w:r w:rsidRPr="00B61FF1">
        <w:rPr>
          <w:rFonts w:ascii="Arial" w:hAnsi="Arial" w:cs="Arial"/>
          <w:sz w:val="24"/>
          <w:szCs w:val="24"/>
          <w:u w:val="single"/>
        </w:rPr>
        <w:tab/>
      </w:r>
      <w:r w:rsidRPr="00B61FF1">
        <w:rPr>
          <w:rFonts w:ascii="Arial" w:hAnsi="Arial" w:cs="Arial"/>
          <w:sz w:val="24"/>
          <w:szCs w:val="24"/>
        </w:rPr>
        <w:t xml:space="preserve">Timing of Offset Verification Services.  </w:t>
      </w:r>
      <w:r w:rsidRPr="00B61FF1">
        <w:rPr>
          <w:rFonts w:ascii="Arial" w:hAnsi="Arial" w:cs="Arial"/>
          <w:sz w:val="24"/>
          <w:szCs w:val="24"/>
          <w:u w:val="single"/>
        </w:rPr>
        <w:t>The Offset Verification Plan</w:t>
      </w:r>
      <w:r w:rsidRPr="00B61FF1">
        <w:rPr>
          <w:rFonts w:ascii="Arial" w:hAnsi="Arial" w:cs="Arial"/>
          <w:strike/>
          <w:sz w:val="24"/>
          <w:szCs w:val="24"/>
        </w:rPr>
        <w:t>Such information</w:t>
      </w:r>
      <w:r w:rsidRPr="00B61FF1">
        <w:rPr>
          <w:rFonts w:ascii="Arial" w:hAnsi="Arial" w:cs="Arial"/>
          <w:sz w:val="24"/>
          <w:szCs w:val="24"/>
        </w:rPr>
        <w:t xml:space="preserve"> shall </w:t>
      </w:r>
      <w:r w:rsidRPr="00B61FF1">
        <w:rPr>
          <w:rFonts w:ascii="Arial" w:hAnsi="Arial" w:cs="Arial"/>
          <w:sz w:val="24"/>
          <w:szCs w:val="24"/>
          <w:u w:val="single"/>
        </w:rPr>
        <w:t xml:space="preserve">also </w:t>
      </w:r>
      <w:r w:rsidRPr="00B61FF1">
        <w:rPr>
          <w:rFonts w:ascii="Arial" w:hAnsi="Arial" w:cs="Arial"/>
          <w:sz w:val="24"/>
          <w:szCs w:val="24"/>
        </w:rPr>
        <w:t>include</w:t>
      </w:r>
      <w:r w:rsidRPr="00B61FF1">
        <w:rPr>
          <w:rFonts w:ascii="Arial" w:hAnsi="Arial" w:cs="Arial"/>
          <w:sz w:val="24"/>
          <w:szCs w:val="24"/>
          <w:u w:val="single"/>
        </w:rPr>
        <w:t xml:space="preserve"> the following information</w:t>
      </w:r>
      <w:r w:rsidRPr="00B61FF1">
        <w:rPr>
          <w:rFonts w:ascii="Arial" w:hAnsi="Arial" w:cs="Arial"/>
          <w:sz w:val="24"/>
          <w:szCs w:val="24"/>
        </w:rPr>
        <w:t>:</w:t>
      </w:r>
    </w:p>
    <w:p w14:paraId="1FA8EB3B"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trike/>
          <w:sz w:val="24"/>
          <w:szCs w:val="24"/>
        </w:rPr>
        <w:t>1</w:t>
      </w:r>
      <w:r w:rsidRPr="00B61FF1">
        <w:rPr>
          <w:rFonts w:ascii="Arial" w:hAnsi="Arial" w:cs="Arial"/>
          <w:sz w:val="24"/>
          <w:szCs w:val="24"/>
          <w:u w:val="single"/>
        </w:rPr>
        <w:t>a</w:t>
      </w:r>
      <w:r w:rsidRPr="00B61FF1">
        <w:rPr>
          <w:rFonts w:ascii="Arial" w:hAnsi="Arial" w:cs="Arial"/>
          <w:sz w:val="24"/>
          <w:szCs w:val="24"/>
        </w:rPr>
        <w:t>.</w:t>
      </w:r>
      <w:r w:rsidRPr="00B61FF1">
        <w:rPr>
          <w:rFonts w:ascii="Arial" w:hAnsi="Arial" w:cs="Arial"/>
          <w:sz w:val="24"/>
          <w:szCs w:val="24"/>
        </w:rPr>
        <w:tab/>
        <w:t>Dates of proposed meetings and interviews with personnel related to the offset project;</w:t>
      </w:r>
    </w:p>
    <w:p w14:paraId="2E54E74A" w14:textId="77777777" w:rsidR="00FE6A4C" w:rsidRPr="00B61FF1" w:rsidRDefault="00FE6A4C" w:rsidP="00FE6A4C">
      <w:pPr>
        <w:tabs>
          <w:tab w:val="left" w:pos="1890"/>
        </w:tabs>
        <w:spacing w:line="360" w:lineRule="auto"/>
        <w:ind w:left="2880" w:hanging="720"/>
        <w:rPr>
          <w:rFonts w:ascii="Arial" w:hAnsi="Arial" w:cs="Arial"/>
          <w:sz w:val="24"/>
          <w:szCs w:val="24"/>
        </w:rPr>
      </w:pPr>
      <w:r w:rsidRPr="00B61FF1">
        <w:rPr>
          <w:rFonts w:ascii="Arial" w:hAnsi="Arial" w:cs="Arial"/>
          <w:strike/>
          <w:sz w:val="24"/>
          <w:szCs w:val="24"/>
        </w:rPr>
        <w:t>2</w:t>
      </w:r>
      <w:r w:rsidRPr="00B61FF1">
        <w:rPr>
          <w:rFonts w:ascii="Arial" w:hAnsi="Arial" w:cs="Arial"/>
          <w:sz w:val="24"/>
          <w:szCs w:val="24"/>
          <w:u w:val="single"/>
        </w:rPr>
        <w:t>b</w:t>
      </w:r>
      <w:r w:rsidRPr="00B61FF1">
        <w:rPr>
          <w:rFonts w:ascii="Arial" w:hAnsi="Arial" w:cs="Arial"/>
          <w:sz w:val="24"/>
          <w:szCs w:val="24"/>
        </w:rPr>
        <w:t>.</w:t>
      </w:r>
      <w:r w:rsidRPr="00B61FF1">
        <w:rPr>
          <w:rFonts w:ascii="Arial" w:hAnsi="Arial" w:cs="Arial"/>
          <w:sz w:val="24"/>
          <w:szCs w:val="24"/>
        </w:rPr>
        <w:tab/>
        <w:t>Dates of proposed site visits;</w:t>
      </w:r>
    </w:p>
    <w:p w14:paraId="0A39C5D9"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trike/>
          <w:sz w:val="24"/>
          <w:szCs w:val="24"/>
        </w:rPr>
        <w:t>3</w:t>
      </w:r>
      <w:r w:rsidRPr="00B61FF1">
        <w:rPr>
          <w:rFonts w:ascii="Arial" w:hAnsi="Arial" w:cs="Arial"/>
          <w:sz w:val="24"/>
          <w:szCs w:val="24"/>
          <w:u w:val="single"/>
        </w:rPr>
        <w:t>c</w:t>
      </w:r>
      <w:r w:rsidRPr="00B61FF1">
        <w:rPr>
          <w:rFonts w:ascii="Arial" w:hAnsi="Arial" w:cs="Arial"/>
          <w:sz w:val="24"/>
          <w:szCs w:val="24"/>
        </w:rPr>
        <w:t>.</w:t>
      </w:r>
      <w:r w:rsidRPr="00B61FF1">
        <w:rPr>
          <w:rFonts w:ascii="Arial" w:hAnsi="Arial" w:cs="Arial"/>
          <w:sz w:val="24"/>
          <w:szCs w:val="24"/>
        </w:rPr>
        <w:tab/>
        <w:t xml:space="preserve">Types of proposed document and data reviews; and </w:t>
      </w:r>
    </w:p>
    <w:p w14:paraId="6567BFA4"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trike/>
          <w:sz w:val="24"/>
          <w:szCs w:val="24"/>
        </w:rPr>
        <w:t>4</w:t>
      </w:r>
      <w:r w:rsidRPr="00B61FF1">
        <w:rPr>
          <w:rFonts w:ascii="Arial" w:hAnsi="Arial" w:cs="Arial"/>
          <w:sz w:val="24"/>
          <w:szCs w:val="24"/>
          <w:u w:val="single"/>
        </w:rPr>
        <w:t>d</w:t>
      </w:r>
      <w:r w:rsidRPr="00B61FF1">
        <w:rPr>
          <w:rFonts w:ascii="Arial" w:hAnsi="Arial" w:cs="Arial"/>
          <w:sz w:val="24"/>
          <w:szCs w:val="24"/>
        </w:rPr>
        <w:t>.</w:t>
      </w:r>
      <w:r w:rsidRPr="00B61FF1">
        <w:rPr>
          <w:rFonts w:ascii="Arial" w:hAnsi="Arial" w:cs="Arial"/>
          <w:sz w:val="24"/>
          <w:szCs w:val="24"/>
        </w:rPr>
        <w:tab/>
        <w:t>Expected date for completing offset verification services.</w:t>
      </w:r>
    </w:p>
    <w:p w14:paraId="582FDE0E" w14:textId="3DE3F921"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C</w:t>
      </w:r>
      <w:r w:rsidR="009B7909" w:rsidRPr="00B61FF1">
        <w:rPr>
          <w:rFonts w:ascii="Arial" w:hAnsi="Arial" w:cs="Arial"/>
          <w:sz w:val="24"/>
          <w:szCs w:val="24"/>
          <w:u w:val="single"/>
        </w:rPr>
        <w:t>B</w:t>
      </w:r>
      <w:r w:rsidRPr="00B61FF1">
        <w:rPr>
          <w:rFonts w:ascii="Arial" w:hAnsi="Arial" w:cs="Arial"/>
          <w:sz w:val="24"/>
          <w:szCs w:val="24"/>
        </w:rPr>
        <w:t>)</w:t>
      </w:r>
      <w:r w:rsidRPr="00B61FF1">
        <w:rPr>
          <w:rFonts w:ascii="Arial" w:hAnsi="Arial" w:cs="Arial"/>
          <w:sz w:val="24"/>
          <w:szCs w:val="24"/>
        </w:rPr>
        <w:tab/>
        <w:t>Planning Meetings with the Offset Project Operator or Authorized Project Designee.  The offset verification team must discuss with the Offset Project Operator or Authorized Project Designee the scope of the offset verification services and request any information and documents needed for initial offset verification services.  The offset verification team must review the documents submitted and plan and conduct a review of original documents and supporting data for the Offset Project Data Report.</w:t>
      </w:r>
      <w:r w:rsidRPr="00B61FF1">
        <w:rPr>
          <w:rFonts w:ascii="Arial" w:hAnsi="Arial" w:cs="Arial"/>
          <w:sz w:val="24"/>
          <w:szCs w:val="24"/>
          <w:u w:val="single"/>
        </w:rPr>
        <w:t xml:space="preserve">  Any discussions or meetings to secure an offset verification services contract or collect preliminary project documents to bid the offset verification services may occur prior to submitting the Notice of Offset Verification Services pursuant to section 95977.1(b)(1).</w:t>
      </w:r>
    </w:p>
    <w:p w14:paraId="3F669302" w14:textId="6DD94DB6"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D</w:t>
      </w:r>
      <w:r w:rsidR="009B7909" w:rsidRPr="00B61FF1">
        <w:rPr>
          <w:rFonts w:ascii="Arial" w:hAnsi="Arial" w:cs="Arial"/>
          <w:sz w:val="24"/>
          <w:szCs w:val="24"/>
          <w:u w:val="single"/>
        </w:rPr>
        <w:t>C</w:t>
      </w:r>
      <w:r w:rsidRPr="00B61FF1">
        <w:rPr>
          <w:rFonts w:ascii="Arial" w:hAnsi="Arial" w:cs="Arial"/>
          <w:sz w:val="24"/>
          <w:szCs w:val="24"/>
        </w:rPr>
        <w:t>)</w:t>
      </w:r>
      <w:r w:rsidRPr="00B61FF1">
        <w:rPr>
          <w:rFonts w:ascii="Arial" w:hAnsi="Arial" w:cs="Arial"/>
          <w:sz w:val="24"/>
          <w:szCs w:val="24"/>
        </w:rPr>
        <w:tab/>
        <w:t xml:space="preserve">Site Visits for Offset Projects.  For a non-sequestration offset project, at least one accredited offset verifier in the offset verification team, including the offset project specific verifier, must make at least one site visit </w:t>
      </w:r>
      <w:r w:rsidRPr="00B61FF1">
        <w:rPr>
          <w:rFonts w:ascii="Arial" w:hAnsi="Arial" w:cs="Arial"/>
          <w:strike/>
          <w:sz w:val="24"/>
          <w:szCs w:val="24"/>
        </w:rPr>
        <w:t>every year to</w:t>
      </w:r>
      <w:r w:rsidRPr="00B61FF1">
        <w:rPr>
          <w:rFonts w:ascii="Arial" w:hAnsi="Arial" w:cs="Arial"/>
          <w:sz w:val="24"/>
          <w:szCs w:val="24"/>
        </w:rPr>
        <w:t xml:space="preserve"> </w:t>
      </w:r>
      <w:r w:rsidRPr="00B61FF1">
        <w:rPr>
          <w:rFonts w:ascii="Arial" w:hAnsi="Arial" w:cs="Arial"/>
          <w:sz w:val="24"/>
          <w:szCs w:val="24"/>
          <w:u w:val="single"/>
        </w:rPr>
        <w:t xml:space="preserve">for </w:t>
      </w:r>
      <w:r w:rsidRPr="00B61FF1">
        <w:rPr>
          <w:rFonts w:ascii="Arial" w:hAnsi="Arial" w:cs="Arial"/>
          <w:sz w:val="24"/>
          <w:szCs w:val="24"/>
        </w:rPr>
        <w:t xml:space="preserve">each </w:t>
      </w:r>
      <w:r w:rsidRPr="00B61FF1">
        <w:rPr>
          <w:rFonts w:ascii="Arial" w:hAnsi="Arial" w:cs="Arial"/>
          <w:strike/>
          <w:sz w:val="24"/>
          <w:szCs w:val="24"/>
        </w:rPr>
        <w:t>offset project location for which an</w:t>
      </w:r>
      <w:r w:rsidRPr="00B61FF1">
        <w:rPr>
          <w:rFonts w:ascii="Arial" w:hAnsi="Arial" w:cs="Arial"/>
          <w:sz w:val="24"/>
          <w:szCs w:val="24"/>
        </w:rPr>
        <w:t xml:space="preserve"> </w:t>
      </w:r>
      <w:r w:rsidRPr="00B61FF1">
        <w:rPr>
          <w:rFonts w:ascii="Arial" w:hAnsi="Arial" w:cs="Arial"/>
          <w:sz w:val="24"/>
          <w:szCs w:val="24"/>
          <w:u w:val="single"/>
        </w:rPr>
        <w:t xml:space="preserve">Reporting Period that an </w:t>
      </w:r>
      <w:r w:rsidRPr="00B61FF1">
        <w:rPr>
          <w:rFonts w:ascii="Arial" w:hAnsi="Arial" w:cs="Arial"/>
          <w:sz w:val="24"/>
          <w:szCs w:val="24"/>
        </w:rPr>
        <w:t xml:space="preserve">Offset Project Data Report is submitted, except for those non-sequestration offset projects that qualify for a two-year offset verification period pursuant to section 95977(b).  In this case, at least one offset verifier in the offset verification team, including the offset project specific verifier, must make a site visit </w:t>
      </w:r>
      <w:r w:rsidRPr="00B61FF1">
        <w:rPr>
          <w:rFonts w:ascii="Arial" w:hAnsi="Arial" w:cs="Arial"/>
          <w:strike/>
          <w:sz w:val="24"/>
          <w:szCs w:val="24"/>
        </w:rPr>
        <w:t>to each offset project location in the year that</w:t>
      </w:r>
      <w:r w:rsidRPr="00B61FF1">
        <w:rPr>
          <w:rFonts w:ascii="Arial" w:hAnsi="Arial" w:cs="Arial"/>
          <w:sz w:val="24"/>
          <w:szCs w:val="24"/>
          <w:u w:val="single"/>
        </w:rPr>
        <w:t xml:space="preserve">for the Reporting Period for which </w:t>
      </w:r>
      <w:r w:rsidRPr="00B61FF1">
        <w:rPr>
          <w:rFonts w:ascii="Arial" w:hAnsi="Arial" w:cs="Arial"/>
          <w:sz w:val="24"/>
          <w:szCs w:val="24"/>
        </w:rPr>
        <w:t xml:space="preserve">offset verification services are performed.  For a forest or urban forest offset project, at least one accredited offset verifier in the offset verification team, including the offset project specific verifier, must make a site visit every year that offset verification services are provided, except for those offset projects approved for less intensive verification, for which a site visit must be performed at least once every six years.  A site visit is also required after the first </w:t>
      </w:r>
      <w:r w:rsidRPr="00B61FF1">
        <w:rPr>
          <w:rFonts w:ascii="Arial" w:hAnsi="Arial" w:cs="Arial"/>
          <w:strike/>
          <w:sz w:val="24"/>
          <w:szCs w:val="24"/>
        </w:rPr>
        <w:t>full calendar year of operations</w:t>
      </w:r>
      <w:r w:rsidRPr="00B61FF1">
        <w:rPr>
          <w:rFonts w:ascii="Arial" w:hAnsi="Arial" w:cs="Arial"/>
          <w:sz w:val="24"/>
          <w:szCs w:val="24"/>
          <w:u w:val="single"/>
        </w:rPr>
        <w:t>Reporting Period</w:t>
      </w:r>
      <w:r w:rsidRPr="00B61FF1">
        <w:rPr>
          <w:rFonts w:ascii="Arial" w:hAnsi="Arial" w:cs="Arial"/>
          <w:sz w:val="24"/>
          <w:szCs w:val="24"/>
        </w:rPr>
        <w:t xml:space="preserve"> of an offset project</w:t>
      </w:r>
      <w:r w:rsidRPr="00B61FF1">
        <w:rPr>
          <w:rFonts w:ascii="Arial" w:hAnsi="Arial" w:cs="Arial"/>
          <w:sz w:val="24"/>
          <w:szCs w:val="24"/>
          <w:u w:val="single"/>
        </w:rPr>
        <w:t xml:space="preserve"> under a Compliance Offset Protocol and after the first Reporting Period for each renewed crediting period under a Compliance Offset Protocol.  The site visit required under this section must be performed after the Offset Project Operator or Authorized Project Designee submits its Offset Project Data Report to ARB or an Offset Project Registry</w:t>
      </w:r>
      <w:r w:rsidRPr="00B61FF1">
        <w:rPr>
          <w:rFonts w:ascii="Arial" w:hAnsi="Arial" w:cs="Arial"/>
          <w:sz w:val="24"/>
          <w:szCs w:val="24"/>
        </w:rPr>
        <w:t>.  During the</w:t>
      </w:r>
      <w:r w:rsidRPr="00B61FF1">
        <w:rPr>
          <w:rFonts w:ascii="Arial" w:hAnsi="Arial" w:cs="Arial"/>
          <w:sz w:val="24"/>
          <w:szCs w:val="24"/>
          <w:u w:val="single"/>
        </w:rPr>
        <w:t xml:space="preserve"> required</w:t>
      </w:r>
      <w:r w:rsidRPr="00B61FF1">
        <w:rPr>
          <w:rFonts w:ascii="Arial" w:hAnsi="Arial" w:cs="Arial"/>
          <w:sz w:val="24"/>
          <w:szCs w:val="24"/>
        </w:rPr>
        <w:t xml:space="preserve"> site visit, the offset verification team member(s) must conduct the following:</w:t>
      </w:r>
    </w:p>
    <w:p w14:paraId="5D2277FC"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During the initial site visit</w:t>
      </w:r>
      <w:r w:rsidRPr="00B61FF1">
        <w:rPr>
          <w:rFonts w:ascii="Arial" w:hAnsi="Arial" w:cs="Arial"/>
          <w:sz w:val="24"/>
          <w:szCs w:val="24"/>
          <w:u w:val="single"/>
        </w:rPr>
        <w:t xml:space="preserve"> conducted following the first Reporting Period of the crediting period</w:t>
      </w:r>
      <w:r w:rsidRPr="00B61FF1">
        <w:rPr>
          <w:rFonts w:ascii="Arial" w:hAnsi="Arial" w:cs="Arial"/>
          <w:sz w:val="24"/>
          <w:szCs w:val="24"/>
        </w:rPr>
        <w:t xml:space="preserve"> the offset verification team members must:</w:t>
      </w:r>
    </w:p>
    <w:p w14:paraId="0E61EA99"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Assess offset project eligibility and </w:t>
      </w:r>
      <w:r w:rsidRPr="00B61FF1">
        <w:rPr>
          <w:rFonts w:ascii="Arial" w:hAnsi="Arial" w:cs="Arial"/>
          <w:sz w:val="24"/>
          <w:szCs w:val="24"/>
          <w:u w:val="single"/>
        </w:rPr>
        <w:t xml:space="preserve">that the offset project meets the requirements for </w:t>
      </w:r>
      <w:r w:rsidRPr="00B61FF1">
        <w:rPr>
          <w:rFonts w:ascii="Arial" w:hAnsi="Arial" w:cs="Arial"/>
          <w:sz w:val="24"/>
          <w:szCs w:val="24"/>
        </w:rPr>
        <w:t>additionality according to section 95973 and the applicable Compliance Offset Protocol;</w:t>
      </w:r>
    </w:p>
    <w:p w14:paraId="5D71A036"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Review the information submitted for listing pursuant to section 95975;</w:t>
      </w:r>
    </w:p>
    <w:p w14:paraId="6B1C0D08"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Confirm that the offset project boundary is appropriately defined; </w:t>
      </w:r>
    </w:p>
    <w:p w14:paraId="2E2CEECF"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Review project baseline calculations and modeling; </w:t>
      </w:r>
    </w:p>
    <w:p w14:paraId="0CD23B44"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Assess the operations, functionality, data control systems, and review GHG measurement and monitoring techniques; and</w:t>
      </w:r>
    </w:p>
    <w:p w14:paraId="78385ECA"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Confirm that all applicable eligibility criteria to design, measure, </w:t>
      </w:r>
      <w:r w:rsidRPr="00B61FF1">
        <w:rPr>
          <w:rFonts w:ascii="Arial" w:hAnsi="Arial" w:cs="Arial"/>
          <w:sz w:val="24"/>
          <w:szCs w:val="24"/>
          <w:u w:val="single"/>
        </w:rPr>
        <w:t xml:space="preserve">establish the chain of custody, </w:t>
      </w:r>
      <w:r w:rsidRPr="00B61FF1">
        <w:rPr>
          <w:rFonts w:ascii="Arial" w:hAnsi="Arial" w:cs="Arial"/>
          <w:sz w:val="24"/>
          <w:szCs w:val="24"/>
        </w:rPr>
        <w:t>and monitor the offset project conforms to the requirements of the applicable Compliance Offset Protocol.</w:t>
      </w:r>
    </w:p>
    <w:p w14:paraId="25996957"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g.</w:t>
      </w:r>
      <w:r w:rsidRPr="00B61FF1">
        <w:rPr>
          <w:rFonts w:ascii="Arial" w:hAnsi="Arial" w:cs="Arial"/>
          <w:sz w:val="24"/>
          <w:szCs w:val="24"/>
        </w:rPr>
        <w:tab/>
      </w:r>
      <w:r w:rsidRPr="00B61FF1">
        <w:rPr>
          <w:rFonts w:ascii="Arial" w:hAnsi="Arial" w:cs="Arial"/>
          <w:sz w:val="24"/>
          <w:szCs w:val="24"/>
          <w:u w:val="single"/>
        </w:rPr>
        <w:t>All criteria pertaining to the eligibility of the offset project must be assessed during the first site visit in the initial Reporting Period.  All eligibility criteria must be met and are not subject to sampling.  If any of the eligibility criteria are not met, the project would be ineligible for crediting and receive an Adverse Offset Verification Statement.</w:t>
      </w:r>
    </w:p>
    <w:p w14:paraId="096AEF1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During the initial </w:t>
      </w:r>
      <w:r w:rsidRPr="00B61FF1">
        <w:rPr>
          <w:rFonts w:ascii="Arial" w:hAnsi="Arial" w:cs="Arial"/>
          <w:sz w:val="24"/>
          <w:szCs w:val="24"/>
          <w:u w:val="single"/>
        </w:rPr>
        <w:t>site visit conducted following the first Reporting Period of the crediting period</w:t>
      </w:r>
      <w:r w:rsidRPr="00B61FF1">
        <w:rPr>
          <w:rFonts w:ascii="Arial" w:hAnsi="Arial" w:cs="Arial"/>
          <w:sz w:val="24"/>
          <w:szCs w:val="24"/>
        </w:rPr>
        <w:t xml:space="preserve"> and each subsequent site visit the offset verification team must:</w:t>
      </w:r>
    </w:p>
    <w:p w14:paraId="66643AC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Check that all offset project boundaries, GHG emissions sources, GHG sinks, and GHG reservoirs in the applicable Compliance Offset Protocol are identified appropriately;</w:t>
      </w:r>
    </w:p>
    <w:p w14:paraId="2E308957"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Review and understand the data management systems used by the Offset Project Operator or Authorized Project Designee to track, quantify, and report GHG reductions, GHG removal enhancements, or other data required as applicable in the Compliance Offset Protocol.  This includes reviewing data collection processes and procedures, sampling techniques and metering accuracy, quality assurance/quality control processes and procedures, and missing data procedures.  The offset verification team member(s) must evaluate the uncertainty and effectiveness of these systems;</w:t>
      </w:r>
    </w:p>
    <w:p w14:paraId="1711914B"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Interview key personnel involved in collecting offset project data and preparing the Offset Project Data Report;</w:t>
      </w:r>
    </w:p>
    <w:p w14:paraId="17FFB70D"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Make direct observations of equipment for data sources and equipment supplying data for GHG emission sources in the sampling plan determined to be high risk;</w:t>
      </w:r>
    </w:p>
    <w:p w14:paraId="481E282B"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Collect and review other information that, in the professional judgment of the team, is needed in the offset verification process;</w:t>
      </w:r>
    </w:p>
    <w:p w14:paraId="47F7C72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Confirm the offset project conforms with all local, state, or federal environmental regulatory requirements pursuant to section 95973(b), including health and safety regulations; and </w:t>
      </w:r>
    </w:p>
    <w:p w14:paraId="07A0BCC1"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Review all chain of custody documents as required in the Compliance Offset Protocol, if applicable.</w:t>
      </w:r>
    </w:p>
    <w:p w14:paraId="3C75DC74"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If the offset project is found by the offset verification team to not meet the requirements of section 95977.1(b)(3)(D)(2.)(f.), the offset project is ineligible to receive ARB offset credits or registry offset credits for GHG reductions and GHG removal enhancements quantified and reported in the Offset Project Data Report.</w:t>
      </w:r>
    </w:p>
    <w:p w14:paraId="10972BA8"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t>The activities performed pursuant to sections 95977.1(b)(3)(D)(2.)(f.) through (b)(3)(D)(2.)(h.) may be included in a site visit or, alternatively, may be conducted as part of a desk review.</w:t>
      </w:r>
    </w:p>
    <w:p w14:paraId="1272738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The offset verification team must review offset project operations to identify applicable GHG emissions sources, project emissions, GHG sinks, and GHG reservoirs required to be included and quantified in the Offset Project Data Report as required by the applicable Compliance Offset Protocol.  This must include a review of each type of GHG emissions source, GHG sink, and GHG reservoir to ensure that all GHG emissions sources, GHG sinks, and GHG reservoirs required to be reported for the offset project are properly included in the Offset Project Data Report.</w:t>
      </w:r>
    </w:p>
    <w:p w14:paraId="4BC6849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An Offset Project Operator or Authorized Project Designee must make available to the offset verification team all information and documentation used to calculate and report project baseline and </w:t>
      </w:r>
      <w:r w:rsidRPr="00B61FF1">
        <w:rPr>
          <w:rFonts w:ascii="Arial" w:hAnsi="Arial" w:cs="Arial"/>
          <w:strike/>
          <w:sz w:val="24"/>
          <w:szCs w:val="24"/>
        </w:rPr>
        <w:t>annual</w:t>
      </w:r>
      <w:r w:rsidRPr="00B61FF1">
        <w:rPr>
          <w:rFonts w:ascii="Arial" w:hAnsi="Arial" w:cs="Arial"/>
          <w:sz w:val="24"/>
          <w:szCs w:val="24"/>
          <w:u w:val="single"/>
        </w:rPr>
        <w:t>project</w:t>
      </w:r>
      <w:r w:rsidRPr="00B61FF1">
        <w:rPr>
          <w:rFonts w:ascii="Arial" w:hAnsi="Arial" w:cs="Arial"/>
          <w:sz w:val="24"/>
          <w:szCs w:val="24"/>
        </w:rPr>
        <w:t xml:space="preserve"> GHG emissions, GHG reductions, and GHG removal enhancements and other information required by the applicable Compliance Offset Protocol.</w:t>
      </w:r>
    </w:p>
    <w:p w14:paraId="19D9757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Sampling Plan for Offset Project Data Reports.  As part of confirming the Offset Project Data Report, the offset verification team must develop a sampling plan that meets the following requirements:</w:t>
      </w:r>
    </w:p>
    <w:p w14:paraId="467B28B2"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offset verification team must develop a sampling plan based on a strategic analysis developed from document reviews and interviews to assess the likely nature, scale, and complexity of the offset verification services for an Offset Project Operator or Authorized Project Designee.  The analysis must review the inputs for the development of the submitted Offset Project Data Report, the rigor and appropriateness of the GHG data management systems, and the coordination within an Offset Project Operator’s or Authorized Project Designee’s organization to manage the operation and maintenance of equipment and systems used to develop the Offset Project Data Reports;</w:t>
      </w:r>
    </w:p>
    <w:p w14:paraId="7DD51ACA"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offset verification team must include a ranking of GHG emissions sources, GHG sinks, and GHG reservoirs within the offset project boundary by amount of contribution to total CO</w:t>
      </w:r>
      <w:r w:rsidRPr="00B61FF1">
        <w:rPr>
          <w:rFonts w:ascii="Arial" w:hAnsi="Arial" w:cs="Arial"/>
          <w:sz w:val="24"/>
          <w:szCs w:val="24"/>
          <w:vertAlign w:val="subscript"/>
        </w:rPr>
        <w:t>2</w:t>
      </w:r>
      <w:r w:rsidRPr="00B61FF1">
        <w:rPr>
          <w:rFonts w:ascii="Arial" w:hAnsi="Arial" w:cs="Arial"/>
          <w:sz w:val="24"/>
          <w:szCs w:val="24"/>
        </w:rPr>
        <w:t>e emissions, GHG reductions, and GHG removal enhancements, and a ranking of GHG emissions sources, GHG sinks, or GHG reservoirs with the largest calculation uncertainty; and</w:t>
      </w:r>
    </w:p>
    <w:p w14:paraId="7371A753"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offset verification team must include a qualitative narrative of uncertainty risk assessment in the following areas as applicable to the Compliance Offset Protocol:</w:t>
      </w:r>
    </w:p>
    <w:p w14:paraId="6A2D0360"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Data acquisition equipment;</w:t>
      </w:r>
    </w:p>
    <w:p w14:paraId="5BE76D30"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Data sampling and frequency;</w:t>
      </w:r>
    </w:p>
    <w:p w14:paraId="5854B92E"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Data processing and tracking; </w:t>
      </w:r>
    </w:p>
    <w:p w14:paraId="45510562"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Project baseline and </w:t>
      </w:r>
      <w:r w:rsidRPr="00B61FF1">
        <w:rPr>
          <w:rFonts w:ascii="Arial" w:hAnsi="Arial" w:cs="Arial"/>
          <w:strike/>
          <w:sz w:val="24"/>
          <w:szCs w:val="24"/>
        </w:rPr>
        <w:t>annual</w:t>
      </w:r>
      <w:r w:rsidRPr="00B61FF1">
        <w:rPr>
          <w:rFonts w:ascii="Arial" w:hAnsi="Arial" w:cs="Arial"/>
          <w:sz w:val="24"/>
          <w:szCs w:val="24"/>
        </w:rPr>
        <w:t>project GHG emissions, GHG reductions, and GHG removal enhancement calculations;</w:t>
      </w:r>
    </w:p>
    <w:p w14:paraId="50485B1D"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rPr>
        <w:t>e.</w:t>
      </w:r>
      <w:r w:rsidRPr="00B61FF1">
        <w:rPr>
          <w:rFonts w:ascii="Arial" w:hAnsi="Arial" w:cs="Arial"/>
          <w:sz w:val="24"/>
          <w:szCs w:val="24"/>
        </w:rPr>
        <w:tab/>
        <w:t>Data reporting;</w:t>
      </w:r>
      <w:r w:rsidRPr="00B61FF1">
        <w:rPr>
          <w:rFonts w:ascii="Arial" w:hAnsi="Arial" w:cs="Arial"/>
          <w:sz w:val="24"/>
          <w:szCs w:val="24"/>
          <w:u w:val="single"/>
        </w:rPr>
        <w:t xml:space="preserve"> and</w:t>
      </w:r>
    </w:p>
    <w:p w14:paraId="02DC5190" w14:textId="77777777" w:rsidR="00FE6A4C" w:rsidRPr="00B61FF1" w:rsidRDefault="00FE6A4C" w:rsidP="00FE6A4C">
      <w:pPr>
        <w:spacing w:line="360" w:lineRule="auto"/>
        <w:ind w:left="2880" w:hanging="720"/>
        <w:rPr>
          <w:rFonts w:ascii="Arial" w:hAnsi="Arial" w:cs="Arial"/>
          <w:strike/>
          <w:sz w:val="24"/>
          <w:szCs w:val="24"/>
        </w:rPr>
      </w:pPr>
      <w:r w:rsidRPr="00B61FF1">
        <w:rPr>
          <w:rFonts w:ascii="Arial" w:hAnsi="Arial" w:cs="Arial"/>
          <w:strike/>
          <w:sz w:val="24"/>
          <w:szCs w:val="24"/>
        </w:rPr>
        <w:t>f.</w:t>
      </w:r>
      <w:r w:rsidRPr="00B61FF1">
        <w:rPr>
          <w:rFonts w:ascii="Arial" w:hAnsi="Arial" w:cs="Arial"/>
          <w:strike/>
          <w:sz w:val="24"/>
          <w:szCs w:val="24"/>
        </w:rPr>
        <w:tab/>
        <w:t xml:space="preserve">Chain of custody requirements; and </w:t>
      </w:r>
    </w:p>
    <w:p w14:paraId="5931B59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trike/>
          <w:sz w:val="24"/>
          <w:szCs w:val="24"/>
        </w:rPr>
        <w:t>g</w:t>
      </w:r>
      <w:r w:rsidRPr="00B61FF1">
        <w:rPr>
          <w:rFonts w:ascii="Arial" w:hAnsi="Arial" w:cs="Arial"/>
          <w:sz w:val="24"/>
          <w:szCs w:val="24"/>
          <w:u w:val="single"/>
        </w:rPr>
        <w:t>f</w:t>
      </w:r>
      <w:r w:rsidRPr="00B61FF1">
        <w:rPr>
          <w:rFonts w:ascii="Arial" w:hAnsi="Arial" w:cs="Arial"/>
          <w:sz w:val="24"/>
          <w:szCs w:val="24"/>
        </w:rPr>
        <w:t>.</w:t>
      </w:r>
      <w:r w:rsidRPr="00B61FF1">
        <w:rPr>
          <w:rFonts w:ascii="Arial" w:hAnsi="Arial" w:cs="Arial"/>
          <w:sz w:val="24"/>
          <w:szCs w:val="24"/>
        </w:rPr>
        <w:tab/>
        <w:t>Management policies or practices in developing Offset Project Data Reports.</w:t>
      </w:r>
    </w:p>
    <w:p w14:paraId="631119A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After completing the analysis in section 95977.1(b)(3)(G), the offset verification team must include in the sampling plan a list which includes the following:</w:t>
      </w:r>
    </w:p>
    <w:p w14:paraId="22114547"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GHG emissions sources, GHG sinks, and GHG reservoirs that will be targeted for document reviews to ensure conformance with the Compliance Offset Protocol and data checks as specified in section 95977.1(b)(3)(L) and an explanation of why they were chosen;</w:t>
      </w:r>
    </w:p>
    <w:p w14:paraId="0B9B7E14"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Methods used to conduct data checks for each GHG emissions source, GHG sink, and GHG reservoir; and</w:t>
      </w:r>
    </w:p>
    <w:p w14:paraId="67406B1A"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 summary of the information analyzed in the data checks and document reviews conducted for each GHG emissions source, GHG sink, and GHG reservoir.</w:t>
      </w:r>
    </w:p>
    <w:p w14:paraId="2D59BA3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t>The sampling plan list, prepared pursuant to section 95977.1(b)(3)(H), must be updated and finalized prior to the completion of offset verification services.  The final sampling plan must describe in detail how the GHG emissions sources, GHG sinks, and GHG reservoirs with identified risk, subject to data checks, were reviewed for accuracy.</w:t>
      </w:r>
    </w:p>
    <w:p w14:paraId="664A57F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(J)</w:t>
      </w:r>
      <w:r w:rsidRPr="00B61FF1">
        <w:rPr>
          <w:rFonts w:ascii="Arial" w:hAnsi="Arial" w:cs="Arial"/>
          <w:sz w:val="24"/>
          <w:szCs w:val="24"/>
        </w:rPr>
        <w:tab/>
        <w:t>The offset verification team must revise the sampling plan to describe tasks completed or needed to be completed by the offset verification team as relevant information becomes available and potential issues emerge of offset material misstatement or nonconformance with the requirements of the Compliance Offset Protocol and this article.</w:t>
      </w:r>
    </w:p>
    <w:p w14:paraId="4D1D026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(K)</w:t>
      </w:r>
      <w:r w:rsidRPr="00B61FF1">
        <w:rPr>
          <w:rFonts w:ascii="Arial" w:hAnsi="Arial" w:cs="Arial"/>
          <w:sz w:val="24"/>
          <w:szCs w:val="24"/>
        </w:rPr>
        <w:tab/>
        <w:t xml:space="preserve">The verification body must retain the sampling plan in paper, electronic, or other format for a period of not less than 15 years following the submission of each Offset Verification Statement.  The sampling plan must be made available to ARB or the Offset Project Registry within 10 </w:t>
      </w:r>
      <w:r w:rsidRPr="00B61FF1">
        <w:rPr>
          <w:rFonts w:ascii="Arial" w:hAnsi="Arial" w:cs="Arial"/>
          <w:sz w:val="24"/>
          <w:szCs w:val="24"/>
          <w:u w:val="single"/>
        </w:rPr>
        <w:t xml:space="preserve">calendar </w:t>
      </w:r>
      <w:r w:rsidRPr="00B61FF1">
        <w:rPr>
          <w:rFonts w:ascii="Arial" w:hAnsi="Arial" w:cs="Arial"/>
          <w:sz w:val="24"/>
          <w:szCs w:val="24"/>
        </w:rPr>
        <w:t xml:space="preserve">days upon request.  The verification body must also retain all material received, reviewed, or generated to render an Offset Verification Statement for an Offset Project Operator or Authorized Project Designee for 15 years following the submittal of each Offset Verification Statement.  The documentation must allow for a transparent review of how a verification body reached its conclusion in the </w:t>
      </w:r>
      <w:r w:rsidRPr="00B61FF1">
        <w:rPr>
          <w:rFonts w:ascii="Arial" w:hAnsi="Arial" w:cs="Arial"/>
          <w:sz w:val="24"/>
          <w:szCs w:val="24"/>
          <w:u w:val="single"/>
        </w:rPr>
        <w:t xml:space="preserve">detailed verification report and </w:t>
      </w:r>
      <w:r w:rsidRPr="00B61FF1">
        <w:rPr>
          <w:rFonts w:ascii="Arial" w:hAnsi="Arial" w:cs="Arial"/>
          <w:sz w:val="24"/>
          <w:szCs w:val="24"/>
        </w:rPr>
        <w:t>Offset Verification Statement.</w:t>
      </w:r>
    </w:p>
    <w:p w14:paraId="6CF236A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(L)</w:t>
      </w:r>
      <w:r w:rsidRPr="00B61FF1">
        <w:rPr>
          <w:rFonts w:ascii="Arial" w:hAnsi="Arial" w:cs="Arial"/>
          <w:sz w:val="24"/>
          <w:szCs w:val="24"/>
        </w:rPr>
        <w:tab/>
        <w:t>Data Checks for Offset Project Data Reports.  To determine the reliability of the submitted Offset Project Data Report, the offset verification team must use data checks.  Such data checks must focus first on the largest and most uncertain estimates of project baseline GHG emissions, project emissions, GHG reductions, and GHG removal enhancements, and the offset verification team must:</w:t>
      </w:r>
    </w:p>
    <w:p w14:paraId="2327B3E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Use data checks to ensure that the appropriate methodologies and GHG emission factors have been applied in calculating the project baseline and annual GHG emissions, project emissions, GHG reductions, and GHG removal enhancements calculations in the Compliance Offset Protocol;</w:t>
      </w:r>
    </w:p>
    <w:p w14:paraId="452E96B0"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Choose GHG emissions sources, project emissions, GHG sinks, and GHG reservoirs for data checks based on their relative sizes and risks of offset material misstatement or nonconformance as indicated in the sampling plan;</w:t>
      </w:r>
    </w:p>
    <w:p w14:paraId="2757C6FD"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Use professional judgment in the number of data checks required for the offset verification team to conclude with reasonable assurance </w:t>
      </w:r>
      <w:bookmarkStart w:id="558" w:name="_DV_C99"/>
      <w:r w:rsidRPr="00B61FF1">
        <w:rPr>
          <w:rFonts w:ascii="Arial" w:hAnsi="Arial" w:cs="Arial"/>
          <w:sz w:val="24"/>
          <w:szCs w:val="24"/>
        </w:rPr>
        <w:t>whether</w:t>
      </w:r>
      <w:bookmarkEnd w:id="558"/>
      <w:r w:rsidRPr="00B61FF1">
        <w:rPr>
          <w:rFonts w:ascii="Arial" w:hAnsi="Arial" w:cs="Arial"/>
          <w:sz w:val="24"/>
          <w:szCs w:val="24"/>
        </w:rPr>
        <w:t xml:space="preserve"> the Offset Project Operator’s or Authorized Project Designee’s total reported GHG reductions and GHG removal enhancements are free of offset material misstatement and the Offset Project Data Report otherwise conforms to the requirements of the Compliance Offset Protocol and this article.  At a minimum a data check must include the following:</w:t>
      </w:r>
    </w:p>
    <w:p w14:paraId="6D79A4B6"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Tracing data in the Offset Project Data Report to its origin;</w:t>
      </w:r>
    </w:p>
    <w:p w14:paraId="6EB0BAE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Looking at the process for data compilation and collection;</w:t>
      </w:r>
    </w:p>
    <w:p w14:paraId="0CFFE3A7"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Reviewing all GHG inventory designs for GHG sources, GHG sinks, and GHG reservoirs, and sampling procedures, if applicable;</w:t>
      </w:r>
    </w:p>
    <w:p w14:paraId="4FCD3125"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Recalculating GHG emissions, project emissions, GHG reductions, and GHG removal enhancements estimates to check original calculations;</w:t>
      </w:r>
    </w:p>
    <w:p w14:paraId="0DE32A1E"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Reviewing calculation methodologies used by the Offset Project Operator or Authorized Project Designee for conformance with the Compliance Offset Protocol and this article;</w:t>
      </w:r>
    </w:p>
    <w:p w14:paraId="5ED373E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Reviewing meter and fuel analytical instrumentation calibration, if applicable; and </w:t>
      </w:r>
    </w:p>
    <w:p w14:paraId="71131952"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Reviewing the quantification from models approved for use in the Compliance Offset Protocol, if applicable; and</w:t>
      </w:r>
    </w:p>
    <w:p w14:paraId="04BF50E9"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Compare its own calculated results </w:t>
      </w:r>
      <w:r w:rsidRPr="00B61FF1">
        <w:rPr>
          <w:rFonts w:ascii="Arial" w:hAnsi="Arial" w:cs="Arial"/>
          <w:sz w:val="24"/>
          <w:szCs w:val="24"/>
          <w:u w:val="single"/>
        </w:rPr>
        <w:t xml:space="preserve">for the data checks conducted </w:t>
      </w:r>
      <w:r w:rsidRPr="00B61FF1">
        <w:rPr>
          <w:rFonts w:ascii="Arial" w:hAnsi="Arial" w:cs="Arial"/>
          <w:sz w:val="24"/>
          <w:szCs w:val="24"/>
        </w:rPr>
        <w:t xml:space="preserve">with the reported offset project data in order to confirm the extent and impact of any omissions and errors.  Any discrepancies must be identified.  The comparison of data checks must also include a narrative to indicate which GHG emissions sources, GHG sinks, and GHG reservoirs were checked, the types and quantity of data that were evaluated for each GHG emissions source, GHG sink, and GHG reservoir, </w:t>
      </w:r>
      <w:r w:rsidRPr="00B61FF1">
        <w:rPr>
          <w:rFonts w:ascii="Arial" w:hAnsi="Arial" w:cs="Arial"/>
          <w:sz w:val="24"/>
          <w:szCs w:val="24"/>
          <w:u w:val="single"/>
        </w:rPr>
        <w:t xml:space="preserve">how the data checks were calculated including calculations, </w:t>
      </w:r>
      <w:r w:rsidRPr="00B61FF1">
        <w:rPr>
          <w:rFonts w:ascii="Arial" w:hAnsi="Arial" w:cs="Arial"/>
          <w:sz w:val="24"/>
          <w:szCs w:val="24"/>
        </w:rPr>
        <w:t>and any discrepancies that were identified.</w:t>
      </w:r>
    </w:p>
    <w:p w14:paraId="3A8FA05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(M)</w:t>
      </w:r>
      <w:r w:rsidRPr="00B61FF1">
        <w:rPr>
          <w:rFonts w:ascii="Arial" w:hAnsi="Arial" w:cs="Arial"/>
          <w:sz w:val="24"/>
          <w:szCs w:val="24"/>
        </w:rPr>
        <w:tab/>
        <w:t xml:space="preserve">Offset Project Data Report Modifications.  As a result of review by the offset verification team and prior to completion of an Offset Verification Statement, the Offset Project Operator or Authorized Project Designee must make any possible improvements or corrections to the submitted Offset Project Data Report, and a revised Offset Project Data Report must be submitted to ARB or the Offset Project Registry.  </w:t>
      </w:r>
      <w:r w:rsidRPr="00B61FF1">
        <w:rPr>
          <w:rFonts w:ascii="Arial" w:hAnsi="Arial" w:cs="Arial"/>
          <w:sz w:val="24"/>
          <w:szCs w:val="24"/>
          <w:u w:val="single"/>
        </w:rPr>
        <w:t xml:space="preserve">If the Offset Project Operator or Authorized Project Designee does not make all possible improvements or corrections to the Offset Project Data Report, the verification body must issue an Adverse Offset Verification Statement.  </w:t>
      </w:r>
      <w:r w:rsidRPr="00B61FF1">
        <w:rPr>
          <w:rFonts w:ascii="Arial" w:hAnsi="Arial" w:cs="Arial"/>
          <w:sz w:val="24"/>
          <w:szCs w:val="24"/>
        </w:rPr>
        <w:t>Documentation for all Offset Project Data Report submittals must be retained by the Offset Project Operator or Authorized Project Designee for the length of time specified in section 95976(e)(2).</w:t>
      </w:r>
    </w:p>
    <w:p w14:paraId="3306C4B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(N)</w:t>
      </w:r>
      <w:r w:rsidRPr="00B61FF1">
        <w:rPr>
          <w:rFonts w:ascii="Arial" w:hAnsi="Arial" w:cs="Arial"/>
          <w:sz w:val="24"/>
          <w:szCs w:val="24"/>
        </w:rPr>
        <w:tab/>
        <w:t>To verify that the Offset Project Data Report is free of offset material misstatement, the offset verification team must make its own determination of GHG reductions or GHG removal enhancements relative to the project baseline</w:t>
      </w:r>
      <w:r w:rsidRPr="00B61FF1">
        <w:rPr>
          <w:rFonts w:ascii="Arial" w:hAnsi="Arial" w:cs="Arial"/>
          <w:sz w:val="24"/>
          <w:szCs w:val="24"/>
          <w:u w:val="single"/>
        </w:rPr>
        <w:t xml:space="preserve"> using the data check conducted pursuant to section 95977.1(b)(3)(L)</w:t>
      </w:r>
      <w:r w:rsidRPr="00B61FF1">
        <w:rPr>
          <w:rFonts w:ascii="Arial" w:hAnsi="Arial" w:cs="Arial"/>
          <w:sz w:val="24"/>
          <w:szCs w:val="24"/>
        </w:rPr>
        <w:t xml:space="preserve">, and must determine whether there is reasonable assurance that the </w:t>
      </w:r>
      <w:bookmarkStart w:id="559" w:name="_DV_C113"/>
      <w:r w:rsidRPr="00B61FF1">
        <w:rPr>
          <w:rFonts w:ascii="Arial" w:hAnsi="Arial" w:cs="Arial"/>
          <w:sz w:val="24"/>
          <w:szCs w:val="24"/>
        </w:rPr>
        <w:t>Offset Project Data Report does not contain an offset material misstatement for the Offset Project Operator or Authorized Project Designee, on a CO</w:t>
      </w:r>
      <w:r w:rsidRPr="00B61FF1">
        <w:rPr>
          <w:rFonts w:ascii="Arial" w:hAnsi="Arial" w:cs="Arial"/>
          <w:sz w:val="24"/>
          <w:szCs w:val="24"/>
          <w:vertAlign w:val="subscript"/>
        </w:rPr>
        <w:t>2</w:t>
      </w:r>
      <w:r w:rsidRPr="00B61FF1">
        <w:rPr>
          <w:rFonts w:ascii="Arial" w:hAnsi="Arial" w:cs="Arial"/>
          <w:sz w:val="24"/>
          <w:szCs w:val="24"/>
        </w:rPr>
        <w:t>e basis</w:t>
      </w:r>
      <w:bookmarkEnd w:id="559"/>
      <w:r w:rsidRPr="00B61FF1">
        <w:rPr>
          <w:rFonts w:ascii="Arial" w:hAnsi="Arial" w:cs="Arial"/>
          <w:sz w:val="24"/>
          <w:szCs w:val="24"/>
        </w:rPr>
        <w:t>.  To assess conformance with this article and the Compliance Offset Protocol the offset verification team must review the methods and factors used to develop the Offset Project Data Report for adherence to the requirements of this article and the Compliance Offset Protocol and ensure that other requirements of this article are met.</w:t>
      </w:r>
    </w:p>
    <w:p w14:paraId="25B60A5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(O)</w:t>
      </w:r>
      <w:r w:rsidRPr="00B61FF1">
        <w:rPr>
          <w:rFonts w:ascii="Arial" w:hAnsi="Arial" w:cs="Arial"/>
          <w:sz w:val="24"/>
          <w:szCs w:val="24"/>
        </w:rPr>
        <w:tab/>
        <w:t>Issues Log.  The offset verification team must keep a log of any issues identified in the course of offset verification services that may affect determinations</w:t>
      </w:r>
      <w:bookmarkStart w:id="560" w:name="_DV_C119"/>
      <w:r w:rsidRPr="00B61FF1">
        <w:rPr>
          <w:rFonts w:ascii="Arial" w:hAnsi="Arial" w:cs="Arial"/>
          <w:sz w:val="24"/>
          <w:szCs w:val="24"/>
        </w:rPr>
        <w:t xml:space="preserve"> of offset material misstatement and nonconformance.  The issues log must identify the section of this article or Compliance Offset Protocol related to the nonconformance, if applicable, and indicate that the issues were corrected by the Offset Project Operator or Authorized Project Designee prior to completing the offset verification services.  Any other concerns that the offset verification team has with the preparation of the Offset Project Data Report must be documented in the issues log.  The issues log must indicate whether the issues could have any bearing on offset material misstatement or conformance</w:t>
      </w:r>
      <w:bookmarkEnd w:id="560"/>
      <w:r w:rsidRPr="00B61FF1">
        <w:rPr>
          <w:rFonts w:ascii="Arial" w:hAnsi="Arial" w:cs="Arial"/>
          <w:sz w:val="24"/>
          <w:szCs w:val="24"/>
        </w:rPr>
        <w:t>.</w:t>
      </w:r>
    </w:p>
    <w:p w14:paraId="53B734E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(P)</w:t>
      </w:r>
      <w:r w:rsidRPr="00B61FF1">
        <w:rPr>
          <w:rFonts w:ascii="Arial" w:hAnsi="Arial" w:cs="Arial"/>
          <w:sz w:val="24"/>
          <w:szCs w:val="24"/>
        </w:rPr>
        <w:tab/>
        <w:t xml:space="preserve">An assessment of offset material misstatement is conducted for </w:t>
      </w:r>
      <w:r w:rsidRPr="00B61FF1">
        <w:rPr>
          <w:rFonts w:ascii="Arial" w:hAnsi="Arial" w:cs="Arial"/>
          <w:strike/>
          <w:sz w:val="24"/>
          <w:szCs w:val="24"/>
        </w:rPr>
        <w:t>annual</w:t>
      </w:r>
      <w:r w:rsidRPr="00B61FF1">
        <w:rPr>
          <w:rFonts w:ascii="Arial" w:hAnsi="Arial" w:cs="Arial"/>
          <w:sz w:val="24"/>
          <w:szCs w:val="24"/>
        </w:rPr>
        <w:t xml:space="preserve"> net GHG reductions and GHG removal enhancements </w:t>
      </w:r>
      <w:r w:rsidRPr="00B61FF1">
        <w:rPr>
          <w:rFonts w:ascii="Arial" w:hAnsi="Arial" w:cs="Arial"/>
          <w:sz w:val="24"/>
          <w:szCs w:val="24"/>
          <w:u w:val="single"/>
        </w:rPr>
        <w:t xml:space="preserve">achieved in a given Reporting Period </w:t>
      </w:r>
      <w:r w:rsidRPr="00B61FF1">
        <w:rPr>
          <w:rFonts w:ascii="Arial" w:hAnsi="Arial" w:cs="Arial"/>
          <w:sz w:val="24"/>
          <w:szCs w:val="24"/>
        </w:rPr>
        <w:t xml:space="preserve">relative to the project baseline </w:t>
      </w:r>
      <w:r w:rsidRPr="00B61FF1">
        <w:rPr>
          <w:rFonts w:ascii="Arial" w:hAnsi="Arial" w:cs="Arial"/>
          <w:sz w:val="24"/>
          <w:szCs w:val="24"/>
          <w:u w:val="single"/>
        </w:rPr>
        <w:t>in that Reporting Period</w:t>
      </w:r>
      <w:r w:rsidRPr="00B61FF1">
        <w:rPr>
          <w:rFonts w:ascii="Arial" w:hAnsi="Arial" w:cs="Arial"/>
          <w:sz w:val="24"/>
          <w:szCs w:val="24"/>
        </w:rPr>
        <w:t xml:space="preserve"> in metric tons of CO</w:t>
      </w:r>
      <w:r w:rsidRPr="00B61FF1">
        <w:rPr>
          <w:rFonts w:ascii="Arial" w:hAnsi="Arial" w:cs="Arial"/>
          <w:sz w:val="24"/>
          <w:szCs w:val="24"/>
          <w:vertAlign w:val="subscript"/>
        </w:rPr>
        <w:t>2</w:t>
      </w:r>
      <w:r w:rsidRPr="00B61FF1">
        <w:rPr>
          <w:rFonts w:ascii="Arial" w:hAnsi="Arial" w:cs="Arial"/>
          <w:sz w:val="24"/>
          <w:szCs w:val="24"/>
        </w:rPr>
        <w:t>e.</w:t>
      </w:r>
    </w:p>
    <w:p w14:paraId="3675231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(Q)</w:t>
      </w:r>
      <w:r w:rsidRPr="00B61FF1">
        <w:rPr>
          <w:rFonts w:ascii="Arial" w:hAnsi="Arial" w:cs="Arial"/>
          <w:sz w:val="24"/>
          <w:szCs w:val="24"/>
        </w:rPr>
        <w:tab/>
        <w:t>The offset verification team must determine whether the GHG reductions and GHG removal enhancements quantified and reported in the Offset Project Data Report contain an offset material misstatement using the following equation:</w:t>
      </w:r>
    </w:p>
    <w:p w14:paraId="46D0D4EB" w14:textId="77777777" w:rsidR="00FE6A4C" w:rsidRPr="00B61FF1" w:rsidRDefault="00FE6A4C" w:rsidP="00FE6A4C">
      <w:pPr>
        <w:spacing w:line="360" w:lineRule="auto"/>
        <w:ind w:left="1800" w:hanging="630"/>
        <w:rPr>
          <w:rFonts w:ascii="Arial" w:hAnsi="Arial" w:cs="Arial"/>
          <w:sz w:val="24"/>
          <w:szCs w:val="24"/>
        </w:rPr>
      </w:pPr>
    </w:p>
    <w:p w14:paraId="54851CDA" w14:textId="77777777" w:rsidR="00FE6A4C" w:rsidRPr="00B61FF1" w:rsidRDefault="00FE6A4C" w:rsidP="00FE6A4C">
      <w:pPr>
        <w:ind w:left="547"/>
        <w:rPr>
          <w:rFonts w:ascii="Arial" w:hAnsi="Arial" w:cs="Arial"/>
          <w:sz w:val="24"/>
          <w:szCs w:val="24"/>
          <w:u w:val="single"/>
        </w:rPr>
      </w:pPr>
      <m:oMathPara>
        <m:oMath>
          <m:r>
            <w:rPr>
              <w:rFonts w:ascii="Cambria Math" w:hAnsi="Cambria Math" w:cs="Arial"/>
              <w:sz w:val="24"/>
              <w:szCs w:val="24"/>
              <w:u w:val="single"/>
            </w:rPr>
            <m:t xml:space="preserve">Percent error= </m:t>
          </m:r>
          <m:f>
            <m:fPr>
              <m:ctrlPr>
                <w:rPr>
                  <w:rFonts w:ascii="Cambria Math" w:hAnsi="Cambria Math" w:cs="Arial"/>
                  <w:i/>
                  <w:sz w:val="24"/>
                  <w:szCs w:val="24"/>
                  <w:u w:val="single"/>
                </w:rPr>
              </m:ctrlPr>
            </m:fPr>
            <m:num>
              <m:nary>
                <m:naryPr>
                  <m:chr m:val="∑"/>
                  <m:limLoc m:val="undOvr"/>
                  <m:subHide m:val="1"/>
                  <m:supHide m:val="1"/>
                  <m:ctrlPr>
                    <w:rPr>
                      <w:rFonts w:ascii="Cambria Math" w:hAnsi="Cambria Math" w:cs="Arial"/>
                      <w:i/>
                      <w:sz w:val="24"/>
                      <w:szCs w:val="24"/>
                      <w:u w:val="single"/>
                    </w:rPr>
                  </m:ctrlPr>
                </m:naryPr>
                <m:sub/>
                <m:sup/>
                <m:e>
                  <m:d>
                    <m:dPr>
                      <m:begChr m:val="["/>
                      <m:endChr m:val="]"/>
                      <m:ctrlPr>
                        <w:rPr>
                          <w:rFonts w:ascii="Cambria Math" w:hAnsi="Cambria Math" w:cs="Arial"/>
                          <w:i/>
                          <w:sz w:val="24"/>
                          <w:szCs w:val="24"/>
                          <w:u w:val="single"/>
                        </w:rPr>
                      </m:ctrlPr>
                    </m:dPr>
                    <m:e>
                      <m:r>
                        <w:rPr>
                          <w:rFonts w:ascii="Cambria Math" w:hAnsi="Cambria Math" w:cs="Arial"/>
                          <w:sz w:val="24"/>
                          <w:szCs w:val="24"/>
                          <w:u w:val="single"/>
                        </w:rPr>
                        <m:t>Discrepancies+Omissions+Misreporting</m:t>
                      </m:r>
                    </m:e>
                  </m:d>
                  <m:r>
                    <w:rPr>
                      <w:rFonts w:ascii="Cambria Math" w:hAnsi="Cambria Math" w:cs="Arial"/>
                      <w:sz w:val="24"/>
                      <w:szCs w:val="24"/>
                      <w:u w:val="single"/>
                    </w:rPr>
                    <m:t xml:space="preserve"> x 100%</m:t>
                  </m:r>
                </m:e>
              </m:nary>
            </m:num>
            <m:den>
              <m:r>
                <w:rPr>
                  <w:rFonts w:ascii="Cambria Math" w:hAnsi="Cambria Math" w:cs="Arial"/>
                  <w:sz w:val="24"/>
                  <w:szCs w:val="24"/>
                  <w:u w:val="single"/>
                </w:rPr>
                <m:t>Total Reported Emission Reductions</m:t>
              </m:r>
            </m:den>
          </m:f>
          <m:r>
            <m:rPr>
              <m:sty m:val="p"/>
            </m:rPr>
            <w:rPr>
              <w:rFonts w:ascii="Cambria Math" w:hAnsi="Cambria Math" w:cs="Arial"/>
              <w:sz w:val="24"/>
              <w:szCs w:val="24"/>
              <w:u w:val="single"/>
            </w:rPr>
            <w:pict w14:anchorId="17C0ACA1">
              <v:rect id="_x0000_i1026" style="width:405pt;height:1pt" o:hralign="center" o:hrstd="t" o:hrnoshade="t" o:hr="t" fillcolor="black [3213]" stroked="f"/>
            </w:pict>
          </m:r>
        </m:oMath>
      </m:oMathPara>
    </w:p>
    <w:p w14:paraId="11B0BD1A" w14:textId="77777777" w:rsidR="00FE6A4C" w:rsidRPr="00B61FF1" w:rsidRDefault="00FE6A4C" w:rsidP="00FE6A4C">
      <w:pPr>
        <w:spacing w:line="360" w:lineRule="auto"/>
        <w:ind w:left="1800"/>
        <w:rPr>
          <w:rFonts w:ascii="Arial" w:hAnsi="Arial" w:cs="Arial"/>
          <w:sz w:val="24"/>
          <w:szCs w:val="24"/>
        </w:rPr>
      </w:pPr>
    </w:p>
    <w:p w14:paraId="4453431F" w14:textId="77777777" w:rsidR="00FE6A4C" w:rsidRPr="00B61FF1" w:rsidRDefault="00FE6A4C" w:rsidP="00FE6A4C">
      <w:pPr>
        <w:spacing w:line="360" w:lineRule="auto"/>
        <w:rPr>
          <w:rFonts w:ascii="Arial" w:hAnsi="Arial" w:cs="Arial"/>
          <w:strike/>
          <w:sz w:val="24"/>
          <w:szCs w:val="24"/>
        </w:rPr>
      </w:pPr>
      <m:oMathPara>
        <m:oMath>
          <m:r>
            <w:rPr>
              <w:rFonts w:ascii="Cambria Math" w:hAnsi="Cambria Math" w:cs="Arial"/>
              <w:strike/>
              <w:sz w:val="24"/>
              <w:szCs w:val="24"/>
            </w:rPr>
            <m:t xml:space="preserve">Percent error = </m:t>
          </m:r>
          <m:nary>
            <m:naryPr>
              <m:chr m:val="∑"/>
              <m:limLoc m:val="undOvr"/>
              <m:subHide m:val="1"/>
              <m:supHide m:val="1"/>
              <m:ctrlPr>
                <w:rPr>
                  <w:rFonts w:ascii="Cambria Math" w:hAnsi="Cambria Math" w:cs="Arial"/>
                  <w:i/>
                  <w:strike/>
                  <w:sz w:val="24"/>
                  <w:szCs w:val="24"/>
                </w:rPr>
              </m:ctrlPr>
            </m:naryPr>
            <m:sub/>
            <m:sup/>
            <m:e>
              <m:f>
                <m:fPr>
                  <m:ctrlPr>
                    <w:rPr>
                      <w:rFonts w:ascii="Cambria Math" w:hAnsi="Cambria Math" w:cs="Arial"/>
                      <w:i/>
                      <w:strike/>
                      <w:sz w:val="24"/>
                      <w:szCs w:val="24"/>
                    </w:rPr>
                  </m:ctrlPr>
                </m:fPr>
                <m:num>
                  <m:d>
                    <m:dPr>
                      <m:begChr m:val="["/>
                      <m:endChr m:val="]"/>
                      <m:ctrlPr>
                        <w:rPr>
                          <w:rFonts w:ascii="Cambria Math" w:hAnsi="Cambria Math" w:cs="Arial"/>
                          <w:i/>
                          <w:strike/>
                          <w:sz w:val="24"/>
                          <w:szCs w:val="24"/>
                        </w:rPr>
                      </m:ctrlPr>
                    </m:dPr>
                    <m:e>
                      <m:r>
                        <w:rPr>
                          <w:rFonts w:ascii="Cambria Math" w:hAnsi="Cambria Math" w:cs="Arial"/>
                          <w:strike/>
                          <w:sz w:val="24"/>
                          <w:szCs w:val="24"/>
                        </w:rPr>
                        <m:t>Discrepancies+Omissions+Misreporting</m:t>
                      </m:r>
                    </m:e>
                  </m:d>
                  <m:r>
                    <w:rPr>
                      <w:rFonts w:ascii="Cambria Math" w:hAnsi="Cambria Math" w:cs="Arial"/>
                      <w:strike/>
                      <w:sz w:val="24"/>
                      <w:szCs w:val="24"/>
                    </w:rPr>
                    <m:t xml:space="preserve"> ×100%</m:t>
                  </m:r>
                </m:num>
                <m:den>
                  <m:r>
                    <w:rPr>
                      <w:rFonts w:ascii="Cambria Math" w:hAnsi="Cambria Math" w:cs="Arial"/>
                      <w:strike/>
                      <w:sz w:val="24"/>
                      <w:szCs w:val="24"/>
                    </w:rPr>
                    <m:t>Total reported emissions</m:t>
                  </m:r>
                </m:den>
              </m:f>
            </m:e>
          </m:nary>
        </m:oMath>
      </m:oMathPara>
    </w:p>
    <w:p w14:paraId="4942CA56" w14:textId="77777777" w:rsidR="00FE6A4C" w:rsidRPr="00B61FF1" w:rsidRDefault="00FE6A4C" w:rsidP="00FE6A4C">
      <w:pPr>
        <w:spacing w:line="360" w:lineRule="auto"/>
        <w:ind w:left="360"/>
        <w:rPr>
          <w:rFonts w:ascii="Arial" w:hAnsi="Arial" w:cs="Arial"/>
          <w:sz w:val="24"/>
          <w:szCs w:val="24"/>
        </w:rPr>
      </w:pPr>
      <w:r w:rsidRPr="00B61FF1">
        <w:rPr>
          <w:rFonts w:ascii="Arial" w:hAnsi="Arial" w:cs="Arial"/>
          <w:sz w:val="24"/>
          <w:szCs w:val="24"/>
        </w:rPr>
        <w:t>Where:</w:t>
      </w:r>
    </w:p>
    <w:p w14:paraId="2259296C" w14:textId="5BE475A6"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rPr>
        <w:t xml:space="preserve">“Discrepancies” means any differences between the reported GHG </w:t>
      </w:r>
      <w:r w:rsidR="009B7909" w:rsidRPr="00B61FF1">
        <w:rPr>
          <w:rFonts w:ascii="Arial" w:hAnsi="Arial" w:cs="Arial"/>
          <w:sz w:val="24"/>
          <w:szCs w:val="24"/>
          <w:u w:val="single"/>
        </w:rPr>
        <w:t>value for</w:t>
      </w:r>
      <w:r w:rsidR="009B7909" w:rsidRPr="00B61FF1">
        <w:rPr>
          <w:rFonts w:ascii="Arial" w:hAnsi="Arial" w:cs="Arial"/>
          <w:sz w:val="24"/>
          <w:szCs w:val="24"/>
        </w:rPr>
        <w:t xml:space="preserve"> </w:t>
      </w:r>
      <w:r w:rsidR="009B7909" w:rsidRPr="00B61FF1">
        <w:rPr>
          <w:rFonts w:ascii="Arial" w:hAnsi="Arial" w:cs="Arial"/>
          <w:sz w:val="24"/>
          <w:szCs w:val="24"/>
          <w:u w:val="single"/>
        </w:rPr>
        <w:t>sources, sinks, and reservoirs for the project baseline</w:t>
      </w:r>
      <w:r w:rsidR="009B7909" w:rsidRPr="00B61FF1">
        <w:rPr>
          <w:rFonts w:ascii="Arial" w:hAnsi="Arial" w:cs="Arial"/>
          <w:strike/>
          <w:sz w:val="24"/>
          <w:szCs w:val="24"/>
          <w:u w:val="single"/>
        </w:rPr>
        <w:t xml:space="preserve"> </w:t>
      </w:r>
      <w:r w:rsidR="009B7909" w:rsidRPr="00B61FF1">
        <w:rPr>
          <w:rFonts w:ascii="Arial" w:hAnsi="Arial" w:cs="Arial"/>
          <w:strike/>
          <w:sz w:val="24"/>
          <w:szCs w:val="24"/>
        </w:rPr>
        <w:t xml:space="preserve">emissions, </w:t>
      </w:r>
      <w:r w:rsidR="009B7909" w:rsidRPr="00B61FF1">
        <w:rPr>
          <w:rFonts w:ascii="Arial" w:hAnsi="Arial" w:cs="Arial"/>
          <w:sz w:val="24"/>
          <w:szCs w:val="24"/>
          <w:u w:val="single"/>
        </w:rPr>
        <w:t xml:space="preserve">or </w:t>
      </w:r>
      <w:r w:rsidR="009B7909" w:rsidRPr="00B61FF1">
        <w:rPr>
          <w:rFonts w:ascii="Arial" w:hAnsi="Arial" w:cs="Arial"/>
          <w:sz w:val="24"/>
          <w:szCs w:val="24"/>
        </w:rPr>
        <w:t xml:space="preserve">project </w:t>
      </w:r>
      <w:r w:rsidR="009B7909" w:rsidRPr="00B61FF1">
        <w:rPr>
          <w:rFonts w:ascii="Arial" w:hAnsi="Arial" w:cs="Arial"/>
          <w:sz w:val="24"/>
          <w:szCs w:val="24"/>
          <w:u w:val="single"/>
        </w:rPr>
        <w:t>and the verifier calculated GHG value</w:t>
      </w:r>
      <w:r w:rsidR="009B7909" w:rsidRPr="00B61FF1">
        <w:rPr>
          <w:rFonts w:ascii="Arial" w:hAnsi="Arial" w:cs="Arial"/>
          <w:sz w:val="24"/>
          <w:szCs w:val="24"/>
        </w:rPr>
        <w:t xml:space="preserve"> </w:t>
      </w:r>
      <w:r w:rsidR="009B7909" w:rsidRPr="00B61FF1">
        <w:rPr>
          <w:rFonts w:ascii="Arial" w:hAnsi="Arial" w:cs="Arial"/>
          <w:strike/>
          <w:sz w:val="24"/>
          <w:szCs w:val="24"/>
          <w:u w:val="single"/>
        </w:rPr>
        <w:t xml:space="preserve">GHG </w:t>
      </w:r>
      <w:r w:rsidR="009B7909" w:rsidRPr="00B61FF1">
        <w:rPr>
          <w:rFonts w:ascii="Arial" w:hAnsi="Arial" w:cs="Arial"/>
          <w:strike/>
          <w:sz w:val="24"/>
          <w:szCs w:val="24"/>
        </w:rPr>
        <w:t>emissions, GHG reductions, and GHG removal enhancements and GHG emissions, project emissions, GHG reductions, and GHG removal enhancements</w:t>
      </w:r>
      <w:r w:rsidR="009B7909" w:rsidRPr="00B61FF1">
        <w:rPr>
          <w:rFonts w:ascii="Arial" w:hAnsi="Arial" w:cs="Arial"/>
          <w:sz w:val="24"/>
          <w:szCs w:val="24"/>
        </w:rPr>
        <w:t xml:space="preserve"> </w:t>
      </w:r>
      <w:r w:rsidRPr="00B61FF1">
        <w:rPr>
          <w:rFonts w:ascii="Arial" w:hAnsi="Arial" w:cs="Arial"/>
          <w:sz w:val="24"/>
          <w:szCs w:val="24"/>
        </w:rPr>
        <w:t xml:space="preserve">for a data source subject to data checks in 95977.1(b)(3)(L) calculated by the offset verification team.  </w:t>
      </w:r>
      <w:r w:rsidR="009B7909" w:rsidRPr="00B61FF1">
        <w:rPr>
          <w:rFonts w:ascii="Arial" w:hAnsi="Arial" w:cs="Arial"/>
          <w:sz w:val="24"/>
          <w:szCs w:val="24"/>
          <w:u w:val="single"/>
        </w:rPr>
        <w:t>Any discrepancies identified must include the positive or negative impact of the GHG source, sink, or reservoir on the total reported GHG emission reductions or removal enhancements when input into the offset material misstatement equation.</w:t>
      </w:r>
    </w:p>
    <w:p w14:paraId="5196E874" w14:textId="77777777" w:rsidR="00FE6A4C" w:rsidRPr="00B61FF1" w:rsidRDefault="00FE6A4C" w:rsidP="00FE6A4C">
      <w:pPr>
        <w:spacing w:line="360" w:lineRule="auto"/>
        <w:ind w:left="1800"/>
        <w:rPr>
          <w:rFonts w:ascii="Arial" w:hAnsi="Arial" w:cs="Arial"/>
          <w:sz w:val="24"/>
          <w:szCs w:val="24"/>
        </w:rPr>
      </w:pPr>
    </w:p>
    <w:p w14:paraId="25608A47" w14:textId="0402E7BA" w:rsidR="00FE6A4C" w:rsidRPr="00B61FF1" w:rsidRDefault="009B7909" w:rsidP="00FE6A4C">
      <w:pPr>
        <w:spacing w:line="360" w:lineRule="auto"/>
        <w:ind w:left="1800"/>
        <w:rPr>
          <w:rFonts w:ascii="Arial" w:hAnsi="Arial" w:cs="Arial"/>
          <w:sz w:val="24"/>
          <w:szCs w:val="24"/>
        </w:rPr>
      </w:pPr>
      <w:r w:rsidRPr="00B61FF1">
        <w:rPr>
          <w:rFonts w:ascii="Arial" w:hAnsi="Arial" w:cs="Arial"/>
          <w:sz w:val="24"/>
          <w:szCs w:val="24"/>
        </w:rPr>
        <w:t xml:space="preserve">“Omissions” means any GHG </w:t>
      </w:r>
      <w:r w:rsidRPr="00B61FF1">
        <w:rPr>
          <w:rFonts w:ascii="Arial" w:hAnsi="Arial" w:cs="Arial"/>
          <w:sz w:val="24"/>
          <w:szCs w:val="24"/>
          <w:u w:val="single"/>
        </w:rPr>
        <w:t>emissions or removals associated with required</w:t>
      </w:r>
      <w:r w:rsidRPr="00B61FF1">
        <w:rPr>
          <w:rFonts w:ascii="Arial" w:hAnsi="Arial" w:cs="Arial"/>
          <w:sz w:val="24"/>
          <w:szCs w:val="24"/>
        </w:rPr>
        <w:t xml:space="preserve"> </w:t>
      </w:r>
      <w:r w:rsidRPr="00B61FF1">
        <w:rPr>
          <w:rFonts w:ascii="Arial" w:hAnsi="Arial" w:cs="Arial"/>
          <w:sz w:val="24"/>
          <w:szCs w:val="24"/>
          <w:u w:val="single"/>
        </w:rPr>
        <w:t xml:space="preserve">sources, sinks, and reservoirs for </w:t>
      </w:r>
      <w:r w:rsidRPr="00B61FF1">
        <w:rPr>
          <w:rFonts w:ascii="Arial" w:hAnsi="Arial" w:cs="Arial"/>
          <w:sz w:val="24"/>
          <w:szCs w:val="24"/>
        </w:rPr>
        <w:t>the</w:t>
      </w:r>
      <w:r w:rsidRPr="00B61FF1">
        <w:rPr>
          <w:rFonts w:ascii="Arial" w:hAnsi="Arial" w:cs="Arial"/>
          <w:sz w:val="24"/>
          <w:szCs w:val="24"/>
          <w:u w:val="single"/>
        </w:rPr>
        <w:t xml:space="preserve"> project baseline </w:t>
      </w:r>
      <w:r w:rsidRPr="00B61FF1">
        <w:rPr>
          <w:rFonts w:ascii="Arial" w:hAnsi="Arial" w:cs="Arial"/>
          <w:strike/>
          <w:sz w:val="24"/>
          <w:szCs w:val="24"/>
        </w:rPr>
        <w:t>emissions,</w:t>
      </w:r>
      <w:r w:rsidRPr="00B61FF1">
        <w:rPr>
          <w:rFonts w:ascii="Arial" w:hAnsi="Arial" w:cs="Arial"/>
          <w:sz w:val="24"/>
          <w:szCs w:val="24"/>
        </w:rPr>
        <w:t xml:space="preserve"> </w:t>
      </w:r>
      <w:r w:rsidRPr="00B61FF1">
        <w:rPr>
          <w:rFonts w:ascii="Arial" w:hAnsi="Arial" w:cs="Arial"/>
          <w:sz w:val="24"/>
          <w:szCs w:val="24"/>
          <w:u w:val="single"/>
        </w:rPr>
        <w:t xml:space="preserve"> or project </w:t>
      </w:r>
      <w:r w:rsidRPr="00B61FF1">
        <w:rPr>
          <w:rFonts w:ascii="Arial" w:hAnsi="Arial" w:cs="Arial"/>
          <w:strike/>
          <w:sz w:val="24"/>
          <w:szCs w:val="24"/>
        </w:rPr>
        <w:t>GHG reductions, project emissions, and GHG removal enhancements</w:t>
      </w:r>
      <w:r w:rsidRPr="00B61FF1">
        <w:rPr>
          <w:rFonts w:ascii="Arial" w:hAnsi="Arial" w:cs="Arial"/>
          <w:sz w:val="24"/>
          <w:szCs w:val="24"/>
        </w:rPr>
        <w:t xml:space="preserve"> </w:t>
      </w:r>
      <w:r w:rsidR="00FE6A4C" w:rsidRPr="00B61FF1">
        <w:rPr>
          <w:rFonts w:ascii="Arial" w:hAnsi="Arial" w:cs="Arial"/>
          <w:sz w:val="24"/>
          <w:szCs w:val="24"/>
        </w:rPr>
        <w:t xml:space="preserve">that the offset verification team concludes must be part of the Offset Project Data Report, but were not included by the Offset Project Operator or Authorized Project Designee in the Offset Project Data Report.  </w:t>
      </w:r>
      <w:r w:rsidR="002838A3" w:rsidRPr="00B61FF1">
        <w:rPr>
          <w:rFonts w:ascii="Arial" w:hAnsi="Arial" w:cs="Arial"/>
          <w:sz w:val="24"/>
          <w:szCs w:val="24"/>
          <w:u w:val="single"/>
        </w:rPr>
        <w:t>Any omissions found by the offset verification team must include the positive or negative impact of the omission on the total reported GHG emission reductions or removal enhancements when input into the offset material misstatement equation.</w:t>
      </w:r>
    </w:p>
    <w:p w14:paraId="03A57AFF" w14:textId="77777777" w:rsidR="00FE6A4C" w:rsidRPr="00B61FF1" w:rsidRDefault="00FE6A4C" w:rsidP="00FE6A4C">
      <w:pPr>
        <w:spacing w:line="360" w:lineRule="auto"/>
        <w:ind w:left="1800"/>
        <w:rPr>
          <w:rFonts w:ascii="Arial" w:hAnsi="Arial" w:cs="Arial"/>
          <w:sz w:val="24"/>
          <w:szCs w:val="24"/>
        </w:rPr>
      </w:pPr>
    </w:p>
    <w:p w14:paraId="1E9C92D8" w14:textId="77777777" w:rsidR="002838A3" w:rsidRPr="00B61FF1" w:rsidRDefault="002838A3" w:rsidP="002838A3">
      <w:pPr>
        <w:spacing w:line="360" w:lineRule="auto"/>
        <w:ind w:left="1800"/>
        <w:rPr>
          <w:rFonts w:ascii="Arial" w:hAnsi="Arial" w:cs="Arial"/>
          <w:sz w:val="24"/>
          <w:szCs w:val="24"/>
        </w:rPr>
      </w:pPr>
      <w:r w:rsidRPr="00B61FF1">
        <w:rPr>
          <w:rFonts w:ascii="Arial" w:hAnsi="Arial" w:cs="Arial"/>
          <w:sz w:val="24"/>
          <w:szCs w:val="24"/>
        </w:rPr>
        <w:t xml:space="preserve">“Misreporting” means duplicative, incomplete, or other GHG </w:t>
      </w:r>
      <w:r w:rsidRPr="00B61FF1">
        <w:rPr>
          <w:rFonts w:ascii="Arial" w:hAnsi="Arial" w:cs="Arial"/>
          <w:sz w:val="24"/>
          <w:szCs w:val="24"/>
          <w:u w:val="single"/>
        </w:rPr>
        <w:t>emissions or removals for required</w:t>
      </w:r>
      <w:r w:rsidRPr="00B61FF1">
        <w:rPr>
          <w:rFonts w:ascii="Arial" w:hAnsi="Arial" w:cs="Arial"/>
          <w:sz w:val="24"/>
          <w:szCs w:val="24"/>
        </w:rPr>
        <w:t xml:space="preserve"> </w:t>
      </w:r>
      <w:r w:rsidRPr="00B61FF1">
        <w:rPr>
          <w:rFonts w:ascii="Arial" w:hAnsi="Arial" w:cs="Arial"/>
          <w:sz w:val="24"/>
          <w:szCs w:val="24"/>
          <w:u w:val="single"/>
        </w:rPr>
        <w:t>sources, sinks, and reservoirs</w:t>
      </w:r>
      <w:r w:rsidRPr="00B61FF1">
        <w:rPr>
          <w:rFonts w:ascii="Arial" w:hAnsi="Arial" w:cs="Arial"/>
          <w:sz w:val="24"/>
          <w:szCs w:val="24"/>
        </w:rPr>
        <w:t xml:space="preserve"> </w:t>
      </w:r>
      <w:r w:rsidRPr="00B61FF1">
        <w:rPr>
          <w:rFonts w:ascii="Arial" w:hAnsi="Arial" w:cs="Arial"/>
          <w:sz w:val="24"/>
          <w:szCs w:val="24"/>
          <w:u w:val="single"/>
        </w:rPr>
        <w:t>in the project baseline or project</w:t>
      </w:r>
      <w:r w:rsidRPr="00B61FF1">
        <w:rPr>
          <w:rFonts w:ascii="Arial" w:hAnsi="Arial" w:cs="Arial"/>
          <w:sz w:val="24"/>
          <w:szCs w:val="24"/>
        </w:rPr>
        <w:t xml:space="preserve"> </w:t>
      </w:r>
      <w:r w:rsidRPr="00B61FF1">
        <w:rPr>
          <w:rFonts w:ascii="Arial" w:hAnsi="Arial" w:cs="Arial"/>
          <w:strike/>
          <w:sz w:val="24"/>
          <w:szCs w:val="24"/>
        </w:rPr>
        <w:t xml:space="preserve">emissions, project emissions, GHG reductions, and GHG removal enhancements </w:t>
      </w:r>
      <w:r w:rsidRPr="00B61FF1">
        <w:rPr>
          <w:rFonts w:ascii="Arial" w:hAnsi="Arial" w:cs="Arial"/>
          <w:sz w:val="24"/>
          <w:szCs w:val="24"/>
        </w:rPr>
        <w:t xml:space="preserve">the offset verification team concludes should, or should not, be part of the Offset Project Data Report.  </w:t>
      </w:r>
      <w:r w:rsidRPr="00B61FF1">
        <w:rPr>
          <w:rFonts w:ascii="Arial" w:hAnsi="Arial" w:cs="Arial"/>
          <w:sz w:val="24"/>
          <w:szCs w:val="24"/>
          <w:u w:val="single"/>
        </w:rPr>
        <w:t>Any misreporting found by the offset verification team must include the positive or negative impact of the m misreporting on the total reported GHG emission reductions or removal enhancements when input into the offset material misstatement equation.</w:t>
      </w:r>
    </w:p>
    <w:p w14:paraId="1917388A" w14:textId="77777777" w:rsidR="00FE6A4C" w:rsidRPr="00B61FF1" w:rsidRDefault="00FE6A4C" w:rsidP="00FE6A4C">
      <w:pPr>
        <w:spacing w:line="360" w:lineRule="auto"/>
        <w:ind w:left="1800"/>
        <w:rPr>
          <w:rFonts w:ascii="Arial" w:hAnsi="Arial" w:cs="Arial"/>
          <w:sz w:val="24"/>
          <w:szCs w:val="24"/>
        </w:rPr>
      </w:pPr>
    </w:p>
    <w:p w14:paraId="2AE0B69D"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“Total reported emission</w:t>
      </w:r>
      <w:r w:rsidRPr="00B61FF1">
        <w:rPr>
          <w:rFonts w:ascii="Arial" w:hAnsi="Arial" w:cs="Arial"/>
          <w:sz w:val="24"/>
          <w:szCs w:val="24"/>
          <w:u w:val="single"/>
        </w:rPr>
        <w:t xml:space="preserve"> reduction</w:t>
      </w:r>
      <w:r w:rsidRPr="00B61FF1">
        <w:rPr>
          <w:rFonts w:ascii="Arial" w:hAnsi="Arial" w:cs="Arial"/>
          <w:sz w:val="24"/>
          <w:szCs w:val="24"/>
        </w:rPr>
        <w:t xml:space="preserve">s” means </w:t>
      </w:r>
      <w:r w:rsidRPr="00B61FF1">
        <w:rPr>
          <w:rFonts w:ascii="Arial" w:hAnsi="Arial" w:cs="Arial"/>
          <w:strike/>
          <w:sz w:val="24"/>
          <w:szCs w:val="24"/>
        </w:rPr>
        <w:t xml:space="preserve">annual reported </w:t>
      </w:r>
      <w:r w:rsidRPr="00B61FF1">
        <w:rPr>
          <w:rFonts w:ascii="Arial" w:hAnsi="Arial" w:cs="Arial"/>
          <w:sz w:val="24"/>
          <w:szCs w:val="24"/>
        </w:rPr>
        <w:t xml:space="preserve">net GHG reductions and GHG removal enhancements </w:t>
      </w:r>
      <w:r w:rsidRPr="00B61FF1">
        <w:rPr>
          <w:rFonts w:ascii="Arial" w:hAnsi="Arial" w:cs="Arial"/>
          <w:sz w:val="24"/>
          <w:szCs w:val="24"/>
          <w:u w:val="single"/>
        </w:rPr>
        <w:t xml:space="preserve">reported by the Offset Project Operator or Authorized Project Designee for an Offset Project Data Report </w:t>
      </w:r>
      <w:r w:rsidRPr="00B61FF1">
        <w:rPr>
          <w:rFonts w:ascii="Arial" w:hAnsi="Arial" w:cs="Arial"/>
          <w:sz w:val="24"/>
          <w:szCs w:val="24"/>
        </w:rPr>
        <w:t xml:space="preserve">relative to the project baseline </w:t>
      </w:r>
      <w:r w:rsidRPr="00B61FF1">
        <w:rPr>
          <w:rFonts w:ascii="Arial" w:hAnsi="Arial" w:cs="Arial"/>
          <w:sz w:val="24"/>
          <w:szCs w:val="24"/>
          <w:u w:val="single"/>
        </w:rPr>
        <w:t xml:space="preserve">for that Offset Project Data Report </w:t>
      </w:r>
      <w:r w:rsidRPr="00B61FF1">
        <w:rPr>
          <w:rFonts w:ascii="Arial" w:hAnsi="Arial" w:cs="Arial"/>
          <w:sz w:val="24"/>
          <w:szCs w:val="24"/>
        </w:rPr>
        <w:t>in metric tons CO</w:t>
      </w:r>
      <w:r w:rsidRPr="00B61FF1">
        <w:rPr>
          <w:rFonts w:ascii="Arial" w:hAnsi="Arial" w:cs="Arial"/>
          <w:sz w:val="24"/>
          <w:szCs w:val="24"/>
          <w:vertAlign w:val="subscript"/>
        </w:rPr>
        <w:t>2</w:t>
      </w:r>
      <w:r w:rsidRPr="00B61FF1">
        <w:rPr>
          <w:rFonts w:ascii="Arial" w:hAnsi="Arial" w:cs="Arial"/>
          <w:sz w:val="24"/>
          <w:szCs w:val="24"/>
        </w:rPr>
        <w:t>e.</w:t>
      </w:r>
    </w:p>
    <w:p w14:paraId="09CA6C85" w14:textId="77777777" w:rsidR="00FE6A4C" w:rsidRPr="00B61FF1" w:rsidRDefault="00FE6A4C" w:rsidP="00FE6A4C">
      <w:pPr>
        <w:spacing w:line="360" w:lineRule="auto"/>
        <w:rPr>
          <w:rFonts w:ascii="Arial" w:hAnsi="Arial" w:cs="Arial"/>
          <w:sz w:val="24"/>
          <w:szCs w:val="24"/>
        </w:rPr>
      </w:pPr>
    </w:p>
    <w:p w14:paraId="35B1E8B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(R)</w:t>
      </w:r>
      <w:r w:rsidRPr="00B61FF1">
        <w:rPr>
          <w:rFonts w:ascii="Arial" w:hAnsi="Arial" w:cs="Arial"/>
          <w:sz w:val="24"/>
          <w:szCs w:val="24"/>
        </w:rPr>
        <w:tab/>
        <w:t xml:space="preserve">Completion of offset verification services must include: </w:t>
      </w:r>
    </w:p>
    <w:p w14:paraId="053A338A"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Offset Verification Statement.  Upon completion of the offset verification services pursuant to section 95977.1(b), the verification body must complete an Offset Verification </w:t>
      </w:r>
      <w:bookmarkStart w:id="561" w:name="_DV_C126"/>
      <w:r w:rsidRPr="00B61FF1">
        <w:rPr>
          <w:rFonts w:ascii="Arial" w:hAnsi="Arial" w:cs="Arial"/>
          <w:sz w:val="24"/>
          <w:szCs w:val="24"/>
        </w:rPr>
        <w:t xml:space="preserve">Statement </w:t>
      </w:r>
      <w:r w:rsidRPr="00B61FF1">
        <w:rPr>
          <w:rFonts w:ascii="Arial" w:hAnsi="Arial" w:cs="Arial"/>
          <w:sz w:val="24"/>
          <w:szCs w:val="24"/>
          <w:u w:val="single"/>
        </w:rPr>
        <w:t xml:space="preserve">for each Offset Project Data Report for which offset verification services were conducted </w:t>
      </w:r>
      <w:r w:rsidRPr="00B61FF1">
        <w:rPr>
          <w:rFonts w:ascii="Arial" w:hAnsi="Arial" w:cs="Arial"/>
          <w:sz w:val="24"/>
          <w:szCs w:val="24"/>
        </w:rPr>
        <w:t xml:space="preserve">and provide it to the Offset Project Operator or Authorized Project Designee and </w:t>
      </w:r>
      <w:bookmarkEnd w:id="561"/>
      <w:r w:rsidRPr="00B61FF1">
        <w:rPr>
          <w:rFonts w:ascii="Arial" w:hAnsi="Arial" w:cs="Arial"/>
          <w:sz w:val="24"/>
          <w:szCs w:val="24"/>
        </w:rPr>
        <w:t>ARB or the Offset Project Registry by the verification deadline pursuant to section 95977(d).  Before the Offset Verification Statement is completed, the verification body must have the offset verification services and findings of the offset verification team independently reviewed within the verification body by an independent reviewer not involved in offset verification services for that offset project.</w:t>
      </w:r>
    </w:p>
    <w:p w14:paraId="24D7F44D"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independent reviewer shall serve as the final check of the offset verification team’s work to identify any significant concerns, including:</w:t>
      </w:r>
    </w:p>
    <w:p w14:paraId="0BC3E62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Errors in planning; </w:t>
      </w:r>
    </w:p>
    <w:p w14:paraId="7561E24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Errors in data sampling; and </w:t>
      </w:r>
    </w:p>
    <w:p w14:paraId="47338647"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Errors in judgment by the offset verification team that are related to the draft offset verification statement.</w:t>
      </w:r>
    </w:p>
    <w:p w14:paraId="1EB3379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independent reviewer must maintain independence from the offset verification services by not making specific recommendations about how the offset verification services should be conducted.  The independent reviewer will review documents applicable to the offset verification services provided and identify any failure to comply with the requirements of this article or with the verification body’s internal policies and procedures for providing offset verification services.  The independent reviewer must concur with the offset verification findings before the Offset Verification Statement can be issued.</w:t>
      </w:r>
    </w:p>
    <w:p w14:paraId="5C69A2D4"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When the offset verification team completes its findings: </w:t>
      </w:r>
    </w:p>
    <w:p w14:paraId="5B989793"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The verification body must provide to the Offset Project Operator or Authorized Project Designee a detailed verification report </w:t>
      </w:r>
      <w:r w:rsidRPr="00B61FF1">
        <w:rPr>
          <w:rFonts w:ascii="Arial" w:hAnsi="Arial" w:cs="Arial"/>
          <w:sz w:val="24"/>
          <w:szCs w:val="24"/>
          <w:u w:val="single"/>
        </w:rPr>
        <w:t>for each Offset Project Data Report for which offset verification services were conducted</w:t>
      </w:r>
      <w:r w:rsidRPr="00B61FF1">
        <w:rPr>
          <w:rFonts w:ascii="Arial" w:hAnsi="Arial" w:cs="Arial"/>
          <w:sz w:val="24"/>
          <w:szCs w:val="24"/>
        </w:rPr>
        <w:t>.  The detailed verification report must at a minimum include the Offset Verification Plan, the detailed comparison of the data checks conducted during offset verification services</w:t>
      </w:r>
      <w:r w:rsidRPr="00B61FF1">
        <w:rPr>
          <w:rFonts w:ascii="Arial" w:hAnsi="Arial" w:cs="Arial"/>
          <w:sz w:val="24"/>
          <w:szCs w:val="24"/>
          <w:u w:val="single"/>
        </w:rPr>
        <w:t xml:space="preserve"> pursuant to section 95977.1(b)(3)(L), including the required narrative</w:t>
      </w:r>
      <w:r w:rsidRPr="00B61FF1">
        <w:rPr>
          <w:rFonts w:ascii="Arial" w:hAnsi="Arial" w:cs="Arial"/>
          <w:sz w:val="24"/>
          <w:szCs w:val="24"/>
        </w:rPr>
        <w:t>, the issues log identified in the course of offset verification activities and the issue resolutions, and any qualifying comments on findings during offset verification services.  The detailed verification report must also include the calculations performed in 95977.1(b)(3)(Q)</w:t>
      </w:r>
      <w:r w:rsidRPr="00B61FF1">
        <w:rPr>
          <w:rFonts w:ascii="Arial" w:hAnsi="Arial" w:cs="Arial"/>
          <w:sz w:val="24"/>
          <w:szCs w:val="24"/>
          <w:u w:val="single"/>
        </w:rPr>
        <w:t xml:space="preserve"> with enough detail to understand the relationships between the data checks and the offset material misstatement evaluation,</w:t>
      </w:r>
      <w:r w:rsidRPr="00B61FF1">
        <w:rPr>
          <w:rFonts w:ascii="Arial" w:hAnsi="Arial" w:cs="Arial"/>
          <w:sz w:val="24"/>
          <w:szCs w:val="24"/>
        </w:rPr>
        <w:t xml:space="preserve"> and be made available to ARB within 10 calendar days upon request. If the Offset Verification Statement is being submitted to an Offset Project Registry, then the verification body must submit the detailed verification report to the Offset Project Registry with the Offset Verification Statement.  The detailed verification report must be submitted to the Offset Project Operator or Authorized Project Designee at the same time or before the Offset Verification Statement is submitted to ARB or the Offset Project Registry.</w:t>
      </w:r>
    </w:p>
    <w:p w14:paraId="07FBC636"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The verification body must provide the Offset Verification Statement to the Offset Project Operator or Authorized Project Designee and ARB or the Offset Project Registry, attesting to ARB whether the verification body has found the submitted Offset Project Data Report to be free of offset material misstatement, and whether the Offset Project Data Report is in conformance with the requirements of this article and the Compliance Offset Protocol.  </w:t>
      </w:r>
    </w:p>
    <w:p w14:paraId="60EFB6FE"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A Compliance Offset Protocol may restrict the use of a Qualified Positive Offset Verification Statement for certain project types, in which case the verification body must submit either a Positive Offset Verification Statement or an Adverse Offset Verification Statement.  In the case of a Qualified Positive Offset Verification Statement, when not restricted by a Compliance Offset Protocol, the verification body will qualify the Offset Verification Statement to indicate any non-conformances </w:t>
      </w:r>
      <w:r w:rsidRPr="00B61FF1">
        <w:rPr>
          <w:rFonts w:ascii="Arial" w:hAnsi="Arial" w:cs="Arial"/>
          <w:sz w:val="24"/>
          <w:szCs w:val="24"/>
          <w:u w:val="single"/>
        </w:rPr>
        <w:t xml:space="preserve">allowed for a qualified Positive Offset Verification Statement as defined in section 95802 </w:t>
      </w:r>
      <w:r w:rsidRPr="00B61FF1">
        <w:rPr>
          <w:rFonts w:ascii="Arial" w:hAnsi="Arial" w:cs="Arial"/>
          <w:sz w:val="24"/>
          <w:szCs w:val="24"/>
        </w:rPr>
        <w:t>contained within the Offset Project Data Report and that these non</w:t>
      </w:r>
      <w:r w:rsidRPr="00B61FF1">
        <w:rPr>
          <w:rFonts w:ascii="Arial" w:hAnsi="Arial" w:cs="Arial"/>
          <w:sz w:val="24"/>
          <w:szCs w:val="24"/>
          <w:u w:val="single"/>
        </w:rPr>
        <w:t>-</w:t>
      </w:r>
      <w:r w:rsidRPr="00B61FF1">
        <w:rPr>
          <w:rFonts w:ascii="Arial" w:hAnsi="Arial" w:cs="Arial"/>
          <w:sz w:val="24"/>
          <w:szCs w:val="24"/>
        </w:rPr>
        <w:t>conformances do not result in an offset material misstatement.</w:t>
      </w:r>
    </w:p>
    <w:p w14:paraId="674C2302"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offset verification team must have a final discussion with the Offset Project Operator or Authorized Project Designee explaining their findings and notifying the Offset Project Operator or Authorized Project Designee of any unresolved issues noted in the issues log before the Offset Verification Statement is finalized</w:t>
      </w:r>
      <w:r w:rsidRPr="00B61FF1">
        <w:rPr>
          <w:rFonts w:ascii="Arial" w:hAnsi="Arial" w:cs="Arial"/>
          <w:sz w:val="24"/>
          <w:szCs w:val="24"/>
          <w:u w:val="single"/>
        </w:rPr>
        <w:t xml:space="preserve"> and submitted to the Offset Project Registry or ARB</w:t>
      </w:r>
      <w:r w:rsidRPr="00B61FF1">
        <w:rPr>
          <w:rFonts w:ascii="Arial" w:hAnsi="Arial" w:cs="Arial"/>
          <w:sz w:val="24"/>
          <w:szCs w:val="24"/>
        </w:rPr>
        <w:t>.</w:t>
      </w:r>
    </w:p>
    <w:p w14:paraId="6EE803C7"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The lead verifier in the offset verification team must attest to ARB in the Offset Verification Statement that the offset verification team has carried out all offset verification services as required by this article, and the lead verifier </w:t>
      </w:r>
      <w:bookmarkStart w:id="562" w:name="_DV_C145"/>
      <w:r w:rsidRPr="00B61FF1">
        <w:rPr>
          <w:rFonts w:ascii="Arial" w:hAnsi="Arial" w:cs="Arial"/>
          <w:sz w:val="24"/>
          <w:szCs w:val="24"/>
        </w:rPr>
        <w:t>who</w:t>
      </w:r>
      <w:bookmarkEnd w:id="562"/>
      <w:r w:rsidRPr="00B61FF1">
        <w:rPr>
          <w:rFonts w:ascii="Arial" w:hAnsi="Arial" w:cs="Arial"/>
          <w:sz w:val="24"/>
          <w:szCs w:val="24"/>
        </w:rPr>
        <w:t xml:space="preserve"> has conducted the independent review of offset verification services and findings must attest to his or her independent review on behalf of the verification body and his or her concurrence with the offset verification findings.</w:t>
      </w:r>
    </w:p>
    <w:p w14:paraId="55E5D364"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The lead verifier must attest in the Offset Verification Statement, in writing, to ARB as follows:</w:t>
      </w:r>
    </w:p>
    <w:p w14:paraId="6CEB84F5"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z w:val="24"/>
          <w:szCs w:val="24"/>
        </w:rPr>
        <w:t>“I certify under penalty of perjury under the laws of the State of California that the offset verification team has carried out all offset verification services as required by sections 95977.1</w:t>
      </w:r>
      <w:r w:rsidRPr="00B61FF1">
        <w:rPr>
          <w:rFonts w:ascii="Arial" w:hAnsi="Arial" w:cs="Arial"/>
          <w:sz w:val="24"/>
          <w:szCs w:val="24"/>
          <w:u w:val="single"/>
        </w:rPr>
        <w:t>,</w:t>
      </w:r>
      <w:r w:rsidRPr="00B61FF1">
        <w:rPr>
          <w:rFonts w:ascii="Arial" w:hAnsi="Arial" w:cs="Arial"/>
          <w:sz w:val="24"/>
          <w:szCs w:val="24"/>
        </w:rPr>
        <w:t xml:space="preserve"> </w:t>
      </w:r>
      <w:r w:rsidRPr="00B61FF1">
        <w:rPr>
          <w:rFonts w:ascii="Arial" w:hAnsi="Arial" w:cs="Arial"/>
          <w:strike/>
          <w:sz w:val="24"/>
          <w:szCs w:val="24"/>
        </w:rPr>
        <w:t>and</w:t>
      </w:r>
      <w:r w:rsidRPr="00B61FF1">
        <w:rPr>
          <w:rFonts w:ascii="Arial" w:hAnsi="Arial" w:cs="Arial"/>
          <w:sz w:val="24"/>
          <w:szCs w:val="24"/>
        </w:rPr>
        <w:t xml:space="preserve"> 95977.2</w:t>
      </w:r>
      <w:r w:rsidRPr="00B61FF1">
        <w:rPr>
          <w:rFonts w:ascii="Arial" w:hAnsi="Arial" w:cs="Arial"/>
          <w:sz w:val="24"/>
          <w:szCs w:val="24"/>
          <w:u w:val="single"/>
        </w:rPr>
        <w:t>, and the applicable Compliance Offset Protocol</w:t>
      </w:r>
      <w:r w:rsidRPr="00B61FF1">
        <w:rPr>
          <w:rFonts w:ascii="Arial" w:hAnsi="Arial" w:cs="Arial"/>
          <w:sz w:val="24"/>
          <w:szCs w:val="24"/>
        </w:rPr>
        <w:t xml:space="preserve"> and the findings are true, accurate, and complete and have been independently reviewed by an independent reviewer as required under sections 95977.1(b)(3)(R)(1.) through 95977.1(b)(3)(R)(3.).”</w:t>
      </w:r>
    </w:p>
    <w:p w14:paraId="22589ED8"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 xml:space="preserve">Prior to the verification body </w:t>
      </w:r>
      <w:bookmarkStart w:id="563" w:name="_DV_C150"/>
      <w:r w:rsidRPr="00B61FF1">
        <w:rPr>
          <w:rFonts w:ascii="Arial" w:hAnsi="Arial" w:cs="Arial"/>
          <w:sz w:val="24"/>
          <w:szCs w:val="24"/>
        </w:rPr>
        <w:t>providing</w:t>
      </w:r>
      <w:bookmarkEnd w:id="563"/>
      <w:r w:rsidRPr="00B61FF1">
        <w:rPr>
          <w:rFonts w:ascii="Arial" w:hAnsi="Arial" w:cs="Arial"/>
          <w:sz w:val="24"/>
          <w:szCs w:val="24"/>
        </w:rPr>
        <w:t xml:space="preserve"> an Adverse Offset Verification Statement to ARB or the Offset Project Registry, the Offset Project Operator or Authorized Project Designee must be provided at least 10 working days to modify the </w:t>
      </w:r>
      <w:bookmarkStart w:id="564" w:name="_DV_C154"/>
      <w:r w:rsidRPr="00B61FF1">
        <w:rPr>
          <w:rFonts w:ascii="Arial" w:hAnsi="Arial" w:cs="Arial"/>
          <w:sz w:val="24"/>
          <w:szCs w:val="24"/>
        </w:rPr>
        <w:t xml:space="preserve">Offset Project Data </w:t>
      </w:r>
      <w:bookmarkEnd w:id="564"/>
      <w:r w:rsidRPr="00B61FF1">
        <w:rPr>
          <w:rFonts w:ascii="Arial" w:hAnsi="Arial" w:cs="Arial"/>
          <w:sz w:val="24"/>
          <w:szCs w:val="24"/>
        </w:rPr>
        <w:t>Report to correct any offset material misstatement or nonconformance found by the offset verification team.  The modified Offset Project Data Report and Offset Verification Statement must be submitted to ARB or the Offset Project Registry by the applicable verification deadline, unless the Offset Project Operator or Authorized Project Designee makes a request to ARB pursuant to section 95977.1(b)(3)(R)(6.).</w:t>
      </w:r>
    </w:p>
    <w:p w14:paraId="3CD2976A"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 xml:space="preserve">If the Offset Project Operator or Authorized Project Designee and the verification body cannot reach agreement on modifications to the Offset Project Data Report that result in a Positive Offset or Qualified Positive Offset Verification Statement due to a disagreement on the requirements of this article or Compliance Offset Protocol, the Offset Project Operator or Authorized Project Designee may petition ARB to make a decision as to the verifiability of the submitted Offset Project Data Report.  </w:t>
      </w:r>
    </w:p>
    <w:p w14:paraId="76079A44"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7.</w:t>
      </w:r>
      <w:r w:rsidRPr="00B61FF1">
        <w:rPr>
          <w:rFonts w:ascii="Arial" w:hAnsi="Arial" w:cs="Arial"/>
          <w:sz w:val="24"/>
          <w:szCs w:val="24"/>
        </w:rPr>
        <w:tab/>
        <w:t>If ARB determines that the Offset Project Data Report does not meet the standards and requirements specified in this article, the Offset Project Operator or Authorized Project Designee must provide any additional information within 30 calendar days of the ARB determination.  ARB will review the new information and notify the Offset Project Operator or Authorized Project Designee and verification body of its final decision.  In re-verifying a revised Offset Project Data Report, the</w:t>
      </w:r>
      <w:bookmarkStart w:id="565" w:name="_DV_C173"/>
      <w:r w:rsidRPr="00B61FF1">
        <w:rPr>
          <w:rFonts w:ascii="Arial" w:hAnsi="Arial" w:cs="Arial"/>
          <w:sz w:val="24"/>
          <w:szCs w:val="24"/>
        </w:rPr>
        <w:t xml:space="preserve"> verification body and</w:t>
      </w:r>
      <w:bookmarkEnd w:id="565"/>
      <w:r w:rsidRPr="00B61FF1">
        <w:rPr>
          <w:rFonts w:ascii="Arial" w:hAnsi="Arial" w:cs="Arial"/>
          <w:sz w:val="24"/>
          <w:szCs w:val="24"/>
        </w:rPr>
        <w:t xml:space="preserve"> offset verification team shall be subject to the requirements in sections 95977.1(b)(3)(R)(1.) through 95977.1(b)(3)(R)(4.) and must submit the revised Offset Verification Statement to ARB or the Offset Project Registry within 15 calendar days.</w:t>
      </w:r>
    </w:p>
    <w:p w14:paraId="1CB61DF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(S)</w:t>
      </w:r>
      <w:r w:rsidRPr="00B61FF1">
        <w:rPr>
          <w:rFonts w:ascii="Arial" w:hAnsi="Arial" w:cs="Arial"/>
          <w:sz w:val="24"/>
          <w:szCs w:val="24"/>
        </w:rPr>
        <w:tab/>
        <w:t>Upon submission of the Offset Verification Statement to ARB or the Offset Project Registry, the Offset Project Data Report must be considered final and no further changes may be made.  All offset verification requirements of this article shall be considered complete.</w:t>
      </w:r>
    </w:p>
    <w:p w14:paraId="11A8389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(T)</w:t>
      </w:r>
      <w:r w:rsidRPr="00B61FF1">
        <w:rPr>
          <w:rFonts w:ascii="Arial" w:hAnsi="Arial" w:cs="Arial"/>
          <w:sz w:val="24"/>
          <w:szCs w:val="24"/>
        </w:rPr>
        <w:tab/>
        <w:t>If the Executive Officer finds a high level of conflict of interest existed between a verification body and an Offset Project Operator or Authorized Project Designee pursuant to section 95979(b)(3) and section 95979(b)(4), or an Offset Project Data Report that received a Positive Offset or Qualified Positive Offset Verification Statement fails an ARB audit, the Executive Officer may set aside the Positive Offset or Qualified Positive Offset Verification Statement submitted by the verification body and require the Offset Project Operator or Authorized Project designee to have the Offset Project Data Report re-verified by a different verification body within 90 calendar days of this finding.</w:t>
      </w:r>
    </w:p>
    <w:p w14:paraId="7D8ED01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(U)</w:t>
      </w:r>
      <w:r w:rsidRPr="00B61FF1">
        <w:rPr>
          <w:rFonts w:ascii="Arial" w:hAnsi="Arial" w:cs="Arial"/>
          <w:sz w:val="24"/>
          <w:szCs w:val="24"/>
        </w:rPr>
        <w:tab/>
        <w:t>Upon request by ARB or the Offset Project Registry, the Offset Project Operator or Authorized Project Designee must provide the data used to generate an Offset Project Data Report, including all data available to the offset verification team in the conduct of offset verification services, within 10 working days of the request.</w:t>
      </w:r>
    </w:p>
    <w:p w14:paraId="6AD2E6A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(V)</w:t>
      </w:r>
      <w:r w:rsidRPr="00B61FF1">
        <w:rPr>
          <w:rFonts w:ascii="Arial" w:hAnsi="Arial" w:cs="Arial"/>
          <w:sz w:val="24"/>
          <w:szCs w:val="24"/>
        </w:rPr>
        <w:tab/>
        <w:t>Upon request by ARB or the Offset Project Registry the verification body must provide ARB or the Offset Project Registry the detailed verification report given to the Offset Project Operator or Authorized Project Designee, as well as the sampling plan, contracts for offset verification services, and any other supporting documentation.  All documentation must be provided by the verification body to ARB or the Offset Project Registry within 10 working days of the request.</w:t>
      </w:r>
    </w:p>
    <w:p w14:paraId="37E6F00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w:t>
      </w:r>
      <w:r w:rsidRPr="00B61FF1">
        <w:rPr>
          <w:rFonts w:ascii="Arial" w:hAnsi="Arial" w:cs="Arial"/>
          <w:sz w:val="24"/>
          <w:szCs w:val="24"/>
        </w:rPr>
        <w:tab/>
        <w:t xml:space="preserve">Upon written notification by ARB the verification body and its staff must be available for an offset verification services audit when providing offset verification services for an offset project listed with ARB or an Offset Project Registry using a Compliance Offset Protocol. </w:t>
      </w:r>
    </w:p>
    <w:p w14:paraId="31931D47" w14:textId="77777777" w:rsidR="00FE6A4C" w:rsidRPr="00B61FF1" w:rsidRDefault="00FE6A4C" w:rsidP="00FE6A4C">
      <w:pPr>
        <w:spacing w:line="360" w:lineRule="auto"/>
        <w:ind w:left="720"/>
        <w:rPr>
          <w:rFonts w:ascii="Arial" w:hAnsi="Arial" w:cs="Arial"/>
          <w:sz w:val="24"/>
          <w:szCs w:val="24"/>
        </w:rPr>
      </w:pPr>
    </w:p>
    <w:p w14:paraId="73D6F35F"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184387C3"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71BC0E3E" w14:textId="77777777" w:rsidR="00FE6A4C" w:rsidRPr="00B61FF1" w:rsidRDefault="00FE6A4C" w:rsidP="00FE6A4C">
      <w:pPr>
        <w:spacing w:before="240" w:after="60" w:line="360" w:lineRule="auto"/>
        <w:outlineLvl w:val="1"/>
        <w:rPr>
          <w:rFonts w:ascii="Arial" w:hAnsi="Arial" w:cs="Arial"/>
          <w:b/>
          <w:bCs/>
          <w:iCs/>
          <w:sz w:val="24"/>
          <w:szCs w:val="24"/>
        </w:rPr>
      </w:pPr>
      <w:bookmarkStart w:id="566" w:name="_Toc291245702"/>
      <w:bookmarkStart w:id="567" w:name="_Toc294275149"/>
      <w:bookmarkStart w:id="568" w:name="_Toc294863579"/>
      <w:bookmarkStart w:id="569" w:name="_Toc299094978"/>
      <w:bookmarkStart w:id="570" w:name="_Toc299095095"/>
      <w:bookmarkStart w:id="571" w:name="_Toc302746832"/>
      <w:bookmarkStart w:id="572" w:name="_Toc361659895"/>
      <w:r w:rsidRPr="00B61FF1">
        <w:rPr>
          <w:rFonts w:ascii="Arial" w:hAnsi="Arial" w:cs="Arial"/>
          <w:b/>
          <w:bCs/>
          <w:iCs/>
          <w:sz w:val="24"/>
          <w:szCs w:val="24"/>
        </w:rPr>
        <w:t>§ 95977.2.  Additional Project Specific Requirements for Offset Verification Services</w:t>
      </w:r>
      <w:bookmarkEnd w:id="566"/>
      <w:bookmarkEnd w:id="567"/>
      <w:bookmarkEnd w:id="568"/>
      <w:r w:rsidRPr="00B61FF1">
        <w:rPr>
          <w:rFonts w:ascii="Arial" w:hAnsi="Arial" w:cs="Arial"/>
          <w:b/>
          <w:bCs/>
          <w:iCs/>
          <w:sz w:val="24"/>
          <w:szCs w:val="24"/>
        </w:rPr>
        <w:t>.</w:t>
      </w:r>
      <w:bookmarkEnd w:id="569"/>
      <w:bookmarkEnd w:id="570"/>
      <w:bookmarkEnd w:id="571"/>
      <w:bookmarkEnd w:id="572"/>
    </w:p>
    <w:p w14:paraId="567B4886" w14:textId="77777777" w:rsidR="00FE6A4C" w:rsidRPr="00B61FF1" w:rsidRDefault="00FE6A4C" w:rsidP="00FE6A4C">
      <w:pPr>
        <w:spacing w:line="360" w:lineRule="auto"/>
        <w:rPr>
          <w:rFonts w:ascii="Arial" w:hAnsi="Arial" w:cs="Arial"/>
          <w:sz w:val="24"/>
          <w:szCs w:val="24"/>
        </w:rPr>
      </w:pPr>
      <w:r w:rsidRPr="00B61FF1">
        <w:rPr>
          <w:rFonts w:ascii="Arial" w:hAnsi="Arial" w:cs="Arial"/>
          <w:sz w:val="24"/>
          <w:szCs w:val="24"/>
        </w:rPr>
        <w:t>In addition to meeting the offset verification requirements in sections 95977 and 95977.1, Offset Project Operators or Authorized Project Designees must ensure the GHG emission reductions and GHG removal enhancements resulting from an offset project meet any additional verification requirements in the Compliance Offset Protocol, if applicable, for an offset project of that type.</w:t>
      </w:r>
    </w:p>
    <w:p w14:paraId="529A1B03" w14:textId="77777777" w:rsidR="00FE6A4C" w:rsidRPr="00B61FF1" w:rsidRDefault="00FE6A4C" w:rsidP="00FE6A4C">
      <w:pPr>
        <w:spacing w:line="360" w:lineRule="auto"/>
        <w:rPr>
          <w:rFonts w:ascii="Arial" w:hAnsi="Arial" w:cs="Arial"/>
          <w:sz w:val="24"/>
          <w:szCs w:val="24"/>
        </w:rPr>
      </w:pPr>
    </w:p>
    <w:p w14:paraId="7D0B363A"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322C3DBE"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66496070" w14:textId="77777777" w:rsidR="00FE6A4C" w:rsidRPr="00B61FF1" w:rsidRDefault="00FE6A4C" w:rsidP="00FE6A4C">
      <w:pPr>
        <w:spacing w:before="240" w:after="60" w:line="360" w:lineRule="auto"/>
        <w:outlineLvl w:val="1"/>
        <w:rPr>
          <w:rFonts w:ascii="Arial" w:hAnsi="Arial" w:cs="Arial"/>
          <w:b/>
          <w:bCs/>
          <w:iCs/>
          <w:sz w:val="24"/>
          <w:szCs w:val="24"/>
        </w:rPr>
      </w:pPr>
      <w:bookmarkStart w:id="573" w:name="_Toc258822509"/>
      <w:bookmarkStart w:id="574" w:name="_Toc266690274"/>
      <w:bookmarkStart w:id="575" w:name="_Toc268526247"/>
      <w:bookmarkStart w:id="576" w:name="_Toc269206267"/>
      <w:bookmarkStart w:id="577" w:name="_Toc269798108"/>
      <w:bookmarkStart w:id="578" w:name="_Toc275870255"/>
      <w:bookmarkStart w:id="579" w:name="_Toc291245703"/>
      <w:bookmarkStart w:id="580" w:name="_Toc294275150"/>
      <w:bookmarkStart w:id="581" w:name="_Toc294863580"/>
      <w:bookmarkStart w:id="582" w:name="_Toc299094979"/>
      <w:bookmarkStart w:id="583" w:name="_Toc299095096"/>
      <w:bookmarkStart w:id="584" w:name="_Toc302746833"/>
      <w:bookmarkStart w:id="585" w:name="_Toc361659896"/>
      <w:r w:rsidRPr="00B61FF1">
        <w:rPr>
          <w:rFonts w:ascii="Arial" w:hAnsi="Arial" w:cs="Arial"/>
          <w:b/>
          <w:bCs/>
          <w:iCs/>
          <w:sz w:val="24"/>
          <w:szCs w:val="24"/>
        </w:rPr>
        <w:t>§ 95978.  Offset Verifier and Verification Body Accreditation</w:t>
      </w:r>
      <w:bookmarkEnd w:id="573"/>
      <w:bookmarkEnd w:id="574"/>
      <w:bookmarkEnd w:id="575"/>
      <w:bookmarkEnd w:id="576"/>
      <w:bookmarkEnd w:id="577"/>
      <w:bookmarkEnd w:id="578"/>
      <w:bookmarkEnd w:id="579"/>
      <w:bookmarkEnd w:id="580"/>
      <w:bookmarkEnd w:id="581"/>
      <w:r w:rsidRPr="00B61FF1">
        <w:rPr>
          <w:rFonts w:ascii="Arial" w:hAnsi="Arial" w:cs="Arial"/>
          <w:b/>
          <w:bCs/>
          <w:iCs/>
          <w:sz w:val="24"/>
          <w:szCs w:val="24"/>
        </w:rPr>
        <w:t>.</w:t>
      </w:r>
      <w:bookmarkEnd w:id="582"/>
      <w:bookmarkEnd w:id="583"/>
      <w:bookmarkEnd w:id="584"/>
      <w:bookmarkEnd w:id="585"/>
    </w:p>
    <w:p w14:paraId="28058E4B" w14:textId="77777777"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t xml:space="preserve">An offset verifier or verification body must meet the accreditation requirements in section 95132 of MRR to provide offset verification services to verify GHG emission reductions and GHG removal enhancements for offset projects listed pursuant to this article.  </w:t>
      </w:r>
      <w:r w:rsidRPr="00B61FF1">
        <w:rPr>
          <w:rFonts w:ascii="Arial" w:hAnsi="Arial" w:cs="Arial"/>
          <w:sz w:val="24"/>
          <w:szCs w:val="24"/>
          <w:u w:val="single"/>
        </w:rPr>
        <w:t xml:space="preserve">Accreditation of verification bodies and offset verifiers for verifying Offset Project Data Reports under this article must be achieved separately from accreditation for verifying reports submitted under the MRR.  </w:t>
      </w:r>
    </w:p>
    <w:p w14:paraId="78309268" w14:textId="77777777"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For purposes of this article, the subcontractor requirements in section 95132(e) of the MRR must be applied to the Offset Project Operator and/or Authorized Project Designee and not a reporting entity.</w:t>
      </w:r>
    </w:p>
    <w:p w14:paraId="7A6DA4B3" w14:textId="59FEA74A"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An ARB accredited verification body must make itself and its perso</w:t>
      </w:r>
      <w:r w:rsidR="006F49D8" w:rsidRPr="00B61FF1">
        <w:rPr>
          <w:rFonts w:ascii="Arial" w:hAnsi="Arial" w:cs="Arial"/>
          <w:sz w:val="24"/>
          <w:szCs w:val="24"/>
          <w:u w:val="single"/>
        </w:rPr>
        <w:t>nnel available for an ARB audit</w:t>
      </w:r>
      <w:r w:rsidRPr="00B61FF1">
        <w:rPr>
          <w:rFonts w:ascii="Arial" w:hAnsi="Arial" w:cs="Arial"/>
          <w:sz w:val="24"/>
          <w:szCs w:val="24"/>
          <w:u w:val="single"/>
        </w:rPr>
        <w:t>.</w:t>
      </w:r>
    </w:p>
    <w:p w14:paraId="5B547038" w14:textId="77777777" w:rsidR="00FE6A4C" w:rsidRPr="00B61FF1" w:rsidRDefault="00FE6A4C" w:rsidP="00FE6A4C">
      <w:pPr>
        <w:spacing w:line="360" w:lineRule="auto"/>
        <w:rPr>
          <w:rFonts w:ascii="Arial" w:hAnsi="Arial" w:cs="Arial"/>
          <w:sz w:val="24"/>
          <w:szCs w:val="24"/>
        </w:rPr>
      </w:pPr>
    </w:p>
    <w:p w14:paraId="516204A9"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3859ABF3"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632659F9" w14:textId="77777777" w:rsidR="00FE6A4C" w:rsidRPr="00B61FF1" w:rsidRDefault="00FE6A4C" w:rsidP="00FE6A4C">
      <w:pPr>
        <w:spacing w:before="240" w:after="60" w:line="360" w:lineRule="auto"/>
        <w:outlineLvl w:val="1"/>
        <w:rPr>
          <w:rFonts w:ascii="Arial" w:hAnsi="Arial" w:cs="Arial"/>
          <w:b/>
          <w:bCs/>
          <w:iCs/>
          <w:sz w:val="24"/>
          <w:szCs w:val="24"/>
        </w:rPr>
      </w:pPr>
      <w:bookmarkStart w:id="586" w:name="_Toc258822510"/>
      <w:bookmarkStart w:id="587" w:name="_Toc266690275"/>
      <w:bookmarkStart w:id="588" w:name="_Toc268526248"/>
      <w:bookmarkStart w:id="589" w:name="_Toc269206268"/>
      <w:bookmarkStart w:id="590" w:name="_Toc269798109"/>
      <w:bookmarkStart w:id="591" w:name="_Toc275870256"/>
      <w:bookmarkStart w:id="592" w:name="_Toc291245704"/>
      <w:bookmarkStart w:id="593" w:name="_Toc294275151"/>
      <w:bookmarkStart w:id="594" w:name="_Toc294863581"/>
      <w:bookmarkStart w:id="595" w:name="_Toc299094980"/>
      <w:bookmarkStart w:id="596" w:name="_Toc299095097"/>
      <w:bookmarkStart w:id="597" w:name="_Toc302746834"/>
      <w:bookmarkStart w:id="598" w:name="_Toc361659897"/>
      <w:r w:rsidRPr="00B61FF1">
        <w:rPr>
          <w:rFonts w:ascii="Arial" w:hAnsi="Arial" w:cs="Arial"/>
          <w:b/>
          <w:bCs/>
          <w:iCs/>
          <w:sz w:val="24"/>
          <w:szCs w:val="24"/>
        </w:rPr>
        <w:t xml:space="preserve">§ 95979.  Conflict of Interest Requirements for </w:t>
      </w:r>
      <w:bookmarkEnd w:id="586"/>
      <w:bookmarkEnd w:id="587"/>
      <w:bookmarkEnd w:id="588"/>
      <w:bookmarkEnd w:id="589"/>
      <w:bookmarkEnd w:id="590"/>
      <w:r w:rsidRPr="00B61FF1">
        <w:rPr>
          <w:rFonts w:ascii="Arial" w:hAnsi="Arial" w:cs="Arial"/>
          <w:b/>
          <w:bCs/>
          <w:iCs/>
          <w:sz w:val="24"/>
          <w:szCs w:val="24"/>
        </w:rPr>
        <w:t xml:space="preserve">Verification Bodies </w:t>
      </w:r>
      <w:r w:rsidRPr="00B61FF1">
        <w:rPr>
          <w:rFonts w:ascii="Arial" w:hAnsi="Arial" w:cs="Arial"/>
          <w:b/>
          <w:bCs/>
          <w:iCs/>
          <w:sz w:val="24"/>
          <w:szCs w:val="24"/>
          <w:u w:val="single"/>
        </w:rPr>
        <w:t xml:space="preserve">and Offset Verifiers </w:t>
      </w:r>
      <w:r w:rsidRPr="00B61FF1">
        <w:rPr>
          <w:rFonts w:ascii="Arial" w:hAnsi="Arial" w:cs="Arial"/>
          <w:b/>
          <w:bCs/>
          <w:iCs/>
          <w:sz w:val="24"/>
          <w:szCs w:val="24"/>
        </w:rPr>
        <w:t>for Verification of Offset Project Data Reports</w:t>
      </w:r>
      <w:bookmarkEnd w:id="591"/>
      <w:bookmarkEnd w:id="592"/>
      <w:bookmarkEnd w:id="593"/>
      <w:bookmarkEnd w:id="594"/>
      <w:r w:rsidRPr="00B61FF1">
        <w:rPr>
          <w:rFonts w:ascii="Arial" w:hAnsi="Arial" w:cs="Arial"/>
          <w:b/>
          <w:bCs/>
          <w:iCs/>
          <w:sz w:val="24"/>
          <w:szCs w:val="24"/>
        </w:rPr>
        <w:t>.</w:t>
      </w:r>
      <w:bookmarkEnd w:id="595"/>
      <w:bookmarkEnd w:id="596"/>
      <w:bookmarkEnd w:id="597"/>
      <w:bookmarkEnd w:id="598"/>
    </w:p>
    <w:p w14:paraId="5156975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conflict of interest provisions of this section shall apply to verification bodies, lead verifiers, and offset verifiers accredited by ARB to perform offset verification services for Offset Project Operators</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Designees</w:t>
      </w:r>
      <w:r w:rsidRPr="00B61FF1">
        <w:rPr>
          <w:rFonts w:ascii="Arial" w:hAnsi="Arial" w:cs="Arial"/>
          <w:sz w:val="24"/>
          <w:szCs w:val="24"/>
          <w:u w:val="single"/>
        </w:rPr>
        <w:t>, if applicable, as well as any subcontractors utilized by the verification body for the offset verification services</w:t>
      </w:r>
      <w:r w:rsidRPr="00B61FF1">
        <w:rPr>
          <w:rFonts w:ascii="Arial" w:hAnsi="Arial" w:cs="Arial"/>
          <w:sz w:val="24"/>
          <w:szCs w:val="24"/>
        </w:rPr>
        <w:t>.</w:t>
      </w:r>
    </w:p>
    <w:p w14:paraId="01F90EC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potential for a conflict of interest must be deemed to be high where:</w:t>
      </w:r>
    </w:p>
    <w:p w14:paraId="4AB8627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verification body and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share any senior management </w:t>
      </w:r>
      <w:bookmarkStart w:id="599" w:name="_DV_C246"/>
      <w:r w:rsidRPr="00B61FF1">
        <w:rPr>
          <w:rFonts w:ascii="Arial" w:hAnsi="Arial" w:cs="Arial"/>
          <w:sz w:val="24"/>
          <w:szCs w:val="24"/>
        </w:rPr>
        <w:t xml:space="preserve">staff </w:t>
      </w:r>
      <w:bookmarkEnd w:id="599"/>
      <w:r w:rsidRPr="00B61FF1">
        <w:rPr>
          <w:rFonts w:ascii="Arial" w:hAnsi="Arial" w:cs="Arial"/>
          <w:sz w:val="24"/>
          <w:szCs w:val="24"/>
        </w:rPr>
        <w:t>or board of directors membership, or any of the senior management staff of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have been employed by the verification body, or vice versa, within the previous three years; or</w:t>
      </w:r>
    </w:p>
    <w:p w14:paraId="1EA5A92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Within the previous five years, any staff member of the verification body or any related entity has provided to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any of the following non-offset verification services:</w:t>
      </w:r>
    </w:p>
    <w:p w14:paraId="5457F43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Designing, developing, implementing, reviewing, or maintaining an inventory or offset project information or data management system for air emissions, unless the review was part of providing GHG offset verification services;</w:t>
      </w:r>
    </w:p>
    <w:p w14:paraId="4D3FFBA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Developing GHG emission factors or other GHG-related engineering analysis, including developing or reviewing a California Environmental Quality Act (CEQA) GHG analysis that includes offset project specific information;</w:t>
      </w:r>
    </w:p>
    <w:p w14:paraId="2AA524A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Designing energy efficiency, renewable power, or other projects which explicitly identify GHG reductions and GHG removal enhancements as a benefit;</w:t>
      </w:r>
    </w:p>
    <w:p w14:paraId="1C7D153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Designing, developing, implementing, internally auditing, consulting, or maintaining an offset project resulting in GHG emission reductions and GHG removal enhancements;</w:t>
      </w:r>
    </w:p>
    <w:p w14:paraId="05A35E9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Owning, buying, selling, trading, or retiring shares, stocks, or ARB offset credits or registry offset credits from the offset project;</w:t>
      </w:r>
    </w:p>
    <w:p w14:paraId="67713DA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Dealing in or being a promoter of ARB offset credits or registry offset credits on behalf of an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w:t>
      </w:r>
    </w:p>
    <w:p w14:paraId="7E57AF6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Preparing or producing GHG-related manuals, handbooks, or procedures specifically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w:t>
      </w:r>
    </w:p>
    <w:p w14:paraId="04F0B39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Appraisal services of carbon or GHG liabilities or assets;</w:t>
      </w:r>
    </w:p>
    <w:p w14:paraId="2125C7E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t>Brokering in, advising on, or assisting in any way in carbon or GHG-related markets;</w:t>
      </w:r>
    </w:p>
    <w:p w14:paraId="41719C1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(J)</w:t>
      </w:r>
      <w:r w:rsidRPr="00B61FF1">
        <w:rPr>
          <w:rFonts w:ascii="Arial" w:hAnsi="Arial" w:cs="Arial"/>
          <w:sz w:val="24"/>
          <w:szCs w:val="24"/>
        </w:rPr>
        <w:tab/>
        <w:t>Directly managing any health, environment or safety functions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w:t>
      </w:r>
    </w:p>
    <w:p w14:paraId="3E7CFAC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(K)</w:t>
      </w:r>
      <w:r w:rsidRPr="00B61FF1">
        <w:rPr>
          <w:rFonts w:ascii="Arial" w:hAnsi="Arial" w:cs="Arial"/>
          <w:sz w:val="24"/>
          <w:szCs w:val="24"/>
        </w:rPr>
        <w:tab/>
        <w:t>Bookkeeping or other services related to the accounting records or financial statements;</w:t>
      </w:r>
    </w:p>
    <w:p w14:paraId="5BADDD3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(L)</w:t>
      </w:r>
      <w:r w:rsidRPr="00B61FF1">
        <w:rPr>
          <w:rFonts w:ascii="Arial" w:hAnsi="Arial" w:cs="Arial"/>
          <w:sz w:val="24"/>
          <w:szCs w:val="24"/>
        </w:rPr>
        <w:tab/>
        <w:t xml:space="preserve">Any service related to information systems, including </w:t>
      </w:r>
      <w:r w:rsidRPr="00B61FF1">
        <w:rPr>
          <w:rFonts w:ascii="Arial" w:hAnsi="Arial" w:cs="Arial"/>
          <w:sz w:val="24"/>
          <w:szCs w:val="24"/>
          <w:u w:val="single"/>
        </w:rPr>
        <w:t xml:space="preserve">International Organization for Standardization </w:t>
      </w:r>
      <w:r w:rsidRPr="00B61FF1">
        <w:rPr>
          <w:rFonts w:ascii="Arial" w:hAnsi="Arial" w:cs="Arial"/>
          <w:sz w:val="24"/>
          <w:szCs w:val="24"/>
        </w:rPr>
        <w:t xml:space="preserve">14001 </w:t>
      </w:r>
      <w:r w:rsidRPr="00B61FF1">
        <w:rPr>
          <w:rFonts w:ascii="Arial" w:hAnsi="Arial" w:cs="Arial"/>
          <w:strike/>
          <w:sz w:val="24"/>
          <w:szCs w:val="24"/>
        </w:rPr>
        <w:t>c</w:t>
      </w:r>
      <w:r w:rsidRPr="00B61FF1">
        <w:rPr>
          <w:rFonts w:ascii="Arial" w:hAnsi="Arial" w:cs="Arial"/>
          <w:sz w:val="24"/>
          <w:szCs w:val="24"/>
          <w:u w:val="single"/>
        </w:rPr>
        <w:t>C</w:t>
      </w:r>
      <w:r w:rsidRPr="00B61FF1">
        <w:rPr>
          <w:rFonts w:ascii="Arial" w:hAnsi="Arial" w:cs="Arial"/>
          <w:sz w:val="24"/>
          <w:szCs w:val="24"/>
        </w:rPr>
        <w:t xml:space="preserve">ertification </w:t>
      </w:r>
      <w:r w:rsidRPr="00B61FF1">
        <w:rPr>
          <w:rFonts w:ascii="Arial" w:hAnsi="Arial" w:cs="Arial"/>
          <w:sz w:val="24"/>
          <w:szCs w:val="24"/>
          <w:u w:val="single"/>
        </w:rPr>
        <w:t>for Environmental Management (ISO 14001 Certification)</w:t>
      </w:r>
      <w:r w:rsidRPr="00B61FF1">
        <w:rPr>
          <w:rFonts w:ascii="Arial" w:hAnsi="Arial" w:cs="Arial"/>
          <w:sz w:val="24"/>
          <w:szCs w:val="24"/>
        </w:rPr>
        <w:t>, unless those systems will not be reviewed as part of the offset verification process;</w:t>
      </w:r>
    </w:p>
    <w:p w14:paraId="380C6BE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(M)</w:t>
      </w:r>
      <w:r w:rsidRPr="00B61FF1">
        <w:rPr>
          <w:rFonts w:ascii="Arial" w:hAnsi="Arial" w:cs="Arial"/>
          <w:sz w:val="24"/>
          <w:szCs w:val="24"/>
        </w:rPr>
        <w:tab/>
        <w:t>Appraisal and valuation services, both tangible and intangible;</w:t>
      </w:r>
    </w:p>
    <w:p w14:paraId="4F9496D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(N)</w:t>
      </w:r>
      <w:r w:rsidRPr="00B61FF1">
        <w:rPr>
          <w:rFonts w:ascii="Arial" w:hAnsi="Arial" w:cs="Arial"/>
          <w:sz w:val="24"/>
          <w:szCs w:val="24"/>
        </w:rPr>
        <w:tab/>
        <w:t>Fairness opinions and contribution-in-kind reports in which the verification body has provided its opinion on the adequacy of consideration in a transaction, unless the information reviewed in formulating the Offset Verification Statement will not be reviewed as part of the offset verification services;</w:t>
      </w:r>
    </w:p>
    <w:p w14:paraId="126AD39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(O)</w:t>
      </w:r>
      <w:r w:rsidRPr="00B61FF1">
        <w:rPr>
          <w:rFonts w:ascii="Arial" w:hAnsi="Arial" w:cs="Arial"/>
          <w:sz w:val="24"/>
          <w:szCs w:val="24"/>
        </w:rPr>
        <w:tab/>
        <w:t>Any actuarially oriented advisory service involving the determination of amounts recorded in financial statements and related accounts;</w:t>
      </w:r>
    </w:p>
    <w:p w14:paraId="27438DB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(P)</w:t>
      </w:r>
      <w:r w:rsidRPr="00B61FF1">
        <w:rPr>
          <w:rFonts w:ascii="Arial" w:hAnsi="Arial" w:cs="Arial"/>
          <w:sz w:val="24"/>
          <w:szCs w:val="24"/>
        </w:rPr>
        <w:tab/>
        <w:t>Any internal audit service that has been outsourced by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that relates to the Offset Project Operator’s</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Designee’s</w:t>
      </w:r>
      <w:r w:rsidRPr="00B61FF1">
        <w:rPr>
          <w:rFonts w:ascii="Arial" w:hAnsi="Arial" w:cs="Arial"/>
          <w:sz w:val="24"/>
          <w:szCs w:val="24"/>
          <w:u w:val="single"/>
        </w:rPr>
        <w:t>, if applicable,</w:t>
      </w:r>
      <w:r w:rsidRPr="00B61FF1">
        <w:rPr>
          <w:rFonts w:ascii="Arial" w:hAnsi="Arial" w:cs="Arial"/>
          <w:sz w:val="24"/>
          <w:szCs w:val="24"/>
        </w:rPr>
        <w:t xml:space="preserve"> internal accounting controls, financial systems, or financial statements, unless the systems and data reviewed during those services, as well as the result of those services will not be part of the offset verification process;</w:t>
      </w:r>
    </w:p>
    <w:p w14:paraId="65A05AC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(Q)</w:t>
      </w:r>
      <w:r w:rsidRPr="00B61FF1">
        <w:rPr>
          <w:rFonts w:ascii="Arial" w:hAnsi="Arial" w:cs="Arial"/>
          <w:sz w:val="24"/>
          <w:szCs w:val="24"/>
        </w:rPr>
        <w:tab/>
        <w:t>Acting as a broker-dealer (registered or unregistered), promoter, or underwriter on behalf of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w:t>
      </w:r>
    </w:p>
    <w:p w14:paraId="53C67D9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(R)</w:t>
      </w:r>
      <w:r w:rsidRPr="00B61FF1">
        <w:rPr>
          <w:rFonts w:ascii="Arial" w:hAnsi="Arial" w:cs="Arial"/>
          <w:sz w:val="24"/>
          <w:szCs w:val="24"/>
        </w:rPr>
        <w:tab/>
        <w:t xml:space="preserve">Any legal services; </w:t>
      </w:r>
      <w:r w:rsidRPr="00B61FF1">
        <w:rPr>
          <w:rFonts w:ascii="Arial" w:hAnsi="Arial" w:cs="Arial"/>
          <w:strike/>
          <w:sz w:val="24"/>
          <w:szCs w:val="24"/>
        </w:rPr>
        <w:t>and</w:t>
      </w:r>
    </w:p>
    <w:p w14:paraId="00CC339E"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rPr>
        <w:t>(S)</w:t>
      </w:r>
      <w:r w:rsidRPr="00B61FF1">
        <w:rPr>
          <w:rFonts w:ascii="Arial" w:hAnsi="Arial" w:cs="Arial"/>
          <w:sz w:val="24"/>
          <w:szCs w:val="24"/>
        </w:rPr>
        <w:tab/>
        <w:t>Expert services to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or a legal representative for the purpose of advocating the Offset Project Operator’s</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Designee’s</w:t>
      </w:r>
      <w:r w:rsidRPr="00B61FF1">
        <w:rPr>
          <w:rFonts w:ascii="Arial" w:hAnsi="Arial" w:cs="Arial"/>
          <w:sz w:val="24"/>
          <w:szCs w:val="24"/>
          <w:u w:val="single"/>
        </w:rPr>
        <w:t>, if applicable,</w:t>
      </w:r>
      <w:r w:rsidRPr="00B61FF1">
        <w:rPr>
          <w:rFonts w:ascii="Arial" w:hAnsi="Arial" w:cs="Arial"/>
          <w:sz w:val="24"/>
          <w:szCs w:val="24"/>
        </w:rPr>
        <w:t xml:space="preserve"> interests in litigation or in a regulatory or administrative proceeding or investigation, unless providing factual testimony</w:t>
      </w:r>
      <w:r w:rsidRPr="00B61FF1">
        <w:rPr>
          <w:rFonts w:ascii="Arial" w:hAnsi="Arial" w:cs="Arial"/>
          <w:strike/>
          <w:sz w:val="24"/>
          <w:szCs w:val="24"/>
        </w:rPr>
        <w:t>.</w:t>
      </w:r>
      <w:r w:rsidRPr="00B61FF1">
        <w:rPr>
          <w:rFonts w:ascii="Arial" w:hAnsi="Arial" w:cs="Arial"/>
          <w:sz w:val="24"/>
          <w:szCs w:val="24"/>
          <w:u w:val="single"/>
        </w:rPr>
        <w:t>; and</w:t>
      </w:r>
    </w:p>
    <w:p w14:paraId="34E4E541"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(T)</w:t>
      </w:r>
      <w:r w:rsidRPr="00B61FF1">
        <w:rPr>
          <w:rFonts w:ascii="Arial" w:hAnsi="Arial" w:cs="Arial"/>
          <w:sz w:val="24"/>
          <w:szCs w:val="24"/>
        </w:rPr>
        <w:tab/>
      </w:r>
      <w:r w:rsidRPr="00B61FF1">
        <w:rPr>
          <w:rFonts w:ascii="Arial" w:hAnsi="Arial" w:cs="Arial"/>
          <w:sz w:val="24"/>
          <w:szCs w:val="24"/>
          <w:u w:val="single"/>
        </w:rPr>
        <w:t>Third-party certification of a facility to meet TEAP requirements.</w:t>
      </w:r>
    </w:p>
    <w:p w14:paraId="4C3BB293" w14:textId="77777777" w:rsidR="00FE6A4C" w:rsidRPr="00B61FF1" w:rsidRDefault="00FE6A4C" w:rsidP="00FE6A4C">
      <w:pPr>
        <w:spacing w:line="360" w:lineRule="auto"/>
        <w:ind w:left="1800" w:hanging="720"/>
        <w:rPr>
          <w:rFonts w:ascii="Arial" w:hAnsi="Arial" w:cs="Arial"/>
          <w:sz w:val="24"/>
          <w:szCs w:val="24"/>
          <w:u w:val="single"/>
        </w:rPr>
      </w:pPr>
    </w:p>
    <w:p w14:paraId="293E8D14"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 xml:space="preserve">“Member” for the purposes of this section means any employee or subcontractor of the verification body or related entities of the verification body.  “Member” also includes any individual with majority equity share in the verification body or its related entities. </w:t>
      </w:r>
    </w:p>
    <w:p w14:paraId="5FB707FD" w14:textId="77777777" w:rsidR="00FE6A4C" w:rsidRPr="00B61FF1" w:rsidRDefault="00FE6A4C" w:rsidP="00FE6A4C">
      <w:pPr>
        <w:spacing w:line="360" w:lineRule="auto"/>
        <w:ind w:left="1800"/>
        <w:rPr>
          <w:rFonts w:ascii="Arial" w:hAnsi="Arial" w:cs="Arial"/>
          <w:sz w:val="24"/>
          <w:szCs w:val="24"/>
        </w:rPr>
      </w:pPr>
    </w:p>
    <w:p w14:paraId="0BBA58F1"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“Related entity” for the purposes of this section means any direct parent company, direct subsidiary, or sister company.</w:t>
      </w:r>
    </w:p>
    <w:p w14:paraId="06F2DBD6" w14:textId="77777777" w:rsidR="00FE6A4C" w:rsidRPr="00B61FF1" w:rsidRDefault="00FE6A4C" w:rsidP="00FE6A4C">
      <w:pPr>
        <w:spacing w:line="360" w:lineRule="auto"/>
        <w:ind w:left="1800"/>
        <w:rPr>
          <w:rFonts w:ascii="Arial" w:hAnsi="Arial" w:cs="Arial"/>
          <w:sz w:val="24"/>
          <w:szCs w:val="24"/>
        </w:rPr>
      </w:pPr>
    </w:p>
    <w:p w14:paraId="2DE862C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potential for conflict of interest will be deemed to be high when any member of the verification body provides any type of incentive to an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to secure an offset verification services contract.</w:t>
      </w:r>
    </w:p>
    <w:p w14:paraId="472160E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potential for a conflict of interest will also be deemed to be high where any member of the verification body has provided offset verification services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except within the time periods in which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xml:space="preserve">, if applicable, </w:t>
      </w:r>
      <w:r w:rsidRPr="00B61FF1">
        <w:rPr>
          <w:rFonts w:ascii="Arial" w:hAnsi="Arial" w:cs="Arial"/>
          <w:sz w:val="24"/>
          <w:szCs w:val="24"/>
        </w:rPr>
        <w:t>is allowed to use the same verification body as specified in section 95977.1(a).</w:t>
      </w:r>
    </w:p>
    <w:p w14:paraId="669043A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potential for a conflict of interest must be deemed to be low where no potential for a conflict of interest is found under section 95979(b) and any non-offset verification services provided by any member of the verification body to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within the last five years are valued at less than 20 percent of the fee for the proposed offset verification, except where medium conflict of interest related to personal or family relationships is identified pursuant to section 95979(d).</w:t>
      </w:r>
    </w:p>
    <w:p w14:paraId="477F6808" w14:textId="77777777" w:rsidR="00FE6A4C" w:rsidRPr="00B61FF1" w:rsidRDefault="00FE6A4C" w:rsidP="00FE6A4C">
      <w:pPr>
        <w:suppressAutoHyphens/>
        <w:autoSpaceDN/>
        <w:adjustRightInd/>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potential for a conflict of interest must be deemed to be medium where the potential for a conflict of interest is not deemed to be either high or low as specified in sections 95979(b) and 95979(c), or where there are any instances of personal or familial relationships between the verification body and management or employees of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and when a conflict of interest self-evaluation is submitted pursuant to section 95979(g).  If a verification body identifies a medium potential for conflict of interest and intends to provide offset verification services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for an offset project listed with ARB or an Offset Project Registry, the verification body must submit, in addition to the submittal requirements specified in section 95979(e), a plan to avoid, neutralize, or mitigate the potential conflict of interest situation.  At a minimum, the conflict of interest mitigation plan must include:</w:t>
      </w:r>
    </w:p>
    <w:p w14:paraId="7DC6CE0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 demonstration that any members with potential conflicts have been removed and insulated from the project;</w:t>
      </w:r>
    </w:p>
    <w:p w14:paraId="4ED9C0B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An explanation of any changes to the organizational structure or verification body to remove the </w:t>
      </w:r>
      <w:bookmarkStart w:id="600" w:name="_DV_C259"/>
      <w:r w:rsidRPr="00B61FF1">
        <w:rPr>
          <w:rFonts w:ascii="Arial" w:hAnsi="Arial" w:cs="Arial"/>
          <w:sz w:val="24"/>
          <w:szCs w:val="24"/>
        </w:rPr>
        <w:t xml:space="preserve">potential </w:t>
      </w:r>
      <w:bookmarkEnd w:id="600"/>
      <w:r w:rsidRPr="00B61FF1">
        <w:rPr>
          <w:rFonts w:ascii="Arial" w:hAnsi="Arial" w:cs="Arial"/>
          <w:sz w:val="24"/>
          <w:szCs w:val="24"/>
        </w:rPr>
        <w:t xml:space="preserve">conflict of interest.  A demonstration that any unit </w:t>
      </w:r>
      <w:bookmarkStart w:id="601" w:name="_DV_C261"/>
      <w:r w:rsidRPr="00B61FF1">
        <w:rPr>
          <w:rFonts w:ascii="Arial" w:hAnsi="Arial" w:cs="Arial"/>
          <w:sz w:val="24"/>
          <w:szCs w:val="24"/>
        </w:rPr>
        <w:t xml:space="preserve">with potential conflicts </w:t>
      </w:r>
      <w:bookmarkEnd w:id="601"/>
      <w:r w:rsidRPr="00B61FF1">
        <w:rPr>
          <w:rFonts w:ascii="Arial" w:hAnsi="Arial" w:cs="Arial"/>
          <w:sz w:val="24"/>
          <w:szCs w:val="24"/>
        </w:rPr>
        <w:t>has been divested or moved into an independent entity or any subcontractor with potential conflicts has been removed; and</w:t>
      </w:r>
    </w:p>
    <w:p w14:paraId="12C25FA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Any other circumstance that specifically addresses other sources for potential conflict of interest.</w:t>
      </w:r>
    </w:p>
    <w:p w14:paraId="45DD6915" w14:textId="78C55C1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Conflict of Interest Submittal Requirements for Accredited Verification Bodies.  </w:t>
      </w:r>
      <w:r w:rsidR="002838A3" w:rsidRPr="00B61FF1">
        <w:rPr>
          <w:rFonts w:ascii="Arial" w:hAnsi="Arial" w:cs="Arial"/>
          <w:sz w:val="24"/>
          <w:szCs w:val="24"/>
        </w:rPr>
        <w:t>B</w:t>
      </w:r>
      <w:r w:rsidRPr="00B61FF1">
        <w:rPr>
          <w:rFonts w:ascii="Arial" w:hAnsi="Arial" w:cs="Arial"/>
          <w:sz w:val="24"/>
          <w:szCs w:val="24"/>
        </w:rPr>
        <w:t>efore providing any offset verification services,  the verification body must submit to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w:t>
      </w:r>
      <w:r w:rsidRPr="00B61FF1">
        <w:rPr>
          <w:rFonts w:ascii="Arial" w:hAnsi="Arial" w:cs="Arial"/>
          <w:strike/>
          <w:sz w:val="24"/>
          <w:szCs w:val="24"/>
        </w:rPr>
        <w:t xml:space="preserve">and </w:t>
      </w:r>
      <w:r w:rsidRPr="00B61FF1">
        <w:rPr>
          <w:rFonts w:ascii="Arial" w:hAnsi="Arial" w:cs="Arial"/>
          <w:sz w:val="24"/>
          <w:szCs w:val="24"/>
        </w:rPr>
        <w:t xml:space="preserve">ARB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the Offset Project Registry, a self-evaluation of the potential for any conflict of interest that the verification body, its staff, its related entities, or any subcontractors performing offset verification services may have with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for which it will perform offset verification services.  </w:t>
      </w:r>
      <w:r w:rsidRPr="00B61FF1">
        <w:rPr>
          <w:rFonts w:ascii="Arial" w:hAnsi="Arial" w:cs="Arial"/>
          <w:sz w:val="24"/>
          <w:szCs w:val="24"/>
          <w:u w:val="single"/>
        </w:rPr>
        <w:t xml:space="preserve">Offset verification services shall not commence prior to approval of the conflict of interest self-evaluation by ARB or the Offset Project Registry.  </w:t>
      </w:r>
      <w:r w:rsidRPr="00B61FF1">
        <w:rPr>
          <w:rFonts w:ascii="Arial" w:hAnsi="Arial" w:cs="Arial"/>
          <w:sz w:val="24"/>
          <w:szCs w:val="24"/>
        </w:rPr>
        <w:t>The submittal must include the following:</w:t>
      </w:r>
    </w:p>
    <w:p w14:paraId="5A15206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Identification of whether the potential for conflict of interest is high, low, or medium based on factors specified in sections 95979(b), (c), and (d);</w:t>
      </w:r>
    </w:p>
    <w:p w14:paraId="7789A83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Identification of whether any member of the offset verification team has previously provided offset verification services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and, if so, the years in which such offset verification services were provided; and</w:t>
      </w:r>
    </w:p>
    <w:p w14:paraId="770870F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Identification of whether any member of the offset verification team or related entity has engaged in any non-offset verification services of any nature with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either within or outside California during the previous </w:t>
      </w:r>
      <w:r w:rsidRPr="00B61FF1">
        <w:rPr>
          <w:rFonts w:ascii="Arial" w:hAnsi="Arial" w:cs="Arial"/>
          <w:strike/>
          <w:sz w:val="24"/>
          <w:szCs w:val="24"/>
        </w:rPr>
        <w:t>three</w:t>
      </w:r>
      <w:r w:rsidRPr="00B61FF1">
        <w:rPr>
          <w:rFonts w:ascii="Arial" w:hAnsi="Arial" w:cs="Arial"/>
          <w:sz w:val="24"/>
          <w:szCs w:val="24"/>
          <w:u w:val="single"/>
        </w:rPr>
        <w:t>five</w:t>
      </w:r>
      <w:r w:rsidRPr="00B61FF1">
        <w:rPr>
          <w:rFonts w:ascii="Arial" w:hAnsi="Arial" w:cs="Arial"/>
          <w:sz w:val="24"/>
          <w:szCs w:val="24"/>
        </w:rPr>
        <w:t xml:space="preserve"> years.  If non-offset verification services have previously been provided, the following information must also be submitted:</w:t>
      </w:r>
    </w:p>
    <w:p w14:paraId="19E3C71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Identification of the nature and location of the work performed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and whether the work is similar to the type of work to be performed during offset verification;</w:t>
      </w:r>
    </w:p>
    <w:p w14:paraId="5258CEB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nature of past, present, or future relationships with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including:</w:t>
      </w:r>
    </w:p>
    <w:p w14:paraId="33FE04EA"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Instances when any member of the offset verification team has performed or intends to perform work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w:t>
      </w:r>
    </w:p>
    <w:p w14:paraId="330F49B8"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Identification of whether work is currently being performed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and if so, the nature of the work;</w:t>
      </w:r>
    </w:p>
    <w:p w14:paraId="6C8BE0F9"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How much work was performed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in the last </w:t>
      </w:r>
      <w:r w:rsidRPr="00B61FF1">
        <w:rPr>
          <w:rFonts w:ascii="Arial" w:hAnsi="Arial" w:cs="Arial"/>
          <w:strike/>
          <w:sz w:val="24"/>
          <w:szCs w:val="24"/>
        </w:rPr>
        <w:t>three</w:t>
      </w:r>
      <w:r w:rsidRPr="00B61FF1">
        <w:rPr>
          <w:rFonts w:ascii="Arial" w:hAnsi="Arial" w:cs="Arial"/>
          <w:sz w:val="24"/>
          <w:szCs w:val="24"/>
          <w:u w:val="single"/>
        </w:rPr>
        <w:t>five</w:t>
      </w:r>
      <w:r w:rsidRPr="00B61FF1">
        <w:rPr>
          <w:rFonts w:ascii="Arial" w:hAnsi="Arial" w:cs="Arial"/>
          <w:sz w:val="24"/>
          <w:szCs w:val="24"/>
        </w:rPr>
        <w:t xml:space="preserve"> years, in dollars;</w:t>
      </w:r>
    </w:p>
    <w:p w14:paraId="4D42951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Whether any member of the offset verification team has any contracts or other arrangements to perform work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or a related entity; and</w:t>
      </w:r>
    </w:p>
    <w:p w14:paraId="0E5E44BD"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How much work related to GHG reductions and GHG removal enhancements the offset verification team has performed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sidDel="00354748">
        <w:rPr>
          <w:rFonts w:ascii="Arial" w:hAnsi="Arial" w:cs="Arial"/>
          <w:sz w:val="24"/>
          <w:szCs w:val="24"/>
        </w:rPr>
        <w:t xml:space="preserve"> </w:t>
      </w:r>
      <w:r w:rsidRPr="00B61FF1">
        <w:rPr>
          <w:rFonts w:ascii="Arial" w:hAnsi="Arial" w:cs="Arial"/>
          <w:sz w:val="24"/>
          <w:szCs w:val="24"/>
        </w:rPr>
        <w:t xml:space="preserve">or related entities in the last </w:t>
      </w:r>
      <w:r w:rsidRPr="00B61FF1">
        <w:rPr>
          <w:rFonts w:ascii="Arial" w:hAnsi="Arial" w:cs="Arial"/>
          <w:strike/>
          <w:sz w:val="24"/>
          <w:szCs w:val="24"/>
        </w:rPr>
        <w:t>three</w:t>
      </w:r>
      <w:r w:rsidRPr="00B61FF1">
        <w:rPr>
          <w:rFonts w:ascii="Arial" w:hAnsi="Arial" w:cs="Arial"/>
          <w:sz w:val="24"/>
          <w:szCs w:val="24"/>
          <w:u w:val="single"/>
        </w:rPr>
        <w:t>five</w:t>
      </w:r>
      <w:r w:rsidRPr="00B61FF1">
        <w:rPr>
          <w:rFonts w:ascii="Arial" w:hAnsi="Arial" w:cs="Arial"/>
          <w:sz w:val="24"/>
          <w:szCs w:val="24"/>
        </w:rPr>
        <w:t xml:space="preserve"> years, in dollars;</w:t>
      </w:r>
    </w:p>
    <w:p w14:paraId="517FAEA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Explanation of how the amount and nature of work previously performed is such that any member of the offset verification team’s credibility and lack of bias should not be under question;</w:t>
      </w:r>
    </w:p>
    <w:p w14:paraId="2A5CD62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A list of names of the staff that would perform offset verification services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and a description of any instances of personal or family relationships with management or employees of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that potentially represent a conflict of interest;</w:t>
      </w:r>
    </w:p>
    <w:p w14:paraId="4691401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Identification of any other circumstances known to the verification body, or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sidDel="00F00FEF">
        <w:rPr>
          <w:rFonts w:ascii="Arial" w:hAnsi="Arial" w:cs="Arial"/>
          <w:sz w:val="24"/>
          <w:szCs w:val="24"/>
        </w:rPr>
        <w:t xml:space="preserve"> </w:t>
      </w:r>
      <w:r w:rsidRPr="00B61FF1">
        <w:rPr>
          <w:rFonts w:ascii="Arial" w:hAnsi="Arial" w:cs="Arial"/>
          <w:sz w:val="24"/>
          <w:szCs w:val="24"/>
        </w:rPr>
        <w:t>that could result in a conflict of interest; and</w:t>
      </w:r>
    </w:p>
    <w:p w14:paraId="4D54474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Attest, in writing, to ARB as follows:</w:t>
      </w:r>
    </w:p>
    <w:p w14:paraId="353EA2D1"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“I certify under penalty of perjury of the laws of the State of California the information provided in the Conflict of Interest submittal is true, accurate, and complete.”</w:t>
      </w:r>
    </w:p>
    <w:p w14:paraId="3EF8FEB9" w14:textId="77777777"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ab/>
      </w:r>
      <w:r w:rsidRPr="00B61FF1">
        <w:rPr>
          <w:rFonts w:ascii="Arial" w:hAnsi="Arial" w:cs="Arial"/>
          <w:sz w:val="24"/>
          <w:szCs w:val="24"/>
          <w:u w:val="single"/>
        </w:rPr>
        <w:t>Approval of Conflict of Interest Submittals.  Once the conflict of interest self-evaluation information has been submitted pursuant to section 95979(e), ARB or the Offset Project Registry has 30 calendar days to make a determination whether to accept or deny the conflict of interest and notify the verification body whether it may proceed with the offset verification services for the Offset Project Operator and Authorized Project Designee, if applicable.  Within this 30 calendar days, ARB or the Offset Project Registry must also review, and approve or deny, the mitigation plan submitted by the verification body pursuant to section 95979(d) where a medium conflict of interest is determined.  If the offset project was listed with an Offset Project Registry, the conflict of interest self-evaluation acceptance or denial notification will be given by the Offset Project Registry.</w:t>
      </w:r>
    </w:p>
    <w:p w14:paraId="7150CE07"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z w:val="24"/>
          <w:szCs w:val="24"/>
          <w:u w:val="single"/>
        </w:rPr>
        <w:t>g</w:t>
      </w:r>
      <w:r w:rsidRPr="00B61FF1">
        <w:rPr>
          <w:rFonts w:ascii="Arial" w:hAnsi="Arial" w:cs="Arial"/>
          <w:strike/>
          <w:sz w:val="24"/>
          <w:szCs w:val="24"/>
        </w:rPr>
        <w:t>f</w:t>
      </w:r>
      <w:r w:rsidRPr="00B61FF1">
        <w:rPr>
          <w:rFonts w:ascii="Arial" w:hAnsi="Arial" w:cs="Arial"/>
          <w:sz w:val="24"/>
          <w:szCs w:val="24"/>
        </w:rPr>
        <w:t>)</w:t>
      </w:r>
      <w:r w:rsidRPr="00B61FF1">
        <w:rPr>
          <w:rFonts w:ascii="Arial" w:hAnsi="Arial" w:cs="Arial"/>
          <w:sz w:val="24"/>
          <w:szCs w:val="24"/>
        </w:rPr>
        <w:tab/>
        <w:t>Monitoring Conflict of Interest Situations.</w:t>
      </w:r>
    </w:p>
    <w:p w14:paraId="43FCE60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After commencement of offset verification services, the verification body must monitor and immediately make full disclosure, in writing, to ARB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the Offset Project Registry regarding any potential for a conflict of interest situation that arises for an offset project using a Compliance Offset Protocol.  This disclosure must include a description of actions that the verification body has taken or proposes to take to avoid, neutralize, or mitigate the potential for a conflict of interest.</w:t>
      </w:r>
    </w:p>
    <w:p w14:paraId="58120571" w14:textId="1BB425B9"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verification body must continue to monitor arrangements or relationships that may be present for a period of one year after the completion of offset verification services for an offset project using a Compliance Offset Protocol.  During that period, within 30 days of the verification body or any verification team member entering into any contract with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w:t>
      </w:r>
      <w:r w:rsidR="001F3A12" w:rsidRPr="00B61FF1">
        <w:rPr>
          <w:rFonts w:ascii="Arial" w:hAnsi="Arial" w:cs="Arial"/>
          <w:sz w:val="24"/>
          <w:szCs w:val="24"/>
          <w:u w:val="single"/>
        </w:rPr>
        <w:t xml:space="preserve"> </w:t>
      </w:r>
      <w:r w:rsidRPr="00B61FF1">
        <w:rPr>
          <w:rFonts w:ascii="Arial" w:hAnsi="Arial" w:cs="Arial"/>
          <w:sz w:val="24"/>
          <w:szCs w:val="24"/>
          <w:u w:val="single"/>
        </w:rPr>
        <w:t>if applicable,</w:t>
      </w:r>
      <w:r w:rsidRPr="00B61FF1">
        <w:rPr>
          <w:rFonts w:ascii="Arial" w:hAnsi="Arial" w:cs="Arial"/>
          <w:sz w:val="24"/>
          <w:szCs w:val="24"/>
        </w:rPr>
        <w:t xml:space="preserve"> for which the verification body has provided offset verification services, the verification body must notify ARB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the Offset Project Registry of the contract and the nature of the work to be performed.  ARB or the Offset Project Registry, within 30 working days, will determine the level o</w:t>
      </w:r>
      <w:r w:rsidRPr="00B61FF1">
        <w:rPr>
          <w:rFonts w:ascii="Arial" w:hAnsi="Arial" w:cs="Arial"/>
          <w:sz w:val="24"/>
          <w:szCs w:val="24"/>
          <w:u w:val="single"/>
        </w:rPr>
        <w:t>f</w:t>
      </w:r>
      <w:r w:rsidRPr="00B61FF1">
        <w:rPr>
          <w:rFonts w:ascii="Arial" w:hAnsi="Arial" w:cs="Arial"/>
          <w:strike/>
          <w:sz w:val="24"/>
          <w:szCs w:val="24"/>
        </w:rPr>
        <w:t>r</w:t>
      </w:r>
      <w:r w:rsidRPr="00B61FF1">
        <w:rPr>
          <w:rFonts w:ascii="Arial" w:hAnsi="Arial" w:cs="Arial"/>
          <w:sz w:val="24"/>
          <w:szCs w:val="24"/>
        </w:rPr>
        <w:t xml:space="preserve"> conflict using the criteria in sections 95979(a) through (d), if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must re-verify their Offset Project Data Report, and if accreditation revocation is warranted by ARB.</w:t>
      </w:r>
    </w:p>
    <w:p w14:paraId="4667AAE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The verification body must notify ARB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the Offset Project Registry within 30 calendar days, of any emerging conflicts of interest during the time offset verification services are being provided for an offset project using a Compliance Offset Protocol.</w:t>
      </w:r>
    </w:p>
    <w:p w14:paraId="1214142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If ARB or the Offset Project Registry determines that an emerging potential conflict disclosed by the verification body is medium risk, and this risk can be mitigated, then the verification body meets the conflict of interest requirements to continue to provide offset verification services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and will not be subject to suspension or revocation of accreditation as specified in section 95132(d) of MRR.</w:t>
      </w:r>
    </w:p>
    <w:p w14:paraId="27559A1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ARB or the Offset Project Registry determines that an emerging potential conflict disclosed by the verification body is medium or high risk, and this risk cannot be mitigated, then the verification body will not be able to continue to provide offset verification services for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and may be subject to the suspension or revocation of accreditation by ARB under section 95132(d) of MRR.</w:t>
      </w:r>
    </w:p>
    <w:p w14:paraId="1A047B1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verification body must report to ARB and the Offset Project Registry, if applicable, any changes in its organizational structure, including mergers, acquisitions, or divestitures, for one year after completion of offset verification services.</w:t>
      </w:r>
    </w:p>
    <w:p w14:paraId="38F2A69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ARB may void a Positive Offset or Qualified Positive Offset Verification Statement received in section 95981 if it discovers a potential conflict of interest has arisen for any member of the offset verification team.  In such a case, the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shall be provided 90 calendar days to complete re</w:t>
      </w:r>
      <w:r w:rsidRPr="00B61FF1">
        <w:rPr>
          <w:rFonts w:ascii="Arial" w:hAnsi="Arial" w:cs="Arial"/>
          <w:sz w:val="24"/>
          <w:szCs w:val="24"/>
        </w:rPr>
        <w:noBreakHyphen/>
        <w:t>verification.</w:t>
      </w:r>
    </w:p>
    <w:p w14:paraId="4FEE30D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If the verification body or its subcontractor(s) are found to have violated the conflict of interest requirements of this article, the Executive Officer may rescind accreditation of the body, its verifier staff, or its subcontractor(s) for any appropriate period of time as provided in section 95132(d) of MRR.</w:t>
      </w:r>
    </w:p>
    <w:p w14:paraId="7FD4B29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z w:val="24"/>
          <w:szCs w:val="24"/>
          <w:u w:val="single"/>
        </w:rPr>
        <w:t>h</w:t>
      </w:r>
      <w:r w:rsidRPr="00B61FF1">
        <w:rPr>
          <w:rFonts w:ascii="Arial" w:hAnsi="Arial" w:cs="Arial"/>
          <w:strike/>
          <w:sz w:val="24"/>
          <w:szCs w:val="24"/>
        </w:rPr>
        <w:t>g</w:t>
      </w:r>
      <w:r w:rsidRPr="00B61FF1">
        <w:rPr>
          <w:rFonts w:ascii="Arial" w:hAnsi="Arial" w:cs="Arial"/>
          <w:sz w:val="24"/>
          <w:szCs w:val="24"/>
        </w:rPr>
        <w:t>)</w:t>
      </w:r>
      <w:r w:rsidRPr="00B61FF1">
        <w:rPr>
          <w:rFonts w:ascii="Arial" w:hAnsi="Arial" w:cs="Arial"/>
          <w:sz w:val="24"/>
          <w:szCs w:val="24"/>
        </w:rPr>
        <w:tab/>
        <w:t>Specific Requirements for Air Quality Management Districts and Air Pollution Control Districts.</w:t>
      </w:r>
    </w:p>
    <w:p w14:paraId="1DD37EA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If an air district has provided or is providing any services listed in section 95979(b)(2) as part of its regulatory duties, those services do not constitute non-verification services or a potential for high conflict of interest for purposes of this article;</w:t>
      </w:r>
    </w:p>
    <w:p w14:paraId="55AEB0F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Before providing offset verification services, an air district must submit a conflict of interest self-evaluation pursuant to 95979(e) for each  Offset Project Operator</w:t>
      </w:r>
      <w:r w:rsidRPr="00B61FF1">
        <w:rPr>
          <w:rFonts w:ascii="Arial" w:hAnsi="Arial" w:cs="Arial"/>
          <w:strike/>
          <w:sz w:val="24"/>
          <w:szCs w:val="24"/>
        </w:rPr>
        <w:t xml:space="preserve"> or</w:t>
      </w:r>
      <w:r w:rsidRPr="00B61FF1">
        <w:rPr>
          <w:rFonts w:ascii="Arial" w:hAnsi="Arial" w:cs="Arial"/>
          <w:sz w:val="24"/>
          <w:szCs w:val="24"/>
          <w:u w:val="single"/>
        </w:rPr>
        <w:t>, and</w:t>
      </w:r>
      <w:r w:rsidRPr="00B61FF1">
        <w:rPr>
          <w:rFonts w:ascii="Arial" w:hAnsi="Arial" w:cs="Arial"/>
          <w:sz w:val="24"/>
          <w:szCs w:val="24"/>
        </w:rPr>
        <w:t xml:space="preserve"> Authorized Project Designee</w:t>
      </w:r>
      <w:r w:rsidRPr="00B61FF1">
        <w:rPr>
          <w:rFonts w:ascii="Arial" w:hAnsi="Arial" w:cs="Arial"/>
          <w:sz w:val="24"/>
          <w:szCs w:val="24"/>
          <w:u w:val="single"/>
        </w:rPr>
        <w:t>, if applicable,</w:t>
      </w:r>
      <w:r w:rsidRPr="00B61FF1">
        <w:rPr>
          <w:rFonts w:ascii="Arial" w:hAnsi="Arial" w:cs="Arial"/>
          <w:sz w:val="24"/>
          <w:szCs w:val="24"/>
        </w:rPr>
        <w:t xml:space="preserve"> for which it intends to provide </w:t>
      </w:r>
      <w:r w:rsidRPr="00B61FF1">
        <w:rPr>
          <w:rFonts w:ascii="Arial" w:hAnsi="Arial" w:cs="Arial"/>
          <w:sz w:val="24"/>
          <w:szCs w:val="24"/>
          <w:u w:val="single"/>
        </w:rPr>
        <w:t xml:space="preserve">offset </w:t>
      </w:r>
      <w:r w:rsidRPr="00B61FF1">
        <w:rPr>
          <w:rFonts w:ascii="Arial" w:hAnsi="Arial" w:cs="Arial"/>
          <w:sz w:val="24"/>
          <w:szCs w:val="24"/>
        </w:rPr>
        <w:t>verification services.  As part of its conflict of interest self-evaluation submittal under section 95979(e), the air district shall certify that it will prevent conflicts of interests and resolve potential conflict of interest situations pursuant to its policies and mechanisms submitted under section 95132(b)(1)(G) of MRR;</w:t>
      </w:r>
    </w:p>
    <w:p w14:paraId="29C908C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an air district hires a subcontractor who is not an air district employee to provide offset verification services, the air district shall be subject to all of the requirements of section 95979.</w:t>
      </w:r>
    </w:p>
    <w:p w14:paraId="20632BA4" w14:textId="77777777" w:rsidR="00FE6A4C" w:rsidRPr="00B61FF1" w:rsidRDefault="00FE6A4C" w:rsidP="00FE6A4C">
      <w:pPr>
        <w:rPr>
          <w:rFonts w:ascii="Arial" w:hAnsi="Arial" w:cs="Arial"/>
        </w:rPr>
      </w:pPr>
    </w:p>
    <w:p w14:paraId="178DE887"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3A1E547E" w14:textId="77777777" w:rsidR="00FE6A4C" w:rsidRPr="00B61FF1" w:rsidRDefault="00FE6A4C" w:rsidP="00FE6A4C">
      <w:pPr>
        <w:spacing w:line="360" w:lineRule="auto"/>
        <w:rPr>
          <w:rFonts w:ascii="Arial" w:hAnsi="Arial" w:cs="Arial"/>
          <w:sz w:val="24"/>
          <w:szCs w:val="24"/>
        </w:rPr>
      </w:pPr>
      <w:r w:rsidRPr="00B61FF1">
        <w:rPr>
          <w:rFonts w:ascii="Arial" w:hAnsi="Arial" w:cs="Arial"/>
        </w:rPr>
        <w:t>Reference:  Sections 38530, 38560.5, 38564, 38565, 38570 and 39600, Health and Safety Code.</w:t>
      </w:r>
    </w:p>
    <w:p w14:paraId="389C2A42" w14:textId="77777777" w:rsidR="00FE6A4C" w:rsidRPr="00B61FF1" w:rsidRDefault="00FE6A4C" w:rsidP="004805A7">
      <w:pPr>
        <w:pStyle w:val="Heading2"/>
        <w:rPr>
          <w:u w:val="single"/>
        </w:rPr>
      </w:pPr>
      <w:bookmarkStart w:id="602" w:name="_Toc361659898"/>
      <w:r w:rsidRPr="00B61FF1">
        <w:rPr>
          <w:u w:val="single"/>
        </w:rPr>
        <w:t>95979.1   Additional Requirements for Air Quality Management and Air Pollution Control Districts.</w:t>
      </w:r>
      <w:bookmarkEnd w:id="602"/>
    </w:p>
    <w:p w14:paraId="5A0E0090" w14:textId="77777777" w:rsidR="00FE6A4C" w:rsidRPr="00B61FF1" w:rsidRDefault="00FE6A4C" w:rsidP="00FE6A4C">
      <w:pPr>
        <w:autoSpaceDE/>
        <w:autoSpaceDN/>
        <w:adjustRightInd/>
        <w:spacing w:line="360" w:lineRule="auto"/>
        <w:ind w:left="720" w:hanging="720"/>
        <w:rPr>
          <w:rFonts w:ascii="Arial" w:hAnsi="Arial"/>
          <w:sz w:val="24"/>
          <w:szCs w:val="24"/>
          <w:u w:val="single"/>
        </w:rPr>
      </w:pPr>
      <w:r w:rsidRPr="00B61FF1">
        <w:rPr>
          <w:rFonts w:ascii="Arial" w:hAnsi="Arial"/>
          <w:sz w:val="24"/>
          <w:szCs w:val="24"/>
          <w:u w:val="single"/>
        </w:rPr>
        <w:t>(a)</w:t>
      </w:r>
      <w:r w:rsidRPr="00B61FF1">
        <w:rPr>
          <w:rFonts w:ascii="Arial" w:hAnsi="Arial"/>
          <w:sz w:val="24"/>
          <w:szCs w:val="24"/>
        </w:rPr>
        <w:tab/>
      </w:r>
      <w:r w:rsidRPr="00B61FF1">
        <w:rPr>
          <w:rFonts w:ascii="Arial" w:hAnsi="Arial"/>
          <w:sz w:val="24"/>
          <w:szCs w:val="24"/>
          <w:u w:val="single"/>
        </w:rPr>
        <w:t>The following requirements will apply to air districts that meet the requirements under section 95978 to become accredited as an offset verification body and/or the requirements under section 95986 to meet the requirements as an approved Offset Project Registry:</w:t>
      </w:r>
    </w:p>
    <w:p w14:paraId="6638854D" w14:textId="77777777" w:rsidR="00FE6A4C" w:rsidRPr="00B61FF1" w:rsidRDefault="00FE6A4C" w:rsidP="00FE6A4C">
      <w:pPr>
        <w:autoSpaceDE/>
        <w:autoSpaceDN/>
        <w:adjustRightInd/>
        <w:spacing w:line="360" w:lineRule="auto"/>
        <w:ind w:left="1080" w:hanging="720"/>
        <w:rPr>
          <w:rFonts w:ascii="Arial" w:hAnsi="Arial"/>
          <w:sz w:val="24"/>
          <w:szCs w:val="24"/>
          <w:u w:val="single"/>
        </w:rPr>
      </w:pPr>
      <w:r w:rsidRPr="00B61FF1">
        <w:rPr>
          <w:rFonts w:ascii="Arial" w:hAnsi="Arial"/>
          <w:sz w:val="24"/>
          <w:szCs w:val="24"/>
          <w:u w:val="single"/>
        </w:rPr>
        <w:t>(1)</w:t>
      </w:r>
      <w:r w:rsidRPr="00B61FF1">
        <w:rPr>
          <w:rFonts w:ascii="Arial" w:hAnsi="Arial"/>
          <w:sz w:val="24"/>
          <w:szCs w:val="24"/>
        </w:rPr>
        <w:tab/>
      </w:r>
      <w:r w:rsidRPr="00B61FF1">
        <w:rPr>
          <w:rFonts w:ascii="Arial" w:hAnsi="Arial"/>
          <w:sz w:val="24"/>
          <w:szCs w:val="24"/>
          <w:u w:val="single"/>
        </w:rPr>
        <w:t>The air district may:</w:t>
      </w:r>
    </w:p>
    <w:p w14:paraId="215ED7E1" w14:textId="77777777" w:rsidR="00FE6A4C" w:rsidRPr="00B61FF1" w:rsidRDefault="00FE6A4C" w:rsidP="00FE6A4C">
      <w:pPr>
        <w:autoSpaceDE/>
        <w:autoSpaceDN/>
        <w:adjustRightInd/>
        <w:spacing w:line="360" w:lineRule="auto"/>
        <w:ind w:left="1800" w:hanging="720"/>
        <w:rPr>
          <w:rFonts w:ascii="Arial" w:hAnsi="Arial"/>
          <w:sz w:val="24"/>
          <w:szCs w:val="24"/>
        </w:rPr>
      </w:pPr>
      <w:r w:rsidRPr="00B61FF1">
        <w:rPr>
          <w:rFonts w:ascii="Arial" w:hAnsi="Arial"/>
          <w:sz w:val="24"/>
          <w:szCs w:val="24"/>
          <w:u w:val="single"/>
        </w:rPr>
        <w:t>(A)</w:t>
      </w:r>
      <w:r w:rsidRPr="00B61FF1">
        <w:rPr>
          <w:rFonts w:ascii="Arial" w:hAnsi="Arial"/>
          <w:sz w:val="24"/>
          <w:szCs w:val="24"/>
        </w:rPr>
        <w:tab/>
        <w:t>Register with ARB pursuant to section 95830; and</w:t>
      </w:r>
    </w:p>
    <w:p w14:paraId="4E8CA4B6" w14:textId="06AFD1CC" w:rsidR="00FE6A4C" w:rsidRPr="00B61FF1" w:rsidRDefault="00FE6A4C" w:rsidP="00FE6A4C">
      <w:pPr>
        <w:autoSpaceDE/>
        <w:autoSpaceDN/>
        <w:adjustRightInd/>
        <w:spacing w:line="360" w:lineRule="auto"/>
        <w:ind w:left="1800" w:hanging="720"/>
        <w:rPr>
          <w:rFonts w:ascii="Arial" w:hAnsi="Arial"/>
          <w:sz w:val="24"/>
          <w:szCs w:val="24"/>
          <w:u w:val="single"/>
        </w:rPr>
      </w:pPr>
      <w:r w:rsidRPr="00B61FF1">
        <w:rPr>
          <w:rFonts w:ascii="Arial" w:hAnsi="Arial"/>
          <w:sz w:val="24"/>
          <w:szCs w:val="24"/>
          <w:u w:val="single"/>
        </w:rPr>
        <w:t>(B)</w:t>
      </w:r>
      <w:r w:rsidRPr="00B61FF1">
        <w:rPr>
          <w:rFonts w:ascii="Arial" w:hAnsi="Arial"/>
          <w:sz w:val="24"/>
          <w:szCs w:val="24"/>
        </w:rPr>
        <w:tab/>
      </w:r>
      <w:r w:rsidRPr="00B61FF1">
        <w:rPr>
          <w:rFonts w:ascii="Arial" w:hAnsi="Arial"/>
          <w:sz w:val="24"/>
          <w:szCs w:val="24"/>
          <w:u w:val="single"/>
        </w:rPr>
        <w:t>Hold compliance instruments as a voluntar</w:t>
      </w:r>
      <w:r w:rsidR="00324EC8" w:rsidRPr="00B61FF1">
        <w:rPr>
          <w:rFonts w:ascii="Arial" w:hAnsi="Arial"/>
          <w:sz w:val="24"/>
          <w:szCs w:val="24"/>
          <w:u w:val="single"/>
        </w:rPr>
        <w:t>il</w:t>
      </w:r>
      <w:r w:rsidRPr="00B61FF1">
        <w:rPr>
          <w:rFonts w:ascii="Arial" w:hAnsi="Arial"/>
          <w:sz w:val="24"/>
          <w:szCs w:val="24"/>
          <w:u w:val="single"/>
        </w:rPr>
        <w:t>y associated entity pursuant to section 95814.</w:t>
      </w:r>
    </w:p>
    <w:p w14:paraId="0497A905" w14:textId="77777777" w:rsidR="00FE6A4C" w:rsidRPr="00B61FF1" w:rsidRDefault="00FE6A4C" w:rsidP="00FE6A4C">
      <w:pPr>
        <w:autoSpaceDE/>
        <w:autoSpaceDN/>
        <w:adjustRightInd/>
        <w:spacing w:line="360" w:lineRule="auto"/>
        <w:ind w:left="1080" w:hanging="720"/>
        <w:rPr>
          <w:rFonts w:ascii="Arial" w:hAnsi="Arial"/>
          <w:sz w:val="24"/>
          <w:szCs w:val="24"/>
          <w:u w:val="single"/>
        </w:rPr>
      </w:pPr>
      <w:r w:rsidRPr="00B61FF1">
        <w:rPr>
          <w:rFonts w:ascii="Arial" w:hAnsi="Arial"/>
          <w:sz w:val="24"/>
          <w:szCs w:val="24"/>
          <w:u w:val="single"/>
        </w:rPr>
        <w:t>(2)</w:t>
      </w:r>
      <w:r w:rsidRPr="00B61FF1">
        <w:rPr>
          <w:rFonts w:ascii="Arial" w:hAnsi="Arial"/>
          <w:sz w:val="24"/>
          <w:szCs w:val="24"/>
        </w:rPr>
        <w:tab/>
      </w:r>
      <w:r w:rsidRPr="00B61FF1">
        <w:rPr>
          <w:rFonts w:ascii="Arial" w:hAnsi="Arial"/>
          <w:sz w:val="24"/>
          <w:szCs w:val="24"/>
          <w:u w:val="single"/>
        </w:rPr>
        <w:t>The air district may not:</w:t>
      </w:r>
    </w:p>
    <w:p w14:paraId="493BE28F" w14:textId="77777777" w:rsidR="00FE6A4C" w:rsidRPr="00B61FF1" w:rsidRDefault="00FE6A4C" w:rsidP="00FE6A4C">
      <w:pPr>
        <w:autoSpaceDE/>
        <w:autoSpaceDN/>
        <w:adjustRightInd/>
        <w:spacing w:line="360" w:lineRule="auto"/>
        <w:ind w:left="1800" w:hanging="720"/>
        <w:rPr>
          <w:rFonts w:ascii="Arial" w:hAnsi="Arial"/>
          <w:sz w:val="24"/>
          <w:szCs w:val="24"/>
          <w:u w:val="single"/>
        </w:rPr>
      </w:pPr>
      <w:r w:rsidRPr="00B61FF1">
        <w:rPr>
          <w:rFonts w:ascii="Arial" w:hAnsi="Arial"/>
          <w:sz w:val="24"/>
          <w:szCs w:val="24"/>
          <w:u w:val="single"/>
        </w:rPr>
        <w:t>(A)</w:t>
      </w:r>
      <w:r w:rsidRPr="00B61FF1">
        <w:rPr>
          <w:rFonts w:ascii="Arial" w:hAnsi="Arial"/>
          <w:sz w:val="24"/>
          <w:szCs w:val="24"/>
        </w:rPr>
        <w:tab/>
      </w:r>
      <w:r w:rsidRPr="00B61FF1">
        <w:rPr>
          <w:rFonts w:ascii="Arial" w:hAnsi="Arial"/>
          <w:sz w:val="24"/>
          <w:szCs w:val="24"/>
          <w:u w:val="single"/>
        </w:rPr>
        <w:t>Be an Offset Project Operator or Authorized Project Designee for any offset project for which it provides offset verification services pursuant to sections 95977, 95977.1, and 95977.2, and for which the air district will subsequently request the issuance of ARB offset credits pursuant to section 95981;</w:t>
      </w:r>
    </w:p>
    <w:p w14:paraId="196F5534" w14:textId="77777777" w:rsidR="00FE6A4C" w:rsidRPr="00B61FF1" w:rsidRDefault="00FE6A4C" w:rsidP="00FE6A4C">
      <w:pPr>
        <w:pStyle w:val="ListParagraph"/>
        <w:autoSpaceDE/>
        <w:autoSpaceDN/>
        <w:adjustRightInd/>
        <w:spacing w:line="360" w:lineRule="auto"/>
        <w:ind w:left="1800" w:hanging="720"/>
        <w:rPr>
          <w:rFonts w:ascii="Arial" w:hAnsi="Arial"/>
          <w:sz w:val="24"/>
          <w:szCs w:val="24"/>
          <w:u w:val="single"/>
        </w:rPr>
      </w:pPr>
      <w:r w:rsidRPr="00B61FF1">
        <w:rPr>
          <w:rFonts w:ascii="Arial" w:hAnsi="Arial"/>
          <w:sz w:val="24"/>
          <w:szCs w:val="24"/>
          <w:u w:val="single"/>
        </w:rPr>
        <w:t>(B)</w:t>
      </w:r>
      <w:r w:rsidRPr="00B61FF1">
        <w:rPr>
          <w:rFonts w:ascii="Arial" w:hAnsi="Arial"/>
          <w:sz w:val="24"/>
          <w:szCs w:val="24"/>
        </w:rPr>
        <w:tab/>
      </w:r>
      <w:r w:rsidRPr="00B61FF1">
        <w:rPr>
          <w:rFonts w:ascii="Arial" w:hAnsi="Arial"/>
          <w:sz w:val="24"/>
          <w:szCs w:val="24"/>
          <w:u w:val="single"/>
        </w:rPr>
        <w:t>Be an Offset Project Operator or Authorized Project Designee for any offset project for which it provides registry services pursuant to section 95987, and for which the air district will subsequently request the issuance of ARB offset credits pursuant to section 95981; and</w:t>
      </w:r>
    </w:p>
    <w:p w14:paraId="5F2469C8" w14:textId="77777777" w:rsidR="00FE6A4C" w:rsidRPr="00B61FF1" w:rsidRDefault="00FE6A4C" w:rsidP="00FE6A4C">
      <w:pPr>
        <w:pStyle w:val="ListParagraph"/>
        <w:autoSpaceDE/>
        <w:autoSpaceDN/>
        <w:adjustRightInd/>
        <w:spacing w:line="360" w:lineRule="auto"/>
        <w:ind w:left="1800" w:hanging="720"/>
        <w:rPr>
          <w:rFonts w:ascii="Arial" w:hAnsi="Arial"/>
          <w:sz w:val="24"/>
          <w:szCs w:val="24"/>
          <w:u w:val="single"/>
        </w:rPr>
      </w:pPr>
      <w:r w:rsidRPr="00B61FF1">
        <w:rPr>
          <w:rFonts w:ascii="Arial" w:hAnsi="Arial"/>
          <w:sz w:val="24"/>
          <w:szCs w:val="24"/>
          <w:u w:val="single"/>
        </w:rPr>
        <w:t>(C)</w:t>
      </w:r>
      <w:r w:rsidRPr="00B61FF1">
        <w:rPr>
          <w:rFonts w:ascii="Arial" w:hAnsi="Arial"/>
          <w:sz w:val="24"/>
          <w:szCs w:val="24"/>
        </w:rPr>
        <w:tab/>
      </w:r>
      <w:r w:rsidRPr="00B61FF1">
        <w:rPr>
          <w:rFonts w:ascii="Arial" w:hAnsi="Arial"/>
          <w:sz w:val="24"/>
          <w:szCs w:val="24"/>
          <w:u w:val="single"/>
        </w:rPr>
        <w:t>Be an offset verification body for any offset project developed using a Compliance Offset Protocol for which it would provide registry services pursuant to section 95987.</w:t>
      </w:r>
    </w:p>
    <w:p w14:paraId="12FAF8D9" w14:textId="77777777" w:rsidR="00FE6A4C" w:rsidRPr="00B61FF1" w:rsidRDefault="00FE6A4C" w:rsidP="00FE6A4C">
      <w:pPr>
        <w:rPr>
          <w:rFonts w:ascii="Arial" w:hAnsi="Arial" w:cs="Arial"/>
        </w:rPr>
      </w:pPr>
      <w:bookmarkStart w:id="603" w:name="_Toc258822512"/>
      <w:bookmarkStart w:id="604" w:name="_Toc266690276"/>
      <w:bookmarkStart w:id="605" w:name="_Toc268526249"/>
      <w:bookmarkStart w:id="606" w:name="_Toc269206269"/>
      <w:bookmarkStart w:id="607" w:name="_Toc269798110"/>
    </w:p>
    <w:p w14:paraId="4129527B" w14:textId="77777777" w:rsidR="00FE6A4C" w:rsidRPr="00B61FF1" w:rsidRDefault="00FE6A4C" w:rsidP="00FE6A4C">
      <w:pPr>
        <w:rPr>
          <w:rFonts w:ascii="Arial" w:hAnsi="Arial" w:cs="Arial"/>
          <w:u w:val="single"/>
        </w:rPr>
      </w:pPr>
      <w:r w:rsidRPr="00B61FF1">
        <w:rPr>
          <w:rFonts w:ascii="Arial" w:hAnsi="Arial" w:cs="Arial"/>
          <w:u w:val="single"/>
        </w:rPr>
        <w:t>NOTE:  Authority cited:  Sections 38510, 38560, 38562, 38570, 38571, 38580, 39600 and 39601, Health and Safety Code.</w:t>
      </w:r>
    </w:p>
    <w:p w14:paraId="694E149E" w14:textId="77777777" w:rsidR="00FE6A4C" w:rsidRPr="00B61FF1" w:rsidRDefault="00FE6A4C" w:rsidP="00FE6A4C">
      <w:pPr>
        <w:rPr>
          <w:rFonts w:ascii="Arial" w:hAnsi="Arial" w:cs="Arial"/>
        </w:rPr>
      </w:pPr>
      <w:r w:rsidRPr="00B61FF1">
        <w:rPr>
          <w:rFonts w:ascii="Arial" w:hAnsi="Arial" w:cs="Arial"/>
          <w:u w:val="single"/>
        </w:rPr>
        <w:t>Reference:  Sections 38530, 38560.5, 38564, 38565, 38570 and 39600, Health and Safety Code.</w:t>
      </w:r>
    </w:p>
    <w:p w14:paraId="7379ECBA" w14:textId="77777777" w:rsidR="00FE6A4C" w:rsidRPr="00B61FF1" w:rsidRDefault="00FE6A4C" w:rsidP="00FE6A4C">
      <w:pPr>
        <w:spacing w:before="240" w:after="60" w:line="360" w:lineRule="auto"/>
        <w:outlineLvl w:val="1"/>
        <w:rPr>
          <w:rFonts w:ascii="Arial" w:hAnsi="Arial" w:cs="Arial"/>
          <w:b/>
          <w:bCs/>
          <w:iCs/>
          <w:sz w:val="24"/>
          <w:szCs w:val="24"/>
        </w:rPr>
      </w:pPr>
      <w:bookmarkStart w:id="608" w:name="_Toc294863582"/>
      <w:bookmarkStart w:id="609" w:name="_Toc275870257"/>
      <w:bookmarkStart w:id="610" w:name="_Toc291245705"/>
      <w:bookmarkStart w:id="611" w:name="_Toc294275152"/>
      <w:bookmarkStart w:id="612" w:name="_Toc299094981"/>
      <w:bookmarkStart w:id="613" w:name="_Toc299095098"/>
      <w:bookmarkStart w:id="614" w:name="_Toc302746835"/>
      <w:bookmarkStart w:id="615" w:name="_Toc361659899"/>
      <w:bookmarkEnd w:id="603"/>
      <w:bookmarkEnd w:id="604"/>
      <w:bookmarkEnd w:id="605"/>
      <w:bookmarkEnd w:id="606"/>
      <w:bookmarkEnd w:id="607"/>
      <w:r w:rsidRPr="00B61FF1">
        <w:rPr>
          <w:rFonts w:ascii="Arial" w:hAnsi="Arial" w:cs="Arial"/>
          <w:b/>
          <w:bCs/>
          <w:iCs/>
          <w:sz w:val="24"/>
          <w:szCs w:val="24"/>
        </w:rPr>
        <w:t>§ 95980.  Issuance of Registry Offset Credits</w:t>
      </w:r>
      <w:bookmarkEnd w:id="608"/>
      <w:bookmarkEnd w:id="609"/>
      <w:bookmarkEnd w:id="610"/>
      <w:bookmarkEnd w:id="611"/>
      <w:r w:rsidRPr="00B61FF1">
        <w:rPr>
          <w:rFonts w:ascii="Arial" w:hAnsi="Arial" w:cs="Arial"/>
          <w:b/>
          <w:bCs/>
          <w:iCs/>
          <w:sz w:val="24"/>
          <w:szCs w:val="24"/>
        </w:rPr>
        <w:t>.</w:t>
      </w:r>
      <w:bookmarkEnd w:id="612"/>
      <w:bookmarkEnd w:id="613"/>
      <w:bookmarkEnd w:id="614"/>
      <w:bookmarkEnd w:id="615"/>
    </w:p>
    <w:p w14:paraId="277B9B0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One registry offset credit, which represents one metric ton of CO</w:t>
      </w:r>
      <w:r w:rsidRPr="00B61FF1">
        <w:rPr>
          <w:rFonts w:ascii="Arial" w:hAnsi="Arial" w:cs="Arial"/>
          <w:sz w:val="24"/>
          <w:szCs w:val="24"/>
          <w:vertAlign w:val="subscript"/>
        </w:rPr>
        <w:t>2</w:t>
      </w:r>
      <w:r w:rsidRPr="00B61FF1">
        <w:rPr>
          <w:rFonts w:ascii="Arial" w:hAnsi="Arial" w:cs="Arial"/>
          <w:sz w:val="24"/>
          <w:szCs w:val="24"/>
        </w:rPr>
        <w:t>e for a direct GHG emission reduction or direct GHG removal enhancement, will be issued pursuant to section 95980.1 only if:</w:t>
      </w:r>
    </w:p>
    <w:p w14:paraId="4BF70DF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An Offset Project Registry has listed the offset project pursuant to section 95975;</w:t>
      </w:r>
    </w:p>
    <w:p w14:paraId="5FDFC64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GHG emission reductions or GHG removal enhancements were issued a Positive Offset or Qualified Positive Offset Verification Statement pursuant to section 95977.1 and 95977.2; and</w:t>
      </w:r>
    </w:p>
    <w:p w14:paraId="26C73E5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An Offset Project Registry has received a Positive Offset or Qualified Positive Offset Verification Statement issued and attested to by an ARB-accredited verification body for the Offset Project Data Report for which registry offset credits would be issued. </w:t>
      </w:r>
    </w:p>
    <w:p w14:paraId="44AF0BDC"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 Offset Project Registry will determine whether the GHG emission reductions and GHG removal enhancements meet the requirements of section 95980(a), the information submitted pursuant to section 95980(a) is complete, and the Positive Offset or Qualified Positive Offset Verification Statement meets the requirements of sections 95977, 95977.1, and 95977.2 within 45 calendar days of receiving it.</w:t>
      </w:r>
    </w:p>
    <w:p w14:paraId="0A66CD9E"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Determination for Timing and Duration of Initial Crediting Periods for Offset Projects Submitted Through an Offset Project Registry.  The initial crediting period will begin with the date that the first verified GHG emission reductions and GHG removal enhancements occur, according to the first Positive Offset or Qualified Positive Offset Verification Statement that is received by an Offset Project Registry</w:t>
      </w:r>
      <w:r w:rsidRPr="00B61FF1">
        <w:rPr>
          <w:rFonts w:ascii="Arial" w:hAnsi="Arial" w:cs="Arial"/>
          <w:sz w:val="24"/>
          <w:szCs w:val="24"/>
          <w:u w:val="single"/>
        </w:rPr>
        <w:t>, unless otherwise specified in a Compliance Offset Protocol</w:t>
      </w:r>
      <w:r w:rsidRPr="00B61FF1">
        <w:rPr>
          <w:rFonts w:ascii="Arial" w:hAnsi="Arial" w:cs="Arial"/>
          <w:sz w:val="24"/>
          <w:szCs w:val="24"/>
        </w:rPr>
        <w:t>.  An early action offset project that transitions pursuant to section 95990(k) will begin its initial crediting period pursuant to section 95990(k)(2).</w:t>
      </w:r>
    </w:p>
    <w:p w14:paraId="24EADFF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Determination for Timing and Duration of Renewed Crediting for Offset Projects Submitted through an Offset Project Registry.  A renewed crediting period will begin the day after the conclusion of the prior crediting period.</w:t>
      </w:r>
    </w:p>
    <w:p w14:paraId="619E0D92" w14:textId="77777777" w:rsidR="00FE6A4C" w:rsidRPr="00B61FF1" w:rsidRDefault="00FE6A4C" w:rsidP="00FE6A4C">
      <w:pPr>
        <w:spacing w:line="360" w:lineRule="auto"/>
        <w:rPr>
          <w:rFonts w:ascii="Arial" w:hAnsi="Arial" w:cs="Arial"/>
          <w:sz w:val="24"/>
          <w:szCs w:val="24"/>
        </w:rPr>
      </w:pPr>
    </w:p>
    <w:p w14:paraId="077B7EE5"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27BFDD67"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069D7377" w14:textId="77777777" w:rsidR="00FE6A4C" w:rsidRPr="00B61FF1" w:rsidRDefault="00FE6A4C" w:rsidP="00FE6A4C">
      <w:pPr>
        <w:autoSpaceDE/>
        <w:autoSpaceDN/>
        <w:adjustRightInd/>
        <w:rPr>
          <w:rFonts w:ascii="Arial" w:hAnsi="Arial" w:cs="Arial"/>
          <w:b/>
          <w:bCs/>
          <w:iCs/>
          <w:sz w:val="24"/>
          <w:szCs w:val="24"/>
        </w:rPr>
      </w:pPr>
      <w:bookmarkStart w:id="616" w:name="_Toc294863583"/>
      <w:bookmarkStart w:id="617" w:name="_Toc299094982"/>
      <w:bookmarkStart w:id="618" w:name="_Toc299095099"/>
      <w:bookmarkStart w:id="619" w:name="_Toc302746836"/>
      <w:bookmarkStart w:id="620" w:name="_Toc258822515"/>
      <w:bookmarkStart w:id="621" w:name="_Toc266690279"/>
      <w:bookmarkStart w:id="622" w:name="_Toc268526250"/>
      <w:bookmarkStart w:id="623" w:name="_Toc269206270"/>
      <w:bookmarkStart w:id="624" w:name="_Toc269798111"/>
      <w:bookmarkStart w:id="625" w:name="_Toc275870258"/>
      <w:bookmarkStart w:id="626" w:name="_Toc291245706"/>
      <w:bookmarkStart w:id="627" w:name="_Toc294275153"/>
    </w:p>
    <w:p w14:paraId="616354CD" w14:textId="77777777" w:rsidR="00FE6A4C" w:rsidRPr="00B61FF1" w:rsidRDefault="00FE6A4C" w:rsidP="00FE6A4C">
      <w:pPr>
        <w:spacing w:before="240" w:after="60" w:line="360" w:lineRule="auto"/>
        <w:outlineLvl w:val="1"/>
        <w:rPr>
          <w:rFonts w:ascii="Arial" w:hAnsi="Arial" w:cs="Arial"/>
          <w:b/>
          <w:bCs/>
          <w:iCs/>
          <w:sz w:val="24"/>
          <w:szCs w:val="24"/>
        </w:rPr>
      </w:pPr>
      <w:bookmarkStart w:id="628" w:name="_Toc361659900"/>
      <w:r w:rsidRPr="00B61FF1">
        <w:rPr>
          <w:rFonts w:ascii="Arial" w:hAnsi="Arial" w:cs="Arial"/>
          <w:b/>
          <w:bCs/>
          <w:iCs/>
          <w:sz w:val="24"/>
          <w:szCs w:val="24"/>
        </w:rPr>
        <w:t>§ 95980.1  Process for Issuance of Registry Offset Credits</w:t>
      </w:r>
      <w:bookmarkEnd w:id="616"/>
      <w:r w:rsidRPr="00B61FF1">
        <w:rPr>
          <w:rFonts w:ascii="Arial" w:hAnsi="Arial" w:cs="Arial"/>
          <w:b/>
          <w:bCs/>
          <w:iCs/>
          <w:sz w:val="24"/>
          <w:szCs w:val="24"/>
        </w:rPr>
        <w:t>.</w:t>
      </w:r>
      <w:bookmarkEnd w:id="617"/>
      <w:bookmarkEnd w:id="618"/>
      <w:bookmarkEnd w:id="619"/>
      <w:bookmarkEnd w:id="628"/>
    </w:p>
    <w:p w14:paraId="3AB91BA2" w14:textId="75EF3A99"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An Offset Project Registry may issue a registry offset credit that meets the requirements of section</w:t>
      </w:r>
      <w:r w:rsidRPr="00B61FF1">
        <w:rPr>
          <w:rFonts w:ascii="Arial" w:hAnsi="Arial" w:cs="Arial"/>
          <w:sz w:val="24"/>
          <w:szCs w:val="24"/>
          <w:u w:val="single"/>
        </w:rPr>
        <w:t>s</w:t>
      </w:r>
      <w:r w:rsidRPr="00B61FF1">
        <w:rPr>
          <w:rFonts w:ascii="Arial" w:hAnsi="Arial" w:cs="Arial"/>
          <w:sz w:val="24"/>
          <w:szCs w:val="24"/>
        </w:rPr>
        <w:t xml:space="preserve"> 95980(a)</w:t>
      </w:r>
      <w:r w:rsidRPr="00B61FF1">
        <w:rPr>
          <w:rFonts w:ascii="Arial" w:hAnsi="Arial" w:cs="Arial"/>
          <w:sz w:val="24"/>
          <w:szCs w:val="24"/>
          <w:u w:val="single"/>
        </w:rPr>
        <w:t xml:space="preserve"> and (b)</w:t>
      </w:r>
      <w:r w:rsidRPr="00B61FF1">
        <w:rPr>
          <w:rFonts w:ascii="Arial" w:hAnsi="Arial" w:cs="Arial"/>
          <w:sz w:val="24"/>
          <w:szCs w:val="24"/>
        </w:rPr>
        <w:t xml:space="preserve"> to an Offset Project Operator, Authorized Project Designee, or any other third party authorized by the Offset Project Operator </w:t>
      </w:r>
      <w:r w:rsidRPr="00B61FF1">
        <w:rPr>
          <w:rFonts w:ascii="Arial" w:hAnsi="Arial" w:cs="Arial"/>
          <w:strike/>
          <w:sz w:val="24"/>
          <w:szCs w:val="24"/>
        </w:rPr>
        <w:t>pursuant to section</w:t>
      </w:r>
      <w:r w:rsidR="008F7A91" w:rsidRPr="00B61FF1">
        <w:rPr>
          <w:rFonts w:ascii="Arial" w:hAnsi="Arial" w:cs="Arial"/>
          <w:strike/>
          <w:sz w:val="24"/>
          <w:szCs w:val="24"/>
        </w:rPr>
        <w:t xml:space="preserve"> </w:t>
      </w:r>
      <w:r w:rsidRPr="00B61FF1">
        <w:rPr>
          <w:rFonts w:ascii="Arial" w:hAnsi="Arial" w:cs="Arial"/>
          <w:strike/>
          <w:sz w:val="24"/>
          <w:szCs w:val="24"/>
        </w:rPr>
        <w:t>95974(a)(1)</w:t>
      </w:r>
      <w:r w:rsidRPr="00B61FF1">
        <w:rPr>
          <w:rFonts w:ascii="Arial" w:hAnsi="Arial" w:cs="Arial"/>
          <w:sz w:val="24"/>
          <w:szCs w:val="24"/>
          <w:u w:val="single"/>
        </w:rPr>
        <w:t xml:space="preserve"> to receive registry offset credits</w:t>
      </w:r>
      <w:r w:rsidRPr="00B61FF1">
        <w:rPr>
          <w:rFonts w:ascii="Arial" w:hAnsi="Arial" w:cs="Arial"/>
          <w:sz w:val="24"/>
          <w:szCs w:val="24"/>
        </w:rPr>
        <w:t>, no later than 15 calendar days after an Offset Project Registry makes a determination pursuant to section 95980(b).</w:t>
      </w:r>
    </w:p>
    <w:p w14:paraId="6A65E38D"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Change of Listing Status at the Offset Project Registry.  When an Offset Project Registry issues a registry offset credit for an offset project, the listing status for that offset project will be changed to either “Active Registry Project” or “Active Registry Renewal” at the Offset Project Registry and ARB.</w:t>
      </w:r>
    </w:p>
    <w:p w14:paraId="61D77FEC" w14:textId="75A7E8A1"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Notice of Determination of Issuance of Registry Offset Credits.  Not later than 15 calendar days after an Offset Project Registry issues a registry offset credit, an Offset Project Registry will notify the Offset Project Operator, Authorized Project Designee, or any other third party authorized by the Offset Project Operator </w:t>
      </w:r>
      <w:r w:rsidRPr="00B61FF1">
        <w:rPr>
          <w:rFonts w:ascii="Arial" w:hAnsi="Arial" w:cs="Arial"/>
          <w:strike/>
          <w:sz w:val="24"/>
          <w:szCs w:val="24"/>
        </w:rPr>
        <w:t>pursuant to section 95974(a)(1)</w:t>
      </w:r>
      <w:r w:rsidRPr="00B61FF1">
        <w:rPr>
          <w:rFonts w:ascii="Arial" w:hAnsi="Arial" w:cs="Arial"/>
          <w:sz w:val="24"/>
          <w:szCs w:val="24"/>
        </w:rPr>
        <w:t xml:space="preserve"> of the issuance.  </w:t>
      </w:r>
    </w:p>
    <w:p w14:paraId="23536990" w14:textId="77777777"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Requests for Additional Information.  An Offset Project Registry may request additional information for offset projects seeking issuance of registry offset credits from the Offset Project Operator, Authorized Project Designee or verification body.</w:t>
      </w:r>
    </w:p>
    <w:p w14:paraId="52057135"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An Offset Project Registry will notify the Offset Project Operator or Authorized Project Designee, if applicable, within 15 calendar days of its determination pursuant to section 95980(c) if the information in section 95980(a) and (b) is incomplete and request additional specific information.</w:t>
      </w:r>
    </w:p>
    <w:p w14:paraId="35D4EB6D"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An Offset Project Registry may request any additional information from the Offset Project Operator, Authorized Project Designee, if applicable, or the verification body before issuing registry offset credits for an offset project that meets the requirements of sections 95980(a) and (b).  The Offset Project Operator, Authorized Project Designee, if applicable, or verification body must submit the information to the Offset Project Registry within 10 calendar days of a request.</w:t>
      </w:r>
    </w:p>
    <w:p w14:paraId="44588106"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If an Offset Project Registry determines the information submitted in sections 95980(a), 95980(b), and 95980.1(d)(2) does not meet the requirements for issuance of registry offset credits, then an Offset Project Registry may deny issuance of registry offset credits.  The Offset Project Operator or Authorized Project Designee may petition an Offset Project Registry within 10 days of denial for a review of the information submitted pursuant to sections 95980(a), 95980(b), and 95980.1(d)(2) and respond to any issues that prevent the issuance of registry offset credits.</w:t>
      </w:r>
    </w:p>
    <w:p w14:paraId="125AA783"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An Offset Project Registry must make a final determination within 30 calendar days of receiving the Offset Project Operator’s or Authorized Project Designee’s request in section 95980.1(d)(3) and may request additional information from the Offset Project Operator, Authorized Project Designee, if applicable, or verification body.</w:t>
      </w:r>
    </w:p>
    <w:p w14:paraId="3AD90862"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If an Offset Project Registry determines not to issue registry offset credits, the Offset Project Registry must submit a detailed report to ARB that describes why they came to a negative determination.</w:t>
      </w:r>
    </w:p>
    <w:p w14:paraId="33236F7E"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(6)</w:t>
      </w:r>
      <w:r w:rsidRPr="00B61FF1">
        <w:rPr>
          <w:rFonts w:ascii="Arial" w:hAnsi="Arial" w:cs="Arial"/>
          <w:sz w:val="24"/>
          <w:szCs w:val="24"/>
        </w:rPr>
        <w:tab/>
      </w:r>
      <w:r w:rsidRPr="00B61FF1">
        <w:rPr>
          <w:rFonts w:ascii="Arial" w:hAnsi="Arial" w:cs="Arial"/>
          <w:sz w:val="24"/>
          <w:szCs w:val="24"/>
          <w:u w:val="single"/>
        </w:rPr>
        <w:t>If an Offset Project Registry determines not to issue registry offset credits, the Offset Project Operator or Authorized Project Designee may request that ARB make a final determination on whether the GHG reductions or removal enhancements achieved by the offset project meet the requirements for registry offset credit issuance.  In making this determination, ARB may consult with the Offset Project Operator, Authorized Project Designee, if applicable, verification body, and Offset Project Registry before making the final determination.</w:t>
      </w:r>
    </w:p>
    <w:p w14:paraId="71791115"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(7)</w:t>
      </w:r>
      <w:r w:rsidRPr="00B61FF1">
        <w:rPr>
          <w:rFonts w:ascii="Arial" w:hAnsi="Arial" w:cs="Arial"/>
          <w:sz w:val="24"/>
          <w:szCs w:val="24"/>
        </w:rPr>
        <w:tab/>
      </w:r>
      <w:r w:rsidRPr="00B61FF1">
        <w:rPr>
          <w:rFonts w:ascii="Arial" w:hAnsi="Arial" w:cs="Arial"/>
          <w:sz w:val="24"/>
          <w:szCs w:val="24"/>
          <w:u w:val="single"/>
        </w:rPr>
        <w:t>If after reviewing all of the information, ARB determines that the GHG reductions or removal enhancements meet the requirements for registry offset credit issuance, the Offset Project Registry will issue registry offset credits in the amount of GHG reductions or removal enhancements verified to have been achieved by the offset project for the applicable Reporting Period(s).</w:t>
      </w:r>
    </w:p>
    <w:p w14:paraId="4C914A70" w14:textId="45945BA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z w:val="24"/>
          <w:szCs w:val="24"/>
          <w:u w:val="single"/>
        </w:rPr>
        <w:t>e</w:t>
      </w:r>
      <w:r w:rsidRPr="00B61FF1">
        <w:rPr>
          <w:rFonts w:ascii="Arial" w:hAnsi="Arial" w:cs="Arial"/>
          <w:strike/>
          <w:sz w:val="24"/>
          <w:szCs w:val="24"/>
        </w:rPr>
        <w:t>d</w:t>
      </w:r>
      <w:r w:rsidRPr="00B61FF1">
        <w:rPr>
          <w:rFonts w:ascii="Arial" w:hAnsi="Arial" w:cs="Arial"/>
          <w:sz w:val="24"/>
          <w:szCs w:val="24"/>
        </w:rPr>
        <w:t>)</w:t>
      </w:r>
      <w:r w:rsidRPr="00B61FF1">
        <w:rPr>
          <w:rFonts w:ascii="Arial" w:hAnsi="Arial" w:cs="Arial"/>
          <w:sz w:val="24"/>
          <w:szCs w:val="24"/>
        </w:rPr>
        <w:tab/>
        <w:t>A</w:t>
      </w:r>
      <w:r w:rsidRPr="00B61FF1">
        <w:rPr>
          <w:rFonts w:ascii="Arial" w:hAnsi="Arial" w:cs="Arial"/>
          <w:sz w:val="24"/>
          <w:szCs w:val="24"/>
          <w:u w:val="single"/>
        </w:rPr>
        <w:t>t the time of issuance or a</w:t>
      </w:r>
      <w:r w:rsidRPr="00B61FF1">
        <w:rPr>
          <w:rFonts w:ascii="Arial" w:hAnsi="Arial" w:cs="Arial"/>
          <w:sz w:val="24"/>
          <w:szCs w:val="24"/>
        </w:rPr>
        <w:t xml:space="preserve">fter notifying the Offset Project Operator, Authorized Project Designee, or any other third party authorized by the Offset Project Operator </w:t>
      </w:r>
      <w:r w:rsidRPr="00B61FF1">
        <w:rPr>
          <w:rFonts w:ascii="Arial" w:hAnsi="Arial" w:cs="Arial"/>
          <w:strike/>
          <w:sz w:val="24"/>
          <w:szCs w:val="24"/>
        </w:rPr>
        <w:t>pursuant to section 95974(a)(1)</w:t>
      </w:r>
      <w:r w:rsidRPr="00B61FF1">
        <w:rPr>
          <w:rFonts w:ascii="Arial" w:hAnsi="Arial" w:cs="Arial"/>
          <w:sz w:val="24"/>
          <w:szCs w:val="24"/>
          <w:u w:val="single"/>
        </w:rPr>
        <w:t xml:space="preserve"> to receive registry offset credits, </w:t>
      </w:r>
      <w:r w:rsidRPr="00B61FF1">
        <w:rPr>
          <w:rFonts w:ascii="Arial" w:hAnsi="Arial" w:cs="Arial"/>
          <w:sz w:val="24"/>
          <w:szCs w:val="24"/>
        </w:rPr>
        <w:t>of the issuance, the Offset Project Registry will create a unique serial number for each registry offset credit.</w:t>
      </w:r>
    </w:p>
    <w:p w14:paraId="7CE1959B" w14:textId="77777777" w:rsidR="00FE6A4C" w:rsidRPr="00B61FF1" w:rsidRDefault="00FE6A4C" w:rsidP="00FE6A4C">
      <w:pPr>
        <w:rPr>
          <w:rFonts w:ascii="Arial" w:hAnsi="Arial" w:cs="Arial"/>
        </w:rPr>
      </w:pPr>
    </w:p>
    <w:p w14:paraId="7535633A"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1C2C9518"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21611723" w14:textId="77777777" w:rsidR="004805A7" w:rsidRPr="00B61FF1" w:rsidRDefault="004805A7" w:rsidP="00FE6A4C">
      <w:pPr>
        <w:rPr>
          <w:rFonts w:ascii="Arial" w:hAnsi="Arial" w:cs="Arial"/>
        </w:rPr>
      </w:pPr>
    </w:p>
    <w:p w14:paraId="75607848" w14:textId="77777777" w:rsidR="00FE6A4C" w:rsidRPr="00B61FF1" w:rsidRDefault="00FE6A4C" w:rsidP="00FE6A4C">
      <w:pPr>
        <w:spacing w:before="240" w:after="60" w:line="360" w:lineRule="auto"/>
        <w:outlineLvl w:val="1"/>
        <w:rPr>
          <w:rFonts w:ascii="Arial" w:hAnsi="Arial" w:cs="Arial"/>
          <w:b/>
          <w:bCs/>
          <w:iCs/>
          <w:sz w:val="24"/>
          <w:szCs w:val="24"/>
        </w:rPr>
      </w:pPr>
      <w:bookmarkStart w:id="629" w:name="_Toc299094984"/>
      <w:bookmarkStart w:id="630" w:name="_Toc299095101"/>
      <w:bookmarkStart w:id="631" w:name="_Toc302746838"/>
      <w:bookmarkStart w:id="632" w:name="_Toc361659901"/>
      <w:r w:rsidRPr="00B61FF1">
        <w:rPr>
          <w:rFonts w:ascii="Arial" w:hAnsi="Arial" w:cs="Arial"/>
          <w:b/>
          <w:bCs/>
          <w:iCs/>
          <w:sz w:val="24"/>
          <w:szCs w:val="24"/>
        </w:rPr>
        <w:t>§ 95981.  Issuance of ARB Offset Credits.</w:t>
      </w:r>
      <w:bookmarkEnd w:id="629"/>
      <w:bookmarkEnd w:id="630"/>
      <w:bookmarkEnd w:id="631"/>
      <w:bookmarkEnd w:id="632"/>
    </w:p>
    <w:p w14:paraId="10F355B3"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One ARB offset credit, which represents one metric ton of CO</w:t>
      </w:r>
      <w:r w:rsidRPr="00B61FF1">
        <w:rPr>
          <w:rFonts w:ascii="Arial" w:hAnsi="Arial" w:cs="Arial"/>
          <w:sz w:val="24"/>
          <w:szCs w:val="24"/>
          <w:vertAlign w:val="subscript"/>
        </w:rPr>
        <w:t>2</w:t>
      </w:r>
      <w:r w:rsidRPr="00B61FF1">
        <w:rPr>
          <w:rFonts w:ascii="Arial" w:hAnsi="Arial" w:cs="Arial"/>
          <w:sz w:val="24"/>
          <w:szCs w:val="24"/>
        </w:rPr>
        <w:t>e for a direct GHG emission reduction or direct GHG removal enhancement, will be issued only if:</w:t>
      </w:r>
    </w:p>
    <w:p w14:paraId="622B6B1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or an Offset Project Registry has listed the offset project pursuant to section 95975;</w:t>
      </w:r>
    </w:p>
    <w:p w14:paraId="36B88B54"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GHG emission reductions and GHG removal enhancements were issued a Positive Offset or Qualified Positive Offset Verification Statement pursuant to sections 95977.1 and 95977.2; and</w:t>
      </w:r>
    </w:p>
    <w:p w14:paraId="60C5E8E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ARB or an Offset Project Registry has received a Positive Offset or Qualified Positive Offset Verification Statement issued and attested to by an ARB-accredited verification body for the Offset Project Data Report for which registry offset credits were issued pursuant to section 95980.1</w:t>
      </w:r>
      <w:r w:rsidRPr="00B61FF1">
        <w:rPr>
          <w:rFonts w:ascii="Arial" w:hAnsi="Arial" w:cs="Arial"/>
          <w:sz w:val="24"/>
          <w:szCs w:val="24"/>
          <w:u w:val="single"/>
        </w:rPr>
        <w:t>, if the offset project was submitted for listing with an Offset Project Registry,</w:t>
      </w:r>
      <w:r w:rsidRPr="00B61FF1">
        <w:rPr>
          <w:rFonts w:ascii="Arial" w:hAnsi="Arial" w:cs="Arial"/>
          <w:sz w:val="24"/>
          <w:szCs w:val="24"/>
        </w:rPr>
        <w:t xml:space="preserve"> or for which ARB offset credits would be issued pursuant to section 95981.1.</w:t>
      </w:r>
    </w:p>
    <w:p w14:paraId="238512DB"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Requirements for Offset Projects Submitted Through an Offset Project Registry Seeking Issuance of ARB Offset Credits.  If an Offset Project Operator or Authorized Project Designee provides information for listing pursuant to section 95975, monitors and reports pursuant to section 95976, and has their offset project verified pursuant to sections 95977, 95977.1, and 95977.2 through an Offset Project Registry, the Offset Project Operator or Authorized Project Designee must provide the following information to ARB for issuance of ARB offset credits pursuant to section 95981.1:</w:t>
      </w:r>
    </w:p>
    <w:p w14:paraId="433117B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attestations required in sections 95975(c)(1), 95975(c)(2), 95975(c)(3), 95976(d)(5), 95977.1(b)(3)(R)(4.)(b.), 95977.1(b)(3)(R)(4.)(e.), and 95977.1(b)(3)(R)(4.)(f.) and any in the applicable Compliance Offset Protocol;</w:t>
      </w:r>
    </w:p>
    <w:p w14:paraId="4D680EF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Offset project listing information submitted to an Offset Project Registry pursuant to sections 95975(c) and (e);</w:t>
      </w:r>
    </w:p>
    <w:p w14:paraId="2C11FB4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Pr="00B61FF1">
        <w:rPr>
          <w:rFonts w:ascii="Arial" w:hAnsi="Arial" w:cs="Arial"/>
          <w:sz w:val="24"/>
          <w:szCs w:val="24"/>
          <w:u w:val="single"/>
        </w:rPr>
        <w:t xml:space="preserve">The original and final </w:t>
      </w:r>
      <w:r w:rsidRPr="00B61FF1">
        <w:rPr>
          <w:rFonts w:ascii="Arial" w:hAnsi="Arial" w:cs="Arial"/>
          <w:sz w:val="24"/>
          <w:szCs w:val="24"/>
        </w:rPr>
        <w:t>Offset Project Data Reports submitted to an Offset Project Registry pursuant to section</w:t>
      </w:r>
      <w:r w:rsidRPr="00B61FF1">
        <w:rPr>
          <w:rFonts w:ascii="Arial" w:hAnsi="Arial" w:cs="Arial"/>
          <w:sz w:val="24"/>
          <w:szCs w:val="24"/>
          <w:u w:val="single"/>
        </w:rPr>
        <w:t>s</w:t>
      </w:r>
      <w:r w:rsidRPr="00B61FF1">
        <w:rPr>
          <w:rFonts w:ascii="Arial" w:hAnsi="Arial" w:cs="Arial"/>
          <w:sz w:val="24"/>
          <w:szCs w:val="24"/>
        </w:rPr>
        <w:t xml:space="preserve"> 95976(d)</w:t>
      </w:r>
      <w:r w:rsidRPr="00B61FF1">
        <w:rPr>
          <w:rFonts w:ascii="Arial" w:hAnsi="Arial" w:cs="Arial"/>
          <w:sz w:val="24"/>
          <w:szCs w:val="24"/>
          <w:u w:val="single"/>
        </w:rPr>
        <w:t>, 95977.1(b)(3)(M), and 95977.1(b)(3)(R)5.</w:t>
      </w:r>
      <w:r w:rsidRPr="00B61FF1">
        <w:rPr>
          <w:rFonts w:ascii="Arial" w:hAnsi="Arial" w:cs="Arial"/>
          <w:sz w:val="24"/>
          <w:szCs w:val="24"/>
        </w:rPr>
        <w:t>; and</w:t>
      </w:r>
    </w:p>
    <w:p w14:paraId="48E0E64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Offset Verification Statements submitted pursuant to section 95977.1(b)(3)(R)(4.)(b.).</w:t>
      </w:r>
    </w:p>
    <w:p w14:paraId="76EFCAD9"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 xml:space="preserve">The Offset Project Operator, or Authorized Project Designee, if applicable, must submit a request for issuance of ARB offset credits to ARB for each Offset Project Data Report for which they are seeking issuance of ARB offset credits.  </w:t>
      </w:r>
    </w:p>
    <w:p w14:paraId="6845CD7B"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If the ARB offset credits are only being issued into the Holding Account that belongs to the Offset Project Operator, the Authorized Project Designee may submit the request for issuance of ARB offset credits to ARB.  If the ARB offset credits will be issued into any other Holding Account(s) other than the Holding Account that belongs to the Offset Project Operator, only the Offset Project Operator may submit the request for issuance of ARB offset credits to ARB.</w:t>
      </w:r>
    </w:p>
    <w:p w14:paraId="58E8E23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The request for issuance of ARB offset credits must identify which Holding Accounts the ARB offset credits should be placed into and how many ARB offset credits will be placed into each Holding Account.  Consistent with section 95974, the Offset Project Operator may request that ARB offset credits are placed into the Holding Account of the Authorized Project Designee, or another third party not prohibited to hold compliance instruments under this Article.  Any party receiving ARB offset credits at the time of ARB offset credit issuance must have a tracking system account with ARB.</w:t>
      </w:r>
    </w:p>
    <w:p w14:paraId="793A4AF6"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The request for issuance of ARB offset credits may be provided to ARB when the Offset Project Operator or Authorized Project Designee, if applicable, submits the information in sections 95981(b)(1) through (4) but must be provided to ARB before it will issue ARB offset credits pursuant to section 95981.1.  If the offset project was listed by an Offset Project Registry, the request for issuance of ARB offset credits may not be provided to ARB until the Offset Project Registry has issued registry offset credits for the applicable Offset Project Data Report(s).</w:t>
      </w:r>
    </w:p>
    <w:p w14:paraId="4C5AC56A"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ARB will determine whether the GHG emission reductions and GHG removal enhancements meet the requirements of section 95981(a), the information submitted in sections 95981(b) and (c) is complete, and the Positive Offset or Qualified Positive Offset Verification Statement meets the requirements of sections 95977, 95977.1, and 95977.2 within 45 calendar days of receiving it.</w:t>
      </w:r>
    </w:p>
    <w:p w14:paraId="51544BB3"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Before ARB issues an ARB offset credit pursuant to section 95981.1 for GHG reductions and GHG removal enhancements achieved by an offset project in </w:t>
      </w:r>
      <w:r w:rsidRPr="00B61FF1">
        <w:rPr>
          <w:rFonts w:ascii="Arial" w:hAnsi="Arial" w:cs="Arial"/>
          <w:sz w:val="24"/>
          <w:szCs w:val="24"/>
          <w:u w:val="single"/>
        </w:rPr>
        <w:t>a Reporting Period,</w:t>
      </w:r>
      <w:r w:rsidRPr="00B61FF1">
        <w:rPr>
          <w:rFonts w:ascii="Arial" w:hAnsi="Arial" w:cs="Arial"/>
          <w:strike/>
          <w:sz w:val="24"/>
          <w:szCs w:val="24"/>
        </w:rPr>
        <w:t>an Offset Verification Statement</w:t>
      </w:r>
      <w:r w:rsidRPr="00B61FF1">
        <w:rPr>
          <w:rFonts w:ascii="Arial" w:hAnsi="Arial" w:cs="Arial"/>
          <w:sz w:val="24"/>
          <w:szCs w:val="24"/>
        </w:rPr>
        <w:t xml:space="preserve"> the Offset Project Operator or Authorized Project Designee must provide the following attestations, in writing, to ARB:</w:t>
      </w:r>
    </w:p>
    <w:p w14:paraId="29E8E3D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 certify under penalty of perjury under the laws of the State of California the GHG reductions or GHG removal enhancements for [project] from [date] to [date] have been measured in accordance with the [appropriate ARB Compliance Offset Protocol] and all information required to be submitted to ARB is true, accurate, and complete.”;</w:t>
      </w:r>
    </w:p>
    <w:p w14:paraId="6679E32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 understand I am voluntarily participating in the California Greenhouse Gas Cap-and-Trade Program under title 17, article 5, and by doing so, I am now subject to all regulatory requirements and enforcement mechanisms of this program and subject myself to the jurisdiction of California as the exclusive venue to resolve any and all disputes arising from the enforcement of provisions in this article.”;</w:t>
      </w:r>
    </w:p>
    <w:p w14:paraId="6D0C61E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 understand that the offset project activity and implementation of the offset project must be in accordance with all applicable local, regional, and national environmental and health and safety regulations that apply based on the offset project location.  I understand that offset projects are not eligible to receive ARB or registry offset credits for GHG reductions and GHG removal enhancements that are not in compliance with the requirements of this Article.”;</w:t>
      </w:r>
    </w:p>
    <w:p w14:paraId="0F13C13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“I certify under penalty of perjury under the laws of the State of California all information provided to ARB for issuance of ARB offset credits is true, accurate, and complete.”; and</w:t>
      </w:r>
    </w:p>
    <w:p w14:paraId="03E92C8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“I certify under penalty of perjury under the laws of the State of California that the GHG reductions and GHG removal enhancements for which I am seeking ARB Offset Credits have not been issued any offset credits or been used for any GHG mitigation requirements in any other voluntary or mandatory program, except, if applicable, an Offset Project Registry pursuant to section 95980.1.”</w:t>
      </w:r>
    </w:p>
    <w:p w14:paraId="235E426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Determination for Timing and Duration of Initial Crediting Periods for Offset Projects Submitted Through ARB.  The initial crediting period will begin with the date that the first verified GHG emission reductions and GHG removal enhancements occur, according to the first Positive Offset or Qualified Positive Offset Verification Statement that is received by ARB, </w:t>
      </w:r>
      <w:r w:rsidRPr="00B61FF1">
        <w:rPr>
          <w:rFonts w:ascii="Arial" w:hAnsi="Arial" w:cs="Arial"/>
          <w:sz w:val="24"/>
          <w:szCs w:val="24"/>
          <w:u w:val="single"/>
        </w:rPr>
        <w:t>unless otherwise specified in a Compliance Offset Protocol</w:t>
      </w:r>
      <w:r w:rsidRPr="00B61FF1">
        <w:rPr>
          <w:rFonts w:ascii="Arial" w:hAnsi="Arial" w:cs="Arial"/>
          <w:sz w:val="24"/>
          <w:szCs w:val="24"/>
        </w:rPr>
        <w:t>.  An early action offset project that transitions pursuant to section 95990(k) will begin its initial crediting period pursuant to section 95990(k)(2).</w:t>
      </w:r>
    </w:p>
    <w:p w14:paraId="72268A4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Determination for Timing and Duration of Renewed Crediting for Offset Projects Submitted Through ARB.  A renewed crediting period will begin the day after the conclusion of the prior crediting period.</w:t>
      </w:r>
    </w:p>
    <w:p w14:paraId="4B94120C" w14:textId="77777777" w:rsidR="00FE6A4C" w:rsidRPr="00B61FF1" w:rsidRDefault="00FE6A4C" w:rsidP="00FE6A4C">
      <w:pPr>
        <w:rPr>
          <w:rFonts w:ascii="Arial" w:hAnsi="Arial" w:cs="Arial"/>
        </w:rPr>
      </w:pPr>
    </w:p>
    <w:p w14:paraId="0A853632"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337CDBDB" w14:textId="77777777" w:rsidR="00FE6A4C" w:rsidRPr="00B61FF1" w:rsidRDefault="00FE6A4C" w:rsidP="00FE6A4C">
      <w:pPr>
        <w:rPr>
          <w:rFonts w:ascii="Arial" w:hAnsi="Arial" w:cs="Arial"/>
          <w:b/>
          <w:bCs/>
          <w:iCs/>
          <w:sz w:val="24"/>
          <w:szCs w:val="24"/>
        </w:rPr>
      </w:pPr>
      <w:r w:rsidRPr="00B61FF1">
        <w:rPr>
          <w:rFonts w:ascii="Arial" w:hAnsi="Arial" w:cs="Arial"/>
        </w:rPr>
        <w:t>Reference:  Sections 38530, 38560.5, 38564, 38565, 38570 and 39600, Health and Safety Code.</w:t>
      </w:r>
      <w:bookmarkStart w:id="633" w:name="_Toc294863585"/>
    </w:p>
    <w:p w14:paraId="580B232B" w14:textId="77777777" w:rsidR="00FE6A4C" w:rsidRPr="00B61FF1" w:rsidRDefault="00FE6A4C" w:rsidP="00FE6A4C">
      <w:pPr>
        <w:spacing w:before="240" w:after="60" w:line="360" w:lineRule="auto"/>
        <w:outlineLvl w:val="1"/>
        <w:rPr>
          <w:rFonts w:ascii="Arial" w:hAnsi="Arial" w:cs="Arial"/>
          <w:b/>
          <w:bCs/>
          <w:iCs/>
          <w:sz w:val="24"/>
          <w:szCs w:val="24"/>
        </w:rPr>
      </w:pPr>
      <w:bookmarkStart w:id="634" w:name="_Toc299094985"/>
      <w:bookmarkStart w:id="635" w:name="_Toc299095102"/>
      <w:bookmarkStart w:id="636" w:name="_Toc302746839"/>
      <w:bookmarkStart w:id="637" w:name="_Toc361659902"/>
      <w:r w:rsidRPr="00B61FF1">
        <w:rPr>
          <w:rFonts w:ascii="Arial" w:hAnsi="Arial" w:cs="Arial"/>
          <w:b/>
          <w:bCs/>
          <w:iCs/>
          <w:sz w:val="24"/>
          <w:szCs w:val="24"/>
        </w:rPr>
        <w:t xml:space="preserve">§ 95981.1  Process for Issuance </w:t>
      </w:r>
      <w:bookmarkEnd w:id="620"/>
      <w:bookmarkEnd w:id="621"/>
      <w:bookmarkEnd w:id="622"/>
      <w:bookmarkEnd w:id="623"/>
      <w:bookmarkEnd w:id="624"/>
      <w:r w:rsidRPr="00B61FF1">
        <w:rPr>
          <w:rFonts w:ascii="Arial" w:hAnsi="Arial" w:cs="Arial"/>
          <w:b/>
          <w:bCs/>
          <w:iCs/>
          <w:sz w:val="24"/>
          <w:szCs w:val="24"/>
        </w:rPr>
        <w:t>of ARB Offset Credits</w:t>
      </w:r>
      <w:bookmarkEnd w:id="625"/>
      <w:bookmarkEnd w:id="626"/>
      <w:bookmarkEnd w:id="627"/>
      <w:bookmarkEnd w:id="633"/>
      <w:r w:rsidRPr="00B61FF1">
        <w:rPr>
          <w:rFonts w:ascii="Arial" w:hAnsi="Arial" w:cs="Arial"/>
          <w:b/>
          <w:bCs/>
          <w:iCs/>
          <w:sz w:val="24"/>
          <w:szCs w:val="24"/>
        </w:rPr>
        <w:t>.</w:t>
      </w:r>
      <w:bookmarkEnd w:id="634"/>
      <w:bookmarkEnd w:id="635"/>
      <w:bookmarkEnd w:id="636"/>
      <w:bookmarkEnd w:id="637"/>
    </w:p>
    <w:p w14:paraId="3E5114D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ARB will issue an ARB offset credit for an offset project that meets the requirements of section</w:t>
      </w:r>
      <w:r w:rsidRPr="00B61FF1">
        <w:rPr>
          <w:rFonts w:ascii="Arial" w:hAnsi="Arial" w:cs="Arial"/>
          <w:sz w:val="24"/>
          <w:szCs w:val="24"/>
          <w:u w:val="single"/>
        </w:rPr>
        <w:t>s</w:t>
      </w:r>
      <w:r w:rsidRPr="00B61FF1">
        <w:rPr>
          <w:rFonts w:ascii="Arial" w:hAnsi="Arial" w:cs="Arial"/>
          <w:sz w:val="24"/>
          <w:szCs w:val="24"/>
        </w:rPr>
        <w:t xml:space="preserve"> 95981(a)</w:t>
      </w:r>
      <w:r w:rsidRPr="00B61FF1">
        <w:rPr>
          <w:rFonts w:ascii="Arial" w:hAnsi="Arial" w:cs="Arial"/>
          <w:sz w:val="24"/>
          <w:szCs w:val="24"/>
          <w:u w:val="single"/>
        </w:rPr>
        <w:t xml:space="preserve"> and (b)</w:t>
      </w:r>
      <w:r w:rsidRPr="00B61FF1">
        <w:rPr>
          <w:rFonts w:ascii="Arial" w:hAnsi="Arial" w:cs="Arial"/>
          <w:sz w:val="24"/>
          <w:szCs w:val="24"/>
        </w:rPr>
        <w:t xml:space="preserve"> to an Offset Project Operator, Authorized Project Designee, or any other third party authorized by the Offset Project Operator pursuant to section </w:t>
      </w:r>
      <w:r w:rsidRPr="00B61FF1">
        <w:rPr>
          <w:rFonts w:ascii="Arial" w:hAnsi="Arial" w:cs="Arial"/>
          <w:sz w:val="24"/>
          <w:szCs w:val="24"/>
          <w:u w:val="single"/>
        </w:rPr>
        <w:t>95981(b)</w:t>
      </w:r>
      <w:r w:rsidRPr="00B61FF1">
        <w:rPr>
          <w:rFonts w:ascii="Arial" w:hAnsi="Arial" w:cs="Arial"/>
          <w:strike/>
          <w:sz w:val="24"/>
          <w:szCs w:val="24"/>
        </w:rPr>
        <w:t>95974(a)(1)</w:t>
      </w:r>
      <w:r w:rsidRPr="00B61FF1">
        <w:rPr>
          <w:rFonts w:ascii="Arial" w:hAnsi="Arial" w:cs="Arial"/>
          <w:sz w:val="24"/>
          <w:szCs w:val="24"/>
        </w:rPr>
        <w:t>, no later than 15 calendar days after ARB makes a determination pursuant to section 95981(c)</w:t>
      </w:r>
      <w:r w:rsidRPr="00B61FF1">
        <w:rPr>
          <w:rFonts w:ascii="Arial" w:hAnsi="Arial" w:cs="Arial"/>
          <w:sz w:val="24"/>
          <w:szCs w:val="24"/>
          <w:u w:val="single"/>
        </w:rPr>
        <w:t>, as long as all attestations required in section 95981(d) have been received by ARB prior to its determination</w:t>
      </w:r>
      <w:r w:rsidRPr="00B61FF1">
        <w:rPr>
          <w:rFonts w:ascii="Arial" w:hAnsi="Arial" w:cs="Arial"/>
          <w:sz w:val="24"/>
          <w:szCs w:val="24"/>
        </w:rPr>
        <w:t>.</w:t>
      </w:r>
      <w:r w:rsidRPr="00B61FF1">
        <w:rPr>
          <w:rFonts w:ascii="Arial" w:hAnsi="Arial" w:cs="Arial"/>
          <w:dstrike/>
          <w:sz w:val="24"/>
          <w:szCs w:val="24"/>
        </w:rPr>
        <w:t xml:space="preserve"> </w:t>
      </w:r>
    </w:p>
    <w:p w14:paraId="47987ADB"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Change of Listing Status at ARB.  When ARB issues an ARB offset credit for an offset project, the listing status for that offset project will be changed from “Active Registry Project” to “Active ARB Project” or “Active Registry Renewal” to “Active ARB Renewal” at the Offset Project Registry and ARB.</w:t>
      </w:r>
    </w:p>
    <w:p w14:paraId="3FADF0BC"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Notice of Determination of Issuance of ARB Offset Credits.  Not later than 15 calendar days after ARB </w:t>
      </w:r>
      <w:r w:rsidRPr="00B61FF1">
        <w:rPr>
          <w:rFonts w:ascii="Arial" w:hAnsi="Arial" w:cs="Arial"/>
          <w:sz w:val="24"/>
          <w:szCs w:val="24"/>
          <w:u w:val="single"/>
        </w:rPr>
        <w:t xml:space="preserve">determines to </w:t>
      </w:r>
      <w:r w:rsidRPr="00B61FF1">
        <w:rPr>
          <w:rFonts w:ascii="Arial" w:hAnsi="Arial" w:cs="Arial"/>
          <w:sz w:val="24"/>
          <w:szCs w:val="24"/>
        </w:rPr>
        <w:t>issue</w:t>
      </w:r>
      <w:r w:rsidRPr="00B61FF1">
        <w:rPr>
          <w:rFonts w:ascii="Arial" w:hAnsi="Arial" w:cs="Arial"/>
          <w:strike/>
          <w:sz w:val="24"/>
          <w:szCs w:val="24"/>
        </w:rPr>
        <w:t>s</w:t>
      </w:r>
      <w:r w:rsidRPr="00B61FF1">
        <w:rPr>
          <w:rFonts w:ascii="Arial" w:hAnsi="Arial" w:cs="Arial"/>
          <w:sz w:val="24"/>
          <w:szCs w:val="24"/>
        </w:rPr>
        <w:t xml:space="preserve"> an ARB offset credit, ARB will notify the Offset Project Operator, Authorized Project Designee, or any other third party authorized by the Offset Project Operator pursuant to section 95981(b)</w:t>
      </w:r>
      <w:r w:rsidRPr="00B61FF1">
        <w:rPr>
          <w:rFonts w:ascii="Arial" w:hAnsi="Arial" w:cs="Arial"/>
          <w:strike/>
          <w:sz w:val="24"/>
          <w:szCs w:val="24"/>
        </w:rPr>
        <w:t>95974(a)(1)</w:t>
      </w:r>
      <w:r w:rsidRPr="00B61FF1">
        <w:rPr>
          <w:rFonts w:ascii="Arial" w:hAnsi="Arial" w:cs="Arial"/>
          <w:sz w:val="24"/>
          <w:szCs w:val="24"/>
        </w:rPr>
        <w:t xml:space="preserve"> of </w:t>
      </w:r>
      <w:r w:rsidRPr="00B61FF1">
        <w:rPr>
          <w:rFonts w:ascii="Arial" w:hAnsi="Arial" w:cs="Arial"/>
          <w:strike/>
          <w:sz w:val="24"/>
          <w:szCs w:val="24"/>
        </w:rPr>
        <w:t>the issuance</w:t>
      </w:r>
      <w:r w:rsidRPr="00B61FF1">
        <w:rPr>
          <w:rFonts w:ascii="Arial" w:hAnsi="Arial" w:cs="Arial"/>
          <w:sz w:val="24"/>
          <w:szCs w:val="24"/>
          <w:u w:val="single"/>
        </w:rPr>
        <w:t>its intent to issue ARB offset credits</w:t>
      </w:r>
      <w:r w:rsidRPr="00B61FF1">
        <w:rPr>
          <w:rFonts w:ascii="Arial" w:hAnsi="Arial" w:cs="Arial"/>
          <w:sz w:val="24"/>
          <w:szCs w:val="24"/>
        </w:rPr>
        <w:t xml:space="preserve">.  </w:t>
      </w:r>
    </w:p>
    <w:p w14:paraId="0EF9399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Requests for Additional Information.  ARB may request additional information for offset projects submitted through an Offset Project Registry seeking issuance of ARB offset credits.</w:t>
      </w:r>
    </w:p>
    <w:p w14:paraId="0A22E87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will notify the Offset Project Operator, Authorized Project Designee, or other third party identified in section 95981(b)</w:t>
      </w:r>
      <w:r w:rsidRPr="00B61FF1">
        <w:rPr>
          <w:rFonts w:ascii="Arial" w:hAnsi="Arial" w:cs="Arial"/>
          <w:strike/>
          <w:sz w:val="24"/>
          <w:szCs w:val="24"/>
        </w:rPr>
        <w:t>95974(a)(1)</w:t>
      </w:r>
      <w:r w:rsidRPr="00B61FF1">
        <w:rPr>
          <w:rFonts w:ascii="Arial" w:hAnsi="Arial" w:cs="Arial"/>
          <w:sz w:val="24"/>
          <w:szCs w:val="24"/>
        </w:rPr>
        <w:t xml:space="preserve"> within 15 calendar days of its determination pursuant to section 95981(c) if the information in section 95981(b)</w:t>
      </w:r>
      <w:r w:rsidRPr="00B61FF1">
        <w:rPr>
          <w:rFonts w:ascii="Arial" w:hAnsi="Arial" w:cs="Arial"/>
          <w:sz w:val="24"/>
          <w:szCs w:val="24"/>
          <w:u w:val="single"/>
        </w:rPr>
        <w:t>,</w:t>
      </w:r>
      <w:r w:rsidRPr="00B61FF1">
        <w:rPr>
          <w:rFonts w:ascii="Arial" w:hAnsi="Arial" w:cs="Arial"/>
          <w:sz w:val="24"/>
          <w:szCs w:val="24"/>
        </w:rPr>
        <w:t xml:space="preserve"> </w:t>
      </w:r>
      <w:r w:rsidRPr="00B61FF1">
        <w:rPr>
          <w:rFonts w:ascii="Arial" w:hAnsi="Arial" w:cs="Arial"/>
          <w:strike/>
          <w:sz w:val="24"/>
          <w:szCs w:val="24"/>
        </w:rPr>
        <w:t xml:space="preserve">and </w:t>
      </w:r>
      <w:r w:rsidRPr="00B61FF1">
        <w:rPr>
          <w:rFonts w:ascii="Arial" w:hAnsi="Arial" w:cs="Arial"/>
          <w:sz w:val="24"/>
          <w:szCs w:val="24"/>
        </w:rPr>
        <w:t>(c)</w:t>
      </w:r>
      <w:r w:rsidRPr="00B61FF1">
        <w:rPr>
          <w:rFonts w:ascii="Arial" w:hAnsi="Arial" w:cs="Arial"/>
          <w:sz w:val="24"/>
          <w:szCs w:val="24"/>
          <w:u w:val="single"/>
        </w:rPr>
        <w:t xml:space="preserve">, and (d) </w:t>
      </w:r>
      <w:r w:rsidRPr="00B61FF1">
        <w:rPr>
          <w:rFonts w:ascii="Arial" w:hAnsi="Arial" w:cs="Arial"/>
          <w:sz w:val="24"/>
          <w:szCs w:val="24"/>
        </w:rPr>
        <w:t>is incomplete and request additional specific information.</w:t>
      </w:r>
    </w:p>
    <w:p w14:paraId="783BEC5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ARB may request any additional information from the Offset Project Operator, Authorized Project Designee, Offset Project Registry, or verification body before issuing ARB offset credits for an offset project that meets the requirements of section 95981.  </w:t>
      </w:r>
      <w:r w:rsidRPr="00B61FF1">
        <w:rPr>
          <w:rFonts w:ascii="Arial" w:hAnsi="Arial" w:cs="Arial"/>
          <w:sz w:val="24"/>
          <w:szCs w:val="24"/>
          <w:u w:val="single"/>
        </w:rPr>
        <w:t>The Offset Project Operator, Authorized Project Designee, Offset Project Registry, or verification body must submit the requested information to ARB within 10 calendar days of ARB’s request.</w:t>
      </w:r>
    </w:p>
    <w:p w14:paraId="2DE60B9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ARB determines the information submitted in sections 95981(b), 95981(c), and 95981.1(d)(2) does not meet the requirements for issuance of ARB offset credits, then ARB may deny issuance of ARB offset credits.  The Offset Project Operator or Authorized Project Designee may petition ARB within 10 days of denial for a review of submitted information in sections 95981(b), 95981(c), and 95981.1(d)(2) and respond to any issues that prevent the issuance of ARB offset credits.</w:t>
      </w:r>
    </w:p>
    <w:p w14:paraId="6D58496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ARB must make a final determination within 30 calendar days of receiving the request in section 95981.1(d)(3) and may request additional information from the Offset Project Operator or Authorized Project Designee, verification body, or Offset Project Registry.  This determination made by the Executive Officer is final.</w:t>
      </w:r>
    </w:p>
    <w:p w14:paraId="6F048CD8" w14:textId="77777777" w:rsidR="00FE6A4C" w:rsidRPr="00B61FF1" w:rsidRDefault="00FE6A4C" w:rsidP="00FE6A4C">
      <w:pPr>
        <w:spacing w:line="360" w:lineRule="auto"/>
        <w:ind w:left="720" w:hanging="720"/>
        <w:rPr>
          <w:rFonts w:ascii="Arial" w:hAnsi="Arial" w:cs="Arial"/>
          <w:i/>
          <w:sz w:val="24"/>
          <w:szCs w:val="24"/>
          <w:u w:val="single"/>
        </w:rPr>
      </w:pPr>
      <w:r w:rsidRPr="00B61FF1">
        <w:rPr>
          <w:rFonts w:ascii="Arial" w:hAnsi="Arial" w:cs="Arial"/>
          <w:sz w:val="24"/>
          <w:szCs w:val="24"/>
        </w:rPr>
        <w:t>(e)</w:t>
      </w:r>
      <w:r w:rsidRPr="00B61FF1">
        <w:rPr>
          <w:rFonts w:ascii="Arial" w:hAnsi="Arial" w:cs="Arial"/>
          <w:sz w:val="24"/>
          <w:szCs w:val="24"/>
        </w:rPr>
        <w:tab/>
        <w:t xml:space="preserve">A registry offset credit issued pursuant to section 95980.1(a) must be removed or cancelled by the Offset Project Registry within 10 calendar days of ARB notification, such that the registry offset credit is no longer available for transaction on the Offset Project Registry system.  Registry offset credits must be removed or cancelled by the Offset Project Registry before ARB issues an ARB offset credit pursuant to this section.  </w:t>
      </w:r>
      <w:r w:rsidRPr="00B61FF1">
        <w:rPr>
          <w:rFonts w:ascii="Arial" w:hAnsi="Arial" w:cs="Arial"/>
          <w:sz w:val="24"/>
          <w:szCs w:val="24"/>
          <w:u w:val="single"/>
        </w:rPr>
        <w:t>The Offset Project Registry must provide proof to ARB that the registry offset credits have been permanently removed or cancelled from the registry system.</w:t>
      </w:r>
    </w:p>
    <w:p w14:paraId="1C9C1CB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Receipt of ARB Offset Credits.  ARB will transfer ARB offset credits into the Holding Account of the Offset Project Operator, Authorized Project Designee, or any other third party authorized by the Offset Project Operator pursuant to section </w:t>
      </w:r>
      <w:r w:rsidRPr="00B61FF1">
        <w:rPr>
          <w:rFonts w:ascii="Arial" w:hAnsi="Arial" w:cs="Arial"/>
          <w:sz w:val="24"/>
          <w:szCs w:val="24"/>
          <w:u w:val="single"/>
        </w:rPr>
        <w:t>95981(b)</w:t>
      </w:r>
      <w:r w:rsidRPr="00B61FF1">
        <w:rPr>
          <w:rFonts w:ascii="Arial" w:hAnsi="Arial" w:cs="Arial"/>
          <w:strike/>
          <w:sz w:val="24"/>
          <w:szCs w:val="24"/>
        </w:rPr>
        <w:t>95974(a)(1)</w:t>
      </w:r>
      <w:r w:rsidRPr="00B61FF1">
        <w:rPr>
          <w:rFonts w:ascii="Arial" w:hAnsi="Arial" w:cs="Arial"/>
          <w:sz w:val="24"/>
          <w:szCs w:val="24"/>
          <w:u w:val="single"/>
        </w:rPr>
        <w:t xml:space="preserve"> to receive ARB offset credits</w:t>
      </w:r>
      <w:r w:rsidRPr="00B61FF1">
        <w:rPr>
          <w:rFonts w:ascii="Arial" w:hAnsi="Arial" w:cs="Arial"/>
          <w:sz w:val="24"/>
          <w:szCs w:val="24"/>
        </w:rPr>
        <w:t xml:space="preserve">, within 15 working days of the notice of determination pursuant to sections 95981.1(c) and (d)(4).  </w:t>
      </w:r>
    </w:p>
    <w:p w14:paraId="2C05DDF7" w14:textId="77777777" w:rsidR="00FE6A4C" w:rsidRPr="00B61FF1" w:rsidRDefault="00FE6A4C" w:rsidP="00FE6A4C">
      <w:pPr>
        <w:spacing w:line="360" w:lineRule="auto"/>
        <w:ind w:left="720" w:hanging="720"/>
        <w:rPr>
          <w:rFonts w:ascii="Arial" w:hAnsi="Arial" w:cs="Arial"/>
          <w:sz w:val="24"/>
          <w:szCs w:val="24"/>
        </w:rPr>
      </w:pPr>
    </w:p>
    <w:p w14:paraId="78210586"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25DDD9BF" w14:textId="77777777" w:rsidR="00FE6A4C" w:rsidRPr="00B61FF1" w:rsidRDefault="00FE6A4C" w:rsidP="00FE6A4C">
      <w:pPr>
        <w:rPr>
          <w:rFonts w:ascii="Arial" w:hAnsi="Arial" w:cs="Arial"/>
          <w:b/>
          <w:bCs/>
          <w:iCs/>
          <w:sz w:val="24"/>
          <w:szCs w:val="24"/>
        </w:rPr>
      </w:pPr>
      <w:r w:rsidRPr="00B61FF1">
        <w:rPr>
          <w:rFonts w:ascii="Arial" w:hAnsi="Arial" w:cs="Arial"/>
        </w:rPr>
        <w:t>Reference:  Sections 38530, 38560.5, 38564, 38565, 38570 and 39600, Health and Safety Code.</w:t>
      </w:r>
      <w:bookmarkStart w:id="638" w:name="_Toc258822516"/>
      <w:bookmarkStart w:id="639" w:name="_Toc268526251"/>
      <w:bookmarkStart w:id="640" w:name="_Toc269206271"/>
      <w:bookmarkStart w:id="641" w:name="_Toc269798112"/>
      <w:bookmarkStart w:id="642" w:name="_Toc275870259"/>
      <w:bookmarkStart w:id="643" w:name="_Toc266690280"/>
      <w:bookmarkStart w:id="644" w:name="_Toc291245707"/>
      <w:bookmarkStart w:id="645" w:name="_Toc294275154"/>
      <w:bookmarkStart w:id="646" w:name="_Toc294863586"/>
    </w:p>
    <w:p w14:paraId="4AF735CC" w14:textId="77777777" w:rsidR="00FE6A4C" w:rsidRPr="00B61FF1" w:rsidRDefault="00FE6A4C" w:rsidP="00FE6A4C">
      <w:pPr>
        <w:spacing w:before="240" w:after="60" w:line="360" w:lineRule="auto"/>
        <w:outlineLvl w:val="1"/>
        <w:rPr>
          <w:rFonts w:ascii="Arial" w:hAnsi="Arial" w:cs="Arial"/>
          <w:b/>
          <w:bCs/>
          <w:iCs/>
          <w:sz w:val="24"/>
          <w:szCs w:val="24"/>
        </w:rPr>
      </w:pPr>
      <w:bookmarkStart w:id="647" w:name="_Toc299094986"/>
      <w:bookmarkStart w:id="648" w:name="_Toc299095103"/>
      <w:bookmarkStart w:id="649" w:name="_Toc302746840"/>
      <w:bookmarkStart w:id="650" w:name="_Toc361659903"/>
      <w:r w:rsidRPr="00B61FF1">
        <w:rPr>
          <w:rFonts w:ascii="Arial" w:hAnsi="Arial" w:cs="Arial"/>
          <w:b/>
          <w:bCs/>
          <w:iCs/>
          <w:sz w:val="24"/>
          <w:szCs w:val="24"/>
        </w:rPr>
        <w:t>§ 95982.  Registration of ARB Offset Credits</w:t>
      </w:r>
      <w:bookmarkEnd w:id="638"/>
      <w:bookmarkEnd w:id="639"/>
      <w:bookmarkEnd w:id="640"/>
      <w:bookmarkEnd w:id="641"/>
      <w:bookmarkEnd w:id="642"/>
      <w:bookmarkEnd w:id="643"/>
      <w:bookmarkEnd w:id="644"/>
      <w:bookmarkEnd w:id="645"/>
      <w:bookmarkEnd w:id="646"/>
      <w:bookmarkEnd w:id="647"/>
      <w:bookmarkEnd w:id="648"/>
      <w:bookmarkEnd w:id="649"/>
      <w:r w:rsidRPr="00B61FF1">
        <w:rPr>
          <w:rFonts w:ascii="Arial" w:hAnsi="Arial" w:cs="Arial"/>
          <w:b/>
          <w:bCs/>
          <w:iCs/>
          <w:sz w:val="24"/>
          <w:szCs w:val="24"/>
          <w:u w:val="single"/>
        </w:rPr>
        <w:t>.</w:t>
      </w:r>
      <w:bookmarkEnd w:id="650"/>
    </w:p>
    <w:p w14:paraId="08D7C2E8" w14:textId="77777777" w:rsidR="00FE6A4C" w:rsidRPr="00B61FF1" w:rsidRDefault="00FE6A4C" w:rsidP="00FE6A4C">
      <w:pPr>
        <w:spacing w:line="360" w:lineRule="auto"/>
        <w:rPr>
          <w:rFonts w:ascii="Arial" w:hAnsi="Arial" w:cs="Arial"/>
          <w:sz w:val="24"/>
          <w:szCs w:val="24"/>
        </w:rPr>
      </w:pPr>
      <w:r w:rsidRPr="00B61FF1">
        <w:rPr>
          <w:rFonts w:ascii="Arial" w:hAnsi="Arial" w:cs="Arial"/>
          <w:sz w:val="24"/>
          <w:szCs w:val="24"/>
        </w:rPr>
        <w:t>An ARB offset credit will be registered by:</w:t>
      </w:r>
    </w:p>
    <w:p w14:paraId="585CF20E" w14:textId="77777777" w:rsidR="00FE6A4C" w:rsidRPr="00B61FF1" w:rsidRDefault="00FE6A4C" w:rsidP="00FE6A4C">
      <w:pPr>
        <w:numPr>
          <w:ilvl w:val="0"/>
          <w:numId w:val="6"/>
        </w:numPr>
        <w:spacing w:line="360" w:lineRule="auto"/>
        <w:rPr>
          <w:rFonts w:ascii="Arial" w:hAnsi="Arial" w:cs="Arial"/>
          <w:sz w:val="24"/>
          <w:szCs w:val="24"/>
        </w:rPr>
      </w:pPr>
      <w:r w:rsidRPr="00B61FF1">
        <w:rPr>
          <w:rFonts w:ascii="Arial" w:hAnsi="Arial" w:cs="Arial"/>
          <w:sz w:val="24"/>
          <w:szCs w:val="24"/>
        </w:rPr>
        <w:t>Creating a unique ARB serial number; and</w:t>
      </w:r>
    </w:p>
    <w:p w14:paraId="00BEF0A3" w14:textId="77777777" w:rsidR="00FE6A4C" w:rsidRPr="00B61FF1" w:rsidRDefault="00FE6A4C" w:rsidP="00FE6A4C">
      <w:pPr>
        <w:numPr>
          <w:ilvl w:val="0"/>
          <w:numId w:val="6"/>
        </w:numPr>
        <w:spacing w:line="360" w:lineRule="auto"/>
        <w:rPr>
          <w:rFonts w:ascii="Arial" w:hAnsi="Arial" w:cs="Arial"/>
          <w:sz w:val="24"/>
          <w:szCs w:val="24"/>
        </w:rPr>
      </w:pPr>
      <w:r w:rsidRPr="00B61FF1">
        <w:rPr>
          <w:rFonts w:ascii="Arial" w:hAnsi="Arial" w:cs="Arial"/>
          <w:sz w:val="24"/>
          <w:szCs w:val="24"/>
        </w:rPr>
        <w:t xml:space="preserve">Transferring </w:t>
      </w:r>
      <w:r w:rsidRPr="00B61FF1">
        <w:rPr>
          <w:rFonts w:ascii="Arial" w:hAnsi="Arial" w:cs="Arial"/>
          <w:strike/>
          <w:sz w:val="24"/>
          <w:szCs w:val="24"/>
        </w:rPr>
        <w:t>this serial number</w:t>
      </w:r>
      <w:r w:rsidRPr="00B61FF1">
        <w:rPr>
          <w:rFonts w:ascii="Arial" w:hAnsi="Arial" w:cs="Arial"/>
          <w:sz w:val="24"/>
          <w:szCs w:val="24"/>
          <w:u w:val="single"/>
        </w:rPr>
        <w:t>the ARB offset credits</w:t>
      </w:r>
      <w:r w:rsidRPr="00B61FF1">
        <w:rPr>
          <w:rFonts w:ascii="Arial" w:hAnsi="Arial" w:cs="Arial"/>
          <w:sz w:val="24"/>
          <w:szCs w:val="24"/>
        </w:rPr>
        <w:t xml:space="preserve"> to the Holding Account of the listed Offset Project Operator, Authorized Project Designee, or another third party as provided in section </w:t>
      </w:r>
      <w:r w:rsidRPr="00B61FF1">
        <w:rPr>
          <w:rFonts w:ascii="Arial" w:hAnsi="Arial" w:cs="Arial"/>
          <w:sz w:val="24"/>
          <w:szCs w:val="24"/>
          <w:u w:val="single"/>
        </w:rPr>
        <w:t>95981(b)</w:t>
      </w:r>
      <w:r w:rsidRPr="00B61FF1">
        <w:rPr>
          <w:rFonts w:ascii="Arial" w:hAnsi="Arial" w:cs="Arial"/>
          <w:strike/>
          <w:sz w:val="24"/>
          <w:szCs w:val="24"/>
        </w:rPr>
        <w:t>95974(a)(1)</w:t>
      </w:r>
      <w:r w:rsidRPr="00B61FF1">
        <w:rPr>
          <w:rFonts w:ascii="Arial" w:hAnsi="Arial" w:cs="Arial"/>
          <w:sz w:val="24"/>
          <w:szCs w:val="24"/>
        </w:rPr>
        <w:t xml:space="preserve"> </w:t>
      </w:r>
      <w:r w:rsidRPr="00B61FF1">
        <w:rPr>
          <w:rFonts w:ascii="Arial" w:hAnsi="Arial" w:cs="Arial"/>
          <w:sz w:val="24"/>
          <w:szCs w:val="24"/>
          <w:u w:val="single"/>
        </w:rPr>
        <w:t xml:space="preserve">by the Offset Project Operator to receive ARB offset credits, </w:t>
      </w:r>
      <w:r w:rsidRPr="00B61FF1">
        <w:rPr>
          <w:rFonts w:ascii="Arial" w:hAnsi="Arial" w:cs="Arial"/>
          <w:sz w:val="24"/>
          <w:szCs w:val="24"/>
        </w:rPr>
        <w:t>unless otherwise required by section 95983.</w:t>
      </w:r>
      <w:bookmarkStart w:id="651" w:name="_Toc258822517"/>
      <w:bookmarkStart w:id="652" w:name="_Toc266690281"/>
    </w:p>
    <w:p w14:paraId="38223FC2" w14:textId="77777777" w:rsidR="00FE6A4C" w:rsidRPr="00B61FF1" w:rsidRDefault="00FE6A4C" w:rsidP="00FE6A4C">
      <w:pPr>
        <w:spacing w:line="360" w:lineRule="auto"/>
        <w:ind w:left="720"/>
        <w:rPr>
          <w:rFonts w:ascii="Arial" w:hAnsi="Arial" w:cs="Arial"/>
          <w:sz w:val="24"/>
          <w:szCs w:val="24"/>
        </w:rPr>
      </w:pPr>
    </w:p>
    <w:p w14:paraId="14F4C534" w14:textId="77777777" w:rsidR="00FE6A4C" w:rsidRPr="00B61FF1" w:rsidRDefault="00FE6A4C" w:rsidP="00FE6A4C">
      <w:pPr>
        <w:rPr>
          <w:rFonts w:ascii="Arial" w:hAnsi="Arial" w:cs="Arial"/>
        </w:rPr>
      </w:pPr>
      <w:bookmarkStart w:id="653" w:name="_Toc268526252"/>
      <w:bookmarkStart w:id="654" w:name="_Toc269206272"/>
      <w:bookmarkStart w:id="655" w:name="_Toc269798113"/>
      <w:bookmarkStart w:id="656" w:name="_Toc275870260"/>
      <w:bookmarkStart w:id="657" w:name="_Toc291245708"/>
      <w:bookmarkStart w:id="658" w:name="_Toc294275155"/>
      <w:bookmarkStart w:id="659" w:name="_Toc294863587"/>
      <w:bookmarkStart w:id="660" w:name="_Toc299094987"/>
      <w:bookmarkStart w:id="661" w:name="_Toc299095104"/>
      <w:bookmarkStart w:id="662" w:name="_Toc302746841"/>
      <w:r w:rsidRPr="00B61FF1">
        <w:rPr>
          <w:rFonts w:ascii="Arial" w:hAnsi="Arial" w:cs="Arial"/>
        </w:rPr>
        <w:t>NOTE:  Authority cited:  Sections 38510, 38560, 38562, 38570, 38571, 38580, 39600 and 39601, Health and Safety Code.</w:t>
      </w:r>
    </w:p>
    <w:p w14:paraId="0D3E2506" w14:textId="77777777" w:rsidR="00FE6A4C" w:rsidRPr="00B61FF1" w:rsidRDefault="00FE6A4C" w:rsidP="00FE6A4C">
      <w:pPr>
        <w:rPr>
          <w:rFonts w:ascii="Arial" w:hAnsi="Arial" w:cs="Arial"/>
          <w:b/>
          <w:bCs/>
          <w:iCs/>
          <w:sz w:val="24"/>
          <w:szCs w:val="24"/>
        </w:rPr>
      </w:pPr>
      <w:r w:rsidRPr="00B61FF1">
        <w:rPr>
          <w:rFonts w:ascii="Arial" w:hAnsi="Arial" w:cs="Arial"/>
        </w:rPr>
        <w:t>Reference:  Sections 38530, 38560.5, 38564, 38565, 38570 and 39600, Health and Safety Code.</w:t>
      </w:r>
    </w:p>
    <w:p w14:paraId="241F1572" w14:textId="77777777" w:rsidR="00FE6A4C" w:rsidRPr="00B61FF1" w:rsidRDefault="00FE6A4C" w:rsidP="00FE6A4C">
      <w:pPr>
        <w:spacing w:before="240" w:after="60" w:line="360" w:lineRule="auto"/>
        <w:outlineLvl w:val="1"/>
        <w:rPr>
          <w:rFonts w:ascii="Arial" w:hAnsi="Arial" w:cs="Arial"/>
          <w:b/>
          <w:bCs/>
          <w:iCs/>
          <w:sz w:val="24"/>
          <w:szCs w:val="24"/>
        </w:rPr>
      </w:pPr>
      <w:bookmarkStart w:id="663" w:name="_Toc361659904"/>
      <w:r w:rsidRPr="00B61FF1">
        <w:rPr>
          <w:rFonts w:ascii="Arial" w:hAnsi="Arial" w:cs="Arial"/>
          <w:b/>
          <w:bCs/>
          <w:iCs/>
          <w:sz w:val="24"/>
          <w:szCs w:val="24"/>
        </w:rPr>
        <w:t xml:space="preserve">§ </w:t>
      </w:r>
      <w:bookmarkEnd w:id="653"/>
      <w:bookmarkEnd w:id="654"/>
      <w:r w:rsidRPr="00B61FF1">
        <w:rPr>
          <w:rFonts w:ascii="Arial" w:hAnsi="Arial" w:cs="Arial"/>
          <w:b/>
          <w:bCs/>
          <w:iCs/>
          <w:sz w:val="24"/>
          <w:szCs w:val="24"/>
        </w:rPr>
        <w:t>95983.  Forestry Offset Reversals</w:t>
      </w:r>
      <w:bookmarkEnd w:id="655"/>
      <w:bookmarkEnd w:id="656"/>
      <w:bookmarkEnd w:id="657"/>
      <w:bookmarkEnd w:id="658"/>
      <w:bookmarkEnd w:id="659"/>
      <w:r w:rsidRPr="00B61FF1">
        <w:rPr>
          <w:rFonts w:ascii="Arial" w:hAnsi="Arial" w:cs="Arial"/>
          <w:b/>
          <w:bCs/>
          <w:iCs/>
          <w:sz w:val="24"/>
          <w:szCs w:val="24"/>
        </w:rPr>
        <w:t>.</w:t>
      </w:r>
      <w:bookmarkEnd w:id="660"/>
      <w:bookmarkEnd w:id="661"/>
      <w:bookmarkEnd w:id="662"/>
      <w:bookmarkEnd w:id="663"/>
    </w:p>
    <w:p w14:paraId="57868E1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For forest sequestration projects, a portion of ARB offset credits issued to the forest offset project will be placed by ARB into the Forest Buffer Account.  </w:t>
      </w:r>
    </w:p>
    <w:p w14:paraId="6005830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amount of ARB offset credits that must be placed in the Forest Buffer Account shall be determined as set forth in Compliance Offset Protocol U.S. Forest Projects, October 20, 2011.</w:t>
      </w:r>
    </w:p>
    <w:p w14:paraId="4E80CE14"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ARB offset credits will be transferred to the Forest Buffer Account by ARB at the time of ARB offset credit registration pursuant to section 95982.</w:t>
      </w:r>
    </w:p>
    <w:p w14:paraId="3E6EBEF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a forest offset project is originally submitted through an Offset Project Registry an equal number of registry offset credits must be removed or cancelled by the Offset Project Registry, such that the registry offset credit is no longer available for transaction on the Offset Project Registry system, and issued by ARB for placement in the Forest Buffer Account.</w:t>
      </w:r>
    </w:p>
    <w:p w14:paraId="39A1D510"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The ARB offset credits placed into the Forest Buffer Account must correspond to the Offset Project Data Report year for which the ARB offset credits are issued.</w:t>
      </w:r>
    </w:p>
    <w:p w14:paraId="1077A8E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Unintentional Reversals.  If there has been an unintentional reversal, the Offset Project Operator or Authorized Project Designee must notify ARB and the Offset Project Registry, in writing, of the reversal and provide an explanation for the nature of the unintentional reversal within 30 calendar days of its discovery.</w:t>
      </w:r>
    </w:p>
    <w:p w14:paraId="59972A1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In the case of an unintentional reversal the Offset Project Operator or Authorized Project Designee shall provide in writing to ARB and an Offset Project Registry, if applicable, a verified estimate of current carbon stocks within the offset project boundary within one year of the discovery of the unintentional reversal.</w:t>
      </w:r>
    </w:p>
    <w:p w14:paraId="17377AF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If ARB determines that there has been an unintentional reversal, and ARB offset credits have been issued to the offset project, ARB will retire a quantity of ARB offset credits </w:t>
      </w:r>
      <w:r w:rsidRPr="00B61FF1">
        <w:rPr>
          <w:rFonts w:ascii="Arial" w:hAnsi="Arial" w:cs="Arial"/>
          <w:strike/>
          <w:sz w:val="24"/>
          <w:szCs w:val="24"/>
        </w:rPr>
        <w:t>in the amount of metric tons of CO</w:t>
      </w:r>
      <w:r w:rsidRPr="00B61FF1">
        <w:rPr>
          <w:rFonts w:ascii="Arial" w:hAnsi="Arial" w:cs="Arial"/>
          <w:strike/>
          <w:sz w:val="24"/>
          <w:szCs w:val="24"/>
          <w:vertAlign w:val="subscript"/>
        </w:rPr>
        <w:t>2</w:t>
      </w:r>
      <w:r w:rsidRPr="00B61FF1">
        <w:rPr>
          <w:rFonts w:ascii="Arial" w:hAnsi="Arial" w:cs="Arial"/>
          <w:strike/>
          <w:sz w:val="24"/>
          <w:szCs w:val="24"/>
        </w:rPr>
        <w:t xml:space="preserve">e reversed </w:t>
      </w:r>
      <w:r w:rsidRPr="00B61FF1">
        <w:rPr>
          <w:rFonts w:ascii="Arial" w:hAnsi="Arial" w:cs="Arial"/>
          <w:sz w:val="24"/>
          <w:szCs w:val="24"/>
        </w:rPr>
        <w:t>from the Forest Buffer Account</w:t>
      </w:r>
      <w:r w:rsidRPr="00B61FF1">
        <w:rPr>
          <w:rFonts w:ascii="Arial" w:hAnsi="Arial" w:cs="Arial"/>
          <w:sz w:val="24"/>
          <w:szCs w:val="24"/>
          <w:u w:val="single"/>
        </w:rPr>
        <w:t xml:space="preserve"> according to section 95983(b)(3)(A) or (B), as applicable</w:t>
      </w:r>
      <w:r w:rsidRPr="00B61FF1">
        <w:rPr>
          <w:rFonts w:ascii="Arial" w:hAnsi="Arial" w:cs="Arial"/>
          <w:sz w:val="24"/>
          <w:szCs w:val="24"/>
        </w:rPr>
        <w:t xml:space="preserve">.  </w:t>
      </w:r>
    </w:p>
    <w:p w14:paraId="46754D2B"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If the forest project came into the program directly under a Compliance Offset Protocol and did not transition from an Early Action Offset Program, ARB will retire ARB offset credits in the amount of metric tons CO</w:t>
      </w:r>
      <w:r w:rsidRPr="00B61FF1">
        <w:rPr>
          <w:rFonts w:ascii="Arial" w:hAnsi="Arial" w:cs="Arial"/>
          <w:sz w:val="24"/>
          <w:szCs w:val="24"/>
          <w:u w:val="single"/>
          <w:vertAlign w:val="subscript"/>
        </w:rPr>
        <w:t>2</w:t>
      </w:r>
      <w:r w:rsidRPr="00B61FF1">
        <w:rPr>
          <w:rFonts w:ascii="Arial" w:hAnsi="Arial" w:cs="Arial"/>
          <w:sz w:val="24"/>
          <w:szCs w:val="24"/>
          <w:u w:val="single"/>
        </w:rPr>
        <w:t>e reversed for each Offset Project Data Report year.</w:t>
      </w:r>
    </w:p>
    <w:p w14:paraId="1D1E32A1"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the forest project transitioned into the program originally from an Early Action Offset Program, ARB will retire ARB offset credits from the Forest Buffer Account according to the following equation, calculated for each Offset Project Data Report year, rounded up to the nearest whole metric ton CO</w:t>
      </w:r>
      <w:r w:rsidRPr="00B61FF1">
        <w:rPr>
          <w:rFonts w:ascii="Arial" w:hAnsi="Arial" w:cs="Arial"/>
          <w:sz w:val="24"/>
          <w:szCs w:val="24"/>
          <w:u w:val="single"/>
          <w:vertAlign w:val="subscript"/>
        </w:rPr>
        <w:t>2</w:t>
      </w:r>
      <w:r w:rsidRPr="00B61FF1">
        <w:rPr>
          <w:rFonts w:ascii="Arial" w:hAnsi="Arial" w:cs="Arial"/>
          <w:sz w:val="24"/>
          <w:szCs w:val="24"/>
          <w:u w:val="single"/>
        </w:rPr>
        <w:t>e:</w:t>
      </w:r>
    </w:p>
    <w:p w14:paraId="2A891352" w14:textId="77777777" w:rsidR="00FE6A4C" w:rsidRPr="00B61FF1" w:rsidRDefault="00FE6A4C" w:rsidP="00FE6A4C">
      <w:pPr>
        <w:spacing w:line="360" w:lineRule="auto"/>
        <w:ind w:left="1800" w:hanging="720"/>
        <w:rPr>
          <w:rFonts w:ascii="Arial" w:hAnsi="Arial" w:cs="Arial"/>
          <w:sz w:val="24"/>
          <w:szCs w:val="24"/>
        </w:rPr>
      </w:pPr>
    </w:p>
    <w:p w14:paraId="67B6F98B" w14:textId="77777777" w:rsidR="00FE6A4C" w:rsidRPr="00B61FF1" w:rsidRDefault="00661852" w:rsidP="00FE6A4C">
      <w:pPr>
        <w:spacing w:line="360" w:lineRule="auto"/>
        <w:ind w:left="1080" w:hanging="72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Retire</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Credits</m:t>
                  </m:r>
                </m:sub>
              </m:sSub>
            </m:num>
            <m:den>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Credits</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EAOP</m:t>
                  </m:r>
                </m:e>
                <m:sub>
                  <m:r>
                    <w:rPr>
                      <w:rFonts w:ascii="Cambria Math" w:hAnsi="Cambria Math" w:cs="Arial"/>
                      <w:sz w:val="24"/>
                      <w:szCs w:val="24"/>
                    </w:rPr>
                    <m:t>Credits</m:t>
                  </m:r>
                </m:sub>
              </m:sSub>
            </m:den>
          </m:f>
          <m:r>
            <w:rPr>
              <w:rFonts w:ascii="Cambria Math" w:hAnsi="Cambria Math" w:cs="Arial"/>
              <w:sz w:val="24"/>
              <w:szCs w:val="24"/>
            </w:rPr>
            <m:t>×Reversal</m:t>
          </m:r>
        </m:oMath>
      </m:oMathPara>
    </w:p>
    <w:p w14:paraId="719031A5" w14:textId="36843704" w:rsidR="00FE6A4C" w:rsidRPr="00B61FF1" w:rsidRDefault="00FE6A4C" w:rsidP="00FE6A4C">
      <w:pPr>
        <w:spacing w:line="360" w:lineRule="auto"/>
        <w:ind w:left="1800"/>
        <w:rPr>
          <w:rFonts w:ascii="Arial" w:hAnsi="Arial" w:cs="Arial"/>
          <w:sz w:val="24"/>
          <w:szCs w:val="24"/>
        </w:rPr>
      </w:pPr>
    </w:p>
    <w:p w14:paraId="43CD7336"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Where:</w:t>
      </w:r>
    </w:p>
    <w:p w14:paraId="3BC9CA97"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Retire</w:t>
      </w:r>
      <w:r w:rsidRPr="00B61FF1">
        <w:rPr>
          <w:rFonts w:ascii="Arial" w:hAnsi="Arial" w:cs="Arial"/>
          <w:sz w:val="24"/>
          <w:szCs w:val="24"/>
          <w:u w:val="single"/>
        </w:rPr>
        <w:t>” is the number of ARB offset credits that must be retired from the ARB Forest Buffer Account to compensate for the unintentional reversal for the Offset Project Data Report year;</w:t>
      </w:r>
    </w:p>
    <w:p w14:paraId="476DD2E1" w14:textId="77777777" w:rsidR="00FE6A4C" w:rsidRPr="00B61FF1" w:rsidRDefault="00FE6A4C" w:rsidP="00FE6A4C">
      <w:pPr>
        <w:spacing w:line="360" w:lineRule="auto"/>
        <w:ind w:left="1800"/>
        <w:rPr>
          <w:rFonts w:ascii="Arial" w:hAnsi="Arial" w:cs="Arial"/>
          <w:sz w:val="24"/>
          <w:szCs w:val="24"/>
          <w:u w:val="single"/>
        </w:rPr>
      </w:pPr>
    </w:p>
    <w:p w14:paraId="5B3FDB47"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Credits</w:t>
      </w:r>
      <w:r w:rsidRPr="00B61FF1">
        <w:rPr>
          <w:rFonts w:ascii="Arial" w:hAnsi="Arial" w:cs="Arial"/>
          <w:sz w:val="24"/>
          <w:szCs w:val="24"/>
          <w:u w:val="single"/>
        </w:rPr>
        <w:t xml:space="preserve">” is the total number of ARB offset credits issued to the forest project for the Offset Project Data Report year, including any ARB offset credits that were issued for early action and any that were placed into the Forest Buffer Account for the Offset Project Data Report year;  </w:t>
      </w:r>
    </w:p>
    <w:p w14:paraId="3BCC0EF5" w14:textId="77777777" w:rsidR="00FE6A4C" w:rsidRPr="00B61FF1" w:rsidRDefault="00FE6A4C" w:rsidP="00FE6A4C">
      <w:pPr>
        <w:spacing w:line="360" w:lineRule="auto"/>
        <w:ind w:left="1800"/>
        <w:rPr>
          <w:rFonts w:ascii="Arial" w:hAnsi="Arial" w:cs="Arial"/>
          <w:sz w:val="24"/>
          <w:szCs w:val="24"/>
          <w:u w:val="single"/>
        </w:rPr>
      </w:pPr>
    </w:p>
    <w:p w14:paraId="1E669084"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Credits</w:t>
      </w:r>
      <w:r w:rsidRPr="00B61FF1">
        <w:rPr>
          <w:rFonts w:ascii="Arial" w:hAnsi="Arial" w:cs="Arial"/>
          <w:sz w:val="24"/>
          <w:szCs w:val="24"/>
          <w:u w:val="single"/>
        </w:rPr>
        <w:t>” is the total number of early action offset credits issued to the forest project by the Early Action Offset Program for the Offset Project Data Report year, including any voluntary offset credits placed into the Early Action Offset Program’s buffer account for forest projects that were not transferred to ARB’s Forest Buffer Account, but excluding any early action offset credits that were issued ARB offset credits; and</w:t>
      </w:r>
    </w:p>
    <w:p w14:paraId="5FC2E4AE" w14:textId="77777777" w:rsidR="00FE6A4C" w:rsidRPr="00B61FF1" w:rsidRDefault="00FE6A4C" w:rsidP="00FE6A4C">
      <w:pPr>
        <w:spacing w:line="360" w:lineRule="auto"/>
        <w:ind w:left="1800"/>
        <w:rPr>
          <w:rFonts w:ascii="Arial" w:hAnsi="Arial" w:cs="Arial"/>
          <w:sz w:val="24"/>
          <w:szCs w:val="24"/>
          <w:u w:val="single"/>
        </w:rPr>
      </w:pPr>
    </w:p>
    <w:p w14:paraId="52CBC10D"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“Reversal” is the total metric tons of CO</w:t>
      </w:r>
      <w:r w:rsidRPr="00B61FF1">
        <w:rPr>
          <w:rFonts w:ascii="Arial" w:hAnsi="Arial" w:cs="Arial"/>
          <w:sz w:val="24"/>
          <w:szCs w:val="24"/>
          <w:u w:val="single"/>
          <w:vertAlign w:val="subscript"/>
        </w:rPr>
        <w:t>2</w:t>
      </w:r>
      <w:r w:rsidRPr="00B61FF1">
        <w:rPr>
          <w:rFonts w:ascii="Arial" w:hAnsi="Arial" w:cs="Arial"/>
          <w:sz w:val="24"/>
          <w:szCs w:val="24"/>
          <w:u w:val="single"/>
        </w:rPr>
        <w:t>e reversed for the Offset Project Data Report year.</w:t>
      </w:r>
    </w:p>
    <w:p w14:paraId="6DB9E16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Intentional Reversals.  Requirements for intentional reversals are as follows:</w:t>
      </w:r>
    </w:p>
    <w:p w14:paraId="0F08B91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If an intentional reversal occurs, the Offset Project Operator or Authorized Project Designee shall, within 30 calendar days of the intentional reversal:</w:t>
      </w:r>
    </w:p>
    <w:p w14:paraId="5CB128E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Give notice, in writing, to ARB and the Offset Project Registry, if applicable, of the intentional reversal; and</w:t>
      </w:r>
    </w:p>
    <w:p w14:paraId="137C052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Provide a written description and explanation of the intentional reversal to ARB and the Offset Project Registry, if applicable.  </w:t>
      </w:r>
    </w:p>
    <w:p w14:paraId="17DFA3EF"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rPr>
        <w:t>(2)</w:t>
      </w:r>
      <w:r w:rsidRPr="00B61FF1">
        <w:rPr>
          <w:rFonts w:ascii="Arial" w:hAnsi="Arial" w:cs="Arial"/>
          <w:sz w:val="24"/>
          <w:szCs w:val="24"/>
        </w:rPr>
        <w:tab/>
        <w:t>Within one year of the occurrence of an intentional reversal, the Offset Project Operator or Authorized Project Designee shall submit to ARB and the Offset Project Registry, if applicable, a verified estimate of current carbon stocks within the offset project boundary.</w:t>
      </w:r>
      <w:r w:rsidRPr="00B61FF1">
        <w:rPr>
          <w:rFonts w:ascii="Arial" w:hAnsi="Arial" w:cs="Arial"/>
          <w:sz w:val="24"/>
          <w:szCs w:val="24"/>
          <w:u w:val="single"/>
        </w:rPr>
        <w:t xml:space="preserve">  This verified estimate may be submitted as a separate offset verification services, or incorporated into a chapter of the detailed verification report submitted pursuant to section 95977.1 when offset verification services are conducted.</w:t>
      </w:r>
    </w:p>
    <w:p w14:paraId="79A0C2B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an intentional reversal occurs from a forest offset project, and ARB offset credits have been issued to the offset project, the forest owner must submit to ARB for placement in the Retirement Account a quantity of valid ARB offset credits or other approved compliance instruments pursuant to subarticle 4</w:t>
      </w:r>
      <w:r w:rsidRPr="00B61FF1">
        <w:rPr>
          <w:rFonts w:ascii="Arial" w:hAnsi="Arial" w:cs="Arial"/>
          <w:strike/>
          <w:sz w:val="24"/>
          <w:szCs w:val="24"/>
        </w:rPr>
        <w:t>, in the amount of metric tons of CO</w:t>
      </w:r>
      <w:r w:rsidRPr="00B61FF1">
        <w:rPr>
          <w:rFonts w:ascii="Arial" w:hAnsi="Arial" w:cs="Arial"/>
          <w:strike/>
          <w:sz w:val="24"/>
          <w:szCs w:val="24"/>
          <w:vertAlign w:val="subscript"/>
        </w:rPr>
        <w:t>2</w:t>
      </w:r>
      <w:r w:rsidRPr="00B61FF1">
        <w:rPr>
          <w:rFonts w:ascii="Arial" w:hAnsi="Arial" w:cs="Arial"/>
          <w:strike/>
          <w:sz w:val="24"/>
          <w:szCs w:val="24"/>
        </w:rPr>
        <w:t>e reversed</w:t>
      </w:r>
      <w:r w:rsidRPr="00B61FF1">
        <w:rPr>
          <w:rFonts w:ascii="Arial" w:hAnsi="Arial" w:cs="Arial"/>
          <w:sz w:val="24"/>
          <w:szCs w:val="24"/>
        </w:rPr>
        <w:t xml:space="preserve"> within six months of notification by ARB</w:t>
      </w:r>
      <w:r w:rsidRPr="00B61FF1">
        <w:rPr>
          <w:rFonts w:ascii="Arial" w:hAnsi="Arial" w:cs="Arial"/>
          <w:sz w:val="24"/>
          <w:szCs w:val="24"/>
          <w:u w:val="single"/>
        </w:rPr>
        <w:t xml:space="preserve"> in the amount determined pursuant to sections 95983(c)(3)(A) or (B), as applicable:</w:t>
      </w:r>
      <w:r w:rsidRPr="00B61FF1">
        <w:rPr>
          <w:rFonts w:ascii="Arial" w:hAnsi="Arial" w:cs="Arial"/>
          <w:strike/>
          <w:sz w:val="24"/>
          <w:szCs w:val="24"/>
        </w:rPr>
        <w:t>.</w:t>
      </w:r>
      <w:r w:rsidRPr="00B61FF1">
        <w:rPr>
          <w:rFonts w:ascii="Arial" w:hAnsi="Arial" w:cs="Arial"/>
          <w:sz w:val="24"/>
          <w:szCs w:val="24"/>
        </w:rPr>
        <w:t xml:space="preserve">  </w:t>
      </w:r>
    </w:p>
    <w:p w14:paraId="275ADDD8"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If the forest project came into the program directly under a Compliance Offset Protocol and did not transition from an Early Action Offset Program, the forest owner must turn in valid compliance instruments in the amount of metric tons CO</w:t>
      </w:r>
      <w:r w:rsidRPr="00B61FF1">
        <w:rPr>
          <w:rFonts w:ascii="Arial" w:hAnsi="Arial" w:cs="Arial"/>
          <w:sz w:val="24"/>
          <w:szCs w:val="24"/>
          <w:u w:val="single"/>
          <w:vertAlign w:val="subscript"/>
        </w:rPr>
        <w:t>2</w:t>
      </w:r>
      <w:r w:rsidRPr="00B61FF1">
        <w:rPr>
          <w:rFonts w:ascii="Arial" w:hAnsi="Arial" w:cs="Arial"/>
          <w:sz w:val="24"/>
          <w:szCs w:val="24"/>
          <w:u w:val="single"/>
        </w:rPr>
        <w:t>e reversed for each Offset Project Data Report year.</w:t>
      </w:r>
    </w:p>
    <w:p w14:paraId="63FD6894"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the forest project transitioned into the program originally from an Early Action Offset Program, the forest owner must turn in valid compliance instruments according to the following equation, calculated for each Offset Project Data Report year, rounded up to the nearest metric ton CO</w:t>
      </w:r>
      <w:r w:rsidRPr="00B61FF1">
        <w:rPr>
          <w:rFonts w:ascii="Arial" w:hAnsi="Arial" w:cs="Arial"/>
          <w:sz w:val="24"/>
          <w:szCs w:val="24"/>
          <w:u w:val="single"/>
          <w:vertAlign w:val="subscript"/>
        </w:rPr>
        <w:t>2</w:t>
      </w:r>
      <w:r w:rsidRPr="00B61FF1">
        <w:rPr>
          <w:rFonts w:ascii="Arial" w:hAnsi="Arial" w:cs="Arial"/>
          <w:sz w:val="24"/>
          <w:szCs w:val="24"/>
          <w:u w:val="single"/>
        </w:rPr>
        <w:t>e:</w:t>
      </w:r>
    </w:p>
    <w:p w14:paraId="0BA1F00D" w14:textId="77777777" w:rsidR="00FE6A4C" w:rsidRPr="00B61FF1" w:rsidRDefault="00FE6A4C" w:rsidP="00FE6A4C">
      <w:pPr>
        <w:spacing w:line="360" w:lineRule="auto"/>
        <w:ind w:left="1800" w:hanging="720"/>
        <w:rPr>
          <w:rFonts w:ascii="Arial" w:hAnsi="Arial" w:cs="Arial"/>
          <w:sz w:val="24"/>
          <w:szCs w:val="24"/>
        </w:rPr>
      </w:pPr>
    </w:p>
    <w:p w14:paraId="5E82E6FB" w14:textId="77777777" w:rsidR="00FE6A4C" w:rsidRPr="00B61FF1" w:rsidRDefault="00661852" w:rsidP="00FE6A4C">
      <w:pPr>
        <w:spacing w:line="360" w:lineRule="auto"/>
        <w:ind w:left="1080" w:hanging="72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FO</m:t>
              </m:r>
            </m:e>
            <m:sub>
              <m:r>
                <w:rPr>
                  <w:rFonts w:ascii="Cambria Math" w:hAnsi="Cambria Math" w:cs="Arial"/>
                  <w:sz w:val="24"/>
                  <w:szCs w:val="24"/>
                </w:rPr>
                <m:t>Replace</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Credits</m:t>
                  </m:r>
                </m:sub>
              </m:sSub>
            </m:num>
            <m:den>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Credits</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EAOP</m:t>
                  </m:r>
                </m:e>
                <m:sub>
                  <m:r>
                    <w:rPr>
                      <w:rFonts w:ascii="Cambria Math" w:hAnsi="Cambria Math" w:cs="Arial"/>
                      <w:sz w:val="24"/>
                      <w:szCs w:val="24"/>
                    </w:rPr>
                    <m:t>Credits</m:t>
                  </m:r>
                </m:sub>
              </m:sSub>
            </m:den>
          </m:f>
          <m:r>
            <w:rPr>
              <w:rFonts w:ascii="Cambria Math" w:hAnsi="Cambria Math" w:cs="Arial"/>
              <w:sz w:val="24"/>
              <w:szCs w:val="24"/>
            </w:rPr>
            <m:t>×Reversal</m:t>
          </m:r>
        </m:oMath>
      </m:oMathPara>
    </w:p>
    <w:p w14:paraId="5EE4173B" w14:textId="093F653B" w:rsidR="00FE6A4C" w:rsidRPr="00B61FF1" w:rsidRDefault="00FE6A4C" w:rsidP="00FE6A4C">
      <w:pPr>
        <w:spacing w:line="360" w:lineRule="auto"/>
        <w:ind w:left="1800"/>
        <w:rPr>
          <w:rFonts w:ascii="Arial" w:hAnsi="Arial" w:cs="Arial"/>
          <w:sz w:val="24"/>
          <w:szCs w:val="24"/>
        </w:rPr>
      </w:pPr>
    </w:p>
    <w:p w14:paraId="6F5C096C"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Where:</w:t>
      </w:r>
    </w:p>
    <w:p w14:paraId="38E27004"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“FO</w:t>
      </w:r>
      <w:r w:rsidRPr="00B61FF1">
        <w:rPr>
          <w:rFonts w:ascii="Arial" w:hAnsi="Arial" w:cs="Arial"/>
          <w:sz w:val="24"/>
          <w:szCs w:val="24"/>
          <w:u w:val="single"/>
          <w:vertAlign w:val="subscript"/>
        </w:rPr>
        <w:t>Replace</w:t>
      </w:r>
      <w:r w:rsidRPr="00B61FF1">
        <w:rPr>
          <w:rFonts w:ascii="Arial" w:hAnsi="Arial" w:cs="Arial"/>
          <w:sz w:val="24"/>
          <w:szCs w:val="24"/>
          <w:u w:val="single"/>
        </w:rPr>
        <w:t>” is the number of valid compliance instruments that the forest owner must turn in to compensate for the intentional reversal for the Offset Project Data Report year;</w:t>
      </w:r>
    </w:p>
    <w:p w14:paraId="61F025FD" w14:textId="77777777" w:rsidR="00FE6A4C" w:rsidRPr="00B61FF1" w:rsidRDefault="00FE6A4C" w:rsidP="00FE6A4C">
      <w:pPr>
        <w:spacing w:line="360" w:lineRule="auto"/>
        <w:ind w:left="1800"/>
        <w:rPr>
          <w:rFonts w:ascii="Arial" w:hAnsi="Arial" w:cs="Arial"/>
          <w:sz w:val="24"/>
          <w:szCs w:val="24"/>
          <w:u w:val="single"/>
        </w:rPr>
      </w:pPr>
    </w:p>
    <w:p w14:paraId="54EE4143"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Credits</w:t>
      </w:r>
      <w:r w:rsidRPr="00B61FF1">
        <w:rPr>
          <w:rFonts w:ascii="Arial" w:hAnsi="Arial" w:cs="Arial"/>
          <w:sz w:val="24"/>
          <w:szCs w:val="24"/>
          <w:u w:val="single"/>
        </w:rPr>
        <w:t xml:space="preserve">” is the total number of ARB offset credits issued to the forest project for the Offset Project Data Report year, including any ARB offset credits that were issued for early action and any that were placed into the Forest Buffer Account for the Offset Project Data Report year;  </w:t>
      </w:r>
    </w:p>
    <w:p w14:paraId="534A85D3" w14:textId="77777777" w:rsidR="00FE6A4C" w:rsidRPr="00B61FF1" w:rsidRDefault="00FE6A4C" w:rsidP="00FE6A4C">
      <w:pPr>
        <w:spacing w:line="360" w:lineRule="auto"/>
        <w:ind w:left="1800"/>
        <w:rPr>
          <w:rFonts w:ascii="Arial" w:hAnsi="Arial" w:cs="Arial"/>
          <w:sz w:val="24"/>
          <w:szCs w:val="24"/>
          <w:u w:val="single"/>
        </w:rPr>
      </w:pPr>
    </w:p>
    <w:p w14:paraId="6CFCCB5D"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Credits</w:t>
      </w:r>
      <w:r w:rsidRPr="00B61FF1">
        <w:rPr>
          <w:rFonts w:ascii="Arial" w:hAnsi="Arial" w:cs="Arial"/>
          <w:sz w:val="24"/>
          <w:szCs w:val="24"/>
          <w:u w:val="single"/>
        </w:rPr>
        <w:t>” is the total number of early action offset credits issued to the forest project by the Early Action Offset Program for the Offset Project Data Report year, including any voluntary offset credits placed into the Early Action Offset Program’s buffer account for forest projects that were not transferred to ARB’s Forest Buffer Account, but excluding any early action offset credits that were issued ARB offset credits; and</w:t>
      </w:r>
    </w:p>
    <w:p w14:paraId="39129536" w14:textId="77777777" w:rsidR="00FE6A4C" w:rsidRPr="00B61FF1" w:rsidRDefault="00FE6A4C" w:rsidP="00FE6A4C">
      <w:pPr>
        <w:spacing w:line="360" w:lineRule="auto"/>
        <w:ind w:left="1800"/>
        <w:rPr>
          <w:rFonts w:ascii="Arial" w:hAnsi="Arial" w:cs="Arial"/>
          <w:sz w:val="24"/>
          <w:szCs w:val="24"/>
          <w:u w:val="single"/>
        </w:rPr>
      </w:pPr>
    </w:p>
    <w:p w14:paraId="18F31E26"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“Reversal” is the total metric tons of CO</w:t>
      </w:r>
      <w:r w:rsidRPr="00B61FF1">
        <w:rPr>
          <w:rFonts w:ascii="Arial" w:hAnsi="Arial" w:cs="Arial"/>
          <w:sz w:val="24"/>
          <w:szCs w:val="24"/>
          <w:u w:val="single"/>
          <w:vertAlign w:val="subscript"/>
        </w:rPr>
        <w:t>2</w:t>
      </w:r>
      <w:r w:rsidRPr="00B61FF1">
        <w:rPr>
          <w:rFonts w:ascii="Arial" w:hAnsi="Arial" w:cs="Arial"/>
          <w:sz w:val="24"/>
          <w:szCs w:val="24"/>
          <w:u w:val="single"/>
        </w:rPr>
        <w:t>e reversed for the Offset Project Data Report year.</w:t>
      </w:r>
    </w:p>
    <w:p w14:paraId="41D85000" w14:textId="77777777" w:rsidR="00FE6A4C" w:rsidRPr="00B61FF1" w:rsidRDefault="00FE6A4C" w:rsidP="00FE6A4C">
      <w:pPr>
        <w:spacing w:line="360" w:lineRule="auto"/>
        <w:ind w:left="1800"/>
        <w:rPr>
          <w:rFonts w:ascii="Arial" w:hAnsi="Arial" w:cs="Arial"/>
          <w:sz w:val="24"/>
          <w:szCs w:val="24"/>
          <w:u w:val="single"/>
        </w:rPr>
      </w:pPr>
    </w:p>
    <w:p w14:paraId="2281F2A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A</w:t>
      </w:r>
      <w:r w:rsidRPr="00B61FF1">
        <w:rPr>
          <w:rFonts w:ascii="Arial" w:hAnsi="Arial" w:cs="Arial"/>
          <w:sz w:val="24"/>
          <w:szCs w:val="24"/>
          <w:u w:val="single"/>
        </w:rPr>
        <w:t>C</w:t>
      </w:r>
      <w:r w:rsidRPr="00B61FF1">
        <w:rPr>
          <w:rFonts w:ascii="Arial" w:hAnsi="Arial" w:cs="Arial"/>
          <w:sz w:val="24"/>
          <w:szCs w:val="24"/>
        </w:rPr>
        <w:t>)</w:t>
      </w:r>
      <w:r w:rsidRPr="00B61FF1">
        <w:rPr>
          <w:rFonts w:ascii="Arial" w:hAnsi="Arial" w:cs="Arial"/>
          <w:sz w:val="24"/>
          <w:szCs w:val="24"/>
        </w:rPr>
        <w:tab/>
        <w:t xml:space="preserve">Notification by ARB will occur after the verified estimate of carbon stocks </w:t>
      </w:r>
      <w:r w:rsidRPr="00B61FF1">
        <w:rPr>
          <w:rFonts w:ascii="Arial" w:hAnsi="Arial" w:cs="Arial"/>
          <w:sz w:val="24"/>
          <w:szCs w:val="24"/>
          <w:u w:val="single"/>
        </w:rPr>
        <w:t xml:space="preserve">referred to in section 95983(c)(2) </w:t>
      </w:r>
      <w:r w:rsidRPr="00B61FF1">
        <w:rPr>
          <w:rFonts w:ascii="Arial" w:hAnsi="Arial" w:cs="Arial"/>
          <w:sz w:val="24"/>
          <w:szCs w:val="24"/>
        </w:rPr>
        <w:t xml:space="preserve">has been submitted to ARB, or after one year has elapsed since the occurrence of the reversal if the Offset Project Operator or Authorized Project Designee fails to submit the verified estimate of carbon stocks.  </w:t>
      </w:r>
    </w:p>
    <w:p w14:paraId="6E47DF8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B</w:t>
      </w:r>
      <w:r w:rsidRPr="00B61FF1">
        <w:rPr>
          <w:rFonts w:ascii="Arial" w:hAnsi="Arial" w:cs="Arial"/>
          <w:sz w:val="24"/>
          <w:szCs w:val="24"/>
          <w:u w:val="single"/>
        </w:rPr>
        <w:t>D</w:t>
      </w:r>
      <w:r w:rsidRPr="00B61FF1">
        <w:rPr>
          <w:rFonts w:ascii="Arial" w:hAnsi="Arial" w:cs="Arial"/>
          <w:sz w:val="24"/>
          <w:szCs w:val="24"/>
        </w:rPr>
        <w:t>)</w:t>
      </w:r>
      <w:r w:rsidRPr="00B61FF1">
        <w:rPr>
          <w:rFonts w:ascii="Arial" w:hAnsi="Arial" w:cs="Arial"/>
          <w:sz w:val="24"/>
          <w:szCs w:val="24"/>
        </w:rPr>
        <w:tab/>
        <w:t xml:space="preserve">If the forest owner does not submit valid ARB offset credits or other approved compliance instruments </w:t>
      </w:r>
      <w:r w:rsidRPr="00B61FF1">
        <w:rPr>
          <w:rFonts w:ascii="Arial" w:hAnsi="Arial" w:cs="Arial"/>
          <w:sz w:val="24"/>
          <w:szCs w:val="24"/>
          <w:u w:val="single"/>
        </w:rPr>
        <w:t xml:space="preserve">in the amount required pursuant to sections 95983(c)(3)(A) or (B) </w:t>
      </w:r>
      <w:r w:rsidRPr="00B61FF1">
        <w:rPr>
          <w:rFonts w:ascii="Arial" w:hAnsi="Arial" w:cs="Arial"/>
          <w:sz w:val="24"/>
          <w:szCs w:val="24"/>
        </w:rPr>
        <w:t xml:space="preserve">to ARB within six months of notification by ARB, ARB will retire a quantity of ARB offset credits </w:t>
      </w:r>
      <w:r w:rsidRPr="00B61FF1">
        <w:rPr>
          <w:rFonts w:ascii="Arial" w:hAnsi="Arial" w:cs="Arial"/>
          <w:sz w:val="24"/>
          <w:szCs w:val="24"/>
          <w:u w:val="single"/>
        </w:rPr>
        <w:t>equal to the difference between the number of metric tons of CO</w:t>
      </w:r>
      <w:r w:rsidRPr="00B61FF1">
        <w:rPr>
          <w:rFonts w:ascii="Arial" w:hAnsi="Arial" w:cs="Arial"/>
          <w:sz w:val="24"/>
          <w:szCs w:val="24"/>
          <w:u w:val="single"/>
          <w:vertAlign w:val="subscript"/>
        </w:rPr>
        <w:t>2</w:t>
      </w:r>
      <w:r w:rsidRPr="00B61FF1">
        <w:rPr>
          <w:rFonts w:ascii="Arial" w:hAnsi="Arial" w:cs="Arial"/>
          <w:sz w:val="24"/>
          <w:szCs w:val="24"/>
          <w:u w:val="single"/>
        </w:rPr>
        <w:t>e determined pursuant to sections 95983(c)(3)(A) or (B) and the number of retired approved compliance instruments</w:t>
      </w:r>
      <w:r w:rsidRPr="00B61FF1">
        <w:rPr>
          <w:rFonts w:ascii="Arial" w:hAnsi="Arial" w:cs="Arial"/>
          <w:sz w:val="24"/>
          <w:szCs w:val="24"/>
        </w:rPr>
        <w:t xml:space="preserve"> </w:t>
      </w:r>
      <w:r w:rsidRPr="00B61FF1">
        <w:rPr>
          <w:rFonts w:ascii="Arial" w:hAnsi="Arial" w:cs="Arial"/>
          <w:strike/>
          <w:sz w:val="24"/>
          <w:szCs w:val="24"/>
        </w:rPr>
        <w:t>in the amount of metric tons of CO</w:t>
      </w:r>
      <w:r w:rsidRPr="00B61FF1">
        <w:rPr>
          <w:rFonts w:ascii="Arial" w:hAnsi="Arial" w:cs="Arial"/>
          <w:strike/>
          <w:sz w:val="24"/>
          <w:szCs w:val="24"/>
          <w:vertAlign w:val="subscript"/>
        </w:rPr>
        <w:t>2</w:t>
      </w:r>
      <w:r w:rsidRPr="00B61FF1">
        <w:rPr>
          <w:rFonts w:ascii="Arial" w:hAnsi="Arial" w:cs="Arial"/>
          <w:strike/>
          <w:sz w:val="24"/>
          <w:szCs w:val="24"/>
        </w:rPr>
        <w:t>e reversed</w:t>
      </w:r>
      <w:r w:rsidRPr="00B61FF1">
        <w:rPr>
          <w:rFonts w:ascii="Arial" w:hAnsi="Arial" w:cs="Arial"/>
          <w:sz w:val="24"/>
          <w:szCs w:val="24"/>
        </w:rPr>
        <w:t xml:space="preserve"> from the Forest Buffer Account and the forest owner will be subject to enforcement action and each ARB offset credit retired from the Forest Buffer Account will constitute a separate violation pursuant to section 96014.</w:t>
      </w:r>
    </w:p>
    <w:p w14:paraId="5656B0C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r>
      <w:r w:rsidRPr="00B61FF1">
        <w:rPr>
          <w:rFonts w:ascii="Arial" w:hAnsi="Arial" w:cs="Arial"/>
          <w:sz w:val="24"/>
          <w:szCs w:val="24"/>
          <w:u w:val="single"/>
        </w:rPr>
        <w:t xml:space="preserve">Early Project Terminations.  </w:t>
      </w:r>
      <w:r w:rsidRPr="00B61FF1">
        <w:rPr>
          <w:rFonts w:ascii="Arial" w:hAnsi="Arial" w:cs="Arial"/>
          <w:strike/>
          <w:sz w:val="24"/>
          <w:szCs w:val="24"/>
        </w:rPr>
        <w:t>In the event of an early forest offset project termination ARB will retire from the Forest Buffer Account a quantity of ARB offset credits in the amount calculated pursuant to</w:t>
      </w:r>
      <w:r w:rsidRPr="00B61FF1">
        <w:rPr>
          <w:rFonts w:ascii="Arial" w:hAnsi="Arial" w:cs="Arial"/>
          <w:strike/>
          <w:sz w:val="24"/>
          <w:szCs w:val="24"/>
          <w:u w:val="single"/>
        </w:rPr>
        <w:t xml:space="preserve"> </w:t>
      </w:r>
      <w:r w:rsidRPr="00B61FF1">
        <w:rPr>
          <w:rFonts w:ascii="Arial" w:hAnsi="Arial" w:cs="Arial"/>
          <w:strike/>
          <w:sz w:val="24"/>
          <w:szCs w:val="24"/>
        </w:rPr>
        <w:t>project termination provisions in Compliance Offset Protocol, U.S. Forest Projects, October 20, 2011.  This provision only applies to ARB offset credits that have been issued to the offset project.</w:t>
      </w:r>
      <w:r w:rsidRPr="00B61FF1">
        <w:rPr>
          <w:rFonts w:ascii="Arial" w:hAnsi="Arial" w:cs="Arial"/>
          <w:sz w:val="24"/>
          <w:szCs w:val="24"/>
          <w:u w:val="single"/>
        </w:rPr>
        <w:t>If an early project termination occurs from a forest offset project, and ARB offset credits have been issued to the offset project, the forest owner must submit to ARB for placement in the Retirement Account a quantity of valid ARB offset credits or other approved compliance instruments pursuant to subarticle 4 in the amount determined pursuant to sections 95983(c)(4)(A), (B), or (C), whichever applies, for each Offset Project Data Report year:</w:t>
      </w:r>
      <w:r w:rsidRPr="00B61FF1">
        <w:rPr>
          <w:rFonts w:ascii="Arial" w:hAnsi="Arial" w:cs="Arial"/>
          <w:sz w:val="24"/>
          <w:szCs w:val="24"/>
        </w:rPr>
        <w:t xml:space="preserve">  </w:t>
      </w:r>
    </w:p>
    <w:p w14:paraId="56C8BCCD"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If the forest project came into the program directly under a Compliance Offset Protocol and did not transition from an Early Action Offset Program, the forest owner must turn in valid compliance instruments to cover the number of ARB offset credits issued to the offset project for each Offset Project Data Report year, except for improved forest management projects.  If the project is an improved forest management project, the amount of metric tons CO</w:t>
      </w:r>
      <w:r w:rsidRPr="00B61FF1">
        <w:rPr>
          <w:rFonts w:ascii="Arial" w:hAnsi="Arial" w:cs="Arial"/>
          <w:sz w:val="24"/>
          <w:szCs w:val="24"/>
          <w:u w:val="single"/>
          <w:vertAlign w:val="subscript"/>
        </w:rPr>
        <w:t>2</w:t>
      </w:r>
      <w:r w:rsidRPr="00B61FF1">
        <w:rPr>
          <w:rFonts w:ascii="Arial" w:hAnsi="Arial" w:cs="Arial"/>
          <w:sz w:val="24"/>
          <w:szCs w:val="24"/>
          <w:u w:val="single"/>
        </w:rPr>
        <w:t>e reversed must be multiplied by the compensation rate in the Compliance Offset Protocol, U.S. Forest Projects, October 20, 2011.</w:t>
      </w:r>
    </w:p>
    <w:p w14:paraId="6DFFDDA3"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the forest project transitioned into the program originally from an Early Action Offset Program, the forest owner must turn in valid compliance instruments according to the following equation, calculated for each Offset Project Data Report year, except for improved forest management projects:</w:t>
      </w:r>
    </w:p>
    <w:p w14:paraId="0BE695E7" w14:textId="77777777" w:rsidR="00FE6A4C" w:rsidRPr="00B61FF1" w:rsidRDefault="00FE6A4C" w:rsidP="00FE6A4C">
      <w:pPr>
        <w:spacing w:line="360" w:lineRule="auto"/>
        <w:ind w:left="1800" w:hanging="720"/>
        <w:rPr>
          <w:rFonts w:ascii="Arial" w:hAnsi="Arial" w:cs="Arial"/>
          <w:sz w:val="24"/>
          <w:szCs w:val="24"/>
        </w:rPr>
      </w:pPr>
    </w:p>
    <w:p w14:paraId="281170BF" w14:textId="77777777" w:rsidR="00FE6A4C" w:rsidRPr="00B61FF1" w:rsidRDefault="00661852" w:rsidP="00FE6A4C">
      <w:pPr>
        <w:spacing w:line="360" w:lineRule="auto"/>
        <w:ind w:left="1080" w:hanging="72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FO</m:t>
              </m:r>
            </m:e>
            <m:sub>
              <m:r>
                <w:rPr>
                  <w:rFonts w:ascii="Cambria Math" w:hAnsi="Cambria Math" w:cs="Arial"/>
                  <w:sz w:val="24"/>
                  <w:szCs w:val="24"/>
                </w:rPr>
                <m:t>Replace</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Credits</m:t>
                  </m:r>
                </m:sub>
              </m:sSub>
            </m:num>
            <m:den>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Credits</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EAOP</m:t>
                  </m:r>
                </m:e>
                <m:sub>
                  <m:r>
                    <w:rPr>
                      <w:rFonts w:ascii="Cambria Math" w:hAnsi="Cambria Math" w:cs="Arial"/>
                      <w:sz w:val="24"/>
                      <w:szCs w:val="24"/>
                    </w:rPr>
                    <m:t>Credits</m:t>
                  </m:r>
                </m:sub>
              </m:sSub>
            </m:den>
          </m:f>
          <m:r>
            <w:rPr>
              <w:rFonts w:ascii="Cambria Math" w:hAnsi="Cambria Math" w:cs="Arial"/>
              <w:sz w:val="24"/>
              <w:szCs w:val="24"/>
            </w:rPr>
            <m:t>×Reversal</m:t>
          </m:r>
        </m:oMath>
      </m:oMathPara>
    </w:p>
    <w:p w14:paraId="401F2135" w14:textId="601B3491" w:rsidR="00FE6A4C" w:rsidRPr="00B61FF1" w:rsidRDefault="00FE6A4C" w:rsidP="00FE6A4C">
      <w:pPr>
        <w:spacing w:line="360" w:lineRule="auto"/>
        <w:ind w:left="1800"/>
        <w:rPr>
          <w:rFonts w:ascii="Arial" w:hAnsi="Arial" w:cs="Arial"/>
          <w:sz w:val="24"/>
          <w:szCs w:val="24"/>
        </w:rPr>
      </w:pPr>
    </w:p>
    <w:p w14:paraId="0549D595"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Where:</w:t>
      </w:r>
    </w:p>
    <w:p w14:paraId="7C937B1C"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“FO</w:t>
      </w:r>
      <w:r w:rsidRPr="00B61FF1">
        <w:rPr>
          <w:rFonts w:ascii="Arial" w:hAnsi="Arial" w:cs="Arial"/>
          <w:sz w:val="24"/>
          <w:szCs w:val="24"/>
          <w:u w:val="single"/>
          <w:vertAlign w:val="subscript"/>
        </w:rPr>
        <w:t>Replace</w:t>
      </w:r>
      <w:r w:rsidRPr="00B61FF1">
        <w:rPr>
          <w:rFonts w:ascii="Arial" w:hAnsi="Arial" w:cs="Arial"/>
          <w:sz w:val="24"/>
          <w:szCs w:val="24"/>
          <w:u w:val="single"/>
        </w:rPr>
        <w:t>” is the number of valid compliance instruments that the forest owner must turn in to compensate for the early project termination for each Offset Project Data Report year;</w:t>
      </w:r>
    </w:p>
    <w:p w14:paraId="40E6D40A" w14:textId="77777777" w:rsidR="00FE6A4C" w:rsidRPr="00B61FF1" w:rsidRDefault="00FE6A4C" w:rsidP="00FE6A4C">
      <w:pPr>
        <w:spacing w:line="360" w:lineRule="auto"/>
        <w:ind w:left="1800"/>
        <w:rPr>
          <w:rFonts w:ascii="Arial" w:hAnsi="Arial" w:cs="Arial"/>
          <w:sz w:val="24"/>
          <w:szCs w:val="24"/>
          <w:u w:val="single"/>
        </w:rPr>
      </w:pPr>
    </w:p>
    <w:p w14:paraId="726148A4"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Credits</w:t>
      </w:r>
      <w:r w:rsidRPr="00B61FF1">
        <w:rPr>
          <w:rFonts w:ascii="Arial" w:hAnsi="Arial" w:cs="Arial"/>
          <w:sz w:val="24"/>
          <w:szCs w:val="24"/>
          <w:u w:val="single"/>
        </w:rPr>
        <w:t xml:space="preserve">” is the total number of ARB offset credits issued to the forest project for the Offset Project Data Report year, including any ARB offset credits that were issued for early action and any that were placed into the Forest Buffer Account for the Offset Project Data Report year;  </w:t>
      </w:r>
    </w:p>
    <w:p w14:paraId="192CA096" w14:textId="77777777" w:rsidR="00FE6A4C" w:rsidRPr="00B61FF1" w:rsidRDefault="00FE6A4C" w:rsidP="00FE6A4C">
      <w:pPr>
        <w:spacing w:line="360" w:lineRule="auto"/>
        <w:ind w:left="1800"/>
        <w:rPr>
          <w:rFonts w:ascii="Arial" w:hAnsi="Arial" w:cs="Arial"/>
          <w:sz w:val="24"/>
          <w:szCs w:val="24"/>
          <w:u w:val="single"/>
        </w:rPr>
      </w:pPr>
    </w:p>
    <w:p w14:paraId="60194846"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Credits</w:t>
      </w:r>
      <w:r w:rsidRPr="00B61FF1">
        <w:rPr>
          <w:rFonts w:ascii="Arial" w:hAnsi="Arial" w:cs="Arial"/>
          <w:sz w:val="24"/>
          <w:szCs w:val="24"/>
          <w:u w:val="single"/>
        </w:rPr>
        <w:t>” is the total number of early action offset credits issued to the forest project by the Early Action Offset Program for the Offset Project Data Report year, including any voluntary offset credits placed into the Early Action Offset Program’s buffer account for forest projects that were not transferred to ARB’s Forest Buffer Account, but excluding any early action offset credits that were issued ARB offset credits; and</w:t>
      </w:r>
    </w:p>
    <w:p w14:paraId="44F67E98" w14:textId="77777777" w:rsidR="00FE6A4C" w:rsidRPr="00B61FF1" w:rsidRDefault="00FE6A4C" w:rsidP="00FE6A4C">
      <w:pPr>
        <w:spacing w:line="360" w:lineRule="auto"/>
        <w:ind w:left="1800"/>
        <w:rPr>
          <w:rFonts w:ascii="Arial" w:hAnsi="Arial" w:cs="Arial"/>
          <w:sz w:val="24"/>
          <w:szCs w:val="24"/>
          <w:u w:val="single"/>
        </w:rPr>
      </w:pPr>
    </w:p>
    <w:p w14:paraId="3F636CE7" w14:textId="77777777" w:rsidR="00FE6A4C" w:rsidRPr="00B61FF1" w:rsidRDefault="00FE6A4C" w:rsidP="00FE6A4C">
      <w:pPr>
        <w:spacing w:line="360" w:lineRule="auto"/>
        <w:ind w:left="1800"/>
        <w:rPr>
          <w:rFonts w:ascii="Arial" w:hAnsi="Arial" w:cs="Arial"/>
          <w:sz w:val="24"/>
          <w:szCs w:val="24"/>
          <w:u w:val="single"/>
        </w:rPr>
      </w:pPr>
      <w:r w:rsidRPr="00B61FF1">
        <w:rPr>
          <w:rFonts w:ascii="Arial" w:hAnsi="Arial" w:cs="Arial"/>
          <w:sz w:val="24"/>
          <w:szCs w:val="24"/>
          <w:u w:val="single"/>
        </w:rPr>
        <w:t>“Reversal” is the total metric tons of CO</w:t>
      </w:r>
      <w:r w:rsidRPr="00B61FF1">
        <w:rPr>
          <w:rFonts w:ascii="Arial" w:hAnsi="Arial" w:cs="Arial"/>
          <w:sz w:val="24"/>
          <w:szCs w:val="24"/>
          <w:u w:val="single"/>
          <w:vertAlign w:val="subscript"/>
        </w:rPr>
        <w:t>2</w:t>
      </w:r>
      <w:r w:rsidRPr="00B61FF1">
        <w:rPr>
          <w:rFonts w:ascii="Arial" w:hAnsi="Arial" w:cs="Arial"/>
          <w:sz w:val="24"/>
          <w:szCs w:val="24"/>
          <w:u w:val="single"/>
        </w:rPr>
        <w:t>e reversed for the Offset Project Data Report year.</w:t>
      </w:r>
    </w:p>
    <w:p w14:paraId="6455B208" w14:textId="77777777" w:rsidR="00FE6A4C" w:rsidRPr="00B61FF1" w:rsidRDefault="00FE6A4C" w:rsidP="00FE6A4C">
      <w:pPr>
        <w:spacing w:line="360" w:lineRule="auto"/>
        <w:rPr>
          <w:rFonts w:ascii="Arial" w:hAnsi="Arial" w:cs="Arial"/>
          <w:sz w:val="24"/>
          <w:szCs w:val="24"/>
          <w:u w:val="single"/>
        </w:rPr>
      </w:pPr>
    </w:p>
    <w:p w14:paraId="469BCE1F"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For an improved forest management project that transitioned into the program originally from an Early Action Offset Program, the forest owner must replace ARB offset credits in the amount calculated pursuant to section 95983(c)(4)(B) multiplied by the compensation rate in the Compliance Offset Protocol, U.S. Forest Projects, October 20, 2011.</w:t>
      </w:r>
    </w:p>
    <w:p w14:paraId="623F66B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A</w:t>
      </w:r>
      <w:r w:rsidRPr="00B61FF1">
        <w:rPr>
          <w:rFonts w:ascii="Arial" w:hAnsi="Arial" w:cs="Arial"/>
          <w:sz w:val="24"/>
          <w:szCs w:val="24"/>
          <w:u w:val="single"/>
        </w:rPr>
        <w:t>D</w:t>
      </w:r>
      <w:r w:rsidRPr="00B61FF1">
        <w:rPr>
          <w:rFonts w:ascii="Arial" w:hAnsi="Arial" w:cs="Arial"/>
          <w:sz w:val="24"/>
          <w:szCs w:val="24"/>
        </w:rPr>
        <w:t>)</w:t>
      </w:r>
      <w:r w:rsidRPr="00B61FF1">
        <w:rPr>
          <w:rFonts w:ascii="Arial" w:hAnsi="Arial" w:cs="Arial"/>
          <w:sz w:val="24"/>
          <w:szCs w:val="24"/>
        </w:rPr>
        <w:tab/>
      </w:r>
      <w:r w:rsidRPr="00B61FF1">
        <w:rPr>
          <w:rFonts w:ascii="Arial" w:hAnsi="Arial" w:cs="Arial"/>
          <w:sz w:val="24"/>
          <w:szCs w:val="24"/>
          <w:u w:val="single"/>
        </w:rPr>
        <w:t>ARB will notify the forest owner of how many ARB offset credits must be replaced with valid compliance instruments.</w:t>
      </w:r>
      <w:r w:rsidRPr="00B61FF1">
        <w:rPr>
          <w:rFonts w:ascii="Arial" w:hAnsi="Arial" w:cs="Arial"/>
          <w:strike/>
          <w:sz w:val="24"/>
          <w:szCs w:val="24"/>
        </w:rPr>
        <w:t>ARB will notify the forest owner of retirement within 10 calendar days.</w:t>
      </w:r>
      <w:r w:rsidRPr="00B61FF1">
        <w:rPr>
          <w:rFonts w:ascii="Arial" w:hAnsi="Arial" w:cs="Arial"/>
          <w:sz w:val="24"/>
          <w:szCs w:val="24"/>
        </w:rPr>
        <w:t xml:space="preserve">  </w:t>
      </w:r>
    </w:p>
    <w:p w14:paraId="355419B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B</w:t>
      </w:r>
      <w:r w:rsidRPr="00B61FF1">
        <w:rPr>
          <w:rFonts w:ascii="Arial" w:hAnsi="Arial" w:cs="Arial"/>
          <w:sz w:val="24"/>
          <w:szCs w:val="24"/>
          <w:u w:val="single"/>
        </w:rPr>
        <w:t>E</w:t>
      </w:r>
      <w:r w:rsidRPr="00B61FF1">
        <w:rPr>
          <w:rFonts w:ascii="Arial" w:hAnsi="Arial" w:cs="Arial"/>
          <w:sz w:val="24"/>
          <w:szCs w:val="24"/>
        </w:rPr>
        <w:t>)</w:t>
      </w:r>
      <w:r w:rsidRPr="00B61FF1">
        <w:rPr>
          <w:rFonts w:ascii="Arial" w:hAnsi="Arial" w:cs="Arial"/>
          <w:sz w:val="24"/>
          <w:szCs w:val="24"/>
        </w:rPr>
        <w:tab/>
        <w:t xml:space="preserve">The forest owner must submit to ARB for placement in the Retirement Account a valid ARB offset credit or another approved compliance instrument pursuant to subarticle 4 for each ARB offset credit </w:t>
      </w:r>
      <w:r w:rsidRPr="00B61FF1">
        <w:rPr>
          <w:rFonts w:ascii="Arial" w:hAnsi="Arial" w:cs="Arial"/>
          <w:sz w:val="24"/>
          <w:szCs w:val="24"/>
          <w:u w:val="single"/>
        </w:rPr>
        <w:t>required to be replaced</w:t>
      </w:r>
      <w:r w:rsidRPr="00B61FF1">
        <w:rPr>
          <w:rFonts w:ascii="Arial" w:hAnsi="Arial" w:cs="Arial"/>
          <w:strike/>
          <w:sz w:val="24"/>
          <w:szCs w:val="24"/>
        </w:rPr>
        <w:t xml:space="preserve">retired by ARB from the Forest Buffer Account </w:t>
      </w:r>
      <w:r w:rsidRPr="00B61FF1">
        <w:rPr>
          <w:rFonts w:ascii="Arial" w:hAnsi="Arial" w:cs="Arial"/>
          <w:sz w:val="24"/>
          <w:szCs w:val="24"/>
        </w:rPr>
        <w:t xml:space="preserve">within six months of ARB’s retirement.  </w:t>
      </w:r>
    </w:p>
    <w:p w14:paraId="766BC49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C</w:t>
      </w:r>
      <w:r w:rsidRPr="00B61FF1">
        <w:rPr>
          <w:rFonts w:ascii="Arial" w:hAnsi="Arial" w:cs="Arial"/>
          <w:sz w:val="24"/>
          <w:szCs w:val="24"/>
          <w:u w:val="single"/>
        </w:rPr>
        <w:t>F</w:t>
      </w:r>
      <w:r w:rsidRPr="00B61FF1">
        <w:rPr>
          <w:rFonts w:ascii="Arial" w:hAnsi="Arial" w:cs="Arial"/>
          <w:sz w:val="24"/>
          <w:szCs w:val="24"/>
        </w:rPr>
        <w:t>)</w:t>
      </w:r>
      <w:r w:rsidRPr="00B61FF1">
        <w:rPr>
          <w:rFonts w:ascii="Arial" w:hAnsi="Arial" w:cs="Arial"/>
          <w:sz w:val="24"/>
          <w:szCs w:val="24"/>
        </w:rPr>
        <w:tab/>
        <w:t xml:space="preserve">If the forest owner does not submit valid ARB offset credits or other approved compliance instruments to ARB </w:t>
      </w:r>
      <w:r w:rsidRPr="00B61FF1">
        <w:rPr>
          <w:rFonts w:ascii="Arial" w:hAnsi="Arial" w:cs="Arial"/>
          <w:sz w:val="24"/>
          <w:szCs w:val="24"/>
          <w:u w:val="single"/>
        </w:rPr>
        <w:t xml:space="preserve">in the amount required pursuant to sections 95983(c)(4)(A) or (B) </w:t>
      </w:r>
      <w:r w:rsidRPr="00B61FF1">
        <w:rPr>
          <w:rFonts w:ascii="Arial" w:hAnsi="Arial" w:cs="Arial"/>
          <w:sz w:val="24"/>
          <w:szCs w:val="24"/>
        </w:rPr>
        <w:t xml:space="preserve">within six months of ARB’s retirement, </w:t>
      </w:r>
      <w:r w:rsidRPr="00B61FF1">
        <w:rPr>
          <w:rFonts w:ascii="Arial" w:hAnsi="Arial" w:cs="Arial"/>
          <w:sz w:val="24"/>
          <w:szCs w:val="24"/>
          <w:u w:val="single"/>
        </w:rPr>
        <w:t>ARB will retire a quantity of ARB offset credits equal to the difference between the number of metric tons of CO</w:t>
      </w:r>
      <w:r w:rsidRPr="00B61FF1">
        <w:rPr>
          <w:rFonts w:ascii="Arial" w:hAnsi="Arial" w:cs="Arial"/>
          <w:sz w:val="24"/>
          <w:szCs w:val="24"/>
          <w:u w:val="single"/>
          <w:vertAlign w:val="subscript"/>
        </w:rPr>
        <w:t>2</w:t>
      </w:r>
      <w:r w:rsidRPr="00B61FF1">
        <w:rPr>
          <w:rFonts w:ascii="Arial" w:hAnsi="Arial" w:cs="Arial"/>
          <w:sz w:val="24"/>
          <w:szCs w:val="24"/>
          <w:u w:val="single"/>
        </w:rPr>
        <w:t>e determined pursuant to sections 95983(c)(4)(A) or (B) and the number of retired approved compliance instruments from the Forest Buffer Account and</w:t>
      </w:r>
      <w:r w:rsidRPr="00B61FF1">
        <w:rPr>
          <w:rFonts w:ascii="Arial" w:hAnsi="Arial" w:cs="Arial"/>
          <w:sz w:val="24"/>
          <w:szCs w:val="24"/>
        </w:rPr>
        <w:t xml:space="preserve"> they will be subject to enforcement action and each ARB offset credit retired from the Forest Buffer Account will constitute a separate violation pursuant to section 96014.</w:t>
      </w:r>
    </w:p>
    <w:p w14:paraId="1F61D4C3"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Disposition of Forest Sequestration Projects After a Reversal.  If a reversal lowers the forest offset project’s actual standing live carbon stocks below its project baseline standing live carbon stocks, the forest offset project will be terminated by ARB or an Offset Project Registry. </w:t>
      </w:r>
    </w:p>
    <w:p w14:paraId="072BF2B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If the forest offset project is terminated due to an unintentional reversal, ARB will retire from the Forest Buffer Account a quantity of ARB offset credits equal to the total number of ARB offset credits issued pursuant to section 95981, and where applicable, all </w:t>
      </w:r>
      <w:r w:rsidRPr="00B61FF1">
        <w:rPr>
          <w:rFonts w:ascii="Arial" w:hAnsi="Arial" w:cs="Arial"/>
          <w:strike/>
          <w:sz w:val="24"/>
          <w:szCs w:val="24"/>
        </w:rPr>
        <w:t>early action</w:t>
      </w:r>
      <w:r w:rsidRPr="00B61FF1">
        <w:rPr>
          <w:rFonts w:ascii="Arial" w:hAnsi="Arial" w:cs="Arial"/>
          <w:sz w:val="24"/>
          <w:szCs w:val="24"/>
          <w:u w:val="single"/>
        </w:rPr>
        <w:t>ARB</w:t>
      </w:r>
      <w:r w:rsidRPr="00B61FF1">
        <w:rPr>
          <w:rFonts w:ascii="Arial" w:hAnsi="Arial" w:cs="Arial"/>
          <w:sz w:val="24"/>
          <w:szCs w:val="24"/>
        </w:rPr>
        <w:t xml:space="preserve"> offset credits issued to the offset project pursuant to section 95990(i) </w:t>
      </w:r>
      <w:r w:rsidRPr="00B61FF1">
        <w:rPr>
          <w:rFonts w:ascii="Arial" w:hAnsi="Arial" w:cs="Arial"/>
          <w:sz w:val="24"/>
          <w:szCs w:val="24"/>
          <w:u w:val="single"/>
        </w:rPr>
        <w:t xml:space="preserve">for early action, </w:t>
      </w:r>
      <w:r w:rsidRPr="00B61FF1">
        <w:rPr>
          <w:rFonts w:ascii="Arial" w:hAnsi="Arial" w:cs="Arial"/>
          <w:sz w:val="24"/>
          <w:szCs w:val="24"/>
        </w:rPr>
        <w:t>over the preceding 100 years.</w:t>
      </w:r>
    </w:p>
    <w:p w14:paraId="3C0B20F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If the forest offset project is terminated due to an unintentional reversal, another offset project may be initiated and submitted to ARB or an Offset Project Registry for listing within the same offset project boundary. </w:t>
      </w:r>
    </w:p>
    <w:p w14:paraId="11FC45F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the forest offset project has experienced an unintentional reversal and its actual standing live carbon stocks are still above the approved baseline levels, it may continue without termination as long as the unintentional reversal has been compensated by the Forest Buffer Account.  The Offset Project Operator or Authorized Project Designee must continue contributing to the Forest Buffer Account in future years as quantified in section 95983(a)(1).</w:t>
      </w:r>
    </w:p>
    <w:p w14:paraId="16153BA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If the forest offset project is terminated due to any reason except an unintentional reversal, new offset projects may not be initiated within the same offset project boundary, unless otherwise specified in a Compliance Offset Protocol.</w:t>
      </w:r>
    </w:p>
    <w:p w14:paraId="479F03A2" w14:textId="77777777" w:rsidR="00FE6A4C" w:rsidRPr="00B61FF1" w:rsidRDefault="00FE6A4C" w:rsidP="00FE6A4C">
      <w:pPr>
        <w:spacing w:line="360" w:lineRule="auto"/>
        <w:ind w:left="1080" w:hanging="720"/>
        <w:rPr>
          <w:rFonts w:ascii="Arial" w:hAnsi="Arial" w:cs="Arial"/>
          <w:strike/>
          <w:sz w:val="24"/>
          <w:szCs w:val="24"/>
        </w:rPr>
      </w:pPr>
    </w:p>
    <w:p w14:paraId="3A5B4900" w14:textId="77777777" w:rsidR="00FE6A4C" w:rsidRPr="00B61FF1" w:rsidRDefault="00FE6A4C" w:rsidP="00FE6A4C">
      <w:pPr>
        <w:rPr>
          <w:rFonts w:ascii="Arial" w:hAnsi="Arial" w:cs="Arial"/>
        </w:rPr>
      </w:pPr>
      <w:bookmarkStart w:id="664" w:name="_Toc268526253"/>
      <w:bookmarkStart w:id="665" w:name="_Toc269206273"/>
      <w:bookmarkStart w:id="666" w:name="_Toc269798114"/>
      <w:bookmarkStart w:id="667" w:name="_Toc275870261"/>
      <w:bookmarkStart w:id="668" w:name="_Toc291245709"/>
      <w:bookmarkStart w:id="669" w:name="_Toc294275156"/>
      <w:bookmarkStart w:id="670" w:name="_Toc294863588"/>
      <w:bookmarkStart w:id="671" w:name="_Toc299094988"/>
      <w:bookmarkStart w:id="672" w:name="_Toc299095105"/>
      <w:bookmarkStart w:id="673" w:name="_Toc302746842"/>
      <w:r w:rsidRPr="00B61FF1">
        <w:rPr>
          <w:rFonts w:ascii="Arial" w:hAnsi="Arial" w:cs="Arial"/>
        </w:rPr>
        <w:t>NOTE:  Authority cited:  Sections 38510, 38560, 38562, 38570, 38571, 38580, 39600 and 39601, Health and Safety Code.</w:t>
      </w:r>
    </w:p>
    <w:p w14:paraId="5B0C5519"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03298098" w14:textId="77777777" w:rsidR="00FE6A4C" w:rsidRPr="00B61FF1" w:rsidRDefault="00FE6A4C" w:rsidP="00FE6A4C">
      <w:pPr>
        <w:rPr>
          <w:rFonts w:ascii="Arial" w:hAnsi="Arial" w:cs="Arial"/>
          <w:b/>
          <w:bCs/>
          <w:iCs/>
          <w:sz w:val="24"/>
          <w:szCs w:val="24"/>
          <w:u w:val="double"/>
        </w:rPr>
      </w:pPr>
    </w:p>
    <w:p w14:paraId="6A36F8E5" w14:textId="77777777" w:rsidR="00FE6A4C" w:rsidRPr="00B61FF1" w:rsidRDefault="00FE6A4C" w:rsidP="00FE6A4C">
      <w:pPr>
        <w:spacing w:before="240" w:after="60" w:line="360" w:lineRule="auto"/>
        <w:outlineLvl w:val="1"/>
        <w:rPr>
          <w:rFonts w:ascii="Arial" w:hAnsi="Arial" w:cs="Arial"/>
          <w:b/>
          <w:bCs/>
          <w:iCs/>
          <w:sz w:val="24"/>
          <w:szCs w:val="24"/>
        </w:rPr>
      </w:pPr>
      <w:bookmarkStart w:id="674" w:name="_Toc361659905"/>
      <w:r w:rsidRPr="00B61FF1">
        <w:rPr>
          <w:rFonts w:ascii="Arial" w:hAnsi="Arial" w:cs="Arial"/>
          <w:b/>
          <w:bCs/>
          <w:iCs/>
          <w:sz w:val="24"/>
          <w:szCs w:val="24"/>
        </w:rPr>
        <w:t>§ 95984.  Ownership and Transferability of ARB Offset Credits</w:t>
      </w:r>
      <w:bookmarkEnd w:id="651"/>
      <w:bookmarkEnd w:id="652"/>
      <w:bookmarkEnd w:id="664"/>
      <w:bookmarkEnd w:id="665"/>
      <w:bookmarkEnd w:id="666"/>
      <w:bookmarkEnd w:id="667"/>
      <w:bookmarkEnd w:id="668"/>
      <w:bookmarkEnd w:id="669"/>
      <w:bookmarkEnd w:id="670"/>
      <w:bookmarkEnd w:id="671"/>
      <w:bookmarkEnd w:id="672"/>
      <w:bookmarkEnd w:id="673"/>
      <w:r w:rsidRPr="00B61FF1">
        <w:rPr>
          <w:rFonts w:ascii="Arial" w:hAnsi="Arial" w:cs="Arial"/>
          <w:b/>
          <w:bCs/>
          <w:iCs/>
          <w:sz w:val="24"/>
          <w:szCs w:val="24"/>
        </w:rPr>
        <w:t>.</w:t>
      </w:r>
      <w:bookmarkEnd w:id="674"/>
    </w:p>
    <w:p w14:paraId="59F7537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Initial ownership of an ARB offset credit will be with the registered Offset Project Operator, Authorized Project Designee, or another third party as provided in section </w:t>
      </w:r>
      <w:r w:rsidRPr="00B61FF1">
        <w:rPr>
          <w:rFonts w:ascii="Arial" w:hAnsi="Arial" w:cs="Arial"/>
          <w:sz w:val="24"/>
          <w:szCs w:val="24"/>
          <w:u w:val="single"/>
        </w:rPr>
        <w:t>95981(b)</w:t>
      </w:r>
      <w:r w:rsidRPr="00B61FF1">
        <w:rPr>
          <w:rFonts w:ascii="Arial" w:hAnsi="Arial" w:cs="Arial"/>
          <w:strike/>
          <w:sz w:val="24"/>
          <w:szCs w:val="24"/>
        </w:rPr>
        <w:t>95974(a)(1)</w:t>
      </w:r>
      <w:r w:rsidRPr="00B61FF1">
        <w:rPr>
          <w:rFonts w:ascii="Arial" w:hAnsi="Arial" w:cs="Arial"/>
          <w:sz w:val="24"/>
          <w:szCs w:val="24"/>
        </w:rPr>
        <w:t xml:space="preserve"> </w:t>
      </w:r>
      <w:r w:rsidRPr="00B61FF1">
        <w:rPr>
          <w:rFonts w:ascii="Arial" w:hAnsi="Arial" w:cs="Arial"/>
          <w:sz w:val="24"/>
          <w:szCs w:val="24"/>
          <w:u w:val="single"/>
        </w:rPr>
        <w:t>by the Offset Project Operator to receive ARB offset credits</w:t>
      </w:r>
      <w:r w:rsidRPr="00B61FF1">
        <w:rPr>
          <w:rFonts w:ascii="Arial" w:hAnsi="Arial" w:cs="Arial"/>
          <w:sz w:val="24"/>
          <w:szCs w:val="24"/>
        </w:rPr>
        <w:t xml:space="preserve">, unless otherwise required by section 95983.  An ARB offset credit may be sold, traded, or transferred, unless: </w:t>
      </w:r>
    </w:p>
    <w:p w14:paraId="0048F64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It has been retired, surrendered for compliance, or used to meet any GHG mitigation requirements in any voluntary or regulatory program;</w:t>
      </w:r>
    </w:p>
    <w:p w14:paraId="0A1C2483" w14:textId="77777777" w:rsidR="00FE6A4C" w:rsidRPr="00B61FF1" w:rsidRDefault="00FE6A4C" w:rsidP="00FE6A4C">
      <w:pPr>
        <w:tabs>
          <w:tab w:val="left" w:pos="1080"/>
        </w:tabs>
        <w:spacing w:line="360" w:lineRule="auto"/>
        <w:ind w:left="36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It resides in the Forest Buffer Account pursuant to section 95983; or</w:t>
      </w:r>
    </w:p>
    <w:p w14:paraId="74B16398" w14:textId="77777777" w:rsidR="00FE6A4C" w:rsidRPr="00B61FF1" w:rsidRDefault="00FE6A4C" w:rsidP="00FE6A4C">
      <w:pPr>
        <w:tabs>
          <w:tab w:val="left" w:pos="1080"/>
        </w:tabs>
        <w:spacing w:line="360" w:lineRule="auto"/>
        <w:ind w:left="36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It has been invalidated pursuant to section 95985.</w:t>
      </w:r>
    </w:p>
    <w:p w14:paraId="5446BAAA" w14:textId="77777777" w:rsidR="00FE6A4C" w:rsidRPr="00B61FF1" w:rsidRDefault="00FE6A4C" w:rsidP="00FE6A4C">
      <w:pPr>
        <w:spacing w:line="360" w:lineRule="auto"/>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An ARB offset credit may only be used: </w:t>
      </w:r>
    </w:p>
    <w:p w14:paraId="3873F17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To meet a compliance obligation under this article, except if used by a covered entity in a program approved for linkage pursuant to subarticle 12; or</w:t>
      </w:r>
    </w:p>
    <w:p w14:paraId="53021BD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By a Voluntarily Associated Entity for purposes of voluntary retirement.</w:t>
      </w:r>
    </w:p>
    <w:p w14:paraId="12F221BB" w14:textId="77777777" w:rsidR="00FE6A4C" w:rsidRPr="00B61FF1" w:rsidRDefault="00FE6A4C" w:rsidP="00FE6A4C">
      <w:pPr>
        <w:spacing w:line="360" w:lineRule="auto"/>
        <w:ind w:left="1080" w:hanging="720"/>
        <w:rPr>
          <w:rFonts w:ascii="Arial" w:hAnsi="Arial" w:cs="Arial"/>
          <w:sz w:val="24"/>
          <w:szCs w:val="24"/>
        </w:rPr>
      </w:pPr>
    </w:p>
    <w:p w14:paraId="6E04BF9F"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47383BE9" w14:textId="77777777" w:rsidR="00FE6A4C" w:rsidRPr="00B61FF1" w:rsidRDefault="00FE6A4C" w:rsidP="00FE6A4C">
      <w:pPr>
        <w:rPr>
          <w:rFonts w:ascii="Arial" w:hAnsi="Arial" w:cs="Arial"/>
          <w:b/>
          <w:bCs/>
          <w:iCs/>
          <w:sz w:val="24"/>
          <w:szCs w:val="24"/>
        </w:rPr>
      </w:pPr>
      <w:r w:rsidRPr="00B61FF1">
        <w:rPr>
          <w:rFonts w:ascii="Arial" w:hAnsi="Arial" w:cs="Arial"/>
        </w:rPr>
        <w:t>Reference:  Sections 38530, 38560.5, 38564, 38565, 38570 and 39600, Health and Safety Code.</w:t>
      </w:r>
    </w:p>
    <w:p w14:paraId="535F2AF1" w14:textId="77777777" w:rsidR="00FE6A4C" w:rsidRPr="00B61FF1" w:rsidRDefault="00FE6A4C" w:rsidP="00FE6A4C">
      <w:pPr>
        <w:spacing w:line="360" w:lineRule="auto"/>
        <w:ind w:left="1080" w:hanging="720"/>
        <w:rPr>
          <w:rFonts w:ascii="Arial" w:hAnsi="Arial" w:cs="Arial"/>
          <w:sz w:val="24"/>
          <w:szCs w:val="24"/>
          <w:u w:val="single"/>
        </w:rPr>
      </w:pPr>
    </w:p>
    <w:p w14:paraId="04FF3C77" w14:textId="77777777" w:rsidR="00FE6A4C" w:rsidRPr="00B61FF1" w:rsidRDefault="00FE6A4C" w:rsidP="00C12A41">
      <w:pPr>
        <w:pStyle w:val="Heading2"/>
      </w:pPr>
      <w:bookmarkStart w:id="675" w:name="_Toc258822518"/>
      <w:bookmarkStart w:id="676" w:name="_Toc266690282"/>
      <w:bookmarkStart w:id="677" w:name="_Toc268526254"/>
      <w:bookmarkStart w:id="678" w:name="_Toc269206274"/>
      <w:bookmarkStart w:id="679" w:name="_Toc269798115"/>
      <w:bookmarkStart w:id="680" w:name="_Toc275870262"/>
      <w:bookmarkStart w:id="681" w:name="_Toc291245710"/>
      <w:bookmarkStart w:id="682" w:name="_Toc294275157"/>
      <w:bookmarkStart w:id="683" w:name="_Toc294863589"/>
      <w:bookmarkStart w:id="684" w:name="_Toc299094989"/>
      <w:bookmarkStart w:id="685" w:name="_Toc299095106"/>
      <w:bookmarkStart w:id="686" w:name="_Toc302746843"/>
      <w:bookmarkStart w:id="687" w:name="_Toc361659906"/>
      <w:r w:rsidRPr="00B61FF1">
        <w:t xml:space="preserve">§ 95985.  </w:t>
      </w:r>
      <w:bookmarkEnd w:id="675"/>
      <w:bookmarkEnd w:id="676"/>
      <w:bookmarkEnd w:id="677"/>
      <w:bookmarkEnd w:id="678"/>
      <w:bookmarkEnd w:id="679"/>
      <w:bookmarkEnd w:id="680"/>
      <w:bookmarkEnd w:id="681"/>
      <w:r w:rsidRPr="00B61FF1">
        <w:t>Invalidation of ARB Offset Credits</w:t>
      </w:r>
      <w:bookmarkEnd w:id="682"/>
      <w:bookmarkEnd w:id="683"/>
      <w:r w:rsidRPr="00B61FF1">
        <w:t>.</w:t>
      </w:r>
      <w:bookmarkEnd w:id="684"/>
      <w:bookmarkEnd w:id="685"/>
      <w:bookmarkEnd w:id="686"/>
      <w:bookmarkEnd w:id="687"/>
    </w:p>
    <w:p w14:paraId="4EBF5DB2"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An ARB offset credit issued under this article will remain valid unless invalidated pursuant to this section.</w:t>
      </w:r>
    </w:p>
    <w:p w14:paraId="1E7A65E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Timeframe for Invalidation.  ARB may invalidate an ARB offset credit pursuant to this section within the following timeframe if a determination is made pursuant to section 95985(f):</w:t>
      </w:r>
    </w:p>
    <w:p w14:paraId="58A452DE" w14:textId="7BB4720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Within eight years of issuance of an ARB offset credit</w:t>
      </w:r>
      <w:r w:rsidRPr="00B61FF1">
        <w:rPr>
          <w:rFonts w:ascii="Arial" w:hAnsi="Arial" w:cs="Arial"/>
          <w:sz w:val="24"/>
          <w:szCs w:val="24"/>
          <w:u w:val="single"/>
        </w:rPr>
        <w:t xml:space="preserve">, if the ARB </w:t>
      </w:r>
      <w:r w:rsidR="00203780" w:rsidRPr="00B61FF1">
        <w:rPr>
          <w:rFonts w:ascii="Arial" w:hAnsi="Arial" w:cs="Arial"/>
          <w:sz w:val="24"/>
          <w:szCs w:val="24"/>
          <w:u w:val="single"/>
        </w:rPr>
        <w:t xml:space="preserve">offset credit is issued </w:t>
      </w:r>
      <w:r w:rsidRPr="00B61FF1">
        <w:rPr>
          <w:rFonts w:ascii="Arial" w:hAnsi="Arial" w:cs="Arial"/>
          <w:sz w:val="24"/>
          <w:szCs w:val="24"/>
          <w:u w:val="single"/>
        </w:rPr>
        <w:t>for early action pursuant to section 95990(h), or within eight years of the date that corresponds to the end of the Reporting Period for which the ARB offset credit is issued, if the ARB offset credit is issued pursuant to section 95981.1,</w:t>
      </w:r>
      <w:r w:rsidRPr="00B61FF1">
        <w:rPr>
          <w:rFonts w:ascii="Arial" w:hAnsi="Arial" w:cs="Arial"/>
          <w:sz w:val="24"/>
          <w:szCs w:val="24"/>
        </w:rPr>
        <w:t xml:space="preserve"> unless one of the following requirements is met; </w:t>
      </w:r>
    </w:p>
    <w:p w14:paraId="330BE378"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rPr>
        <w:t>(A)</w:t>
      </w:r>
      <w:r w:rsidRPr="00B61FF1">
        <w:rPr>
          <w:rFonts w:ascii="Arial" w:hAnsi="Arial" w:cs="Arial"/>
          <w:sz w:val="24"/>
          <w:szCs w:val="24"/>
        </w:rPr>
        <w:tab/>
      </w:r>
      <w:r w:rsidRPr="00B61FF1">
        <w:rPr>
          <w:rFonts w:ascii="Arial" w:hAnsi="Arial" w:cs="Arial"/>
          <w:sz w:val="24"/>
          <w:szCs w:val="24"/>
          <w:u w:val="single"/>
        </w:rPr>
        <w:t>The Offset Project Operator or Authorized Project Designee for a</w:t>
      </w:r>
      <w:r w:rsidRPr="00B61FF1">
        <w:rPr>
          <w:rFonts w:ascii="Arial" w:hAnsi="Arial" w:cs="Arial"/>
          <w:strike/>
          <w:sz w:val="24"/>
          <w:szCs w:val="24"/>
        </w:rPr>
        <w:t>A</w:t>
      </w:r>
      <w:r w:rsidRPr="00B61FF1">
        <w:rPr>
          <w:rFonts w:ascii="Arial" w:hAnsi="Arial" w:cs="Arial"/>
          <w:sz w:val="24"/>
          <w:szCs w:val="24"/>
        </w:rPr>
        <w:t xml:space="preserve">n offset project developed under Compliance Offset Protocol Ozone Depleting Substances Projects, October 20, 2011, </w:t>
      </w:r>
      <w:r w:rsidRPr="00B61FF1">
        <w:rPr>
          <w:rFonts w:ascii="Arial" w:hAnsi="Arial" w:cs="Arial"/>
          <w:strike/>
          <w:sz w:val="24"/>
          <w:szCs w:val="24"/>
        </w:rPr>
        <w:t>may only be subject to invalidation within three years of issuance of an ARB offset credit if the Offset Project Data Report is re-verified pursuant to sections 95977 through 95978 by a different offset verification body within those three years</w:t>
      </w:r>
      <w:r w:rsidRPr="00B61FF1">
        <w:rPr>
          <w:rFonts w:ascii="Arial" w:hAnsi="Arial" w:cs="Arial"/>
          <w:sz w:val="24"/>
          <w:szCs w:val="24"/>
          <w:u w:val="single"/>
        </w:rPr>
        <w:t>or an early action quantification methodology approved pursuant to section 95990(c)(5) for the same project type, does the following:</w:t>
      </w:r>
    </w:p>
    <w:p w14:paraId="6A223DBF"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 xml:space="preserve">Has a different verification body that meets the requirements for conflict of interest conduct a second regulatory verification pursuant to sections 95977 through 95978 for the same Offset Project Data Report; and </w:t>
      </w:r>
    </w:p>
    <w:p w14:paraId="3EA7A958"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 xml:space="preserve">The second regulatory verification must occur within three years of the issuance of the ARB offset credits, and the Offset Project Operator or Authorized Project Designee must receive a Positive or Qualified Positive Offset Verification Statement from the new verification body for the same Offset Project Data Report.  </w:t>
      </w:r>
    </w:p>
    <w:p w14:paraId="41187075"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If the offset project is listed with an Offset Project Registry, the detailed verification report and Offset Verification Statement for the second regulatory verification must be submitted to the Offset Project Registry.  </w:t>
      </w:r>
    </w:p>
    <w:p w14:paraId="619F0A06"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 xml:space="preserve">The Offset Project Registry must review the offset verification documents pursuant to section 95987(e)(1)(E) and submit a report to ARB that includes the details and findings of the Offset Project Registry’s review.  </w:t>
      </w:r>
    </w:p>
    <w:p w14:paraId="2D5079FF"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 xml:space="preserve">The Offset Project Registry has 45 calendar days to review the offset verification information once it is received from the verification body.  </w:t>
      </w:r>
    </w:p>
    <w:p w14:paraId="0365021C"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The Offset Project Registry has an additional 15 working days to submit its report to ARB.</w:t>
      </w:r>
    </w:p>
    <w:p w14:paraId="550E90D0"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If the requirements in sections 95985(b)(1)(A)(1.) and (2.) are met, the ARB offset credits issued under the Offset Project Data Report may only be subject to invalidation according to the following timeframes:</w:t>
      </w:r>
    </w:p>
    <w:p w14:paraId="2AD64E96"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Within three years of the date that corresponds to the end of the Reporting Period for which the ARB offset credits are issued, if the ARB offset credits are issued pursuant to section 95981; and </w:t>
      </w:r>
    </w:p>
    <w:p w14:paraId="7A918DDB"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Within three years of the date for which ARB offset credits are issued, if the ARB offset credits are issued pursuant to section 95990(h)</w:t>
      </w:r>
      <w:r w:rsidRPr="00B61FF1">
        <w:rPr>
          <w:rFonts w:ascii="Arial" w:hAnsi="Arial" w:cs="Arial"/>
          <w:sz w:val="24"/>
          <w:szCs w:val="24"/>
        </w:rPr>
        <w:t>; or</w:t>
      </w:r>
    </w:p>
    <w:p w14:paraId="3CFC01B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r>
      <w:r w:rsidRPr="00B61FF1">
        <w:rPr>
          <w:rFonts w:ascii="Arial" w:hAnsi="Arial" w:cs="Arial"/>
          <w:sz w:val="24"/>
          <w:szCs w:val="24"/>
          <w:u w:val="single"/>
        </w:rPr>
        <w:t>The Offset Project Operator or Authorized Project Designee for a</w:t>
      </w:r>
      <w:r w:rsidRPr="00B61FF1">
        <w:rPr>
          <w:rFonts w:ascii="Arial" w:hAnsi="Arial" w:cs="Arial"/>
          <w:strike/>
          <w:sz w:val="24"/>
          <w:szCs w:val="24"/>
        </w:rPr>
        <w:t>A</w:t>
      </w:r>
      <w:r w:rsidRPr="00B61FF1">
        <w:rPr>
          <w:rFonts w:ascii="Arial" w:hAnsi="Arial" w:cs="Arial"/>
          <w:sz w:val="24"/>
          <w:szCs w:val="24"/>
        </w:rPr>
        <w:t xml:space="preserve">n offset project developed under </w:t>
      </w:r>
      <w:r w:rsidRPr="00B61FF1">
        <w:rPr>
          <w:rFonts w:ascii="Arial" w:hAnsi="Arial" w:cs="Arial"/>
          <w:sz w:val="24"/>
          <w:szCs w:val="24"/>
          <w:u w:val="single"/>
        </w:rPr>
        <w:t xml:space="preserve">one of </w:t>
      </w:r>
      <w:r w:rsidRPr="00B61FF1">
        <w:rPr>
          <w:rFonts w:ascii="Arial" w:hAnsi="Arial" w:cs="Arial"/>
          <w:sz w:val="24"/>
          <w:szCs w:val="24"/>
        </w:rPr>
        <w:t xml:space="preserve">the protocols listed </w:t>
      </w:r>
      <w:r w:rsidRPr="00B61FF1">
        <w:rPr>
          <w:rFonts w:ascii="Arial" w:hAnsi="Arial" w:cs="Arial"/>
          <w:strike/>
          <w:sz w:val="24"/>
          <w:szCs w:val="24"/>
        </w:rPr>
        <w:t>below</w:t>
      </w:r>
      <w:r w:rsidRPr="00B61FF1">
        <w:rPr>
          <w:rFonts w:ascii="Arial" w:hAnsi="Arial" w:cs="Arial"/>
          <w:sz w:val="24"/>
          <w:szCs w:val="24"/>
          <w:u w:val="single"/>
        </w:rPr>
        <w:t>in section 95985(b)(1)(B)(5.) does the following:</w:t>
      </w:r>
      <w:r w:rsidRPr="00B61FF1">
        <w:rPr>
          <w:rFonts w:ascii="Arial" w:hAnsi="Arial" w:cs="Arial"/>
          <w:strike/>
          <w:sz w:val="24"/>
          <w:szCs w:val="24"/>
        </w:rPr>
        <w:t>, may only be subject to invalidation within three Reporting Periods if a subsequent Offset Project Data Report for that offset project is verified pursuant to sections 95977 through 95978 by a different offset verification body and issued a Positive Offset or Qualified Positive Offset Verification Statement within three years of issuance of the ARB Offset Credit.</w:t>
      </w:r>
      <w:r w:rsidRPr="00B61FF1">
        <w:rPr>
          <w:rFonts w:ascii="Arial" w:hAnsi="Arial" w:cs="Arial"/>
          <w:sz w:val="24"/>
          <w:szCs w:val="24"/>
        </w:rPr>
        <w:t xml:space="preserve">  </w:t>
      </w:r>
    </w:p>
    <w:p w14:paraId="2AD9DC50"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Has a subsequent Offset Project Data Report verified pursuant to sections 95977 through 95978 by a different verification body than the one which conducted the most recent verification, and that meets the requirements for conflict of interest; and</w:t>
      </w:r>
    </w:p>
    <w:p w14:paraId="02E5A9F4"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The verification conducted by a different verification body for the subsequent Offset Project Data Report must be completed within, at a maximum, three years from the date that corresponds to the last time ARB offset credits were issued to the offset project.  The verification of the subsequent Offset Project Data Report must result in a Positive or Qualified Positive Offset Verification Statement from the new verification body.</w:t>
      </w:r>
    </w:p>
    <w:p w14:paraId="3FB5B4A8"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If the requirements in sections 95985(b)(1)(B)(1.) and (2.) are met, the ARB offset credits issued for no more than three Reporting Periods prior to the Reporting Period for which the subsequent Offset Project Data Report was verified by a different verification body, may only be subject to invalidation according to the following timeframes:</w:t>
      </w:r>
    </w:p>
    <w:p w14:paraId="38E061A8"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 xml:space="preserve">Within three years of the date that corresponds to the end of the Reporting Period for which the ARB offset credits are issued, if the ARB offset credits are issued pursuant to section 95981; and </w:t>
      </w:r>
    </w:p>
    <w:p w14:paraId="130F4599"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Within three years of the date for which ARB offset credits are issued, if the ARB offset credits are issued pursuant to section 95990(h).</w:t>
      </w:r>
    </w:p>
    <w:p w14:paraId="4BEDB0B5"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If an offset project developed under one of the Compliance Offset Protocols listed in section 95985(b)(1)(B)(5.) is in the last year of a crediting period, and will not have a renewed crediting period, the statute of limitations may be reduced from eight years to three years if the following requirements are met for the last Offset Project Data Report of the crediting period:</w:t>
      </w:r>
    </w:p>
    <w:p w14:paraId="78A0FD72"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The Offset Project Operator or Authorized Project Designee has a different verification body that meets the requirements for conflict of interest conduct a second regulatory verification pursuant to sections 95977 through 95978 for the last Offset Project Data Report;</w:t>
      </w:r>
    </w:p>
    <w:p w14:paraId="5327FB9E"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 xml:space="preserve">The second regulatory verification must occur within three years of the issuance of the ARB offset credits and the last Offset Project Operator or Authorized Project Designee must receive a Positive or Qualified Positive Offset Verification Statement from the new verification body for the same last Offset Project Data Report.  </w:t>
      </w:r>
    </w:p>
    <w:p w14:paraId="3FECCA52"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w:t>
      </w:r>
      <w:r w:rsidRPr="00B61FF1">
        <w:rPr>
          <w:rFonts w:ascii="Arial" w:hAnsi="Arial" w:cs="Arial"/>
          <w:sz w:val="24"/>
          <w:szCs w:val="24"/>
        </w:rPr>
        <w:tab/>
      </w:r>
      <w:r w:rsidRPr="00B61FF1">
        <w:rPr>
          <w:rFonts w:ascii="Arial" w:hAnsi="Arial" w:cs="Arial"/>
          <w:sz w:val="24"/>
          <w:szCs w:val="24"/>
          <w:u w:val="single"/>
        </w:rPr>
        <w:t xml:space="preserve">If the offset project is listed with an Offset Project Registry, the detailed verification report and Offset Verification Statement for the second regulatory verification must be submitted to the Offset Project Registry.  </w:t>
      </w:r>
    </w:p>
    <w:p w14:paraId="7A1A712B"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ii.</w:t>
      </w:r>
      <w:r w:rsidRPr="00B61FF1">
        <w:rPr>
          <w:rFonts w:ascii="Arial" w:hAnsi="Arial" w:cs="Arial"/>
          <w:sz w:val="24"/>
          <w:szCs w:val="24"/>
        </w:rPr>
        <w:tab/>
      </w:r>
      <w:r w:rsidRPr="00B61FF1">
        <w:rPr>
          <w:rFonts w:ascii="Arial" w:hAnsi="Arial" w:cs="Arial"/>
          <w:sz w:val="24"/>
          <w:szCs w:val="24"/>
          <w:u w:val="single"/>
        </w:rPr>
        <w:t xml:space="preserve">The Offset Project Registry must review the offset verification documents pursuant to section 95987(e)(1)(E) and submit a report to ARB that includes the details and findings of the Offset Project Registry’s review.  </w:t>
      </w:r>
    </w:p>
    <w:p w14:paraId="63748677"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iii.</w:t>
      </w:r>
      <w:r w:rsidRPr="00B61FF1">
        <w:rPr>
          <w:rFonts w:ascii="Arial" w:hAnsi="Arial" w:cs="Arial"/>
          <w:sz w:val="24"/>
          <w:szCs w:val="24"/>
        </w:rPr>
        <w:tab/>
      </w:r>
      <w:r w:rsidRPr="00B61FF1">
        <w:rPr>
          <w:rFonts w:ascii="Arial" w:hAnsi="Arial" w:cs="Arial"/>
          <w:sz w:val="24"/>
          <w:szCs w:val="24"/>
          <w:u w:val="single"/>
        </w:rPr>
        <w:t xml:space="preserve">The Offset Project Registry has 45 calendar days to review the offset verification information once it is received from the verification body.  </w:t>
      </w:r>
    </w:p>
    <w:p w14:paraId="08576936"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iv.</w:t>
      </w:r>
      <w:r w:rsidRPr="00B61FF1">
        <w:rPr>
          <w:rFonts w:ascii="Arial" w:hAnsi="Arial" w:cs="Arial"/>
          <w:sz w:val="24"/>
          <w:szCs w:val="24"/>
        </w:rPr>
        <w:tab/>
      </w:r>
      <w:r w:rsidRPr="00B61FF1">
        <w:rPr>
          <w:rFonts w:ascii="Arial" w:hAnsi="Arial" w:cs="Arial"/>
          <w:sz w:val="24"/>
          <w:szCs w:val="24"/>
          <w:u w:val="single"/>
        </w:rPr>
        <w:t>The Offset Project Registry has an additional 15 working days to submit its report to ARB.</w:t>
      </w:r>
    </w:p>
    <w:p w14:paraId="1C6BF843"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trike/>
          <w:sz w:val="24"/>
          <w:szCs w:val="24"/>
        </w:rPr>
        <w:t>This provision applies</w:t>
      </w:r>
      <w:r w:rsidRPr="00B61FF1">
        <w:rPr>
          <w:rFonts w:ascii="Arial" w:hAnsi="Arial" w:cs="Arial"/>
          <w:sz w:val="24"/>
          <w:szCs w:val="24"/>
          <w:u w:val="single"/>
        </w:rPr>
        <w:t>The provisions in section 95985(b)(1)(B)(1.) through (4.) apply</w:t>
      </w:r>
      <w:r w:rsidRPr="00B61FF1">
        <w:rPr>
          <w:rFonts w:ascii="Arial" w:hAnsi="Arial" w:cs="Arial"/>
          <w:sz w:val="24"/>
          <w:szCs w:val="24"/>
        </w:rPr>
        <w:t xml:space="preserve"> if an offset project is developed under one of the following Compliance Offset Protocols</w:t>
      </w:r>
      <w:r w:rsidRPr="00B61FF1">
        <w:rPr>
          <w:rFonts w:ascii="Arial" w:hAnsi="Arial" w:cs="Arial"/>
          <w:sz w:val="24"/>
          <w:szCs w:val="24"/>
          <w:u w:val="single"/>
        </w:rPr>
        <w:t>, or any early action quantification methodologies approved pursuant to section 95990(c)(5) for the same project types</w:t>
      </w:r>
      <w:r w:rsidRPr="00B61FF1">
        <w:rPr>
          <w:rFonts w:ascii="Arial" w:hAnsi="Arial" w:cs="Arial"/>
          <w:sz w:val="24"/>
          <w:szCs w:val="24"/>
        </w:rPr>
        <w:t>;</w:t>
      </w:r>
    </w:p>
    <w:p w14:paraId="751FEC4B"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u w:val="single"/>
        </w:rPr>
        <w:t>a</w:t>
      </w:r>
      <w:r w:rsidRPr="00B61FF1">
        <w:rPr>
          <w:rFonts w:ascii="Arial" w:hAnsi="Arial" w:cs="Arial"/>
          <w:strike/>
          <w:sz w:val="24"/>
          <w:szCs w:val="24"/>
        </w:rPr>
        <w:t>1</w:t>
      </w:r>
      <w:r w:rsidRPr="00B61FF1">
        <w:rPr>
          <w:rFonts w:ascii="Arial" w:hAnsi="Arial" w:cs="Arial"/>
          <w:sz w:val="24"/>
          <w:szCs w:val="24"/>
        </w:rPr>
        <w:t>.</w:t>
      </w:r>
      <w:r w:rsidRPr="00B61FF1">
        <w:rPr>
          <w:rFonts w:ascii="Arial" w:hAnsi="Arial" w:cs="Arial"/>
          <w:sz w:val="24"/>
          <w:szCs w:val="24"/>
        </w:rPr>
        <w:tab/>
        <w:t>Compliance Offset Protocol Livestock Projects, October 20, 2011;</w:t>
      </w:r>
    </w:p>
    <w:p w14:paraId="64B8DDCC"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u w:val="single"/>
        </w:rPr>
        <w:t>b</w:t>
      </w:r>
      <w:r w:rsidRPr="00B61FF1">
        <w:rPr>
          <w:rFonts w:ascii="Arial" w:hAnsi="Arial" w:cs="Arial"/>
          <w:strike/>
          <w:sz w:val="24"/>
          <w:szCs w:val="24"/>
        </w:rPr>
        <w:t>2</w:t>
      </w:r>
      <w:r w:rsidRPr="00B61FF1">
        <w:rPr>
          <w:rFonts w:ascii="Arial" w:hAnsi="Arial" w:cs="Arial"/>
          <w:sz w:val="24"/>
          <w:szCs w:val="24"/>
        </w:rPr>
        <w:t>.</w:t>
      </w:r>
      <w:r w:rsidRPr="00B61FF1">
        <w:rPr>
          <w:rFonts w:ascii="Arial" w:hAnsi="Arial" w:cs="Arial"/>
          <w:sz w:val="24"/>
          <w:szCs w:val="24"/>
        </w:rPr>
        <w:tab/>
        <w:t>Compliance Offset Protocol Urban Forest Projects, October 20, 2011; and</w:t>
      </w:r>
    </w:p>
    <w:p w14:paraId="2321D253"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u w:val="single"/>
        </w:rPr>
        <w:t>c</w:t>
      </w:r>
      <w:r w:rsidRPr="00B61FF1">
        <w:rPr>
          <w:rFonts w:ascii="Arial" w:hAnsi="Arial" w:cs="Arial"/>
          <w:strike/>
          <w:sz w:val="24"/>
          <w:szCs w:val="24"/>
        </w:rPr>
        <w:t>3</w:t>
      </w:r>
      <w:r w:rsidRPr="00B61FF1">
        <w:rPr>
          <w:rFonts w:ascii="Arial" w:hAnsi="Arial" w:cs="Arial"/>
          <w:sz w:val="24"/>
          <w:szCs w:val="24"/>
        </w:rPr>
        <w:t>.</w:t>
      </w:r>
      <w:r w:rsidRPr="00B61FF1">
        <w:rPr>
          <w:rFonts w:ascii="Arial" w:hAnsi="Arial" w:cs="Arial"/>
          <w:sz w:val="24"/>
          <w:szCs w:val="24"/>
        </w:rPr>
        <w:tab/>
        <w:t>Compliance Offset Protocol U.S. Forest Projects, October 20, 2011.</w:t>
      </w:r>
    </w:p>
    <w:p w14:paraId="638E6D40"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Grounds for Initial Determination of Invalidation.  ARB may determine that an ARB offset credit is invalid for the following reasons:</w:t>
      </w:r>
    </w:p>
    <w:p w14:paraId="6A022BC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The Offset Project Data Report contains errors that overstate the amount of GHG reductions or GHG removal enhancements by more than </w:t>
      </w:r>
      <w:r w:rsidRPr="00B61FF1">
        <w:rPr>
          <w:rFonts w:ascii="Arial" w:hAnsi="Arial" w:cs="Arial"/>
          <w:strike/>
          <w:sz w:val="24"/>
          <w:szCs w:val="24"/>
        </w:rPr>
        <w:t>five</w:t>
      </w:r>
      <w:r w:rsidRPr="00B61FF1">
        <w:rPr>
          <w:rFonts w:ascii="Arial" w:hAnsi="Arial" w:cs="Arial"/>
          <w:sz w:val="24"/>
          <w:szCs w:val="24"/>
          <w:u w:val="single"/>
        </w:rPr>
        <w:t xml:space="preserve">5.00 </w:t>
      </w:r>
      <w:r w:rsidRPr="00B61FF1">
        <w:rPr>
          <w:rFonts w:ascii="Arial" w:hAnsi="Arial" w:cs="Arial"/>
          <w:sz w:val="24"/>
          <w:szCs w:val="24"/>
        </w:rPr>
        <w:t xml:space="preserve">percent;  </w:t>
      </w:r>
    </w:p>
    <w:p w14:paraId="70576BD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If ARB finds that there has been an overstatement by more than </w:t>
      </w:r>
      <w:r w:rsidRPr="00B61FF1">
        <w:rPr>
          <w:rFonts w:ascii="Arial" w:hAnsi="Arial" w:cs="Arial"/>
          <w:strike/>
          <w:sz w:val="24"/>
          <w:szCs w:val="24"/>
        </w:rPr>
        <w:t>five</w:t>
      </w:r>
      <w:r w:rsidRPr="00B61FF1">
        <w:rPr>
          <w:rFonts w:ascii="Arial" w:hAnsi="Arial" w:cs="Arial"/>
          <w:sz w:val="24"/>
          <w:szCs w:val="24"/>
          <w:u w:val="single"/>
        </w:rPr>
        <w:t>5.00</w:t>
      </w:r>
      <w:r w:rsidRPr="00B61FF1">
        <w:rPr>
          <w:rFonts w:ascii="Arial" w:hAnsi="Arial" w:cs="Arial"/>
          <w:sz w:val="24"/>
          <w:szCs w:val="24"/>
        </w:rPr>
        <w:t xml:space="preserve"> percent, ARB shall determine how many GHG reductions and GHG removal enhancements were achieved by the offset project for the applicable Reporting Period.  Within 10 calendar days of this determination, ARB will notify the verification body that performed the offset verification and the Offset Project Operator or Authorized Project Designee.  Within 25 calendar days of receiving the written notification by ARB, the verification body shall provide any available offset verification services information or correspondence related to the Offset Project Data Report.  Within 25 calendar days of receiving the written notification by ARB, the Offset Project Operator or Authorized Project Designee shall provide data that is required to calculate GHG reductions and GHG removal enhancements for the offset project according to the requirements of this article, the detailed offset verification report prepared by the verification body, and other information requested by ARB.  The Offset Project Operator or Authorized Project Designee shall also make available personnel who can assist ARB’s determination of how many GHG reductions and GHG removal enhancements were achieved by the offset project for the applicable Reporting Period.</w:t>
      </w:r>
    </w:p>
    <w:p w14:paraId="64D096BB"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will determine the actual GHG reductions and GHG removal enhancements achieved by the offset project for the applicable Reporting Period based on, at a minimum, the following information:</w:t>
      </w:r>
    </w:p>
    <w:p w14:paraId="3133615F"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GHG sources, GHG sinks, and GHG reservoirs within the offset project boundary for that Reporting Period; and</w:t>
      </w:r>
    </w:p>
    <w:p w14:paraId="1B2B4065"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Any previous Offset Project Data Reports submitted by the Offset Project Operator or Authorized Project Designee, and the Offset Verification Statements rendered for those reports.</w:t>
      </w:r>
    </w:p>
    <w:p w14:paraId="6552361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In determining how many GHG reductions and GHG removal enhancements were achieved by the offset project for the applicable Reporting Period, ARB may use the following methods, as applicable:</w:t>
      </w:r>
    </w:p>
    <w:p w14:paraId="1DF1CA34"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applicable Compliance Offset Protocol;</w:t>
      </w:r>
    </w:p>
    <w:p w14:paraId="5FE6E90E"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In the event of missing data, ARB will rely on the missing data provisions pursuant to section 95976, and, if applicable, the Compliance Offset Protocol; and</w:t>
      </w:r>
    </w:p>
    <w:p w14:paraId="3887B8D2"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Any information reported under this article for this Reporting Period and past Reporting Periods.</w:t>
      </w:r>
    </w:p>
    <w:p w14:paraId="49CA17F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ARB shall determine how many GHG reductions and GHG removal enhancements were achieved by the offset project for the applicable Reporting Period using the best information available, including the information in section 95985(c)(1)(A)(1.) and methods in section 95985(c)(1)(A)(2.), as applicable.  </w:t>
      </w:r>
    </w:p>
    <w:p w14:paraId="690764F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ARB determines that an overstatement has occurred pursuant to section 95985(c)(1), ARB shall determine the amount of ARB offset credits that correspond to the overstatement using the following equation, rounded to the nearest whole ton:</w:t>
      </w:r>
    </w:p>
    <w:p w14:paraId="5BB8E43E" w14:textId="77777777" w:rsidR="00FE6A4C" w:rsidRPr="00B61FF1" w:rsidRDefault="00FE6A4C" w:rsidP="00FE6A4C">
      <w:pPr>
        <w:spacing w:line="360" w:lineRule="auto"/>
        <w:ind w:left="1800" w:hanging="720"/>
        <w:rPr>
          <w:rFonts w:ascii="Arial" w:hAnsi="Arial" w:cs="Arial"/>
          <w:sz w:val="24"/>
          <w:szCs w:val="24"/>
        </w:rPr>
      </w:pPr>
    </w:p>
    <w:p w14:paraId="5F19052C" w14:textId="77777777" w:rsidR="00FE6A4C" w:rsidRPr="00B61FF1" w:rsidRDefault="00FE6A4C" w:rsidP="00FE6A4C">
      <w:pPr>
        <w:spacing w:line="360" w:lineRule="auto"/>
        <w:ind w:left="360"/>
        <w:jc w:val="center"/>
        <w:rPr>
          <w:rFonts w:ascii="Arial" w:hAnsi="Arial" w:cs="Arial"/>
          <w:sz w:val="24"/>
          <w:szCs w:val="24"/>
        </w:rPr>
      </w:pPr>
      <m:oMathPara>
        <m:oMath>
          <m:r>
            <w:rPr>
              <w:rFonts w:ascii="Cambria Math" w:hAnsi="Cambria Math" w:cs="Arial"/>
              <w:sz w:val="24"/>
              <w:szCs w:val="24"/>
            </w:rPr>
            <m:t xml:space="preserve">If: </m:t>
          </m:r>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ARBOC</m:t>
              </m:r>
            </m:sub>
          </m:sSub>
          <m:r>
            <w:rPr>
              <w:rFonts w:ascii="Cambria Math" w:hAnsi="Cambria Math" w:cs="Arial"/>
              <w:sz w:val="24"/>
              <w:szCs w:val="24"/>
            </w:rPr>
            <m:t xml:space="preserve">&gt; </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OPDR</m:t>
              </m:r>
            </m:sub>
          </m:sSub>
          <m:r>
            <w:rPr>
              <w:rFonts w:ascii="Cambria Math" w:hAnsi="Cambria Math" w:cs="Arial"/>
              <w:sz w:val="24"/>
              <w:szCs w:val="24"/>
            </w:rPr>
            <m:t>×1.05</m:t>
          </m:r>
        </m:oMath>
      </m:oMathPara>
    </w:p>
    <w:p w14:paraId="5DE86357" w14:textId="77777777" w:rsidR="00FE6A4C" w:rsidRPr="00B61FF1" w:rsidRDefault="00FE6A4C" w:rsidP="00FE6A4C">
      <w:pPr>
        <w:spacing w:line="360" w:lineRule="auto"/>
        <w:ind w:left="360"/>
        <w:jc w:val="center"/>
        <w:rPr>
          <w:rFonts w:ascii="Arial" w:hAnsi="Arial" w:cs="Arial"/>
          <w:sz w:val="24"/>
          <w:szCs w:val="24"/>
        </w:rPr>
      </w:pPr>
    </w:p>
    <w:p w14:paraId="3737F233" w14:textId="77777777" w:rsidR="00FE6A4C" w:rsidRPr="00B61FF1" w:rsidRDefault="00FE6A4C" w:rsidP="00FE6A4C">
      <w:pPr>
        <w:spacing w:line="360" w:lineRule="auto"/>
        <w:ind w:left="360"/>
        <w:jc w:val="center"/>
        <w:rPr>
          <w:rFonts w:ascii="Arial" w:hAnsi="Arial" w:cs="Arial"/>
          <w:sz w:val="24"/>
          <w:szCs w:val="24"/>
        </w:rPr>
      </w:pPr>
      <m:oMathPara>
        <m:oMath>
          <m:r>
            <w:rPr>
              <w:rFonts w:ascii="Cambria Math" w:hAnsi="Cambria Math" w:cs="Arial"/>
              <w:sz w:val="24"/>
              <w:szCs w:val="24"/>
            </w:rPr>
            <m:t xml:space="preserve">Then: </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ARBOC</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OPDR</m:t>
              </m:r>
            </m:sub>
          </m:sSub>
        </m:oMath>
      </m:oMathPara>
    </w:p>
    <w:p w14:paraId="78535016" w14:textId="77777777" w:rsidR="00FE6A4C" w:rsidRPr="00B61FF1" w:rsidRDefault="00FE6A4C" w:rsidP="00FE6A4C">
      <w:pPr>
        <w:spacing w:line="360" w:lineRule="auto"/>
        <w:ind w:left="1080"/>
        <w:jc w:val="center"/>
        <w:rPr>
          <w:rFonts w:ascii="Arial" w:hAnsi="Arial" w:cs="Arial"/>
          <w:sz w:val="24"/>
          <w:szCs w:val="24"/>
        </w:rPr>
      </w:pPr>
    </w:p>
    <w:p w14:paraId="2F3459B9"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Where:</w:t>
      </w:r>
    </w:p>
    <w:p w14:paraId="0662E042"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“O</w:t>
      </w:r>
      <w:r w:rsidRPr="00B61FF1">
        <w:rPr>
          <w:rFonts w:ascii="Arial" w:hAnsi="Arial" w:cs="Arial"/>
          <w:sz w:val="24"/>
          <w:szCs w:val="24"/>
          <w:vertAlign w:val="subscript"/>
        </w:rPr>
        <w:t>R</w:t>
      </w:r>
      <w:r w:rsidRPr="00B61FF1">
        <w:rPr>
          <w:rFonts w:ascii="Arial" w:hAnsi="Arial" w:cs="Arial"/>
          <w:sz w:val="24"/>
          <w:szCs w:val="24"/>
        </w:rPr>
        <w:t>” is the amount of overstated GHG reductions and GHG removal enhancements for the applicable Offset Project Data Report, rounded to the nearest whole ton;</w:t>
      </w:r>
    </w:p>
    <w:p w14:paraId="1A41F37C" w14:textId="77777777" w:rsidR="00FE6A4C" w:rsidRPr="00B61FF1" w:rsidRDefault="00FE6A4C" w:rsidP="00FE6A4C">
      <w:pPr>
        <w:spacing w:line="360" w:lineRule="auto"/>
        <w:ind w:left="1080"/>
        <w:rPr>
          <w:rFonts w:ascii="Arial" w:hAnsi="Arial" w:cs="Arial"/>
          <w:sz w:val="24"/>
          <w:szCs w:val="24"/>
        </w:rPr>
      </w:pPr>
    </w:p>
    <w:p w14:paraId="6F2695AA"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“I</w:t>
      </w:r>
      <w:r w:rsidRPr="00B61FF1">
        <w:rPr>
          <w:rFonts w:ascii="Arial" w:hAnsi="Arial" w:cs="Arial"/>
          <w:sz w:val="24"/>
          <w:szCs w:val="24"/>
          <w:vertAlign w:val="subscript"/>
        </w:rPr>
        <w:t>ARBOC</w:t>
      </w:r>
      <w:r w:rsidRPr="00B61FF1">
        <w:rPr>
          <w:rFonts w:ascii="Arial" w:hAnsi="Arial" w:cs="Arial"/>
          <w:sz w:val="24"/>
          <w:szCs w:val="24"/>
        </w:rPr>
        <w:t>” is the number of ARB offset credits issued under the applicable Offset Project Data Report pursuant to section 95981.1 or 95990(i);</w:t>
      </w:r>
    </w:p>
    <w:p w14:paraId="36488EBF" w14:textId="77777777" w:rsidR="00FE6A4C" w:rsidRPr="00B61FF1" w:rsidRDefault="00FE6A4C" w:rsidP="00FE6A4C">
      <w:pPr>
        <w:spacing w:line="360" w:lineRule="auto"/>
        <w:ind w:left="1080"/>
        <w:rPr>
          <w:rFonts w:ascii="Arial" w:hAnsi="Arial" w:cs="Arial"/>
          <w:sz w:val="24"/>
          <w:szCs w:val="24"/>
        </w:rPr>
      </w:pPr>
    </w:p>
    <w:p w14:paraId="1899161F" w14:textId="77777777" w:rsidR="00FE6A4C" w:rsidRPr="00B61FF1" w:rsidRDefault="00FE6A4C" w:rsidP="00FE6A4C">
      <w:pPr>
        <w:spacing w:line="360" w:lineRule="auto"/>
        <w:ind w:left="1080"/>
        <w:rPr>
          <w:rFonts w:ascii="Arial" w:hAnsi="Arial" w:cs="Arial"/>
          <w:dstrike/>
          <w:sz w:val="24"/>
          <w:szCs w:val="24"/>
        </w:rPr>
      </w:pPr>
      <w:r w:rsidRPr="00B61FF1">
        <w:rPr>
          <w:rFonts w:ascii="Arial" w:hAnsi="Arial" w:cs="Arial"/>
          <w:sz w:val="24"/>
          <w:szCs w:val="24"/>
        </w:rPr>
        <w:t>“R</w:t>
      </w:r>
      <w:r w:rsidRPr="00B61FF1">
        <w:rPr>
          <w:rFonts w:ascii="Arial" w:hAnsi="Arial" w:cs="Arial"/>
          <w:sz w:val="24"/>
          <w:szCs w:val="24"/>
          <w:vertAlign w:val="subscript"/>
        </w:rPr>
        <w:t>OPDR</w:t>
      </w:r>
      <w:r w:rsidRPr="00B61FF1">
        <w:rPr>
          <w:rFonts w:ascii="Arial" w:hAnsi="Arial" w:cs="Arial"/>
          <w:sz w:val="24"/>
          <w:szCs w:val="24"/>
        </w:rPr>
        <w:t>” is the number of GHG reductions and GHG removal enhancements determined by ARB pursuant to section 95985(c)(1) for the applicable Offset Project Data Report;</w:t>
      </w:r>
    </w:p>
    <w:p w14:paraId="43F269D8" w14:textId="77777777" w:rsidR="00FE6A4C" w:rsidRPr="00B61FF1" w:rsidRDefault="00FE6A4C" w:rsidP="00FE6A4C">
      <w:pPr>
        <w:spacing w:line="360" w:lineRule="auto"/>
        <w:ind w:left="1080"/>
        <w:rPr>
          <w:rFonts w:ascii="Arial" w:hAnsi="Arial" w:cs="Arial"/>
          <w:dstrike/>
          <w:sz w:val="24"/>
          <w:szCs w:val="24"/>
        </w:rPr>
      </w:pPr>
    </w:p>
    <w:p w14:paraId="45D3615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offset project activity and implementation of the offset project was not in accordance with all local, state, or national environmental and health and safety regulations during the Reporting Period for which the ARB offset credit was issued; or</w:t>
      </w:r>
    </w:p>
    <w:p w14:paraId="594AAA6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ARB determines that offset credits have been issued in any other voluntary or mandatory program within the same offset project boundary and for the same Reporting Period in which ARB offset credits were issued for GHG reductions and GHG removal enhancements.</w:t>
      </w:r>
    </w:p>
    <w:p w14:paraId="2077790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following shall not be grounds for invalidation:</w:t>
      </w:r>
    </w:p>
    <w:p w14:paraId="2269B11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An update to a Compliance Offset Protocol will not result in an invalidation of ARB offset credits issued under a previous version of the Compliance Offset Protocol; or</w:t>
      </w:r>
    </w:p>
    <w:p w14:paraId="4BBBB31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A reversal that occurs under a forest offset project.  If such a reversal occurs the provisions in section 95983 apply.  </w:t>
      </w:r>
    </w:p>
    <w:p w14:paraId="7AD3781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Suspension of Transfers.  When ARB makes an initial determination pursuant to section 95985(c) it will immediately block any transfers of ARB offset credits for the applicable Offset Project Data Report.  Once ARB makes a final determination pursuant to section 95985(f) the block on transfers for any valid ARB offset credits will be cancelled. </w:t>
      </w:r>
    </w:p>
    <w:p w14:paraId="1DB2DD4E"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Identification of Affected Parties.  If ARB makes an initial determination that one of the circumstances listed in section 95985(c) has occurred, ARB will identify the following parties:</w:t>
      </w:r>
    </w:p>
    <w:p w14:paraId="71E0AFC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The current holders that hold any ARB offset credits in their Holding and/or Compliance Accounts from the applicable Offset Project Data Report; </w:t>
      </w:r>
    </w:p>
    <w:p w14:paraId="53C5740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The </w:t>
      </w:r>
      <w:r w:rsidRPr="00B61FF1">
        <w:rPr>
          <w:rFonts w:ascii="Arial" w:hAnsi="Arial" w:cs="Arial"/>
          <w:strike/>
          <w:sz w:val="24"/>
          <w:szCs w:val="24"/>
        </w:rPr>
        <w:t>entiies</w:t>
      </w:r>
      <w:r w:rsidRPr="00B61FF1">
        <w:rPr>
          <w:rFonts w:ascii="Arial" w:hAnsi="Arial" w:cs="Arial"/>
          <w:sz w:val="24"/>
          <w:szCs w:val="24"/>
          <w:u w:val="single"/>
        </w:rPr>
        <w:t>entities</w:t>
      </w:r>
      <w:r w:rsidRPr="00B61FF1">
        <w:rPr>
          <w:rFonts w:ascii="Arial" w:hAnsi="Arial" w:cs="Arial"/>
          <w:sz w:val="24"/>
          <w:szCs w:val="24"/>
        </w:rPr>
        <w:t xml:space="preserve"> for which ARB transferred any ARB offset credits from the applicable Offset Project Data Report into the Retirement Account; and</w:t>
      </w:r>
    </w:p>
    <w:p w14:paraId="590257F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Offset Project Operator and Authorized Project Designee, and, for forest offset projects the Forest Owner(s).</w:t>
      </w:r>
    </w:p>
    <w:p w14:paraId="49F5638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Final Determination and Process of Invalidation.  ARB will notify the parties identified in section 95985(e) of its initial determination pursuant to section 95985(c), and provide each party an opportunity to submit additional information to ARB prior to making its final determination, as follows:</w:t>
      </w:r>
    </w:p>
    <w:p w14:paraId="65F78F0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will include the reason for its initial determination in its notification to the parties identified in section 95985(e).</w:t>
      </w:r>
    </w:p>
    <w:p w14:paraId="6537C63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After notification the parties identified in section 95985(e) will have 25 calendar days to provide any additional information to ARB.</w:t>
      </w:r>
    </w:p>
    <w:p w14:paraId="27BC9D7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ARB may request any information as needed in addition to the information provided under this section.</w:t>
      </w:r>
    </w:p>
    <w:p w14:paraId="09F2153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Executive Officer will have 30 calendar days after all information is submitted under this section to make a final determination that one or more conditions listed pursuant to section 95985(c) has occurred and whether to invalidate ARB offset credits.</w:t>
      </w:r>
    </w:p>
    <w:p w14:paraId="27245B7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parties identified pursuant to section 95985(e) will be notified of ARB’s final determination of invalidation pursuant to this section.</w:t>
      </w:r>
    </w:p>
    <w:p w14:paraId="38D5831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Any approved program for linkage pursuant to subarticle 12 will be notified of the invalidation at the time of ARB’s final determination pursuant to this section.</w:t>
      </w:r>
    </w:p>
    <w:p w14:paraId="72134FFD"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Removal of Invalidated ARB Offset Credits from Holding and/or Compliance Accounts.  If the Executive Officer makes a final determination pursuant to section 95985(f) that an ARB offset credit is invalid, then:</w:t>
      </w:r>
    </w:p>
    <w:p w14:paraId="69F08B0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offset credits will be removed from any Holding or Compliance Account, as follows;</w:t>
      </w:r>
    </w:p>
    <w:p w14:paraId="4C13728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If an ARB offset credit is determined to be invalid due to the circumstance listed in section 95985(c)(1), then:</w:t>
      </w:r>
    </w:p>
    <w:p w14:paraId="211D61BD"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will determine which ARB offset credits will be removed from the Compliance and/or Holding Accounts of each party identified in section 95985(e)(1) according to the following equation, rounded to the nearest whole ton:</w:t>
      </w:r>
    </w:p>
    <w:p w14:paraId="7F3B4814" w14:textId="77777777" w:rsidR="00FE6A4C" w:rsidRPr="00B61FF1" w:rsidRDefault="00FE6A4C" w:rsidP="00FE6A4C">
      <w:pPr>
        <w:spacing w:line="360" w:lineRule="auto"/>
        <w:rPr>
          <w:rFonts w:ascii="Arial" w:hAnsi="Arial" w:cs="Arial"/>
          <w:sz w:val="24"/>
          <w:szCs w:val="24"/>
        </w:rPr>
      </w:pPr>
    </w:p>
    <w:p w14:paraId="20491EDA" w14:textId="77777777" w:rsidR="00FE6A4C" w:rsidRPr="00B61FF1" w:rsidRDefault="00661852" w:rsidP="00FE6A4C">
      <w:pPr>
        <w:spacing w:line="360" w:lineRule="auto"/>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 xml:space="preserve">ARBOC </m:t>
              </m:r>
            </m:sub>
          </m:sSub>
          <m:r>
            <w:rPr>
              <w:rFonts w:ascii="Cambria Math" w:hAnsi="Cambria Math" w:cs="Arial"/>
              <w:sz w:val="24"/>
              <w:szCs w:val="24"/>
            </w:rPr>
            <m:t>=</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TOT</m:t>
                      </m:r>
                    </m:e>
                    <m:sub>
                      <m:r>
                        <w:rPr>
                          <w:rFonts w:ascii="Cambria Math" w:hAnsi="Cambria Math" w:cs="Arial"/>
                          <w:sz w:val="24"/>
                          <w:szCs w:val="24"/>
                        </w:rPr>
                        <m:t>Holding</m:t>
                      </m:r>
                    </m:sub>
                  </m:sSub>
                </m:num>
                <m:den>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ARBOC</m:t>
                      </m:r>
                    </m:sub>
                  </m:sSub>
                </m:den>
              </m:f>
            </m:e>
          </m:d>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R</m:t>
              </m:r>
            </m:sub>
          </m:sSub>
        </m:oMath>
      </m:oMathPara>
    </w:p>
    <w:p w14:paraId="30316724" w14:textId="77777777" w:rsidR="00FE6A4C" w:rsidRPr="00B61FF1" w:rsidRDefault="00FE6A4C" w:rsidP="00FE6A4C">
      <w:pPr>
        <w:spacing w:line="360" w:lineRule="auto"/>
        <w:rPr>
          <w:rFonts w:ascii="Arial" w:hAnsi="Arial" w:cs="Arial"/>
          <w:sz w:val="24"/>
          <w:szCs w:val="24"/>
        </w:rPr>
      </w:pPr>
    </w:p>
    <w:p w14:paraId="724E90AA" w14:textId="77777777" w:rsidR="00FE6A4C" w:rsidRPr="00B61FF1" w:rsidRDefault="00FE6A4C" w:rsidP="00FE6A4C">
      <w:pPr>
        <w:spacing w:line="360" w:lineRule="auto"/>
        <w:ind w:left="1440"/>
        <w:rPr>
          <w:rFonts w:ascii="Arial" w:hAnsi="Arial" w:cs="Arial"/>
          <w:sz w:val="24"/>
          <w:szCs w:val="24"/>
        </w:rPr>
      </w:pPr>
      <w:r w:rsidRPr="00B61FF1">
        <w:rPr>
          <w:rFonts w:ascii="Arial" w:hAnsi="Arial" w:cs="Arial"/>
          <w:sz w:val="24"/>
          <w:szCs w:val="24"/>
        </w:rPr>
        <w:t xml:space="preserve">Where: </w:t>
      </w:r>
    </w:p>
    <w:p w14:paraId="4B10B9A0" w14:textId="77777777" w:rsidR="00FE6A4C" w:rsidRPr="00B61FF1" w:rsidRDefault="00FE6A4C" w:rsidP="00FE6A4C">
      <w:pPr>
        <w:spacing w:line="360" w:lineRule="auto"/>
        <w:ind w:left="1440"/>
        <w:rPr>
          <w:rFonts w:ascii="Arial" w:hAnsi="Arial" w:cs="Arial"/>
          <w:sz w:val="24"/>
          <w:szCs w:val="24"/>
        </w:rPr>
      </w:pPr>
      <w:r w:rsidRPr="00B61FF1">
        <w:rPr>
          <w:rFonts w:ascii="Arial" w:hAnsi="Arial" w:cs="Arial"/>
          <w:sz w:val="24"/>
          <w:szCs w:val="24"/>
        </w:rPr>
        <w:t>“O</w:t>
      </w:r>
      <w:r w:rsidRPr="00B61FF1">
        <w:rPr>
          <w:rFonts w:ascii="Arial" w:hAnsi="Arial" w:cs="Arial"/>
          <w:sz w:val="24"/>
          <w:szCs w:val="24"/>
          <w:vertAlign w:val="subscript"/>
        </w:rPr>
        <w:t>R</w:t>
      </w:r>
      <w:r w:rsidRPr="00B61FF1">
        <w:rPr>
          <w:rFonts w:ascii="Arial" w:hAnsi="Arial" w:cs="Arial"/>
          <w:sz w:val="24"/>
          <w:szCs w:val="24"/>
        </w:rPr>
        <w:t>” is the amount of overstated GHG reductions and GHG removal enhancements for the applicable Offset Project Data Report calculated pursuant to section 95985(c)(1);</w:t>
      </w:r>
    </w:p>
    <w:p w14:paraId="5BAE104E" w14:textId="77777777" w:rsidR="00FE6A4C" w:rsidRPr="00B61FF1" w:rsidRDefault="00FE6A4C" w:rsidP="00FE6A4C">
      <w:pPr>
        <w:spacing w:line="360" w:lineRule="auto"/>
        <w:ind w:left="1440"/>
        <w:rPr>
          <w:rFonts w:ascii="Arial" w:hAnsi="Arial" w:cs="Arial"/>
          <w:sz w:val="24"/>
          <w:szCs w:val="24"/>
        </w:rPr>
      </w:pPr>
    </w:p>
    <w:p w14:paraId="3FB470BB" w14:textId="77777777" w:rsidR="00FE6A4C" w:rsidRPr="00B61FF1" w:rsidRDefault="00FE6A4C" w:rsidP="00FE6A4C">
      <w:pPr>
        <w:spacing w:line="360" w:lineRule="auto"/>
        <w:ind w:left="1440"/>
        <w:rPr>
          <w:rFonts w:ascii="Arial" w:hAnsi="Arial" w:cs="Arial"/>
          <w:sz w:val="24"/>
          <w:szCs w:val="24"/>
        </w:rPr>
      </w:pPr>
      <w:r w:rsidRPr="00B61FF1">
        <w:rPr>
          <w:rFonts w:ascii="Arial" w:hAnsi="Arial" w:cs="Arial"/>
          <w:sz w:val="24"/>
          <w:szCs w:val="24"/>
        </w:rPr>
        <w:t>“I</w:t>
      </w:r>
      <w:r w:rsidRPr="00B61FF1">
        <w:rPr>
          <w:rFonts w:ascii="Arial" w:hAnsi="Arial" w:cs="Arial"/>
          <w:sz w:val="24"/>
          <w:szCs w:val="24"/>
          <w:vertAlign w:val="subscript"/>
        </w:rPr>
        <w:t>ARBOC</w:t>
      </w:r>
      <w:r w:rsidRPr="00B61FF1">
        <w:rPr>
          <w:rFonts w:ascii="Arial" w:hAnsi="Arial" w:cs="Arial"/>
          <w:sz w:val="24"/>
          <w:szCs w:val="24"/>
        </w:rPr>
        <w:t>” is the number of ARB offset credits issued under the applicable Offset Project Data Report pursuant to section 95981.1 or 95990(i);</w:t>
      </w:r>
    </w:p>
    <w:p w14:paraId="08557B19" w14:textId="77777777" w:rsidR="00FE6A4C" w:rsidRPr="00B61FF1" w:rsidRDefault="00FE6A4C" w:rsidP="00FE6A4C">
      <w:pPr>
        <w:spacing w:line="360" w:lineRule="auto"/>
        <w:ind w:left="1440"/>
        <w:rPr>
          <w:rFonts w:ascii="Arial" w:hAnsi="Arial" w:cs="Arial"/>
          <w:sz w:val="24"/>
          <w:szCs w:val="24"/>
        </w:rPr>
      </w:pPr>
    </w:p>
    <w:p w14:paraId="5260144B" w14:textId="77777777" w:rsidR="00FE6A4C" w:rsidRPr="00B61FF1" w:rsidRDefault="00FE6A4C" w:rsidP="00FE6A4C">
      <w:pPr>
        <w:spacing w:line="360" w:lineRule="auto"/>
        <w:ind w:left="1440"/>
        <w:rPr>
          <w:rFonts w:ascii="Arial" w:hAnsi="Arial" w:cs="Arial"/>
          <w:sz w:val="24"/>
          <w:szCs w:val="24"/>
        </w:rPr>
      </w:pPr>
      <w:r w:rsidRPr="00B61FF1">
        <w:rPr>
          <w:rFonts w:ascii="Arial" w:hAnsi="Arial" w:cs="Arial"/>
          <w:sz w:val="24"/>
          <w:szCs w:val="24"/>
        </w:rPr>
        <w:t>“TOT</w:t>
      </w:r>
      <w:r w:rsidRPr="00B61FF1">
        <w:rPr>
          <w:rFonts w:ascii="Arial" w:hAnsi="Arial" w:cs="Arial"/>
          <w:sz w:val="24"/>
          <w:szCs w:val="24"/>
          <w:vertAlign w:val="subscript"/>
        </w:rPr>
        <w:t>Holding</w:t>
      </w:r>
      <w:r w:rsidRPr="00B61FF1">
        <w:rPr>
          <w:rFonts w:ascii="Arial" w:hAnsi="Arial" w:cs="Arial"/>
          <w:sz w:val="24"/>
          <w:szCs w:val="24"/>
        </w:rPr>
        <w:t>” is the total number of ARB offset credits currently being held in a Compliance and/or Holding Account by each party identified in section 95985(e)(1) for the applicable Offset Project Data Report;</w:t>
      </w:r>
    </w:p>
    <w:p w14:paraId="4AF77383" w14:textId="77777777" w:rsidR="00FE6A4C" w:rsidRPr="00B61FF1" w:rsidRDefault="00FE6A4C" w:rsidP="00FE6A4C">
      <w:pPr>
        <w:spacing w:line="360" w:lineRule="auto"/>
        <w:ind w:left="1440"/>
        <w:rPr>
          <w:rFonts w:ascii="Arial" w:hAnsi="Arial" w:cs="Arial"/>
          <w:sz w:val="24"/>
          <w:szCs w:val="24"/>
        </w:rPr>
      </w:pPr>
    </w:p>
    <w:p w14:paraId="12174282" w14:textId="77777777" w:rsidR="00FE6A4C" w:rsidRPr="00B61FF1" w:rsidRDefault="00FE6A4C" w:rsidP="00FE6A4C">
      <w:pPr>
        <w:spacing w:line="360" w:lineRule="auto"/>
        <w:ind w:left="1440"/>
        <w:rPr>
          <w:rFonts w:ascii="Arial" w:hAnsi="Arial" w:cs="Arial"/>
          <w:sz w:val="24"/>
          <w:szCs w:val="24"/>
        </w:rPr>
      </w:pPr>
      <w:r w:rsidRPr="00B61FF1">
        <w:rPr>
          <w:rFonts w:ascii="Arial" w:hAnsi="Arial" w:cs="Arial"/>
          <w:sz w:val="24"/>
          <w:szCs w:val="24"/>
        </w:rPr>
        <w:t>“H</w:t>
      </w:r>
      <w:r w:rsidRPr="00B61FF1">
        <w:rPr>
          <w:rFonts w:ascii="Arial" w:hAnsi="Arial" w:cs="Arial"/>
          <w:sz w:val="24"/>
          <w:szCs w:val="24"/>
          <w:vertAlign w:val="subscript"/>
        </w:rPr>
        <w:t>ARBOC</w:t>
      </w:r>
      <w:r w:rsidRPr="00B61FF1">
        <w:rPr>
          <w:rFonts w:ascii="Arial" w:hAnsi="Arial" w:cs="Arial"/>
          <w:sz w:val="24"/>
          <w:szCs w:val="24"/>
        </w:rPr>
        <w:t>” is the total number of ARB offset credits, rounded to the nearest whole ton, that will be removed from the Holding and/or Compliance Account of each party identified in section 95985(e)(1).</w:t>
      </w:r>
    </w:p>
    <w:p w14:paraId="215F2781" w14:textId="77777777" w:rsidR="00FE6A4C" w:rsidRPr="00B61FF1" w:rsidRDefault="00FE6A4C" w:rsidP="00FE6A4C">
      <w:pPr>
        <w:spacing w:line="360" w:lineRule="auto"/>
        <w:ind w:left="1800" w:hanging="720"/>
        <w:rPr>
          <w:rFonts w:ascii="Arial" w:hAnsi="Arial" w:cs="Arial"/>
          <w:sz w:val="24"/>
          <w:szCs w:val="24"/>
        </w:rPr>
      </w:pPr>
    </w:p>
    <w:p w14:paraId="5A7B5521"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ARB will determine the </w:t>
      </w:r>
      <w:r w:rsidRPr="00B61FF1">
        <w:rPr>
          <w:rFonts w:ascii="Arial" w:hAnsi="Arial" w:cs="Arial"/>
          <w:strike/>
          <w:sz w:val="24"/>
          <w:szCs w:val="24"/>
        </w:rPr>
        <w:t xml:space="preserve">lowest serial numbers assigned to </w:t>
      </w:r>
      <w:r w:rsidRPr="00B61FF1">
        <w:rPr>
          <w:rFonts w:ascii="Arial" w:hAnsi="Arial" w:cs="Arial"/>
          <w:sz w:val="24"/>
          <w:szCs w:val="24"/>
          <w:u w:val="single"/>
        </w:rPr>
        <w:t>quantity of</w:t>
      </w:r>
      <w:r w:rsidRPr="00B61FF1">
        <w:rPr>
          <w:rFonts w:ascii="Arial" w:hAnsi="Arial" w:cs="Arial"/>
          <w:sz w:val="24"/>
          <w:szCs w:val="24"/>
        </w:rPr>
        <w:t xml:space="preserve"> ARB offset credits issued under the applicable Offset Project Data Report in the amount calculated pursuant to section 95985(g)(1)(A) and remove </w:t>
      </w:r>
      <w:r w:rsidRPr="00B61FF1">
        <w:rPr>
          <w:rFonts w:ascii="Arial" w:hAnsi="Arial" w:cs="Arial"/>
          <w:sz w:val="24"/>
          <w:szCs w:val="24"/>
          <w:u w:val="single"/>
        </w:rPr>
        <w:t>a quantity of ARB offset credits</w:t>
      </w:r>
      <w:r w:rsidRPr="00B61FF1">
        <w:rPr>
          <w:rFonts w:ascii="Arial" w:hAnsi="Arial" w:cs="Arial"/>
          <w:strike/>
          <w:sz w:val="24"/>
          <w:szCs w:val="24"/>
        </w:rPr>
        <w:t>them</w:t>
      </w:r>
      <w:r w:rsidRPr="00B61FF1">
        <w:rPr>
          <w:rFonts w:ascii="Arial" w:hAnsi="Arial" w:cs="Arial"/>
          <w:sz w:val="24"/>
          <w:szCs w:val="24"/>
        </w:rPr>
        <w:t xml:space="preserve"> from any Holding and/or Compliance Account of the parties identified in section 95985(e)(1).</w:t>
      </w:r>
    </w:p>
    <w:p w14:paraId="487DC7F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an ARB offset credit is determined to be invalid due to the circumstances listed in sections 95985(c)(2) or (c)(3), ARB will remove all ARB offset credits issued under the applicable Offset Project Data Report from any Holding and/or Compliance Account of the parties identified in section 95985(e)(1).</w:t>
      </w:r>
    </w:p>
    <w:p w14:paraId="1C6CA3E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parties identified pursuant to section 95985(e) will be notified of which serial numbers were removed from any Compliance and/or Holding Accounts.</w:t>
      </w:r>
    </w:p>
    <w:p w14:paraId="0ED77FC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Any approved program for linkage pursuant to subarticle 12 will be notified of which serial numbers were removed from any Compliance and/or Holding Accounts.  </w:t>
      </w:r>
    </w:p>
    <w:p w14:paraId="7C4CA52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Requirements for Replacement of ARB Offset Credits</w:t>
      </w:r>
      <w:r w:rsidRPr="00B61FF1">
        <w:rPr>
          <w:rFonts w:ascii="Arial" w:hAnsi="Arial" w:cs="Arial"/>
          <w:strike/>
          <w:sz w:val="24"/>
          <w:szCs w:val="24"/>
        </w:rPr>
        <w:t xml:space="preserve"> for Non-Sequestration Offset Projects</w:t>
      </w:r>
      <w:r w:rsidRPr="00B61FF1">
        <w:rPr>
          <w:rFonts w:ascii="Arial" w:hAnsi="Arial" w:cs="Arial"/>
          <w:sz w:val="24"/>
          <w:szCs w:val="24"/>
        </w:rPr>
        <w:t xml:space="preserve">.  </w:t>
      </w:r>
    </w:p>
    <w:p w14:paraId="23683F5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If an ARB offset credit in the Retirement Account </w:t>
      </w:r>
      <w:r w:rsidRPr="00B61FF1">
        <w:rPr>
          <w:rFonts w:ascii="Arial" w:hAnsi="Arial" w:cs="Arial"/>
          <w:strike/>
          <w:sz w:val="24"/>
          <w:szCs w:val="24"/>
        </w:rPr>
        <w:t xml:space="preserve">from a non-sequestration offset project </w:t>
      </w:r>
      <w:r w:rsidRPr="00B61FF1">
        <w:rPr>
          <w:rFonts w:ascii="Arial" w:hAnsi="Arial" w:cs="Arial"/>
          <w:sz w:val="24"/>
          <w:szCs w:val="24"/>
        </w:rPr>
        <w:t xml:space="preserve">is determined to be invalid pursuant to section 95985(f) for only the circumstance listed in section 95985(c)(1); then: </w:t>
      </w:r>
    </w:p>
    <w:p w14:paraId="7153417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r>
      <w:r w:rsidRPr="00B61FF1">
        <w:rPr>
          <w:rFonts w:ascii="Arial" w:hAnsi="Arial" w:cs="Arial"/>
          <w:caps/>
          <w:sz w:val="24"/>
          <w:szCs w:val="24"/>
        </w:rPr>
        <w:t>E</w:t>
      </w:r>
      <w:r w:rsidRPr="00B61FF1">
        <w:rPr>
          <w:rFonts w:ascii="Arial" w:hAnsi="Arial" w:cs="Arial"/>
          <w:sz w:val="24"/>
          <w:szCs w:val="24"/>
        </w:rPr>
        <w:t>ach party identified in section 95985(e)(2) must replace ARB offset credits in the amount calculated for the individual party according to the following equation, rounded to the nearest whole ton:</w:t>
      </w:r>
    </w:p>
    <w:p w14:paraId="2203C0BC" w14:textId="77777777" w:rsidR="00FE6A4C" w:rsidRPr="00B61FF1" w:rsidRDefault="00661852" w:rsidP="00FE6A4C">
      <w:pPr>
        <w:spacing w:line="360" w:lineRule="auto"/>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ARBOC </m:t>
              </m:r>
            </m:sub>
          </m:sSub>
          <m:r>
            <w:rPr>
              <w:rFonts w:ascii="Cambria Math" w:hAnsi="Cambria Math" w:cs="Arial"/>
              <w:sz w:val="24"/>
              <w:szCs w:val="24"/>
            </w:rPr>
            <m:t>=</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TOT</m:t>
                      </m:r>
                    </m:e>
                    <m:sub>
                      <m:r>
                        <w:rPr>
                          <w:rFonts w:ascii="Cambria Math" w:hAnsi="Cambria Math" w:cs="Arial"/>
                          <w:sz w:val="24"/>
                          <w:szCs w:val="24"/>
                        </w:rPr>
                        <m:t>Retired</m:t>
                      </m:r>
                    </m:sub>
                  </m:sSub>
                </m:num>
                <m:den>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ARBOC</m:t>
                      </m:r>
                    </m:sub>
                  </m:sSub>
                </m:den>
              </m:f>
            </m:e>
          </m:d>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R</m:t>
              </m:r>
            </m:sub>
          </m:sSub>
        </m:oMath>
      </m:oMathPara>
    </w:p>
    <w:p w14:paraId="0505B6DB" w14:textId="77777777" w:rsidR="00FE6A4C" w:rsidRPr="00B61FF1" w:rsidRDefault="00FE6A4C" w:rsidP="00FE6A4C">
      <w:pPr>
        <w:spacing w:line="360" w:lineRule="auto"/>
        <w:rPr>
          <w:rFonts w:ascii="Arial" w:hAnsi="Arial" w:cs="Arial"/>
          <w:sz w:val="24"/>
          <w:szCs w:val="24"/>
        </w:rPr>
      </w:pPr>
    </w:p>
    <w:p w14:paraId="474498C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 xml:space="preserve">Where: </w:t>
      </w:r>
    </w:p>
    <w:p w14:paraId="2DA593A9"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“R</w:t>
      </w:r>
      <w:r w:rsidRPr="00B61FF1">
        <w:rPr>
          <w:rFonts w:ascii="Arial" w:hAnsi="Arial" w:cs="Arial"/>
          <w:sz w:val="24"/>
          <w:szCs w:val="24"/>
          <w:vertAlign w:val="subscript"/>
        </w:rPr>
        <w:t>ARBOC</w:t>
      </w:r>
      <w:r w:rsidRPr="00B61FF1">
        <w:rPr>
          <w:rFonts w:ascii="Arial" w:hAnsi="Arial" w:cs="Arial"/>
          <w:sz w:val="24"/>
          <w:szCs w:val="24"/>
        </w:rPr>
        <w:t>” is the calculated total number of retired ARB offset credits for the applicable Offset Project Data Report, rounded to the nearest whole ton, that must be replaced by each individual party identified in section 95985(e)(2);</w:t>
      </w:r>
    </w:p>
    <w:p w14:paraId="441E88EB" w14:textId="77777777" w:rsidR="00FE6A4C" w:rsidRPr="00B61FF1" w:rsidRDefault="00FE6A4C" w:rsidP="00FE6A4C">
      <w:pPr>
        <w:spacing w:line="360" w:lineRule="auto"/>
        <w:ind w:left="1080"/>
        <w:rPr>
          <w:rFonts w:ascii="Arial" w:hAnsi="Arial" w:cs="Arial"/>
          <w:sz w:val="24"/>
          <w:szCs w:val="24"/>
        </w:rPr>
      </w:pPr>
    </w:p>
    <w:p w14:paraId="627786FF"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“TOT</w:t>
      </w:r>
      <w:r w:rsidRPr="00B61FF1">
        <w:rPr>
          <w:rFonts w:ascii="Arial" w:hAnsi="Arial" w:cs="Arial"/>
          <w:sz w:val="24"/>
          <w:szCs w:val="24"/>
          <w:vertAlign w:val="subscript"/>
        </w:rPr>
        <w:t>Retired</w:t>
      </w:r>
      <w:r w:rsidRPr="00B61FF1">
        <w:rPr>
          <w:rFonts w:ascii="Arial" w:hAnsi="Arial" w:cs="Arial"/>
          <w:sz w:val="24"/>
          <w:szCs w:val="24"/>
        </w:rPr>
        <w:t>” is the total number of ARB offset credits for which ARB transferred the ARB offset credits from the applicable Offset Project Data Report into the Retirement Account for the individual party specified in section 95985(e)(2);</w:t>
      </w:r>
    </w:p>
    <w:p w14:paraId="1E82C67F" w14:textId="77777777" w:rsidR="00FE6A4C" w:rsidRPr="00B61FF1" w:rsidRDefault="00FE6A4C" w:rsidP="00FE6A4C">
      <w:pPr>
        <w:spacing w:line="360" w:lineRule="auto"/>
        <w:ind w:left="1080"/>
        <w:rPr>
          <w:rFonts w:ascii="Arial" w:hAnsi="Arial" w:cs="Arial"/>
          <w:sz w:val="24"/>
          <w:szCs w:val="24"/>
        </w:rPr>
      </w:pPr>
    </w:p>
    <w:p w14:paraId="1A05B228"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“I</w:t>
      </w:r>
      <w:r w:rsidRPr="00B61FF1">
        <w:rPr>
          <w:rFonts w:ascii="Arial" w:hAnsi="Arial" w:cs="Arial"/>
          <w:sz w:val="24"/>
          <w:szCs w:val="24"/>
          <w:vertAlign w:val="subscript"/>
        </w:rPr>
        <w:t>ARBOC</w:t>
      </w:r>
      <w:r w:rsidRPr="00B61FF1">
        <w:rPr>
          <w:rFonts w:ascii="Arial" w:hAnsi="Arial" w:cs="Arial"/>
          <w:sz w:val="24"/>
          <w:szCs w:val="24"/>
        </w:rPr>
        <w:t>” is the number of ARB offset credits issued under the applicable Offset Project Data Report pursuant to section 95981.1 or 95990(i);</w:t>
      </w:r>
    </w:p>
    <w:p w14:paraId="67906EF6" w14:textId="77777777" w:rsidR="00FE6A4C" w:rsidRPr="00B61FF1" w:rsidRDefault="00FE6A4C" w:rsidP="00FE6A4C">
      <w:pPr>
        <w:spacing w:line="360" w:lineRule="auto"/>
        <w:ind w:left="1800" w:hanging="720"/>
        <w:rPr>
          <w:rFonts w:ascii="Arial" w:hAnsi="Arial" w:cs="Arial"/>
          <w:sz w:val="24"/>
          <w:szCs w:val="24"/>
        </w:rPr>
      </w:pPr>
    </w:p>
    <w:p w14:paraId="2AFDC9AE"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“O</w:t>
      </w:r>
      <w:r w:rsidRPr="00B61FF1">
        <w:rPr>
          <w:rFonts w:ascii="Arial" w:hAnsi="Arial" w:cs="Arial"/>
          <w:sz w:val="24"/>
          <w:szCs w:val="24"/>
          <w:vertAlign w:val="subscript"/>
        </w:rPr>
        <w:t>R</w:t>
      </w:r>
      <w:r w:rsidRPr="00B61FF1">
        <w:rPr>
          <w:rFonts w:ascii="Arial" w:hAnsi="Arial" w:cs="Arial"/>
          <w:sz w:val="24"/>
          <w:szCs w:val="24"/>
        </w:rPr>
        <w:t>” is the amount of overstated GHG reductions and GHG removal enhancements calculated pursuant to section 95985(c)(1) for the applicable Offset Project Data Report.</w:t>
      </w:r>
    </w:p>
    <w:p w14:paraId="652EEAC8" w14:textId="77777777" w:rsidR="00FE6A4C" w:rsidRPr="00B61FF1" w:rsidRDefault="00FE6A4C" w:rsidP="00FE6A4C">
      <w:pPr>
        <w:spacing w:line="360" w:lineRule="auto"/>
        <w:ind w:left="1080"/>
        <w:rPr>
          <w:rFonts w:ascii="Arial" w:hAnsi="Arial" w:cs="Arial"/>
          <w:sz w:val="24"/>
          <w:szCs w:val="24"/>
        </w:rPr>
      </w:pPr>
    </w:p>
    <w:p w14:paraId="53F1DAF0" w14:textId="77777777" w:rsidR="00FE6A4C" w:rsidRPr="00B61FF1" w:rsidRDefault="00FE6A4C" w:rsidP="00FE6A4C">
      <w:pPr>
        <w:pBdr>
          <w:between w:val="double" w:sz="4" w:space="1" w:color="auto"/>
        </w:pBd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Each party identified in section 95985(e)(2) must replace ARB offset credits in the amount calculated pursuant to section 95985(h)(1)(A) with valid ARB offset credits or other approved compliance instruments pursuant to subarticle 4, within six months of notification by ARB pursuant to section 95985(g)(2).</w:t>
      </w:r>
    </w:p>
    <w:p w14:paraId="006912B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If each party identified in section 95985(e)(2) does not replace each invalid ARB offset credit in the amount calculated pursuant to section 95985(h)(1)(A) within six months of notice of invalidation pursuant to section 95985(g)(2), each unreplaced invalidated ARB offset credit will constitute a violation for that party pursuant to section 96014.</w:t>
      </w:r>
    </w:p>
    <w:p w14:paraId="59FEBA2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If the party identified in section 95985(e)(2) is no longer in business pursuant to section 95101(h)(2) of MRR, ARB will require the Offset Project Operator to replace each invalidated ARB offset credit and will notify the Offset Project Operator that they must replace them.  </w:t>
      </w:r>
    </w:p>
    <w:p w14:paraId="1C398B8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Pr="00B61FF1">
        <w:rPr>
          <w:rFonts w:ascii="Arial" w:hAnsi="Arial" w:cs="Arial"/>
          <w:sz w:val="24"/>
          <w:szCs w:val="24"/>
          <w:u w:val="single"/>
        </w:rPr>
        <w:t>If t</w:t>
      </w:r>
      <w:r w:rsidRPr="00B61FF1">
        <w:rPr>
          <w:rFonts w:ascii="Arial" w:hAnsi="Arial" w:cs="Arial"/>
          <w:strike/>
          <w:sz w:val="24"/>
          <w:szCs w:val="24"/>
        </w:rPr>
        <w:t>T</w:t>
      </w:r>
      <w:r w:rsidRPr="00B61FF1">
        <w:rPr>
          <w:rFonts w:ascii="Arial" w:hAnsi="Arial" w:cs="Arial"/>
          <w:sz w:val="24"/>
          <w:szCs w:val="24"/>
        </w:rPr>
        <w:t xml:space="preserve">he Offset Project Operator </w:t>
      </w:r>
      <w:r w:rsidRPr="00B61FF1">
        <w:rPr>
          <w:rFonts w:ascii="Arial" w:hAnsi="Arial" w:cs="Arial"/>
          <w:sz w:val="24"/>
          <w:szCs w:val="24"/>
          <w:u w:val="single"/>
        </w:rPr>
        <w:t xml:space="preserve">is required to replace the ARB offset credits pursuant to section 95985(h)(1)(C)(1.), the Offset Project Operator </w:t>
      </w:r>
      <w:r w:rsidRPr="00B61FF1">
        <w:rPr>
          <w:rFonts w:ascii="Arial" w:hAnsi="Arial" w:cs="Arial"/>
          <w:sz w:val="24"/>
          <w:szCs w:val="24"/>
        </w:rPr>
        <w:t xml:space="preserve">must replace each ARB offset credit with a valid ARB offset credit or another approved compliance instrument pursuant to subarticle 4, within six months of notification by ARB pursuant to section 95985(h)(1)(C)(1.).  </w:t>
      </w:r>
    </w:p>
    <w:p w14:paraId="66AA4B80"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the Offset Project Operator</w:t>
      </w:r>
      <w:r w:rsidRPr="00B61FF1">
        <w:rPr>
          <w:rFonts w:ascii="Arial" w:hAnsi="Arial" w:cs="Arial"/>
          <w:sz w:val="24"/>
          <w:szCs w:val="24"/>
          <w:u w:val="single"/>
        </w:rPr>
        <w:t xml:space="preserve"> is required to replace the ARB offset credits pursuant to section 95985(h)(1)(C)(1.), and the Offset Project Operator</w:t>
      </w:r>
      <w:r w:rsidRPr="00B61FF1">
        <w:rPr>
          <w:rFonts w:ascii="Arial" w:hAnsi="Arial" w:cs="Arial"/>
          <w:sz w:val="24"/>
          <w:szCs w:val="24"/>
        </w:rPr>
        <w:t xml:space="preserve"> does not replace each invalid ARB offset credit within six months of notification by ARB pursuant to section 95985(h)(1)(C)(1.), each unreplaced invalidated ARB offset credit will constitute a violation for that Offset Project Operator pursuant to section 96014.</w:t>
      </w:r>
    </w:p>
    <w:p w14:paraId="2E1F53B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ARB will determine the </w:t>
      </w:r>
      <w:r w:rsidRPr="00B61FF1">
        <w:rPr>
          <w:rFonts w:ascii="Arial" w:hAnsi="Arial" w:cs="Arial"/>
          <w:strike/>
          <w:sz w:val="24"/>
          <w:szCs w:val="24"/>
        </w:rPr>
        <w:t xml:space="preserve">lowest serial numbers assigned to </w:t>
      </w:r>
      <w:r w:rsidRPr="00B61FF1">
        <w:rPr>
          <w:rFonts w:ascii="Arial" w:hAnsi="Arial" w:cs="Arial"/>
          <w:sz w:val="24"/>
          <w:szCs w:val="24"/>
          <w:u w:val="single"/>
        </w:rPr>
        <w:t xml:space="preserve">quantity of </w:t>
      </w:r>
      <w:r w:rsidRPr="00B61FF1">
        <w:rPr>
          <w:rFonts w:ascii="Arial" w:hAnsi="Arial" w:cs="Arial"/>
          <w:sz w:val="24"/>
          <w:szCs w:val="24"/>
        </w:rPr>
        <w:t xml:space="preserve">ARB offset credits issued under the applicable Offset Project Data Report in the amount calculated pursuant to section 95985(h)(1)(A) and invalidate </w:t>
      </w:r>
      <w:r w:rsidRPr="00B61FF1">
        <w:rPr>
          <w:rFonts w:ascii="Arial" w:hAnsi="Arial" w:cs="Arial"/>
          <w:sz w:val="24"/>
          <w:szCs w:val="24"/>
          <w:u w:val="single"/>
        </w:rPr>
        <w:t>that quantity of ARB offset credits</w:t>
      </w:r>
      <w:r w:rsidRPr="00B61FF1">
        <w:rPr>
          <w:rFonts w:ascii="Arial" w:hAnsi="Arial" w:cs="Arial"/>
          <w:strike/>
          <w:sz w:val="24"/>
          <w:szCs w:val="24"/>
        </w:rPr>
        <w:t>those serial numbers</w:t>
      </w:r>
      <w:r w:rsidRPr="00B61FF1">
        <w:rPr>
          <w:rFonts w:ascii="Arial" w:hAnsi="Arial" w:cs="Arial"/>
          <w:sz w:val="24"/>
          <w:szCs w:val="24"/>
        </w:rPr>
        <w:t>.</w:t>
      </w:r>
    </w:p>
    <w:p w14:paraId="02DAF0F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The parties identified pursuant to section 95985(e) will be notified of </w:t>
      </w:r>
      <w:r w:rsidRPr="00B61FF1">
        <w:rPr>
          <w:rFonts w:ascii="Arial" w:hAnsi="Arial" w:cs="Arial"/>
          <w:sz w:val="24"/>
          <w:szCs w:val="24"/>
          <w:u w:val="single"/>
        </w:rPr>
        <w:t>the quantity of ARB offset credits that</w:t>
      </w:r>
      <w:r w:rsidRPr="00B61FF1">
        <w:rPr>
          <w:rFonts w:ascii="Arial" w:hAnsi="Arial" w:cs="Arial"/>
          <w:strike/>
          <w:sz w:val="24"/>
          <w:szCs w:val="24"/>
        </w:rPr>
        <w:t>which serial numbers</w:t>
      </w:r>
      <w:r w:rsidRPr="00B61FF1">
        <w:rPr>
          <w:rFonts w:ascii="Arial" w:hAnsi="Arial" w:cs="Arial"/>
          <w:sz w:val="24"/>
          <w:szCs w:val="24"/>
        </w:rPr>
        <w:t xml:space="preserve"> were invalidated.</w:t>
      </w:r>
    </w:p>
    <w:p w14:paraId="245A0B2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 xml:space="preserve">Any approved program for linkage pursuant to subarticle 12 will be notified of which serial numbers were invalidated.  </w:t>
      </w:r>
    </w:p>
    <w:p w14:paraId="2D6A49C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If an ARB offset credit in the Retirement Account</w:t>
      </w:r>
      <w:r w:rsidRPr="00B61FF1">
        <w:rPr>
          <w:rFonts w:ascii="Arial" w:hAnsi="Arial" w:cs="Arial"/>
          <w:strike/>
          <w:sz w:val="24"/>
          <w:szCs w:val="24"/>
        </w:rPr>
        <w:t xml:space="preserve"> from a non-sequestration offset project</w:t>
      </w:r>
      <w:r w:rsidRPr="00B61FF1">
        <w:rPr>
          <w:rFonts w:ascii="Arial" w:hAnsi="Arial" w:cs="Arial"/>
          <w:sz w:val="24"/>
          <w:szCs w:val="24"/>
        </w:rPr>
        <w:t xml:space="preserve"> is determined to be invalid pursuant to section 95985(f) for any circumstance listed in sections 95985(c)(2) and (c)(3); then:</w:t>
      </w:r>
    </w:p>
    <w:p w14:paraId="619C749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The party identified in section 95985(e)(2) must replace each ARB offset credit it requested ARB to transfer into the Retirement Account for the applicable Offset Project Data Report with a valid ARB offset credit or another approved compliance instrument pursuant to subarticle 4, within six months of notification by ARB pursuant to section 95985(g)(2).  </w:t>
      </w:r>
    </w:p>
    <w:p w14:paraId="4A327C6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If the party identified in section 95985(e)(2) does not replace each invalid ARB offset credit within six months of the notice of invalidation pursuant to section 95985(g)(2), each unreplaced invalidated ARB offset credit will constitute a violation for that party pursuant to section 96014.  </w:t>
      </w:r>
    </w:p>
    <w:p w14:paraId="0DDB85AA"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If the party identified in section 95985(e)(2) is no longer in business pursuant to section 95101(h)(2) of MRR ARB will require the Offset Project Operator to replace each invalidated ARB offset credit and will notify the Offset Project Operator that they must replace them.  </w:t>
      </w:r>
    </w:p>
    <w:p w14:paraId="39A3831B"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Pr="00B61FF1">
        <w:rPr>
          <w:rFonts w:ascii="Arial" w:hAnsi="Arial" w:cs="Arial"/>
          <w:sz w:val="24"/>
          <w:szCs w:val="24"/>
          <w:u w:val="single"/>
        </w:rPr>
        <w:t>If t</w:t>
      </w:r>
      <w:r w:rsidRPr="00B61FF1">
        <w:rPr>
          <w:rFonts w:ascii="Arial" w:hAnsi="Arial" w:cs="Arial"/>
          <w:strike/>
          <w:sz w:val="24"/>
          <w:szCs w:val="24"/>
        </w:rPr>
        <w:t>T</w:t>
      </w:r>
      <w:r w:rsidRPr="00B61FF1">
        <w:rPr>
          <w:rFonts w:ascii="Arial" w:hAnsi="Arial" w:cs="Arial"/>
          <w:sz w:val="24"/>
          <w:szCs w:val="24"/>
        </w:rPr>
        <w:t xml:space="preserve">he Offset Project Operator </w:t>
      </w:r>
      <w:r w:rsidRPr="00B61FF1">
        <w:rPr>
          <w:rFonts w:ascii="Arial" w:hAnsi="Arial" w:cs="Arial"/>
          <w:sz w:val="24"/>
          <w:szCs w:val="24"/>
          <w:u w:val="single"/>
        </w:rPr>
        <w:t xml:space="preserve">is required to replace the ARB offset credits pursuant to section 95985(h)(2)(B)(1.), the Offset Project Operator </w:t>
      </w:r>
      <w:r w:rsidRPr="00B61FF1">
        <w:rPr>
          <w:rFonts w:ascii="Arial" w:hAnsi="Arial" w:cs="Arial"/>
          <w:sz w:val="24"/>
          <w:szCs w:val="24"/>
        </w:rPr>
        <w:t xml:space="preserve">must replace each ARB offset credit with a valid ARB offset credit or another approved compliance instrument pursuant to subarticle 4, within six months of notification by ARB pursuant to section 95985(h)(2)(B)1.  </w:t>
      </w:r>
    </w:p>
    <w:p w14:paraId="50E96D10"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If the Offset Project Operator </w:t>
      </w:r>
      <w:r w:rsidRPr="00B61FF1">
        <w:rPr>
          <w:rFonts w:ascii="Arial" w:hAnsi="Arial" w:cs="Arial"/>
          <w:sz w:val="24"/>
          <w:szCs w:val="24"/>
          <w:u w:val="single"/>
        </w:rPr>
        <w:t>is required to replace the ARB offset credits pursuant to section 95985(h)(2)(B)(1.), and the Offset Project Operator</w:t>
      </w:r>
      <w:r w:rsidRPr="00B61FF1">
        <w:rPr>
          <w:rFonts w:ascii="Arial" w:hAnsi="Arial" w:cs="Arial"/>
          <w:sz w:val="24"/>
          <w:szCs w:val="24"/>
        </w:rPr>
        <w:t xml:space="preserve"> does not replace each invalid ARB offset credit within six months of notification by ARB pursuant to section 95985(h)(2)(B)(1.), each unreplaced invalidated ARB offset credit will constitute a violation for that Offset Project Operator pursuant to section 96014.</w:t>
      </w:r>
    </w:p>
    <w:p w14:paraId="2609D8E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parties identified pursuant to section 95985(e) will be notified of which serial numbers were invalidated.</w:t>
      </w:r>
    </w:p>
    <w:p w14:paraId="62D1EFF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Any approved program for linkage pursuant to subarticle 12 will be notified of which serial numbers were invalidated.  </w:t>
      </w:r>
    </w:p>
    <w:p w14:paraId="2AEF30AB" w14:textId="77777777" w:rsidR="00FE6A4C" w:rsidRPr="00B61FF1" w:rsidRDefault="00FE6A4C" w:rsidP="00FE6A4C">
      <w:pPr>
        <w:spacing w:line="360" w:lineRule="auto"/>
        <w:ind w:left="720" w:hanging="720"/>
        <w:rPr>
          <w:rFonts w:ascii="Arial" w:hAnsi="Arial" w:cs="Arial"/>
          <w:strike/>
          <w:sz w:val="24"/>
          <w:szCs w:val="24"/>
        </w:rPr>
      </w:pPr>
      <w:r w:rsidRPr="00B61FF1">
        <w:rPr>
          <w:rFonts w:ascii="Arial" w:hAnsi="Arial" w:cs="Arial"/>
          <w:strike/>
          <w:sz w:val="24"/>
          <w:szCs w:val="24"/>
        </w:rPr>
        <w:t>(i)</w:t>
      </w:r>
      <w:r w:rsidRPr="00B61FF1">
        <w:rPr>
          <w:rFonts w:ascii="Arial" w:hAnsi="Arial" w:cs="Arial"/>
          <w:strike/>
          <w:sz w:val="24"/>
          <w:szCs w:val="24"/>
        </w:rPr>
        <w:tab/>
        <w:t xml:space="preserve">Requirements for Replacement of ARB Offset Credits for Forest Offset Projects.  </w:t>
      </w:r>
    </w:p>
    <w:p w14:paraId="352ADF79" w14:textId="77777777" w:rsidR="00FE6A4C" w:rsidRPr="00B61FF1" w:rsidRDefault="00FE6A4C" w:rsidP="00FE6A4C">
      <w:pPr>
        <w:spacing w:line="360" w:lineRule="auto"/>
        <w:ind w:left="1080" w:hanging="720"/>
        <w:rPr>
          <w:rFonts w:ascii="Arial" w:hAnsi="Arial" w:cs="Arial"/>
          <w:strike/>
          <w:sz w:val="24"/>
          <w:szCs w:val="24"/>
        </w:rPr>
      </w:pPr>
      <w:r w:rsidRPr="00B61FF1">
        <w:rPr>
          <w:rFonts w:ascii="Arial" w:hAnsi="Arial" w:cs="Arial"/>
          <w:strike/>
          <w:sz w:val="24"/>
          <w:szCs w:val="24"/>
        </w:rPr>
        <w:t>(1)</w:t>
      </w:r>
      <w:r w:rsidRPr="00B61FF1">
        <w:rPr>
          <w:rFonts w:ascii="Arial" w:hAnsi="Arial" w:cs="Arial"/>
          <w:strike/>
          <w:sz w:val="24"/>
          <w:szCs w:val="24"/>
        </w:rPr>
        <w:tab/>
        <w:t xml:space="preserve">If an ARB offset credit in the Retirement Account from a forest offset project is determined to be invalid pursuant to section 95985(f) for only the circumstance listed in section 95985(c)(1): </w:t>
      </w:r>
    </w:p>
    <w:p w14:paraId="48CBE625"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rPr>
        <w:tab/>
        <w:t>The Forest Owner identified in section 95985(e)(3) must replace ARB offset credits in the amount calculated according to the following equation, rounded to the nearest whole ton:</w:t>
      </w:r>
    </w:p>
    <w:p w14:paraId="5148F454" w14:textId="77777777" w:rsidR="00FE6A4C" w:rsidRPr="00B61FF1" w:rsidRDefault="00661852" w:rsidP="00FE6A4C">
      <w:pPr>
        <w:spacing w:line="360" w:lineRule="auto"/>
        <w:ind w:left="1800" w:hanging="720"/>
        <w:rPr>
          <w:rFonts w:ascii="Arial" w:hAnsi="Arial" w:cs="Arial"/>
          <w:strike/>
          <w:sz w:val="24"/>
          <w:szCs w:val="24"/>
        </w:rPr>
      </w:pPr>
      <m:oMathPara>
        <m:oMath>
          <m:sSub>
            <m:sSubPr>
              <m:ctrlPr>
                <w:rPr>
                  <w:rFonts w:ascii="Cambria Math" w:hAnsi="Cambria Math" w:cs="Arial"/>
                  <w:i/>
                  <w:strike/>
                  <w:sz w:val="24"/>
                  <w:szCs w:val="24"/>
                </w:rPr>
              </m:ctrlPr>
            </m:sSubPr>
            <m:e>
              <m:r>
                <w:rPr>
                  <w:rFonts w:ascii="Cambria Math" w:hAnsi="Cambria Math" w:cs="Arial"/>
                  <w:strike/>
                  <w:sz w:val="24"/>
                  <w:szCs w:val="24"/>
                </w:rPr>
                <m:t>RF</m:t>
              </m:r>
            </m:e>
            <m:sub>
              <m:r>
                <w:rPr>
                  <w:rFonts w:ascii="Cambria Math" w:hAnsi="Cambria Math" w:cs="Arial"/>
                  <w:strike/>
                  <w:sz w:val="24"/>
                  <w:szCs w:val="24"/>
                </w:rPr>
                <m:t xml:space="preserve">ARBOC </m:t>
              </m:r>
            </m:sub>
          </m:sSub>
          <m:r>
            <w:rPr>
              <w:rFonts w:ascii="Cambria Math" w:hAnsi="Cambria Math" w:cs="Arial"/>
              <w:strike/>
              <w:sz w:val="24"/>
              <w:szCs w:val="24"/>
            </w:rPr>
            <m:t>=</m:t>
          </m:r>
          <m:d>
            <m:dPr>
              <m:begChr m:val="|"/>
              <m:endChr m:val="|"/>
              <m:ctrlPr>
                <w:rPr>
                  <w:rFonts w:ascii="Cambria Math" w:hAnsi="Cambria Math" w:cs="Arial"/>
                  <w:i/>
                  <w:strike/>
                  <w:sz w:val="24"/>
                  <w:szCs w:val="24"/>
                </w:rPr>
              </m:ctrlPr>
            </m:dPr>
            <m:e>
              <m:f>
                <m:fPr>
                  <m:ctrlPr>
                    <w:rPr>
                      <w:rFonts w:ascii="Cambria Math" w:hAnsi="Cambria Math" w:cs="Arial"/>
                      <w:i/>
                      <w:strike/>
                      <w:sz w:val="24"/>
                      <w:szCs w:val="24"/>
                    </w:rPr>
                  </m:ctrlPr>
                </m:fPr>
                <m:num>
                  <m:sSub>
                    <m:sSubPr>
                      <m:ctrlPr>
                        <w:rPr>
                          <w:rFonts w:ascii="Cambria Math" w:hAnsi="Cambria Math" w:cs="Arial"/>
                          <w:i/>
                          <w:strike/>
                          <w:sz w:val="24"/>
                          <w:szCs w:val="24"/>
                        </w:rPr>
                      </m:ctrlPr>
                    </m:sSubPr>
                    <m:e>
                      <m:r>
                        <w:rPr>
                          <w:rFonts w:ascii="Cambria Math" w:hAnsi="Cambria Math" w:cs="Arial"/>
                          <w:strike/>
                          <w:sz w:val="24"/>
                          <w:szCs w:val="24"/>
                        </w:rPr>
                        <m:t>TF</m:t>
                      </m:r>
                    </m:e>
                    <m:sub>
                      <m:r>
                        <w:rPr>
                          <w:rFonts w:ascii="Cambria Math" w:hAnsi="Cambria Math" w:cs="Arial"/>
                          <w:strike/>
                          <w:sz w:val="24"/>
                          <w:szCs w:val="24"/>
                        </w:rPr>
                        <m:t>Retired</m:t>
                      </m:r>
                    </m:sub>
                  </m:sSub>
                </m:num>
                <m:den>
                  <m:sSub>
                    <m:sSubPr>
                      <m:ctrlPr>
                        <w:rPr>
                          <w:rFonts w:ascii="Cambria Math" w:hAnsi="Cambria Math" w:cs="Arial"/>
                          <w:i/>
                          <w:strike/>
                          <w:sz w:val="24"/>
                          <w:szCs w:val="24"/>
                        </w:rPr>
                      </m:ctrlPr>
                    </m:sSubPr>
                    <m:e>
                      <m:r>
                        <w:rPr>
                          <w:rFonts w:ascii="Cambria Math" w:hAnsi="Cambria Math" w:cs="Arial"/>
                          <w:strike/>
                          <w:sz w:val="24"/>
                          <w:szCs w:val="24"/>
                        </w:rPr>
                        <m:t>IF</m:t>
                      </m:r>
                    </m:e>
                    <m:sub>
                      <m:r>
                        <w:rPr>
                          <w:rFonts w:ascii="Cambria Math" w:hAnsi="Cambria Math" w:cs="Arial"/>
                          <w:strike/>
                          <w:sz w:val="24"/>
                          <w:szCs w:val="24"/>
                        </w:rPr>
                        <m:t>ARBOC</m:t>
                      </m:r>
                    </m:sub>
                  </m:sSub>
                </m:den>
              </m:f>
            </m:e>
          </m:d>
          <m:r>
            <w:rPr>
              <w:rFonts w:ascii="Cambria Math" w:hAnsi="Cambria Math" w:cs="Arial"/>
              <w:strike/>
              <w:sz w:val="24"/>
              <w:szCs w:val="24"/>
            </w:rPr>
            <m:t xml:space="preserve"> </m:t>
          </m:r>
          <m:sSub>
            <m:sSubPr>
              <m:ctrlPr>
                <w:rPr>
                  <w:rFonts w:ascii="Cambria Math" w:hAnsi="Cambria Math" w:cs="Arial"/>
                  <w:i/>
                  <w:strike/>
                  <w:sz w:val="24"/>
                  <w:szCs w:val="24"/>
                </w:rPr>
              </m:ctrlPr>
            </m:sSubPr>
            <m:e>
              <m:r>
                <w:rPr>
                  <w:rFonts w:ascii="Cambria Math" w:hAnsi="Cambria Math" w:cs="Arial"/>
                  <w:strike/>
                  <w:sz w:val="24"/>
                  <w:szCs w:val="24"/>
                </w:rPr>
                <m:t>OF</m:t>
              </m:r>
            </m:e>
            <m:sub>
              <m:r>
                <w:rPr>
                  <w:rFonts w:ascii="Cambria Math" w:hAnsi="Cambria Math" w:cs="Arial"/>
                  <w:strike/>
                  <w:sz w:val="24"/>
                  <w:szCs w:val="24"/>
                </w:rPr>
                <m:t>R</m:t>
              </m:r>
            </m:sub>
          </m:sSub>
        </m:oMath>
      </m:oMathPara>
    </w:p>
    <w:p w14:paraId="76D22104" w14:textId="77777777" w:rsidR="00FE6A4C" w:rsidRPr="00B61FF1" w:rsidRDefault="00FE6A4C" w:rsidP="00FE6A4C">
      <w:pPr>
        <w:spacing w:line="360" w:lineRule="auto"/>
        <w:rPr>
          <w:rFonts w:ascii="Arial" w:hAnsi="Arial" w:cs="Arial"/>
          <w:strike/>
          <w:sz w:val="24"/>
          <w:szCs w:val="24"/>
        </w:rPr>
      </w:pPr>
    </w:p>
    <w:p w14:paraId="764982DF"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 xml:space="preserve">Where: </w:t>
      </w:r>
    </w:p>
    <w:p w14:paraId="7D2E9EEB" w14:textId="77777777" w:rsidR="00FE6A4C" w:rsidRPr="00B61FF1" w:rsidRDefault="00FE6A4C" w:rsidP="00FE6A4C">
      <w:pPr>
        <w:spacing w:line="360" w:lineRule="auto"/>
        <w:ind w:left="1080"/>
        <w:rPr>
          <w:rFonts w:ascii="Arial" w:hAnsi="Arial" w:cs="Arial"/>
          <w:strike/>
          <w:sz w:val="24"/>
          <w:szCs w:val="24"/>
        </w:rPr>
      </w:pPr>
      <w:r w:rsidRPr="00B61FF1">
        <w:rPr>
          <w:rFonts w:ascii="Arial" w:hAnsi="Arial" w:cs="Arial"/>
          <w:strike/>
          <w:sz w:val="24"/>
          <w:szCs w:val="24"/>
        </w:rPr>
        <w:t>“RF</w:t>
      </w:r>
      <w:r w:rsidRPr="00B61FF1">
        <w:rPr>
          <w:rFonts w:ascii="Arial" w:hAnsi="Arial" w:cs="Arial"/>
          <w:strike/>
          <w:sz w:val="24"/>
          <w:szCs w:val="24"/>
          <w:vertAlign w:val="subscript"/>
        </w:rPr>
        <w:t>ARBOC</w:t>
      </w:r>
      <w:r w:rsidRPr="00B61FF1">
        <w:rPr>
          <w:rFonts w:ascii="Arial" w:hAnsi="Arial" w:cs="Arial"/>
          <w:strike/>
          <w:sz w:val="24"/>
          <w:szCs w:val="24"/>
        </w:rPr>
        <w:t>” is the total number of retired ARB offset credits for the applicable forest offset project’s Offset Project Data Report, rounded to the nearest whole ton, that must be replaced by the Forest Owner;</w:t>
      </w:r>
    </w:p>
    <w:p w14:paraId="00938B98" w14:textId="77777777" w:rsidR="00FE6A4C" w:rsidRPr="00B61FF1" w:rsidRDefault="00FE6A4C" w:rsidP="00FE6A4C">
      <w:pPr>
        <w:spacing w:line="360" w:lineRule="auto"/>
        <w:ind w:left="1080"/>
        <w:rPr>
          <w:rFonts w:ascii="Arial" w:hAnsi="Arial" w:cs="Arial"/>
          <w:strike/>
          <w:sz w:val="24"/>
          <w:szCs w:val="24"/>
        </w:rPr>
      </w:pPr>
    </w:p>
    <w:p w14:paraId="375F0130" w14:textId="77777777" w:rsidR="00FE6A4C" w:rsidRPr="00B61FF1" w:rsidRDefault="00FE6A4C" w:rsidP="00FE6A4C">
      <w:pPr>
        <w:spacing w:line="360" w:lineRule="auto"/>
        <w:ind w:left="1080"/>
        <w:rPr>
          <w:rFonts w:ascii="Arial" w:hAnsi="Arial" w:cs="Arial"/>
          <w:strike/>
          <w:sz w:val="24"/>
          <w:szCs w:val="24"/>
        </w:rPr>
      </w:pPr>
      <w:r w:rsidRPr="00B61FF1">
        <w:rPr>
          <w:rFonts w:ascii="Arial" w:hAnsi="Arial" w:cs="Arial"/>
          <w:strike/>
          <w:sz w:val="24"/>
          <w:szCs w:val="24"/>
        </w:rPr>
        <w:t>“TF</w:t>
      </w:r>
      <w:r w:rsidRPr="00B61FF1">
        <w:rPr>
          <w:rFonts w:ascii="Arial" w:hAnsi="Arial" w:cs="Arial"/>
          <w:strike/>
          <w:sz w:val="24"/>
          <w:szCs w:val="24"/>
          <w:vertAlign w:val="subscript"/>
        </w:rPr>
        <w:t>Retired</w:t>
      </w:r>
      <w:r w:rsidRPr="00B61FF1">
        <w:rPr>
          <w:rFonts w:ascii="Arial" w:hAnsi="Arial" w:cs="Arial"/>
          <w:strike/>
          <w:sz w:val="24"/>
          <w:szCs w:val="24"/>
        </w:rPr>
        <w:t>” is the total number of ARB offset credits issued for the applicable forest offset project’s Offset Project Data Report for which ARB transferred any ARB offset credits from into the Retirement Account;</w:t>
      </w:r>
    </w:p>
    <w:p w14:paraId="52BD6667" w14:textId="77777777" w:rsidR="00FE6A4C" w:rsidRPr="00B61FF1" w:rsidRDefault="00FE6A4C" w:rsidP="00FE6A4C">
      <w:pPr>
        <w:spacing w:line="360" w:lineRule="auto"/>
        <w:ind w:left="1080"/>
        <w:rPr>
          <w:rFonts w:ascii="Arial" w:hAnsi="Arial" w:cs="Arial"/>
          <w:strike/>
          <w:sz w:val="24"/>
          <w:szCs w:val="24"/>
        </w:rPr>
      </w:pPr>
    </w:p>
    <w:p w14:paraId="470E6C29" w14:textId="77777777" w:rsidR="00FE6A4C" w:rsidRPr="00B61FF1" w:rsidRDefault="00FE6A4C" w:rsidP="00FE6A4C">
      <w:pPr>
        <w:spacing w:line="360" w:lineRule="auto"/>
        <w:ind w:left="1080"/>
        <w:rPr>
          <w:rFonts w:ascii="Arial" w:hAnsi="Arial" w:cs="Arial"/>
          <w:strike/>
          <w:sz w:val="24"/>
          <w:szCs w:val="24"/>
        </w:rPr>
      </w:pPr>
      <w:r w:rsidRPr="00B61FF1">
        <w:rPr>
          <w:rFonts w:ascii="Arial" w:hAnsi="Arial" w:cs="Arial"/>
          <w:strike/>
          <w:sz w:val="24"/>
          <w:szCs w:val="24"/>
        </w:rPr>
        <w:t>“IF</w:t>
      </w:r>
      <w:r w:rsidRPr="00B61FF1">
        <w:rPr>
          <w:rFonts w:ascii="Arial" w:hAnsi="Arial" w:cs="Arial"/>
          <w:strike/>
          <w:sz w:val="24"/>
          <w:szCs w:val="24"/>
          <w:vertAlign w:val="subscript"/>
        </w:rPr>
        <w:t>ARBOC</w:t>
      </w:r>
      <w:r w:rsidRPr="00B61FF1">
        <w:rPr>
          <w:rFonts w:ascii="Arial" w:hAnsi="Arial" w:cs="Arial"/>
          <w:strike/>
          <w:sz w:val="24"/>
          <w:szCs w:val="24"/>
        </w:rPr>
        <w:t>” is the number of ARB offset credits issued under the applicable Offset Project Data Report for the forest offset project pursuant to section 95981.1 or 95990(i);</w:t>
      </w:r>
    </w:p>
    <w:p w14:paraId="0F584C92" w14:textId="77777777" w:rsidR="00FE6A4C" w:rsidRPr="00B61FF1" w:rsidRDefault="00FE6A4C" w:rsidP="00FE6A4C">
      <w:pPr>
        <w:spacing w:line="360" w:lineRule="auto"/>
        <w:ind w:left="1080"/>
        <w:rPr>
          <w:rFonts w:ascii="Arial" w:hAnsi="Arial" w:cs="Arial"/>
          <w:strike/>
          <w:sz w:val="24"/>
          <w:szCs w:val="24"/>
        </w:rPr>
      </w:pPr>
    </w:p>
    <w:p w14:paraId="497E3130" w14:textId="77777777" w:rsidR="00FE6A4C" w:rsidRPr="00B61FF1" w:rsidRDefault="00FE6A4C" w:rsidP="00FE6A4C">
      <w:pPr>
        <w:spacing w:line="360" w:lineRule="auto"/>
        <w:ind w:left="1080"/>
        <w:rPr>
          <w:rFonts w:ascii="Arial" w:hAnsi="Arial" w:cs="Arial"/>
          <w:strike/>
          <w:sz w:val="24"/>
          <w:szCs w:val="24"/>
        </w:rPr>
      </w:pPr>
      <w:r w:rsidRPr="00B61FF1">
        <w:rPr>
          <w:rFonts w:ascii="Arial" w:hAnsi="Arial" w:cs="Arial"/>
          <w:strike/>
          <w:sz w:val="24"/>
          <w:szCs w:val="24"/>
        </w:rPr>
        <w:t>“OF</w:t>
      </w:r>
      <w:r w:rsidRPr="00B61FF1">
        <w:rPr>
          <w:rFonts w:ascii="Arial" w:hAnsi="Arial" w:cs="Arial"/>
          <w:strike/>
          <w:sz w:val="24"/>
          <w:szCs w:val="24"/>
          <w:vertAlign w:val="subscript"/>
        </w:rPr>
        <w:t>R</w:t>
      </w:r>
      <w:r w:rsidRPr="00B61FF1">
        <w:rPr>
          <w:rFonts w:ascii="Arial" w:hAnsi="Arial" w:cs="Arial"/>
          <w:strike/>
          <w:sz w:val="24"/>
          <w:szCs w:val="24"/>
        </w:rPr>
        <w:t>” is the amount of overstated GHG reductions and GHG removal enhancements calculated pursuant to section 95985(c)(1) for the forest offset project for the applicable Offset Project Data Report.</w:t>
      </w:r>
    </w:p>
    <w:p w14:paraId="0931E877" w14:textId="77777777" w:rsidR="00FE6A4C" w:rsidRPr="00B61FF1" w:rsidRDefault="00FE6A4C" w:rsidP="00FE6A4C">
      <w:pPr>
        <w:spacing w:line="360" w:lineRule="auto"/>
        <w:ind w:left="1080"/>
        <w:rPr>
          <w:rFonts w:ascii="Arial" w:hAnsi="Arial" w:cs="Arial"/>
          <w:strike/>
          <w:sz w:val="24"/>
          <w:szCs w:val="24"/>
        </w:rPr>
      </w:pPr>
    </w:p>
    <w:p w14:paraId="5AAFD187" w14:textId="77777777" w:rsidR="00FE6A4C" w:rsidRPr="00B61FF1" w:rsidRDefault="00FE6A4C" w:rsidP="00FE6A4C">
      <w:pPr>
        <w:pBdr>
          <w:between w:val="double" w:sz="4" w:space="1" w:color="auto"/>
        </w:pBdr>
        <w:spacing w:line="360" w:lineRule="auto"/>
        <w:ind w:left="1800" w:hanging="720"/>
        <w:rPr>
          <w:rFonts w:ascii="Arial" w:hAnsi="Arial" w:cs="Arial"/>
          <w:strike/>
          <w:sz w:val="24"/>
          <w:szCs w:val="24"/>
        </w:rPr>
      </w:pPr>
      <w:r w:rsidRPr="00B61FF1">
        <w:rPr>
          <w:rFonts w:ascii="Arial" w:hAnsi="Arial" w:cs="Arial"/>
          <w:strike/>
          <w:sz w:val="24"/>
          <w:szCs w:val="24"/>
        </w:rPr>
        <w:t>(B)</w:t>
      </w:r>
      <w:r w:rsidRPr="00B61FF1">
        <w:rPr>
          <w:rFonts w:ascii="Arial" w:hAnsi="Arial" w:cs="Arial"/>
          <w:strike/>
          <w:sz w:val="24"/>
          <w:szCs w:val="24"/>
        </w:rPr>
        <w:tab/>
        <w:t>The Forest Owner identified in section 95985(e)(3) must replace ARB offset credits in the amount calculated pursuant to section 95985(i)(1)(A) with valid ARB offset credits or other approved compliance instruments pursuant to subarticle 4, within six months of notification by ARB pursuant to section 95985(g)(2).</w:t>
      </w:r>
    </w:p>
    <w:p w14:paraId="26062001"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(C)</w:t>
      </w:r>
      <w:r w:rsidRPr="00B61FF1">
        <w:rPr>
          <w:rFonts w:ascii="Arial" w:hAnsi="Arial" w:cs="Arial"/>
          <w:strike/>
          <w:sz w:val="24"/>
          <w:szCs w:val="24"/>
        </w:rPr>
        <w:tab/>
        <w:t>If the Forest Owner identified in section 95985(e)(3) does not replace each invalid ARB offset credit in the amount calculated pursuant to section 95985(i)(1)(A) within six months of notice of invalidation pursuant to section 95985(g)(2), each unreplaced invalidated ARB offset credit will constitute a violation for that Forest Owner pursuant to section 96014.</w:t>
      </w:r>
    </w:p>
    <w:p w14:paraId="540698C9"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(D)</w:t>
      </w:r>
      <w:r w:rsidRPr="00B61FF1">
        <w:rPr>
          <w:rFonts w:ascii="Arial" w:hAnsi="Arial" w:cs="Arial"/>
          <w:strike/>
          <w:sz w:val="24"/>
          <w:szCs w:val="24"/>
        </w:rPr>
        <w:tab/>
        <w:t>ARB will determine the lowest serial numbers assigned to ARB offset credits issued under the applicable Offset Project Data Report in the amount calculated pursuant to section 95985(i)(1)(A) and invalidate those serial numbers.</w:t>
      </w:r>
    </w:p>
    <w:p w14:paraId="1C20295E"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(E)</w:t>
      </w:r>
      <w:r w:rsidRPr="00B61FF1">
        <w:rPr>
          <w:rFonts w:ascii="Arial" w:hAnsi="Arial" w:cs="Arial"/>
          <w:strike/>
          <w:sz w:val="24"/>
          <w:szCs w:val="24"/>
        </w:rPr>
        <w:tab/>
        <w:t>The Forest Owner identified pursuant to section 95985(e)(3) will be notified of which serial numbers were invalidated.</w:t>
      </w:r>
    </w:p>
    <w:p w14:paraId="18DFC687"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(F)</w:t>
      </w:r>
      <w:r w:rsidRPr="00B61FF1">
        <w:rPr>
          <w:rFonts w:ascii="Arial" w:hAnsi="Arial" w:cs="Arial"/>
          <w:strike/>
          <w:sz w:val="24"/>
          <w:szCs w:val="24"/>
        </w:rPr>
        <w:tab/>
        <w:t xml:space="preserve">Any approved program for linkage pursuant to subarticle 12 will be notified of which serial numbers were invalidated.  </w:t>
      </w:r>
    </w:p>
    <w:p w14:paraId="5BCFF88A" w14:textId="77777777" w:rsidR="00FE6A4C" w:rsidRPr="00B61FF1" w:rsidRDefault="00FE6A4C" w:rsidP="00FE6A4C">
      <w:pPr>
        <w:spacing w:line="360" w:lineRule="auto"/>
        <w:ind w:left="1080" w:hanging="720"/>
        <w:rPr>
          <w:rFonts w:ascii="Arial" w:hAnsi="Arial" w:cs="Arial"/>
          <w:strike/>
          <w:sz w:val="24"/>
          <w:szCs w:val="24"/>
        </w:rPr>
      </w:pPr>
      <w:r w:rsidRPr="00B61FF1">
        <w:rPr>
          <w:rFonts w:ascii="Arial" w:hAnsi="Arial" w:cs="Arial"/>
          <w:strike/>
          <w:sz w:val="24"/>
          <w:szCs w:val="24"/>
        </w:rPr>
        <w:t>(2)</w:t>
      </w:r>
      <w:r w:rsidRPr="00B61FF1">
        <w:rPr>
          <w:rFonts w:ascii="Arial" w:hAnsi="Arial" w:cs="Arial"/>
          <w:strike/>
          <w:sz w:val="24"/>
          <w:szCs w:val="24"/>
        </w:rPr>
        <w:tab/>
        <w:t>If an ARB offset credit in the Retirement Account from a forest offset project is determined to be invalid pursuant to section 95985(f) for any circumstance listed in sections 95985(c)(2) and (c)(3):</w:t>
      </w:r>
    </w:p>
    <w:p w14:paraId="547EBB9F"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rPr>
        <w:tab/>
        <w:t xml:space="preserve">The Forest Owner must replace each ARB offset credit transferred by ARB into the Retirement Account for the applicable Offset Project Data Report with a valid ARB offset credit or another approved compliance instrument pursuant to subarticle 4, within six months of notification by ARB pursuant to section 95985(g)(2).  </w:t>
      </w:r>
    </w:p>
    <w:p w14:paraId="1CF09569"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(B)</w:t>
      </w:r>
      <w:r w:rsidRPr="00B61FF1">
        <w:rPr>
          <w:rFonts w:ascii="Arial" w:hAnsi="Arial" w:cs="Arial"/>
          <w:strike/>
          <w:sz w:val="24"/>
          <w:szCs w:val="24"/>
        </w:rPr>
        <w:tab/>
        <w:t xml:space="preserve">If the Forest Owner does not replace each invalid ARB offset credit within six months of the notice of invalidation pursuant to section 95985(g)(2), each unreplaced invalidated ARB offset credit will constitute a violation for that Forest Owner pursuant to section 96014.  </w:t>
      </w:r>
    </w:p>
    <w:p w14:paraId="54A09E08" w14:textId="77777777" w:rsidR="00FE6A4C" w:rsidRPr="00B61FF1" w:rsidRDefault="00FE6A4C" w:rsidP="00FE6A4C">
      <w:pPr>
        <w:spacing w:line="360" w:lineRule="auto"/>
        <w:ind w:left="1800" w:hanging="720"/>
        <w:rPr>
          <w:rFonts w:ascii="Arial" w:hAnsi="Arial" w:cs="Arial"/>
          <w:strike/>
          <w:sz w:val="24"/>
          <w:szCs w:val="24"/>
        </w:rPr>
      </w:pPr>
      <w:r w:rsidRPr="00B61FF1">
        <w:rPr>
          <w:rFonts w:ascii="Arial" w:hAnsi="Arial" w:cs="Arial"/>
          <w:strike/>
          <w:sz w:val="24"/>
          <w:szCs w:val="24"/>
        </w:rPr>
        <w:t>(C)</w:t>
      </w:r>
      <w:r w:rsidRPr="00B61FF1">
        <w:rPr>
          <w:rFonts w:ascii="Arial" w:hAnsi="Arial" w:cs="Arial"/>
          <w:strike/>
          <w:sz w:val="24"/>
          <w:szCs w:val="24"/>
        </w:rPr>
        <w:tab/>
        <w:t xml:space="preserve">The parties identified pursuant to section 95985(e) will be notified of which serial numbers were invalidated. </w:t>
      </w:r>
    </w:p>
    <w:p w14:paraId="30DB7E4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trike/>
          <w:sz w:val="24"/>
          <w:szCs w:val="24"/>
        </w:rPr>
        <w:t>(D)</w:t>
      </w:r>
      <w:r w:rsidRPr="00B61FF1">
        <w:rPr>
          <w:rFonts w:ascii="Arial" w:hAnsi="Arial" w:cs="Arial"/>
          <w:strike/>
          <w:sz w:val="24"/>
          <w:szCs w:val="24"/>
        </w:rPr>
        <w:tab/>
        <w:t>Any approved program for linkage pursuant to subarticle 12 will be notified of which serial numbers were invalidated.</w:t>
      </w:r>
      <w:r w:rsidRPr="00B61FF1">
        <w:rPr>
          <w:rFonts w:ascii="Arial" w:hAnsi="Arial" w:cs="Arial"/>
          <w:sz w:val="24"/>
          <w:szCs w:val="24"/>
        </w:rPr>
        <w:t xml:space="preserve">  </w:t>
      </w:r>
    </w:p>
    <w:p w14:paraId="6F88872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w:t>
      </w:r>
      <w:r w:rsidRPr="00B61FF1">
        <w:rPr>
          <w:rFonts w:ascii="Arial" w:hAnsi="Arial" w:cs="Arial"/>
          <w:sz w:val="24"/>
          <w:szCs w:val="24"/>
          <w:u w:val="single"/>
        </w:rPr>
        <w:t>i</w:t>
      </w:r>
      <w:r w:rsidRPr="00B61FF1">
        <w:rPr>
          <w:rFonts w:ascii="Arial" w:hAnsi="Arial" w:cs="Arial"/>
          <w:strike/>
          <w:sz w:val="24"/>
          <w:szCs w:val="24"/>
        </w:rPr>
        <w:t>j</w:t>
      </w:r>
      <w:r w:rsidRPr="00B61FF1">
        <w:rPr>
          <w:rFonts w:ascii="Arial" w:hAnsi="Arial" w:cs="Arial"/>
          <w:sz w:val="24"/>
          <w:szCs w:val="24"/>
        </w:rPr>
        <w:t>)</w:t>
      </w:r>
      <w:r w:rsidRPr="00B61FF1">
        <w:rPr>
          <w:rFonts w:ascii="Arial" w:hAnsi="Arial" w:cs="Arial"/>
          <w:sz w:val="24"/>
          <w:szCs w:val="24"/>
        </w:rPr>
        <w:tab/>
        <w:t>Nothing in this section shall limit the authority of the State of California from pursuing enforcement action against any parties in violation of this article.</w:t>
      </w:r>
    </w:p>
    <w:p w14:paraId="63B55B00" w14:textId="77777777" w:rsidR="00FE6A4C" w:rsidRPr="00B61FF1" w:rsidRDefault="00FE6A4C" w:rsidP="00FE6A4C">
      <w:pPr>
        <w:spacing w:line="360" w:lineRule="auto"/>
        <w:rPr>
          <w:rFonts w:ascii="Arial" w:hAnsi="Arial" w:cs="Arial"/>
          <w:sz w:val="24"/>
          <w:szCs w:val="24"/>
        </w:rPr>
      </w:pPr>
    </w:p>
    <w:p w14:paraId="3F70F0A2"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6ACC4453" w14:textId="77777777" w:rsidR="00FE6A4C" w:rsidRPr="00B61FF1" w:rsidRDefault="00FE6A4C" w:rsidP="00FE6A4C">
      <w:pPr>
        <w:rPr>
          <w:rFonts w:ascii="Arial" w:hAnsi="Arial" w:cs="Arial"/>
          <w:b/>
          <w:bCs/>
          <w:iCs/>
          <w:sz w:val="24"/>
          <w:szCs w:val="24"/>
        </w:rPr>
      </w:pPr>
      <w:r w:rsidRPr="00B61FF1">
        <w:rPr>
          <w:rFonts w:ascii="Arial" w:hAnsi="Arial" w:cs="Arial"/>
        </w:rPr>
        <w:t>Reference:  Sections 38530, 38560.5, 38564, 38565, 38570 and 39600, Health and Safety Code.</w:t>
      </w:r>
      <w:r w:rsidRPr="00B61FF1">
        <w:rPr>
          <w:rFonts w:ascii="Arial" w:hAnsi="Arial" w:cs="Arial"/>
          <w:sz w:val="24"/>
          <w:szCs w:val="24"/>
        </w:rPr>
        <w:t xml:space="preserve"> </w:t>
      </w:r>
      <w:bookmarkStart w:id="688" w:name="_Toc269798116"/>
      <w:bookmarkStart w:id="689" w:name="_Toc275870263"/>
      <w:bookmarkStart w:id="690" w:name="_Toc291245711"/>
      <w:bookmarkStart w:id="691" w:name="_Toc294275158"/>
      <w:bookmarkStart w:id="692" w:name="_Toc294863590"/>
    </w:p>
    <w:p w14:paraId="39661D50" w14:textId="77777777" w:rsidR="00FE6A4C" w:rsidRPr="00B61FF1" w:rsidRDefault="00FE6A4C" w:rsidP="00FE6A4C">
      <w:pPr>
        <w:spacing w:before="240" w:after="60" w:line="360" w:lineRule="auto"/>
        <w:outlineLvl w:val="1"/>
        <w:rPr>
          <w:rFonts w:ascii="Arial" w:hAnsi="Arial" w:cs="Arial"/>
          <w:b/>
          <w:bCs/>
          <w:iCs/>
          <w:sz w:val="24"/>
          <w:szCs w:val="24"/>
        </w:rPr>
      </w:pPr>
      <w:bookmarkStart w:id="693" w:name="_Toc299094990"/>
      <w:bookmarkStart w:id="694" w:name="_Toc299095107"/>
      <w:bookmarkStart w:id="695" w:name="_Toc302746844"/>
      <w:bookmarkStart w:id="696" w:name="_Toc361659907"/>
      <w:r w:rsidRPr="00B61FF1">
        <w:rPr>
          <w:rFonts w:ascii="Arial" w:hAnsi="Arial" w:cs="Arial"/>
          <w:b/>
          <w:bCs/>
          <w:iCs/>
          <w:sz w:val="24"/>
          <w:szCs w:val="24"/>
        </w:rPr>
        <w:t>§ 95986.  Executive Officer Approval Requirements for Offset Project Registries</w:t>
      </w:r>
      <w:bookmarkEnd w:id="688"/>
      <w:bookmarkEnd w:id="689"/>
      <w:bookmarkEnd w:id="690"/>
      <w:bookmarkEnd w:id="691"/>
      <w:bookmarkEnd w:id="692"/>
      <w:r w:rsidRPr="00B61FF1">
        <w:rPr>
          <w:rFonts w:ascii="Arial" w:hAnsi="Arial" w:cs="Arial"/>
          <w:b/>
          <w:bCs/>
          <w:iCs/>
          <w:sz w:val="24"/>
          <w:szCs w:val="24"/>
        </w:rPr>
        <w:t>.</w:t>
      </w:r>
      <w:bookmarkEnd w:id="693"/>
      <w:bookmarkEnd w:id="694"/>
      <w:bookmarkEnd w:id="695"/>
      <w:bookmarkEnd w:id="696"/>
    </w:p>
    <w:p w14:paraId="1D7F54F7"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approval requirements specified in this subarticle apply to all Offset Project Registries that will operate to provide registry services under this article.</w:t>
      </w:r>
    </w:p>
    <w:p w14:paraId="38EB457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Executive Officer may approve Offset Project Registries that meet</w:t>
      </w:r>
      <w:r w:rsidRPr="00B61FF1">
        <w:rPr>
          <w:rFonts w:ascii="Arial" w:hAnsi="Arial" w:cs="Arial"/>
          <w:sz w:val="24"/>
          <w:szCs w:val="24"/>
          <w:u w:val="single"/>
        </w:rPr>
        <w:t xml:space="preserve"> and maintain</w:t>
      </w:r>
      <w:r w:rsidRPr="00B61FF1">
        <w:rPr>
          <w:rFonts w:ascii="Arial" w:hAnsi="Arial" w:cs="Arial"/>
          <w:sz w:val="24"/>
          <w:szCs w:val="24"/>
        </w:rPr>
        <w:t xml:space="preserve"> the requirements specified in this section.</w:t>
      </w:r>
    </w:p>
    <w:p w14:paraId="34D50036" w14:textId="77777777" w:rsidR="00FE6A4C" w:rsidRPr="00B61FF1" w:rsidRDefault="00FE6A4C" w:rsidP="00FE6A4C">
      <w:pPr>
        <w:spacing w:line="360" w:lineRule="auto"/>
        <w:ind w:left="720" w:hanging="720"/>
        <w:rPr>
          <w:rFonts w:ascii="Arial" w:hAnsi="Arial" w:cs="Arial"/>
          <w:strike/>
          <w:sz w:val="24"/>
          <w:szCs w:val="24"/>
        </w:rPr>
      </w:pPr>
      <w:r w:rsidRPr="00B61FF1">
        <w:rPr>
          <w:rFonts w:ascii="Arial" w:hAnsi="Arial" w:cs="Arial"/>
          <w:strike/>
          <w:sz w:val="24"/>
          <w:szCs w:val="24"/>
        </w:rPr>
        <w:t>(c)</w:t>
      </w:r>
      <w:r w:rsidRPr="00B61FF1">
        <w:rPr>
          <w:rFonts w:ascii="Arial" w:hAnsi="Arial" w:cs="Arial"/>
          <w:strike/>
          <w:sz w:val="24"/>
          <w:szCs w:val="24"/>
        </w:rPr>
        <w:tab/>
        <w:t xml:space="preserve">The Offset Project Registry must be registered with ARB pursuant to section 95830.  </w:t>
      </w:r>
    </w:p>
    <w:p w14:paraId="6A75D58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Offset Project Registry Approval Application.  To apply for approval as an Offset Project Registry, the applicant shall submit the following information to the Executive Officer:</w:t>
      </w:r>
    </w:p>
    <w:p w14:paraId="458CB76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Name of applicant; </w:t>
      </w:r>
    </w:p>
    <w:p w14:paraId="4265398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Name of president or chief executive officer;</w:t>
      </w:r>
    </w:p>
    <w:p w14:paraId="405C7F4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List of all board members, if applicable;</w:t>
      </w:r>
    </w:p>
    <w:p w14:paraId="378AB59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Addresses of offices located in the United States;</w:t>
      </w:r>
    </w:p>
    <w:p w14:paraId="5F64EE3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Documentation that the applicant carries at least five million U.S. dollars of professional liability insurance; and </w:t>
      </w:r>
    </w:p>
    <w:p w14:paraId="3E13B30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List of any judicial proceedings and administrative actions filed against the applicant within the previous five years, with a detailed explanation as to the nature of the proceedings.</w:t>
      </w:r>
    </w:p>
    <w:p w14:paraId="14C922B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applicant must submit, in writing, the procedures to screen and address internal conflicts of interest.  The applicant must provide the following information to the Executive Officer:</w:t>
      </w:r>
    </w:p>
    <w:p w14:paraId="0344846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staff, management, and board member conflict of interest policy where there are clear criteria for what constitutes a conflict of interest.  The policy must:</w:t>
      </w:r>
    </w:p>
    <w:p w14:paraId="7698C579"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Identify specific activities and limits on monetary and non-monetary gifts staff, management, or board members must not conduct or accept to meet the Offset Project Registry’s internal policies of conflict of interest policy, or alternatively provide a comprehensive policy on the applicant’s requirements for the reporting of any and all conflicts based on internal policies that guard against conflict of interest; and</w:t>
      </w:r>
    </w:p>
    <w:p w14:paraId="5DDCB389"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Include a requirement for annual disclosure by each staff, management, or board member of any items or instances that are covered by the applicant’s conflict of interest policy on an ongoing basis or for the previous calendar year.</w:t>
      </w:r>
    </w:p>
    <w:p w14:paraId="76E073F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applicant must have appropriate conflict of interest and confidentiality requirements in place for any of its contractors;</w:t>
      </w:r>
    </w:p>
    <w:p w14:paraId="1BCEE6B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List of all service types provided by the applicant; </w:t>
      </w:r>
    </w:p>
    <w:p w14:paraId="6B74BAE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The industrial sectors the applicant serves;  </w:t>
      </w:r>
    </w:p>
    <w:p w14:paraId="7832853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Locations where services are provided; and</w:t>
      </w:r>
    </w:p>
    <w:p w14:paraId="452D2E1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A detailed organizational chart that includes the applicant and any parent, subsidiary, and affiliate companies.</w:t>
      </w:r>
    </w:p>
    <w:p w14:paraId="714D776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If the applicant under section 95986 is going to designate a subdivision of its organization to provide registry services, then the prohibition in section 95986(d)(1) on serving as an offset project consultant shall apply at the subdivision level and the applicant must provide the following general information for its self:</w:t>
      </w:r>
    </w:p>
    <w:p w14:paraId="43EB7959"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General types of services; and</w:t>
      </w:r>
    </w:p>
    <w:p w14:paraId="3B9B22C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General locations where services are provided.</w:t>
      </w:r>
    </w:p>
    <w:p w14:paraId="4991DEC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applicant has the following capabilities for registration and tracking of registry offset credits issued under this article:</w:t>
      </w:r>
    </w:p>
    <w:p w14:paraId="7C1CFBEB" w14:textId="77777777" w:rsidR="00FE6A4C" w:rsidRPr="00B61FF1" w:rsidRDefault="00FE6A4C" w:rsidP="00FE6A4C">
      <w:pPr>
        <w:numPr>
          <w:ilvl w:val="2"/>
          <w:numId w:val="20"/>
        </w:numPr>
        <w:spacing w:line="360" w:lineRule="auto"/>
        <w:rPr>
          <w:rFonts w:ascii="Arial" w:hAnsi="Arial" w:cs="Arial"/>
          <w:sz w:val="24"/>
          <w:szCs w:val="24"/>
        </w:rPr>
      </w:pPr>
      <w:r w:rsidRPr="00B61FF1">
        <w:rPr>
          <w:rFonts w:ascii="Arial" w:hAnsi="Arial" w:cs="Arial"/>
          <w:sz w:val="24"/>
          <w:szCs w:val="24"/>
        </w:rPr>
        <w:t>A comprehensive registration requirement for all registry participants;</w:t>
      </w:r>
    </w:p>
    <w:p w14:paraId="7EF94EF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Tracking ownership and transactions of all registry offset credits it issues at all times; and</w:t>
      </w:r>
    </w:p>
    <w:p w14:paraId="3D576FD0" w14:textId="77777777" w:rsidR="00FE6A4C" w:rsidRPr="00B61FF1" w:rsidRDefault="00FE6A4C" w:rsidP="00FE6A4C">
      <w:pPr>
        <w:spacing w:line="360" w:lineRule="auto"/>
        <w:ind w:left="1800" w:hanging="720"/>
        <w:rPr>
          <w:rFonts w:ascii="Arial" w:hAnsi="Arial" w:cs="Arial"/>
          <w:dstrike/>
          <w:sz w:val="24"/>
          <w:szCs w:val="24"/>
        </w:rPr>
      </w:pPr>
      <w:r w:rsidRPr="00B61FF1">
        <w:rPr>
          <w:rFonts w:ascii="Arial" w:hAnsi="Arial" w:cs="Arial"/>
          <w:sz w:val="24"/>
          <w:szCs w:val="24"/>
        </w:rPr>
        <w:t>(C)</w:t>
      </w:r>
      <w:r w:rsidRPr="00B61FF1">
        <w:rPr>
          <w:rFonts w:ascii="Arial" w:hAnsi="Arial" w:cs="Arial"/>
          <w:sz w:val="24"/>
          <w:szCs w:val="24"/>
        </w:rPr>
        <w:tab/>
        <w:t>Possesses a permanent repository of ownership information on all transactions involving all registry offset credits it issues under this article from the time they are issued to the time they are retired or cancelled.</w:t>
      </w:r>
    </w:p>
    <w:p w14:paraId="5E6951CE"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applicant’s primary business must be operating an Offset Project Registry for voluntary or regulatory purposes and meet the following business requirements:</w:t>
      </w:r>
    </w:p>
    <w:p w14:paraId="0974447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applicant may not act as an Offset Project Operator, Authorized Project Designee, or offset project consultant for offset projects registered or listed on its own Offset Project Registry and developed using a Compliance Offset Protocol once approved as an Offset Project Registry. The applicant must annually disclose to ARB any non-offset project related consulting services it provides to an Offset Project Operator or Authorized Project Designee who lists a project using a Compliance Offset Project with the applicant as part of the information included in the annual report required in section 95987(j);</w:t>
      </w:r>
    </w:p>
    <w:p w14:paraId="4C739A5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applicant may not act as a verification body or provide offset verification services pursuant to sections 95977.1 and 95977.2 once approved as an Offset Project Registry;</w:t>
      </w:r>
    </w:p>
    <w:p w14:paraId="09F5DBC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If the applicant designates a subdivision of its organization to provide registry services, the applicant may not be an Offset Project Operator or Authorized Project Designee for offset projects listed at the subdivision’s registry, act as a verification body, or be a covered entity or opt-in covered entity;</w:t>
      </w:r>
    </w:p>
    <w:p w14:paraId="37FCE351" w14:textId="4BF4769C"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applicant must demonstrate experience in the continuous operation of a registry serving an environmentally-focused market for a minimum of two years in a regulatory and/or voluntary market</w:t>
      </w:r>
      <w:r w:rsidR="006F49D8" w:rsidRPr="00B61FF1">
        <w:rPr>
          <w:rFonts w:ascii="Arial" w:hAnsi="Arial" w:cs="Arial"/>
          <w:sz w:val="24"/>
          <w:szCs w:val="24"/>
        </w:rPr>
        <w:t xml:space="preserve">. </w:t>
      </w:r>
      <w:r w:rsidR="006F49D8" w:rsidRPr="00B61FF1">
        <w:rPr>
          <w:rFonts w:ascii="Arial" w:hAnsi="Arial" w:cs="Arial"/>
          <w:sz w:val="24"/>
          <w:szCs w:val="24"/>
          <w:u w:val="single"/>
        </w:rPr>
        <w:t>For the purposes of this section, an “environmentally-focused market”  means a market that includes the trading of carbon-emissions based commodities. In the context of Air Quality Management or Air Quality Control Districts, “Environmentally-focused Market” includes a market for air emission reduction credits</w:t>
      </w:r>
      <w:r w:rsidRPr="00B61FF1">
        <w:rPr>
          <w:rFonts w:ascii="Arial" w:hAnsi="Arial" w:cs="Arial"/>
          <w:sz w:val="24"/>
          <w:szCs w:val="24"/>
        </w:rPr>
        <w:t>; and</w:t>
      </w:r>
    </w:p>
    <w:p w14:paraId="7BA9709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The applicant’s primary incorporation or other business formation and primary place of business, or the primary place of business of the designated subdivision, if the applicant designates a subdivision to provide registry services pursuant to this section, must be in the United States of America.</w:t>
      </w:r>
    </w:p>
    <w:p w14:paraId="2E514CB7"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The Offset Project Registry must continue to maintain the professional liability insurance required in section 95986(c) while it provides registry services to Offset Project Operators or Authorized Project Designees who are implementing offset projects using Compliance Offset Protocols.</w:t>
      </w:r>
    </w:p>
    <w:p w14:paraId="7FF8C5B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If any information submitted pursuant to sections 95986(c) through (e) changes after the approval of an Offset Project Registry, the Offset Project Registry must notify the Executive Officer within 30 calendar days and provide updated information consistent with that required in sections 95986(c) through (e).</w:t>
      </w:r>
    </w:p>
    <w:p w14:paraId="05C526DE"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The Offset Project Registry must attest, in writing, to ARB as follows:</w:t>
      </w:r>
    </w:p>
    <w:p w14:paraId="7770C70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“As the authorized representative for this Offset Project Registry, I understand that the Offset Project Registry is voluntarily participating in the California Cap-and-Trade Program under title 17, article 5, and the Offset Project Registry is now subject to all regulatory requirements and enforcement mechanisms of this program.”;</w:t>
      </w:r>
    </w:p>
    <w:p w14:paraId="3C9009B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“All information generated and submitted to ARB by the Offset Project Registry related to an offset project that uses a Compliance Offset Protocol will be true, accurate, and complete.”;</w:t>
      </w:r>
    </w:p>
    <w:p w14:paraId="7CD2B2D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“All information provided to ARB as part of an ARB audit of the Offset Project Registry will be true, accurate, and complete.”;</w:t>
      </w:r>
    </w:p>
    <w:p w14:paraId="3A239C6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“All registry services provided will be in accordance with the requirements of section 95987.”;</w:t>
      </w:r>
    </w:p>
    <w:p w14:paraId="0333DB3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“The Offset Project Registry is committed to participating in all ARB training related to ARB’s compliance offset program or Compliance Offset Protocols.”; and</w:t>
      </w:r>
    </w:p>
    <w:p w14:paraId="776C63A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The authorized representative of the Offset Project Registry must attest in writing, to ARB: “I certify under penalty of perjury under the laws of the State of California I have authority to represent the Offset Project Registry and all information provided as part of this application is true, accurate, and complete.”.</w:t>
      </w:r>
    </w:p>
    <w:p w14:paraId="1437E5C0"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 xml:space="preserve">At least two of the management staff at the Offset Project Registry must take ARB provided training on ARB’s compliance offset program and pass an examination upon completion of training. </w:t>
      </w:r>
    </w:p>
    <w:p w14:paraId="3F75A65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t xml:space="preserve">The Offset Project Registry must have staff members who have collectively completed ARB training and passed an examination upon completion of training in all Compliance Offset Protocols. </w:t>
      </w:r>
    </w:p>
    <w:p w14:paraId="1F7ACB78"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(j)</w:t>
      </w:r>
      <w:r w:rsidRPr="00B61FF1">
        <w:rPr>
          <w:rFonts w:ascii="Arial" w:hAnsi="Arial" w:cs="Arial"/>
          <w:sz w:val="24"/>
          <w:szCs w:val="24"/>
        </w:rPr>
        <w:tab/>
        <w:t xml:space="preserve">The Offset Project Registry must have </w:t>
      </w:r>
      <w:r w:rsidRPr="00B61FF1">
        <w:rPr>
          <w:rFonts w:ascii="Arial" w:hAnsi="Arial" w:cs="Arial"/>
          <w:sz w:val="24"/>
          <w:szCs w:val="24"/>
          <w:u w:val="single"/>
        </w:rPr>
        <w:t xml:space="preserve">at least two years of demonstrated </w:t>
      </w:r>
      <w:r w:rsidRPr="00B61FF1">
        <w:rPr>
          <w:rFonts w:ascii="Arial" w:hAnsi="Arial" w:cs="Arial"/>
          <w:sz w:val="24"/>
          <w:szCs w:val="24"/>
        </w:rPr>
        <w:t xml:space="preserve">experience in, and requirements for, </w:t>
      </w:r>
      <w:r w:rsidRPr="00B61FF1">
        <w:rPr>
          <w:rFonts w:ascii="Arial" w:hAnsi="Arial" w:cs="Arial"/>
          <w:sz w:val="24"/>
          <w:szCs w:val="24"/>
          <w:u w:val="single"/>
        </w:rPr>
        <w:t xml:space="preserve">direct </w:t>
      </w:r>
      <w:r w:rsidRPr="00B61FF1">
        <w:rPr>
          <w:rFonts w:ascii="Arial" w:hAnsi="Arial" w:cs="Arial"/>
          <w:sz w:val="24"/>
          <w:szCs w:val="24"/>
        </w:rPr>
        <w:t xml:space="preserve">staff oversight </w:t>
      </w:r>
      <w:r w:rsidRPr="00B61FF1">
        <w:rPr>
          <w:rFonts w:ascii="Arial" w:hAnsi="Arial" w:cs="Arial"/>
          <w:strike/>
          <w:sz w:val="24"/>
          <w:szCs w:val="24"/>
        </w:rPr>
        <w:t>of the</w:t>
      </w:r>
      <w:r w:rsidRPr="00B61FF1">
        <w:rPr>
          <w:rFonts w:ascii="Arial" w:hAnsi="Arial" w:cs="Arial"/>
          <w:sz w:val="24"/>
          <w:szCs w:val="24"/>
          <w:u w:val="single"/>
        </w:rPr>
        <w:t xml:space="preserve">and review of </w:t>
      </w:r>
      <w:r w:rsidRPr="00B61FF1">
        <w:rPr>
          <w:rFonts w:ascii="Arial" w:hAnsi="Arial" w:cs="Arial"/>
          <w:sz w:val="24"/>
          <w:szCs w:val="24"/>
        </w:rPr>
        <w:t>offset project</w:t>
      </w:r>
      <w:r w:rsidRPr="00B61FF1">
        <w:rPr>
          <w:rFonts w:ascii="Arial" w:hAnsi="Arial" w:cs="Arial"/>
          <w:sz w:val="24"/>
          <w:szCs w:val="24"/>
          <w:u w:val="single"/>
        </w:rPr>
        <w:t>s</w:t>
      </w:r>
      <w:r w:rsidRPr="00B61FF1">
        <w:rPr>
          <w:rFonts w:ascii="Arial" w:hAnsi="Arial" w:cs="Arial"/>
          <w:sz w:val="24"/>
          <w:szCs w:val="24"/>
        </w:rPr>
        <w:t xml:space="preserve"> </w:t>
      </w:r>
      <w:r w:rsidRPr="00B61FF1">
        <w:rPr>
          <w:rFonts w:ascii="Arial" w:hAnsi="Arial" w:cs="Arial"/>
          <w:strike/>
          <w:sz w:val="24"/>
          <w:szCs w:val="24"/>
        </w:rPr>
        <w:t>review</w:t>
      </w:r>
      <w:r w:rsidRPr="00B61FF1">
        <w:rPr>
          <w:rFonts w:ascii="Arial" w:hAnsi="Arial" w:cs="Arial"/>
          <w:sz w:val="24"/>
          <w:szCs w:val="24"/>
        </w:rPr>
        <w:t xml:space="preserve">, </w:t>
      </w:r>
      <w:r w:rsidRPr="00B61FF1">
        <w:rPr>
          <w:rFonts w:ascii="Arial" w:hAnsi="Arial" w:cs="Arial"/>
          <w:sz w:val="24"/>
          <w:szCs w:val="24"/>
          <w:u w:val="single"/>
        </w:rPr>
        <w:t xml:space="preserve">project </w:t>
      </w:r>
      <w:r w:rsidRPr="00B61FF1">
        <w:rPr>
          <w:rFonts w:ascii="Arial" w:hAnsi="Arial" w:cs="Arial"/>
          <w:sz w:val="24"/>
          <w:szCs w:val="24"/>
        </w:rPr>
        <w:t xml:space="preserve">listing, </w:t>
      </w:r>
      <w:r w:rsidRPr="00B61FF1">
        <w:rPr>
          <w:rFonts w:ascii="Arial" w:hAnsi="Arial" w:cs="Arial"/>
          <w:sz w:val="24"/>
          <w:szCs w:val="24"/>
          <w:u w:val="single"/>
        </w:rPr>
        <w:t xml:space="preserve">offset verification, </w:t>
      </w:r>
      <w:r w:rsidRPr="00B61FF1">
        <w:rPr>
          <w:rFonts w:ascii="Arial" w:hAnsi="Arial" w:cs="Arial"/>
          <w:sz w:val="24"/>
          <w:szCs w:val="24"/>
        </w:rPr>
        <w:t>and registry offset credit issuance</w:t>
      </w:r>
      <w:r w:rsidRPr="00B61FF1">
        <w:rPr>
          <w:rFonts w:ascii="Arial" w:hAnsi="Arial" w:cs="Arial"/>
          <w:strike/>
          <w:sz w:val="24"/>
          <w:szCs w:val="24"/>
        </w:rPr>
        <w:t xml:space="preserve"> process</w:t>
      </w:r>
      <w:r w:rsidRPr="00B61FF1">
        <w:rPr>
          <w:rFonts w:ascii="Arial" w:hAnsi="Arial" w:cs="Arial"/>
          <w:sz w:val="24"/>
          <w:szCs w:val="24"/>
        </w:rPr>
        <w:t>.</w:t>
      </w:r>
    </w:p>
    <w:p w14:paraId="44DC8419" w14:textId="77777777" w:rsidR="00FE6A4C" w:rsidRPr="00B61FF1" w:rsidRDefault="00FE6A4C" w:rsidP="00FE6A4C">
      <w:pPr>
        <w:spacing w:line="360" w:lineRule="auto"/>
        <w:rPr>
          <w:rFonts w:ascii="Arial" w:hAnsi="Arial" w:cs="Arial"/>
          <w:sz w:val="24"/>
          <w:szCs w:val="24"/>
        </w:rPr>
      </w:pPr>
      <w:r w:rsidRPr="00B61FF1">
        <w:rPr>
          <w:rFonts w:ascii="Arial" w:hAnsi="Arial" w:cs="Arial"/>
          <w:sz w:val="24"/>
          <w:szCs w:val="24"/>
        </w:rPr>
        <w:t>(k)</w:t>
      </w:r>
      <w:r w:rsidRPr="00B61FF1">
        <w:rPr>
          <w:rFonts w:ascii="Arial" w:hAnsi="Arial" w:cs="Arial"/>
          <w:sz w:val="24"/>
          <w:szCs w:val="24"/>
        </w:rPr>
        <w:tab/>
        <w:t>ARB Approval.</w:t>
      </w:r>
    </w:p>
    <w:p w14:paraId="5AC4943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Within 60 calendar days of receiving an application for approval as an Offset Project Registry and completion by all management staff of the training required in section 95986(h), the Executive Officer will inform the applicant in writing either that the application is complete or that additional specific information is required to make the application complete.</w:t>
      </w:r>
    </w:p>
    <w:p w14:paraId="4275DED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applicant may be allowed to submit additional supporting documentation before a decision is made by the Executive Officer.</w:t>
      </w:r>
    </w:p>
    <w:p w14:paraId="3EF38D91" w14:textId="77777777" w:rsidR="00FE6A4C" w:rsidRPr="00B61FF1" w:rsidRDefault="00FE6A4C" w:rsidP="00FE6A4C">
      <w:pPr>
        <w:autoSpaceDN/>
        <w:adjustRightInd/>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Within 60 calendar days following completion of the application process, the Executive Officer shall approve an Offset Project Registry if evidence of qualification submitted by the applicant has been found to meet the requirements of section 95986 and issue an Executive Order to that effect.</w:t>
      </w:r>
    </w:p>
    <w:p w14:paraId="208ABFE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Executive Officer and the applicant may mutually agree, in writing, to longer time periods than those specified in subsections 95986(k)(1) and 95986(k)(3).</w:t>
      </w:r>
    </w:p>
    <w:p w14:paraId="05EFEA2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The Executive Officer approval for an Offset Project Registry is valid for a period of 10 years, whereupon the applicant may re-apply.  At the time of re-application, the Offset Project Registry must:</w:t>
      </w:r>
    </w:p>
    <w:p w14:paraId="5FF7156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Demonstrate it consistently met all of the requirements in section 95986;  </w:t>
      </w:r>
    </w:p>
    <w:p w14:paraId="24FD5A4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Pass a performance review, which, at a minimum shows the Offset Project Registry consistently:</w:t>
      </w:r>
    </w:p>
    <w:p w14:paraId="267D164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Demonstrates knowledge of the ARB compliance offset program and Compliance Offset Protocols;</w:t>
      </w:r>
    </w:p>
    <w:p w14:paraId="27CD973D"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Meets all regulatory deadlines; and</w:t>
      </w:r>
    </w:p>
    <w:p w14:paraId="152FBE07"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Provides registry services in accordance with the requirements of this article; and</w:t>
      </w:r>
    </w:p>
    <w:p w14:paraId="6399D53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Not have been subject to enforcement action under this article.</w:t>
      </w:r>
    </w:p>
    <w:p w14:paraId="1F96053D" w14:textId="77777777" w:rsidR="00FE6A4C" w:rsidRPr="00B61FF1" w:rsidRDefault="00FE6A4C" w:rsidP="00FE6A4C">
      <w:pPr>
        <w:spacing w:line="360" w:lineRule="auto"/>
        <w:ind w:left="720" w:hanging="720"/>
        <w:rPr>
          <w:rFonts w:ascii="Arial" w:hAnsi="Arial" w:cs="Arial"/>
          <w:b/>
          <w:sz w:val="24"/>
          <w:szCs w:val="24"/>
        </w:rPr>
      </w:pPr>
      <w:r w:rsidRPr="00B61FF1">
        <w:rPr>
          <w:rFonts w:ascii="Arial" w:hAnsi="Arial" w:cs="Arial"/>
          <w:sz w:val="24"/>
          <w:szCs w:val="24"/>
        </w:rPr>
        <w:t>(l)</w:t>
      </w:r>
      <w:r w:rsidRPr="00B61FF1">
        <w:rPr>
          <w:rFonts w:ascii="Arial" w:hAnsi="Arial" w:cs="Arial"/>
          <w:sz w:val="24"/>
          <w:szCs w:val="24"/>
        </w:rPr>
        <w:tab/>
        <w:t xml:space="preserve">Modification, Suspension, and Revocation of an Executive Order Approving an Offset Project Registry.  The Executive Officer may review, and, for good cause, modify, suspend, or revoke an Executive Order providing approval to an Offset Project Registry.  </w:t>
      </w:r>
    </w:p>
    <w:p w14:paraId="5953AF9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During revocation proceedings, the Offset Project Registry may not continue to provide registry services for ARB.</w:t>
      </w:r>
    </w:p>
    <w:p w14:paraId="7A849AD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Within five working days of suspension or revocation of approval, an Offset Project Registry must notify all Offset Project Operators or Authorized Project Designees for whom it is providing registry services, or has provided registry services within the past 12 months, of its suspension or revocation of approval.</w:t>
      </w:r>
    </w:p>
    <w:p w14:paraId="4C35C3B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An Offset Project Operator or Authorized Project Designee who has been notified by an Offset Project Registry of a suspended or revoked approval must re-submit its offset project information with a new Offset Project Registry or ARB.  An offset project listed at ARB or a new Offset Project Registry will continue to operate under its originally approved crediting period, provided that ARB may extend the crediting period or the relevant deadline in section 95977(d) for one year if ARB determines that such </w:t>
      </w:r>
      <w:r w:rsidRPr="00B61FF1">
        <w:rPr>
          <w:rFonts w:ascii="Arial" w:hAnsi="Arial" w:cs="Arial"/>
          <w:strike/>
          <w:sz w:val="24"/>
          <w:szCs w:val="24"/>
        </w:rPr>
        <w:t>extention</w:t>
      </w:r>
      <w:r w:rsidRPr="00B61FF1">
        <w:rPr>
          <w:rFonts w:ascii="Arial" w:hAnsi="Arial" w:cs="Arial"/>
          <w:sz w:val="24"/>
          <w:szCs w:val="24"/>
          <w:u w:val="single"/>
        </w:rPr>
        <w:t>extension</w:t>
      </w:r>
      <w:r w:rsidRPr="00B61FF1">
        <w:rPr>
          <w:rFonts w:ascii="Arial" w:hAnsi="Arial" w:cs="Arial"/>
          <w:sz w:val="24"/>
          <w:szCs w:val="24"/>
        </w:rPr>
        <w:t xml:space="preserve"> is necessary to provide time for re-submission of information to the new Offset Project Registry or ARB.</w:t>
      </w:r>
    </w:p>
    <w:p w14:paraId="45A101CA" w14:textId="77777777"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(m)</w:t>
      </w:r>
      <w:r w:rsidRPr="00B61FF1">
        <w:rPr>
          <w:rFonts w:ascii="Arial" w:hAnsi="Arial" w:cs="Arial"/>
          <w:sz w:val="24"/>
          <w:szCs w:val="24"/>
        </w:rPr>
        <w:tab/>
      </w:r>
      <w:r w:rsidRPr="00B61FF1">
        <w:rPr>
          <w:rFonts w:ascii="Arial" w:hAnsi="Arial" w:cs="Arial"/>
          <w:sz w:val="24"/>
          <w:szCs w:val="24"/>
          <w:u w:val="single"/>
        </w:rPr>
        <w:t>If the applicant under section 95986 is going to designate a subdivision of its organization to provide registry services, all the requirements of section 95986 will be applied at the designated subdivision level.</w:t>
      </w:r>
    </w:p>
    <w:p w14:paraId="4CCE8DD4" w14:textId="77777777" w:rsidR="00FE6A4C" w:rsidRPr="00B61FF1" w:rsidRDefault="00FE6A4C" w:rsidP="00FE6A4C">
      <w:pPr>
        <w:spacing w:line="360" w:lineRule="auto"/>
        <w:ind w:left="720" w:hanging="720"/>
        <w:rPr>
          <w:rFonts w:ascii="Arial" w:hAnsi="Arial" w:cs="Arial"/>
          <w:sz w:val="24"/>
          <w:szCs w:val="24"/>
          <w:u w:val="single"/>
        </w:rPr>
      </w:pPr>
      <w:r w:rsidRPr="00B61FF1">
        <w:rPr>
          <w:rFonts w:ascii="Arial" w:hAnsi="Arial" w:cs="Arial"/>
          <w:sz w:val="24"/>
          <w:szCs w:val="24"/>
          <w:u w:val="single"/>
        </w:rPr>
        <w:t>(n)</w:t>
      </w:r>
      <w:r w:rsidRPr="00B61FF1">
        <w:rPr>
          <w:rFonts w:ascii="Arial" w:hAnsi="Arial" w:cs="Arial"/>
          <w:sz w:val="24"/>
          <w:szCs w:val="24"/>
        </w:rPr>
        <w:tab/>
      </w:r>
      <w:r w:rsidRPr="00B61FF1">
        <w:rPr>
          <w:rFonts w:ascii="Arial" w:hAnsi="Arial" w:cs="Arial"/>
          <w:sz w:val="24"/>
          <w:szCs w:val="24"/>
          <w:u w:val="single"/>
        </w:rPr>
        <w:t>An approved Offset Project Registry must make itself and its personnel available for an ARB audit.</w:t>
      </w:r>
    </w:p>
    <w:p w14:paraId="2B23E9FD" w14:textId="77777777" w:rsidR="00FE6A4C" w:rsidRPr="00B61FF1" w:rsidRDefault="00FE6A4C" w:rsidP="00FE6A4C">
      <w:pPr>
        <w:spacing w:line="360" w:lineRule="auto"/>
        <w:ind w:left="720" w:hanging="720"/>
        <w:rPr>
          <w:rFonts w:ascii="Arial" w:hAnsi="Arial" w:cs="Arial"/>
          <w:sz w:val="24"/>
          <w:szCs w:val="24"/>
          <w:u w:val="single"/>
        </w:rPr>
      </w:pPr>
    </w:p>
    <w:p w14:paraId="1BD45EF0" w14:textId="77777777" w:rsidR="00FE6A4C" w:rsidRPr="00B61FF1" w:rsidRDefault="00FE6A4C" w:rsidP="00FE6A4C">
      <w:pPr>
        <w:spacing w:line="360" w:lineRule="auto"/>
        <w:rPr>
          <w:rFonts w:ascii="Arial" w:hAnsi="Arial" w:cs="Arial"/>
          <w:b/>
          <w:sz w:val="24"/>
          <w:szCs w:val="24"/>
        </w:rPr>
      </w:pPr>
    </w:p>
    <w:p w14:paraId="3D4AD05D"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7A285BF2"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795C3CC9" w14:textId="77777777" w:rsidR="00FE6A4C" w:rsidRPr="00B61FF1" w:rsidRDefault="00FE6A4C" w:rsidP="00FE6A4C">
      <w:pPr>
        <w:spacing w:before="240" w:after="60" w:line="360" w:lineRule="auto"/>
        <w:outlineLvl w:val="1"/>
        <w:rPr>
          <w:rFonts w:ascii="Arial" w:hAnsi="Arial" w:cs="Arial"/>
          <w:b/>
          <w:bCs/>
          <w:iCs/>
          <w:sz w:val="24"/>
          <w:szCs w:val="24"/>
        </w:rPr>
      </w:pPr>
      <w:bookmarkStart w:id="697" w:name="_Toc269798117"/>
      <w:bookmarkStart w:id="698" w:name="_Toc275870264"/>
      <w:bookmarkStart w:id="699" w:name="_Toc291245712"/>
      <w:bookmarkStart w:id="700" w:name="_Toc294275159"/>
      <w:bookmarkStart w:id="701" w:name="_Toc294863591"/>
      <w:bookmarkStart w:id="702" w:name="_Toc299094991"/>
      <w:bookmarkStart w:id="703" w:name="_Toc299095108"/>
      <w:bookmarkStart w:id="704" w:name="_Toc302746845"/>
      <w:bookmarkStart w:id="705" w:name="_Toc361659908"/>
      <w:r w:rsidRPr="00B61FF1">
        <w:rPr>
          <w:rFonts w:ascii="Arial" w:hAnsi="Arial" w:cs="Arial"/>
          <w:b/>
          <w:bCs/>
          <w:iCs/>
          <w:sz w:val="24"/>
          <w:szCs w:val="24"/>
        </w:rPr>
        <w:t xml:space="preserve">§ 95987.  Offset Project Registry </w:t>
      </w:r>
      <w:bookmarkEnd w:id="697"/>
      <w:r w:rsidRPr="00B61FF1">
        <w:rPr>
          <w:rFonts w:ascii="Arial" w:hAnsi="Arial" w:cs="Arial"/>
          <w:b/>
          <w:bCs/>
          <w:iCs/>
          <w:sz w:val="24"/>
          <w:szCs w:val="24"/>
        </w:rPr>
        <w:t>Requirements</w:t>
      </w:r>
      <w:bookmarkEnd w:id="698"/>
      <w:bookmarkEnd w:id="699"/>
      <w:bookmarkEnd w:id="700"/>
      <w:bookmarkEnd w:id="701"/>
      <w:r w:rsidRPr="00B61FF1">
        <w:rPr>
          <w:rFonts w:ascii="Arial" w:hAnsi="Arial" w:cs="Arial"/>
          <w:b/>
          <w:bCs/>
          <w:iCs/>
          <w:sz w:val="24"/>
          <w:szCs w:val="24"/>
        </w:rPr>
        <w:t>.</w:t>
      </w:r>
      <w:bookmarkEnd w:id="702"/>
      <w:bookmarkEnd w:id="703"/>
      <w:bookmarkEnd w:id="704"/>
      <w:bookmarkEnd w:id="705"/>
    </w:p>
    <w:p w14:paraId="6294DE2F"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The Offset Project Registry shall use Compliance Offset Protocols approved pursuant to section 95971 to determine whether an offset project may be listed with the Offset Project Registry for issuance of registry offset credits.  The Offset Project Registry may list projects under non-Compliance Offset Protocols, but must make it clear any GHG emission reductions and GHG removal enhancements achieved under those protocols are not eligible to be issued registry offset credits or ARB offset credits.  </w:t>
      </w:r>
    </w:p>
    <w:p w14:paraId="041C91F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Offset Project Registry must make the following information publicly available for each offset project developed under a Compliance Offset Protocol:</w:t>
      </w:r>
    </w:p>
    <w:p w14:paraId="5718388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Within 10 working days of the offset project listing requirements being deemed complete in section 95975(f):</w:t>
      </w:r>
    </w:p>
    <w:p w14:paraId="573D425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Offset project name;</w:t>
      </w:r>
    </w:p>
    <w:p w14:paraId="6426353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Offset project location;</w:t>
      </w:r>
    </w:p>
    <w:p w14:paraId="28D4F26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Offset Project Operator and, if applicable, the Authorized Project Designee;</w:t>
      </w:r>
    </w:p>
    <w:p w14:paraId="0C64F8D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Type of offset project;</w:t>
      </w:r>
    </w:p>
    <w:p w14:paraId="18AB479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Name and date of the Compliance Offset Protocol used by the offset project;</w:t>
      </w:r>
    </w:p>
    <w:p w14:paraId="7DE7475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Date of offset project listing submittal and Offset Project Commencement date; and</w:t>
      </w:r>
    </w:p>
    <w:p w14:paraId="2CA9F29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Identification if the offset project is in an initial or renewed crediting period;</w:t>
      </w:r>
    </w:p>
    <w:p w14:paraId="0ECC2DB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 xml:space="preserve">Within 10 working days of the </w:t>
      </w:r>
      <w:r w:rsidRPr="00B61FF1">
        <w:rPr>
          <w:rFonts w:ascii="Arial" w:hAnsi="Arial" w:cs="Arial"/>
          <w:strike/>
          <w:sz w:val="24"/>
          <w:szCs w:val="24"/>
        </w:rPr>
        <w:t>Offset Project Data Report being issued an Offset Verification Statement</w:t>
      </w:r>
      <w:r w:rsidRPr="00B61FF1">
        <w:t xml:space="preserve"> </w:t>
      </w:r>
      <w:r w:rsidRPr="00B61FF1">
        <w:rPr>
          <w:rFonts w:ascii="Arial" w:hAnsi="Arial" w:cs="Arial"/>
          <w:sz w:val="24"/>
          <w:szCs w:val="24"/>
          <w:u w:val="single"/>
        </w:rPr>
        <w:t>Offset Project Registry making a determination of registry offset credit issuance pursuant to section 95980(b)</w:t>
      </w:r>
      <w:r w:rsidRPr="00B61FF1">
        <w:rPr>
          <w:rFonts w:ascii="Arial" w:hAnsi="Arial" w:cs="Arial"/>
          <w:sz w:val="24"/>
          <w:szCs w:val="24"/>
        </w:rPr>
        <w:t>:</w:t>
      </w:r>
    </w:p>
    <w:p w14:paraId="4A01F14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Annual verified project baseline emissions;</w:t>
      </w:r>
    </w:p>
    <w:p w14:paraId="47916AE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Annual verified GHG reductions and GHG removal enhancements achieved by the offset project;</w:t>
      </w:r>
    </w:p>
    <w:p w14:paraId="30BE4E3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unique serial numbers of registry offset credits issued to the offset project for the applicable Offset Project Data Report;</w:t>
      </w:r>
    </w:p>
    <w:p w14:paraId="0FCCA12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Total verified GHG reductions and GHG removal enhancements for the offset project by Reporting Period for when an Offset Project Data Report was submitted; </w:t>
      </w:r>
    </w:p>
    <w:p w14:paraId="38501078"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ab/>
      </w:r>
      <w:r w:rsidRPr="00B61FF1">
        <w:rPr>
          <w:rFonts w:ascii="Arial" w:hAnsi="Arial" w:cs="Arial"/>
          <w:sz w:val="24"/>
          <w:szCs w:val="24"/>
          <w:u w:val="single"/>
        </w:rPr>
        <w:t>The final Offset Project Data Report for each Reporting Period; and</w:t>
      </w:r>
    </w:p>
    <w:p w14:paraId="72948C4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E</w:t>
      </w:r>
      <w:r w:rsidRPr="00B61FF1">
        <w:rPr>
          <w:rFonts w:ascii="Arial" w:hAnsi="Arial" w:cs="Arial"/>
          <w:sz w:val="24"/>
          <w:szCs w:val="24"/>
          <w:u w:val="single"/>
        </w:rPr>
        <w:t>F</w:t>
      </w:r>
      <w:r w:rsidRPr="00B61FF1">
        <w:rPr>
          <w:rFonts w:ascii="Arial" w:hAnsi="Arial" w:cs="Arial"/>
          <w:sz w:val="24"/>
          <w:szCs w:val="24"/>
        </w:rPr>
        <w:t>)</w:t>
      </w:r>
      <w:r w:rsidRPr="00B61FF1">
        <w:rPr>
          <w:rFonts w:ascii="Arial" w:hAnsi="Arial" w:cs="Arial"/>
          <w:sz w:val="24"/>
          <w:szCs w:val="24"/>
        </w:rPr>
        <w:tab/>
        <w:t>Offset Verification Statement for each year the Offset Project Data Report was verified; and</w:t>
      </w:r>
    </w:p>
    <w:p w14:paraId="47D5907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Clear identification of which offset projects are listed and submitting Offset Project Data Reports using Compliance Offset Protocols.</w:t>
      </w:r>
    </w:p>
    <w:p w14:paraId="671368E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Conflict of Interest Review by Offset Project Registries.  The Offset Project Registry must apply the conflict of interest requirements in section 95979 when making a conflict of interest determination for a verification body proposing to conduct offset verification services under sections 95977.1 and 95977.2.  The Offset Project Registry must review and make sure the conflict of interest submittal in section 95979(e) is complete.  When an Offset Project Operator or Authorized Project Designee submits its information pursuant to section 95981(b) to ARB, the Offset Project Registry must provide ARB with the information and attestation identified in section 95979(e) within 15 calendar days.</w:t>
      </w:r>
    </w:p>
    <w:p w14:paraId="6EACAA6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Offset Project Registry may provide guidance to Offset Project Operators, Authorized Project Designees, or offset verifiers for offset projects using a Compliance Offset Protocol, if there is no clear requirement for the topic in a Compliance Offset Protocol, this article, or an ARB guidance document</w:t>
      </w:r>
      <w:r w:rsidRPr="00B61FF1">
        <w:rPr>
          <w:rFonts w:ascii="Arial" w:hAnsi="Arial" w:cs="Arial"/>
          <w:sz w:val="24"/>
          <w:szCs w:val="24"/>
          <w:u w:val="single"/>
        </w:rPr>
        <w:t>, after consulting and coordinating with ARB</w:t>
      </w:r>
      <w:r w:rsidRPr="00B61FF1">
        <w:rPr>
          <w:rFonts w:ascii="Arial" w:hAnsi="Arial" w:cs="Arial"/>
          <w:sz w:val="24"/>
          <w:szCs w:val="24"/>
        </w:rPr>
        <w:t>.</w:t>
      </w:r>
    </w:p>
    <w:p w14:paraId="71112F1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An Offset Project Registry must maintain all correspondence and records of communication with an Offset Project Operator, Authorized Project Designee, or offset verifier when providing clarifications or guidance for an offset project using a Compliance Offset Protocol.</w:t>
      </w:r>
    </w:p>
    <w:p w14:paraId="3B4970A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Before providing such guidance, the Offset Project Registry may request ARB to provide clarification on the topic.</w:t>
      </w:r>
    </w:p>
    <w:p w14:paraId="0B74BAE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Any Offset Project Operator or Authorized Project Designee requests for clarifications or guidance must be documented and the Offset Project Registry response must be submitted on an ongoing monthly basis to ARB beginning with the date of approval as an Offset Project Registry.</w:t>
      </w:r>
    </w:p>
    <w:p w14:paraId="1831D9ED"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The Offset Project Registry must audit at least 10 percent of the annual </w:t>
      </w:r>
      <w:r w:rsidRPr="00B61FF1">
        <w:rPr>
          <w:rFonts w:ascii="Arial" w:hAnsi="Arial" w:cs="Arial"/>
          <w:sz w:val="24"/>
          <w:szCs w:val="24"/>
          <w:u w:val="single"/>
        </w:rPr>
        <w:t xml:space="preserve">full </w:t>
      </w:r>
      <w:r w:rsidRPr="00B61FF1">
        <w:rPr>
          <w:rFonts w:ascii="Arial" w:hAnsi="Arial" w:cs="Arial"/>
          <w:sz w:val="24"/>
          <w:szCs w:val="24"/>
        </w:rPr>
        <w:t>offset verifications developed for offset projects using a Compliance Offset Protocol.</w:t>
      </w:r>
    </w:p>
    <w:p w14:paraId="4B82159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audit must include the following checks:</w:t>
      </w:r>
    </w:p>
    <w:p w14:paraId="5882258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Attendance with the offset verification team on the offset project site visit;</w:t>
      </w:r>
    </w:p>
    <w:p w14:paraId="13E7962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In-person or conference call attendance for the first offset verification team and Offset Project Operator or Authorized Project Designee meeting;</w:t>
      </w:r>
    </w:p>
    <w:p w14:paraId="3678EAC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In-person or conference call attendance to the last meeting or discussion between the offset verification team and Offset Project Operator or Authorized Project Designee;</w:t>
      </w:r>
    </w:p>
    <w:p w14:paraId="57D4ABF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Documentation of any findings during the audit that cause the Offset Project Registry to provide guidance to, or require corrective action with, the offset verification team, including a list of issues noted during the audit and how those were resolved;</w:t>
      </w:r>
    </w:p>
    <w:p w14:paraId="14D6E9D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A review of the detailed verification report and sampling plan to ensure that it meets the minimum requirements in sections 95977.1 and 95977.2 and documentation of any discrepancies</w:t>
      </w:r>
      <w:r w:rsidRPr="00B61FF1">
        <w:rPr>
          <w:rFonts w:ascii="Arial" w:hAnsi="Arial" w:cs="Arial"/>
        </w:rPr>
        <w:t xml:space="preserve"> </w:t>
      </w:r>
      <w:r w:rsidRPr="00B61FF1">
        <w:rPr>
          <w:rFonts w:ascii="Arial" w:hAnsi="Arial" w:cs="Arial"/>
          <w:sz w:val="24"/>
          <w:szCs w:val="24"/>
        </w:rPr>
        <w:t>found during the review; and</w:t>
      </w:r>
    </w:p>
    <w:p w14:paraId="13D6C52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An investigative review of the conflict of interest assessment provided by the verification body, which includes the following:</w:t>
      </w:r>
    </w:p>
    <w:p w14:paraId="3155A13D" w14:textId="77777777" w:rsidR="00FE6A4C" w:rsidRPr="00B61FF1" w:rsidRDefault="00FE6A4C" w:rsidP="00FE6A4C">
      <w:pPr>
        <w:tabs>
          <w:tab w:val="left" w:pos="1440"/>
        </w:tabs>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Discussions with both the lead verifier who submitted the conflict of interest assessment form and the Offset Project Operator or Authorized Project Designee to confirm the information on the conflict of interest assessment form is true, accurate, and complete;</w:t>
      </w:r>
    </w:p>
    <w:p w14:paraId="3D176C9D" w14:textId="77777777" w:rsidR="00FE6A4C" w:rsidRPr="00B61FF1" w:rsidRDefault="00FE6A4C" w:rsidP="00FE6A4C">
      <w:pPr>
        <w:tabs>
          <w:tab w:val="left" w:pos="1440"/>
        </w:tabs>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An internet-based search to ascertain the existence of any previous relationship between the verification body and the Offset Project Operator or Authorized Project Designee, and if so the nature and extent; and</w:t>
      </w:r>
    </w:p>
    <w:p w14:paraId="46AE9981" w14:textId="77777777" w:rsidR="00FE6A4C" w:rsidRPr="00B61FF1" w:rsidRDefault="00FE6A4C" w:rsidP="00FE6A4C">
      <w:pPr>
        <w:tabs>
          <w:tab w:val="left" w:pos="1440"/>
        </w:tabs>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Any other follow up by the Offset Project Registry to have reasonable assurance that the information provided on the conflict of interest assessment form is true, accurate, and complete.</w:t>
      </w:r>
    </w:p>
    <w:p w14:paraId="3343B4D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All information related to audits of offset projects developed using a Compliance Offset Protocol must be provided to ARB within 10 calendar days of an ARB request.</w:t>
      </w:r>
    </w:p>
    <w:p w14:paraId="477E7BA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audits must be selected to provide a representative sampling of geographic locations of all offset projects, representative sampling of verification bodies, representative sampling of lead verifiers, representative sampling of offset project types, and representative sampling of offset projects by size.</w:t>
      </w:r>
    </w:p>
    <w:p w14:paraId="5A5B32D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The Offset Project Registry must provide an annual report to ARB by January 31 for its previous year’s audit program of offset projects developed using Compliance Offset Protocols that includes:</w:t>
      </w:r>
    </w:p>
    <w:p w14:paraId="77BAA5F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list of all offset projects audited;</w:t>
      </w:r>
    </w:p>
    <w:p w14:paraId="4E7DED9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Locations of all offset projects audited;</w:t>
      </w:r>
    </w:p>
    <w:p w14:paraId="5010933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Verification bodies associated with each offset project and names of offset verification team members;</w:t>
      </w:r>
    </w:p>
    <w:p w14:paraId="26EDA61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Dates of site visits;</w:t>
      </w:r>
    </w:p>
    <w:p w14:paraId="060A724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Offset Project Registry staff that conducted the audit; and</w:t>
      </w:r>
    </w:p>
    <w:p w14:paraId="59CF4CD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Audit findings as required in section 95987(e)(1)(D) through (F).</w:t>
      </w:r>
    </w:p>
    <w:p w14:paraId="00C474CF" w14:textId="77777777" w:rsidR="00FE6A4C" w:rsidRPr="00B61FF1" w:rsidRDefault="00FE6A4C" w:rsidP="00FE6A4C">
      <w:pPr>
        <w:numPr>
          <w:ilvl w:val="0"/>
          <w:numId w:val="31"/>
        </w:numPr>
        <w:spacing w:line="360" w:lineRule="auto"/>
        <w:rPr>
          <w:rFonts w:ascii="Arial" w:hAnsi="Arial" w:cs="Arial"/>
          <w:sz w:val="24"/>
          <w:szCs w:val="24"/>
        </w:rPr>
      </w:pPr>
      <w:r w:rsidRPr="00B61FF1">
        <w:rPr>
          <w:rFonts w:ascii="Arial" w:hAnsi="Arial" w:cs="Arial"/>
          <w:sz w:val="24"/>
          <w:szCs w:val="24"/>
        </w:rPr>
        <w:t>The Offset Project Registry must review each detailed verification report provided in section 95977.1(b)(3)(R)(4.)(a.) for completeness and accuracy and to ensure it meets the requirements of section 95977.1(b)(3)(R)(4.)(a.) before accepting the associated Offset Verification Statement for the Offset Project Data Report and issuing registry offset credits.</w:t>
      </w:r>
    </w:p>
    <w:p w14:paraId="0BC1D75C"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The Offset Project Registry must provide all information in its possession, custody, or control related to a listed offset project under a Compliance Offset Protocol within 10 calendar days of request by ARB.</w:t>
      </w:r>
    </w:p>
    <w:p w14:paraId="266F93B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 xml:space="preserve">The Offset Project Registry must make its staff and all information related to listed offset projects under Compliance Offset Protocols by the Offset Project Registry available to ARB during any audits or oversight activities initiated by ARB to ensure the requirements in section 95987 are being carried out as required by this article. </w:t>
      </w:r>
    </w:p>
    <w:p w14:paraId="218236F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t>The Offset Project Registry must remove or cancel any registry offset credits issued for an offset project using a Compliance Offset Protocol, such that the registry offset credits are no longer available for transaction on the Offset Project Registry system, once notified by ARB that the offset project is eligible to be issued ARB offset credits.</w:t>
      </w:r>
    </w:p>
    <w:p w14:paraId="1B83B0BC"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(j)</w:t>
      </w:r>
      <w:r w:rsidRPr="00B61FF1">
        <w:rPr>
          <w:rFonts w:ascii="Arial" w:hAnsi="Arial" w:cs="Arial"/>
          <w:sz w:val="24"/>
          <w:szCs w:val="24"/>
        </w:rPr>
        <w:tab/>
        <w:t>The Offset Project Registry must provide an annual report by January 31 of the previous year’s offset projects that are listed using a Compliance Offset Protocol.  The report must contain the name of the offset project, type of offset project and applicable Compliance Offset Protocol, name of Offset Project Operator or Authorized Project Designee, location of offset project, status of offset project, associated verification body, crediting period, amount of any registry offset credits issued to date, amount of any registry offset credits retired or cancelled for the offset project by the Offset Project Registry to date.</w:t>
      </w:r>
    </w:p>
    <w:p w14:paraId="261FD5F5"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(k)</w:t>
      </w:r>
      <w:r w:rsidRPr="00B61FF1">
        <w:rPr>
          <w:rFonts w:ascii="Arial" w:hAnsi="Arial" w:cs="Arial"/>
          <w:sz w:val="24"/>
          <w:szCs w:val="24"/>
        </w:rPr>
        <w:tab/>
        <w:t>The Offset Project Registry may choose to offer insurance or other products to cover the risk of invalidation of ARB offset credits, but purchase or use of the insurance or other invalidation risk mechanisms will be optional for all entities involved with registry offset credits and ARB offset credit transactions.</w:t>
      </w:r>
    </w:p>
    <w:p w14:paraId="2E5FD5EF" w14:textId="77777777" w:rsidR="00FE6A4C" w:rsidRPr="00B61FF1" w:rsidRDefault="00FE6A4C" w:rsidP="00FE6A4C">
      <w:pPr>
        <w:rPr>
          <w:rFonts w:ascii="Arial" w:hAnsi="Arial" w:cs="Arial"/>
        </w:rPr>
      </w:pPr>
    </w:p>
    <w:p w14:paraId="2D9EFD51"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4768D332"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1B7B014A" w14:textId="4BB884C2" w:rsidR="00FE6A4C" w:rsidRPr="00B61FF1" w:rsidRDefault="00FE6A4C" w:rsidP="00FE6A4C">
      <w:pPr>
        <w:spacing w:before="240" w:after="60" w:line="360" w:lineRule="auto"/>
        <w:outlineLvl w:val="1"/>
        <w:rPr>
          <w:rFonts w:ascii="Arial" w:hAnsi="Arial" w:cs="Arial"/>
          <w:b/>
          <w:bCs/>
          <w:iCs/>
          <w:sz w:val="24"/>
          <w:szCs w:val="24"/>
        </w:rPr>
      </w:pPr>
      <w:bookmarkStart w:id="706" w:name="_Toc268526255"/>
      <w:bookmarkStart w:id="707" w:name="_Toc269206275"/>
      <w:bookmarkStart w:id="708" w:name="_Toc269798118"/>
      <w:bookmarkStart w:id="709" w:name="_Toc275870265"/>
      <w:bookmarkStart w:id="710" w:name="_Toc291245713"/>
      <w:bookmarkStart w:id="711" w:name="_Toc294275160"/>
      <w:bookmarkStart w:id="712" w:name="_Toc294863592"/>
      <w:bookmarkStart w:id="713" w:name="_Toc299094992"/>
      <w:bookmarkStart w:id="714" w:name="_Toc299095109"/>
      <w:bookmarkStart w:id="715" w:name="_Toc302746846"/>
      <w:bookmarkStart w:id="716" w:name="_Toc361659909"/>
      <w:r w:rsidRPr="00B61FF1">
        <w:rPr>
          <w:rFonts w:ascii="Arial" w:hAnsi="Arial" w:cs="Arial"/>
          <w:b/>
          <w:bCs/>
          <w:iCs/>
          <w:sz w:val="24"/>
          <w:szCs w:val="24"/>
        </w:rPr>
        <w:t>§</w:t>
      </w:r>
      <w:r w:rsidR="00C12A41" w:rsidRPr="00B61FF1">
        <w:rPr>
          <w:rFonts w:ascii="Arial" w:hAnsi="Arial" w:cs="Arial"/>
          <w:b/>
          <w:bCs/>
          <w:iCs/>
          <w:sz w:val="24"/>
          <w:szCs w:val="24"/>
        </w:rPr>
        <w:t xml:space="preserve"> </w:t>
      </w:r>
      <w:r w:rsidRPr="00B61FF1">
        <w:rPr>
          <w:rFonts w:ascii="Arial" w:hAnsi="Arial" w:cs="Arial"/>
          <w:b/>
          <w:bCs/>
          <w:iCs/>
          <w:sz w:val="24"/>
          <w:szCs w:val="24"/>
        </w:rPr>
        <w:t>95988.  Record Retention Requirements for Offset Project Registries</w:t>
      </w:r>
      <w:bookmarkEnd w:id="706"/>
      <w:bookmarkEnd w:id="707"/>
      <w:bookmarkEnd w:id="708"/>
      <w:bookmarkEnd w:id="709"/>
      <w:bookmarkEnd w:id="710"/>
      <w:bookmarkEnd w:id="711"/>
      <w:bookmarkEnd w:id="712"/>
      <w:r w:rsidRPr="00B61FF1">
        <w:rPr>
          <w:rFonts w:ascii="Arial" w:hAnsi="Arial" w:cs="Arial"/>
          <w:b/>
          <w:bCs/>
          <w:iCs/>
          <w:sz w:val="24"/>
          <w:szCs w:val="24"/>
        </w:rPr>
        <w:t>.</w:t>
      </w:r>
      <w:bookmarkEnd w:id="713"/>
      <w:bookmarkEnd w:id="714"/>
      <w:bookmarkEnd w:id="715"/>
      <w:bookmarkEnd w:id="716"/>
    </w:p>
    <w:p w14:paraId="58ED470D" w14:textId="77777777" w:rsidR="00FE6A4C" w:rsidRPr="00B61FF1" w:rsidRDefault="00FE6A4C" w:rsidP="00FE6A4C">
      <w:pPr>
        <w:spacing w:line="360" w:lineRule="auto"/>
        <w:rPr>
          <w:rFonts w:ascii="Arial" w:hAnsi="Arial" w:cs="Arial"/>
          <w:sz w:val="24"/>
          <w:szCs w:val="24"/>
        </w:rPr>
      </w:pPr>
      <w:r w:rsidRPr="00B61FF1">
        <w:rPr>
          <w:rFonts w:ascii="Arial" w:hAnsi="Arial" w:cs="Arial"/>
          <w:sz w:val="24"/>
          <w:szCs w:val="24"/>
        </w:rPr>
        <w:t>All information submitted, and correspondence related to, listed offset projects under Compliance Offset Protocols by the Offset Project Registry must be maintained by the Offset Project Registry for a minimum of 15 years.</w:t>
      </w:r>
    </w:p>
    <w:p w14:paraId="21CBAF64" w14:textId="77777777" w:rsidR="00FE6A4C" w:rsidRPr="00B61FF1" w:rsidRDefault="00FE6A4C" w:rsidP="00FE6A4C">
      <w:pPr>
        <w:ind w:left="240" w:hanging="240"/>
        <w:rPr>
          <w:rFonts w:ascii="Arial" w:hAnsi="Arial" w:cs="Arial"/>
        </w:rPr>
      </w:pPr>
    </w:p>
    <w:p w14:paraId="1E1457DC" w14:textId="77777777" w:rsidR="00FE6A4C" w:rsidRPr="00B61FF1" w:rsidRDefault="00FE6A4C" w:rsidP="00FE6A4C">
      <w:pPr>
        <w:rPr>
          <w:rFonts w:ascii="Arial" w:hAnsi="Arial" w:cs="Arial"/>
        </w:rPr>
      </w:pPr>
      <w:r w:rsidRPr="00B61FF1">
        <w:rPr>
          <w:rFonts w:ascii="Arial" w:hAnsi="Arial" w:cs="Arial"/>
        </w:rPr>
        <w:t>NOTE:  Authority cited:  Sections 38510, 38560, 38562, 38570, 38571, 38580, 39600 and 39601, Health and Safety Code.</w:t>
      </w:r>
    </w:p>
    <w:p w14:paraId="0D7B662C" w14:textId="77777777" w:rsidR="00FE6A4C" w:rsidRPr="00B61FF1" w:rsidRDefault="00FE6A4C" w:rsidP="00FE6A4C">
      <w:pPr>
        <w:rPr>
          <w:rFonts w:ascii="Arial" w:hAnsi="Arial" w:cs="Arial"/>
        </w:rPr>
      </w:pPr>
      <w:r w:rsidRPr="00B61FF1">
        <w:rPr>
          <w:rFonts w:ascii="Arial" w:hAnsi="Arial" w:cs="Arial"/>
        </w:rPr>
        <w:t>Reference:  Sections 38530, 38560.5, 38564, 38565, 38570 and 39600, Health and Safety Code.</w:t>
      </w:r>
    </w:p>
    <w:p w14:paraId="788A347B" w14:textId="77777777" w:rsidR="00FE6A4C" w:rsidRPr="00B61FF1" w:rsidRDefault="00FE6A4C" w:rsidP="00F43CE0">
      <w:pPr>
        <w:rPr>
          <w:rFonts w:ascii="Arial" w:hAnsi="Arial" w:cs="Arial"/>
        </w:rPr>
      </w:pPr>
    </w:p>
    <w:p w14:paraId="690C4BB1" w14:textId="77777777" w:rsidR="00FE6A4C" w:rsidRPr="00B61FF1" w:rsidRDefault="00FE6A4C" w:rsidP="00F43CE0">
      <w:pPr>
        <w:rPr>
          <w:rFonts w:ascii="Arial" w:hAnsi="Arial" w:cs="Arial"/>
        </w:rPr>
      </w:pPr>
    </w:p>
    <w:p w14:paraId="319316C5" w14:textId="77777777" w:rsidR="00FE6A4C" w:rsidRPr="00B61FF1" w:rsidRDefault="00FE6A4C" w:rsidP="00F43CE0">
      <w:pPr>
        <w:rPr>
          <w:rFonts w:ascii="Arial" w:hAnsi="Arial" w:cs="Arial"/>
        </w:rPr>
      </w:pPr>
    </w:p>
    <w:p w14:paraId="6D5A2E7B" w14:textId="77777777" w:rsidR="00FE6A4C" w:rsidRPr="00B61FF1" w:rsidRDefault="00FE6A4C" w:rsidP="00FE6A4C">
      <w:pPr>
        <w:keepNext/>
        <w:spacing w:before="100" w:beforeAutospacing="1" w:after="100" w:afterAutospacing="1"/>
        <w:ind w:left="187" w:hanging="187"/>
        <w:outlineLvl w:val="0"/>
        <w:rPr>
          <w:rFonts w:ascii="Arial" w:hAnsi="Arial" w:cs="Arial"/>
          <w:b/>
          <w:bCs/>
          <w:kern w:val="36"/>
          <w:sz w:val="24"/>
          <w:szCs w:val="24"/>
        </w:rPr>
      </w:pPr>
      <w:bookmarkStart w:id="717" w:name="_Toc361659910"/>
      <w:r w:rsidRPr="00B61FF1">
        <w:rPr>
          <w:rFonts w:ascii="Arial" w:hAnsi="Arial" w:cs="Arial"/>
          <w:b/>
          <w:bCs/>
          <w:kern w:val="36"/>
          <w:sz w:val="24"/>
          <w:szCs w:val="24"/>
        </w:rPr>
        <w:t>Subarticle 14: Recognition of Compliance Instruments from Other Programs</w:t>
      </w:r>
      <w:bookmarkStart w:id="718" w:name="_Toc294863594"/>
      <w:bookmarkStart w:id="719" w:name="_Toc299094994"/>
      <w:bookmarkStart w:id="720" w:name="_Toc299095111"/>
      <w:bookmarkStart w:id="721" w:name="_Toc302746848"/>
      <w:bookmarkEnd w:id="717"/>
    </w:p>
    <w:p w14:paraId="37B6117B" w14:textId="77777777" w:rsidR="00FE6A4C" w:rsidRPr="00B61FF1" w:rsidRDefault="00FE6A4C" w:rsidP="00FE6A4C">
      <w:pPr>
        <w:spacing w:before="240" w:after="60" w:line="360" w:lineRule="auto"/>
        <w:outlineLvl w:val="1"/>
        <w:rPr>
          <w:rFonts w:ascii="Arial" w:hAnsi="Arial" w:cs="Arial"/>
          <w:b/>
          <w:bCs/>
          <w:iCs/>
          <w:sz w:val="28"/>
          <w:szCs w:val="28"/>
        </w:rPr>
      </w:pPr>
      <w:bookmarkStart w:id="722" w:name="_Toc361659911"/>
      <w:r w:rsidRPr="00B61FF1">
        <w:rPr>
          <w:rFonts w:ascii="Arial" w:hAnsi="Arial" w:cs="Arial"/>
          <w:b/>
          <w:bCs/>
          <w:iCs/>
          <w:sz w:val="24"/>
          <w:szCs w:val="24"/>
        </w:rPr>
        <w:t>§ 95990.  Recognition of Early Action Offset Credits</w:t>
      </w:r>
      <w:bookmarkEnd w:id="718"/>
      <w:bookmarkEnd w:id="719"/>
      <w:bookmarkEnd w:id="720"/>
      <w:bookmarkEnd w:id="721"/>
      <w:r w:rsidRPr="00B61FF1">
        <w:rPr>
          <w:rFonts w:ascii="Arial" w:hAnsi="Arial" w:cs="Arial"/>
          <w:b/>
          <w:bCs/>
          <w:iCs/>
          <w:sz w:val="24"/>
          <w:szCs w:val="24"/>
        </w:rPr>
        <w:t>.</w:t>
      </w:r>
      <w:bookmarkEnd w:id="722"/>
    </w:p>
    <w:p w14:paraId="5EC96BA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Approval of Early Action Offset Programs.  To qualify as an Early Action Offset Program, either the Executive Officer shall issue an Executive Order pursuant to section 95986(k) or the program must demonstrate to ARB that it meets the following requirements:</w:t>
      </w:r>
    </w:p>
    <w:p w14:paraId="7032F86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program must provide documentation that it carries at least one million U.S. dollars of professional liability insurance.</w:t>
      </w:r>
    </w:p>
    <w:p w14:paraId="6E712784"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program must have the following capabilities for registration and tracking of offset credits:</w:t>
      </w:r>
    </w:p>
    <w:p w14:paraId="0605DC8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registration requirement for all registry participants;</w:t>
      </w:r>
    </w:p>
    <w:p w14:paraId="29E9FE5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 system for tracking ownership and transactions of all early action offset credits it issues under the quantification methodologies listed pursuant to section 95990(c)(5) at all times; and</w:t>
      </w:r>
    </w:p>
    <w:p w14:paraId="10CEF42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 permanent repository of ownership information on all transactions involving all early action offset credits that have been or will be issued for any early action offset project until they are retired or cancelled.</w:t>
      </w:r>
    </w:p>
    <w:p w14:paraId="6E7A080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program’s primary business (or that of the designated subdivision, if the Early Action Offset Program applicant designates a subdivision to provide services as an Early Action Offset Program pursuant to this section) is operating a registry for issuing offset credits for voluntary or regulatory purposes and must meet the following business requirements:</w:t>
      </w:r>
    </w:p>
    <w:p w14:paraId="5A93291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The Early Action Offset Program may not act as an Offset Project Operator, Authorized Project Designee, or offset project consultant for early action offset projects registered on its own registry system and developed under protocols approved pursuant 95990(c)(5).  The Early Action Offset Program applicant may act as an offset project consultant for early action offset projects as long as these are registered with an Early Action Offset Program or an Offset Project Registry unaffiliated with the applicant;</w:t>
      </w:r>
    </w:p>
    <w:p w14:paraId="5A9D5AC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applicant may not act as a verification body and provide offset verification services pursuant to section 95990(f);</w:t>
      </w:r>
    </w:p>
    <w:p w14:paraId="61B19B2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If the applicant designates a subdivision of its organization to provide registry services, the applicant may not be an Offset Project Operator or Authorized Project Designee for offset projects listed at the subdivision’s registry, act as a verification body, or be a covered entity or opt-in covered entity; and</w:t>
      </w:r>
    </w:p>
    <w:p w14:paraId="759A0CD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applicant’s primary incorporation or other business information and primary place of business, or the primary place of business of the designated subdivision, if the applicant designates a subdivision to be an Early Action Offset Program pursuant to this section, must be in the United States of America.</w:t>
      </w:r>
    </w:p>
    <w:p w14:paraId="31EBA6F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The program must agree to submit to ARB the original documentation submitted by an Offset Project Operator or Authorized Project Designee or third-party verifier regarding the early action offset project, including registration documentation, sampling plans, and Early Action Verification Reports. </w:t>
      </w:r>
    </w:p>
    <w:p w14:paraId="38712C2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The program must agree to retire, and not allow for further use, any early action offset credits it issues when retired or used in any voluntary or regulatory program, including when ARB requests retirement for ARB offset credit issuance pursuant to section 95990(i).</w:t>
      </w:r>
    </w:p>
    <w:p w14:paraId="68B850A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An authorized representative of the Early Action Offset Program must attest in writing, to ARB, as follows:</w:t>
      </w:r>
    </w:p>
    <w:p w14:paraId="01FBDBA3" w14:textId="77777777" w:rsidR="00FE6A4C" w:rsidRPr="00B61FF1" w:rsidRDefault="00FE6A4C" w:rsidP="00FE6A4C">
      <w:pPr>
        <w:spacing w:line="360" w:lineRule="auto"/>
        <w:ind w:left="1080"/>
        <w:rPr>
          <w:rFonts w:ascii="Arial" w:hAnsi="Arial" w:cs="Arial"/>
          <w:sz w:val="24"/>
          <w:szCs w:val="24"/>
        </w:rPr>
      </w:pPr>
      <w:r w:rsidRPr="00B61FF1">
        <w:rPr>
          <w:rFonts w:ascii="Arial" w:hAnsi="Arial" w:cs="Arial"/>
          <w:sz w:val="24"/>
          <w:szCs w:val="24"/>
        </w:rPr>
        <w:t>“I certify under penalty of perjury under the laws of the State of California the information provided in demonstrating this program meets the requirements in section 95990(a) and is true, accurate, and complete.”</w:t>
      </w:r>
    </w:p>
    <w:p w14:paraId="3625A713"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ARB shall accept early action offset credits from early action offset projects registered with Early Action Offset Programs approved pursuant to section 95990(a), if the early action offset credits meet the criteria set forth in this section. </w:t>
      </w:r>
    </w:p>
    <w:p w14:paraId="5D8759D9"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Criteria for Approval of Early Action Offset Credits Issued by Early Action Offset Programs.  An early action offset credit may be issued an ARB offset credit pursuant to section 95990(i) if the early action offset credit results from a GHG reduction or GHG removal enhancement which:</w:t>
      </w:r>
    </w:p>
    <w:p w14:paraId="2C8EB16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Occurred between January 1, 2005 and December 31, 2014;</w:t>
      </w:r>
    </w:p>
    <w:p w14:paraId="7939630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Is verified pursuant to section 95990(f);</w:t>
      </w:r>
    </w:p>
    <w:p w14:paraId="29993234"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rPr>
        <w:t>(3)</w:t>
      </w:r>
      <w:r w:rsidRPr="00B61FF1">
        <w:rPr>
          <w:rFonts w:ascii="Arial" w:hAnsi="Arial" w:cs="Arial"/>
          <w:sz w:val="24"/>
          <w:szCs w:val="24"/>
        </w:rPr>
        <w:tab/>
        <w:t xml:space="preserve">Results from an early action offset project that is listed or registered with an Early Action Offset Program prior to </w:t>
      </w:r>
      <w:r w:rsidRPr="00B61FF1">
        <w:rPr>
          <w:rFonts w:ascii="Arial" w:hAnsi="Arial" w:cs="Arial"/>
          <w:strike/>
          <w:sz w:val="24"/>
          <w:szCs w:val="24"/>
        </w:rPr>
        <w:t>January 1, 2014;</w:t>
      </w:r>
      <w:r w:rsidRPr="00B61FF1">
        <w:rPr>
          <w:rFonts w:ascii="Arial" w:hAnsi="Arial" w:cs="Arial"/>
          <w:sz w:val="24"/>
          <w:szCs w:val="24"/>
          <w:u w:val="single"/>
        </w:rPr>
        <w:t>the following:</w:t>
      </w:r>
    </w:p>
    <w:p w14:paraId="7527B7F3"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Early action offset projects developed under any of the offset quantification methodologies in sections 95990(c)(5)(A) through (D) must be listed prior to January 1, 2014;</w:t>
      </w:r>
    </w:p>
    <w:p w14:paraId="0FC8D4EC" w14:textId="1C9A2A8A"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Early action offset projects developed under any of the offset quantification methodologies in section 95990(c)(5)(E) must be listed prior to January 1, 2015.</w:t>
      </w:r>
    </w:p>
    <w:p w14:paraId="269D2E1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Results from an early action offset project located in the United States; and </w:t>
      </w:r>
    </w:p>
    <w:p w14:paraId="76FDDF5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Results from the use of one of the following offset quantification methodologies and relied on the most recent version thereof at the time of offset project submittal:</w:t>
      </w:r>
    </w:p>
    <w:p w14:paraId="046E65F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Climate Action Reserve U.S. Livestock Project Protocol versions 1.0 through 3.0;</w:t>
      </w:r>
    </w:p>
    <w:p w14:paraId="1A4AD90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Climate Action Reserve Urban Forest Project Protocol versions 1.0 through 1.1; </w:t>
      </w:r>
    </w:p>
    <w:p w14:paraId="4475882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Climate Action Reserve U.S. Ozone Depleting Substances Project Protocol version 1.0; and</w:t>
      </w:r>
    </w:p>
    <w:p w14:paraId="6BF56ED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Climate Action Reserve Forest Project Protocol versions 2.1 and 3.0 through 3.2, if the early action offset project contributes early action offset credits into a buffer account based on its reversal risk calculated according to the Compliance Offset Protocol U.S. Forest Projects, October 20, 2011. </w:t>
      </w:r>
    </w:p>
    <w:p w14:paraId="41A97E00"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(E)</w:t>
      </w:r>
      <w:r w:rsidRPr="00B61FF1">
        <w:rPr>
          <w:rFonts w:ascii="Arial" w:hAnsi="Arial" w:cs="Arial"/>
          <w:sz w:val="24"/>
          <w:szCs w:val="24"/>
        </w:rPr>
        <w:tab/>
      </w:r>
      <w:r w:rsidRPr="00B61FF1">
        <w:rPr>
          <w:rFonts w:ascii="Arial" w:hAnsi="Arial" w:cs="Arial"/>
          <w:sz w:val="24"/>
          <w:szCs w:val="24"/>
          <w:u w:val="single"/>
        </w:rPr>
        <w:t>Placeholder for potential new early action quantification methodologies to be determined (Rice Cultivation or Mine Methane Capture Projects).</w:t>
      </w:r>
    </w:p>
    <w:p w14:paraId="1E53AED4"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following parties must register with ARB pursuant to section 95830 before ARB offset credits may be issued pursuant to section 95990(i):</w:t>
      </w:r>
    </w:p>
    <w:p w14:paraId="0B66B2E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Offset Project Operator or Authorized Project Designee for a forest or urban forest early action offset project that does not transition to a Compliance Offset Protocol pursuant to section 95990(k); and</w:t>
      </w:r>
    </w:p>
    <w:p w14:paraId="7DEA81D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Offset Project Operator or Authorized Project Designee for the following early action offset projects, except as provided in section 95990(d)(3):</w:t>
      </w:r>
    </w:p>
    <w:p w14:paraId="2882FB5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 forest or urban forest early action offset project that transitions to a Compliance Offset Protocol pursuant to section 95990(k);</w:t>
      </w:r>
    </w:p>
    <w:p w14:paraId="43F1900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An early action offset project developed under one of the protocols identified in section 95990(c)(5)(A) and (C).</w:t>
      </w:r>
    </w:p>
    <w:p w14:paraId="252F185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If the Offset Project Operator or Authorized Project Designees identified in section 95990(d)(2) do not register with ARB or list the early action offset project pursuant to section 95990(e), the holder of early action offset credits may register with ARB and seek issuance of ARB offset credits pursuant to section 95990(i), as long as the holder lists the early action offset project pursuant to section 95990(e) and provides ARB with the attestations required pursuant to section 95990(h)(6). </w:t>
      </w:r>
    </w:p>
    <w:p w14:paraId="1AC57323"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Listing of Early Action Offset Projects.  Before ARB can </w:t>
      </w:r>
      <w:r w:rsidRPr="00B61FF1">
        <w:rPr>
          <w:rFonts w:ascii="Arial" w:hAnsi="Arial" w:cs="Arial"/>
          <w:sz w:val="24"/>
          <w:szCs w:val="24"/>
          <w:u w:val="single"/>
        </w:rPr>
        <w:t xml:space="preserve">evaluate conflict of interest and any verification related information submitted pursuant to section 95990(f), and </w:t>
      </w:r>
      <w:r w:rsidRPr="00B61FF1">
        <w:rPr>
          <w:rFonts w:ascii="Arial" w:hAnsi="Arial" w:cs="Arial"/>
          <w:sz w:val="24"/>
          <w:szCs w:val="24"/>
        </w:rPr>
        <w:t xml:space="preserve">issue ARB offset credits pursuant to section 95990(i): </w:t>
      </w:r>
    </w:p>
    <w:p w14:paraId="23DEBBA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following parties must submit the information listed in section 95990(e)(2) to ARB:</w:t>
      </w:r>
    </w:p>
    <w:p w14:paraId="32D23A35" w14:textId="77777777" w:rsidR="00FE6A4C" w:rsidRPr="00B61FF1" w:rsidRDefault="00FE6A4C" w:rsidP="00FE6A4C">
      <w:pPr>
        <w:spacing w:line="360" w:lineRule="auto"/>
        <w:ind w:left="1800" w:hanging="720"/>
        <w:rPr>
          <w:rFonts w:ascii="Arial" w:hAnsi="Arial" w:cs="Arial"/>
          <w:dstrike/>
          <w:sz w:val="24"/>
          <w:szCs w:val="24"/>
        </w:rPr>
      </w:pPr>
      <w:r w:rsidRPr="00B61FF1">
        <w:rPr>
          <w:rFonts w:ascii="Arial" w:hAnsi="Arial" w:cs="Arial"/>
          <w:sz w:val="24"/>
          <w:szCs w:val="24"/>
        </w:rPr>
        <w:t>(A)</w:t>
      </w:r>
      <w:r w:rsidRPr="00B61FF1">
        <w:rPr>
          <w:rFonts w:ascii="Arial" w:hAnsi="Arial" w:cs="Arial"/>
          <w:sz w:val="24"/>
          <w:szCs w:val="24"/>
        </w:rPr>
        <w:tab/>
        <w:t>The Offset Project Operator or Authorized Project Designee for a forest or urban forest early action offset project that does not transition to a Compliance Offset Protocol pursuant to section 95990(k); and</w:t>
      </w:r>
      <w:r w:rsidRPr="00B61FF1">
        <w:rPr>
          <w:rFonts w:ascii="Arial" w:hAnsi="Arial" w:cs="Arial"/>
          <w:dstrike/>
          <w:sz w:val="24"/>
          <w:szCs w:val="24"/>
        </w:rPr>
        <w:t xml:space="preserve"> </w:t>
      </w:r>
    </w:p>
    <w:p w14:paraId="460FC7B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The Offset Project Operator or Authorized Project Designee for the following early action offset projects, except as provided in section 95990(e)(1)(C); </w:t>
      </w:r>
    </w:p>
    <w:p w14:paraId="666E783F"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 forest or urban forest early action offset project that transitions to a Compliance Offset Protocol pursuant to section 95990(k);</w:t>
      </w:r>
    </w:p>
    <w:p w14:paraId="3707F9E1"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An early action offset project developed under one of the protocols identified in section 95990(c)(5)(A) and (C).</w:t>
      </w:r>
    </w:p>
    <w:p w14:paraId="480A034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If the Offset Project Operator or Authorized Project Designees identified in section 95990(e)(1)(B) do not register with ARB pursuant to section 95990(d) or list the early action offset project, the holder of early action offset credits may list the early action offset credit by submitting the information listed in section 95990(e)(2) and seek issuance of ARB offset credits pursuant to section 95990(i), as long as the</w:t>
      </w:r>
      <w:r w:rsidRPr="00B61FF1">
        <w:rPr>
          <w:rFonts w:ascii="Arial" w:hAnsi="Arial" w:cs="Arial"/>
          <w:sz w:val="24"/>
          <w:szCs w:val="24"/>
          <w:u w:val="single"/>
        </w:rPr>
        <w:t xml:space="preserve"> following conditions are met:</w:t>
      </w:r>
      <w:r w:rsidRPr="00B61FF1">
        <w:rPr>
          <w:rFonts w:ascii="Arial" w:hAnsi="Arial" w:cs="Arial"/>
          <w:sz w:val="24"/>
          <w:szCs w:val="24"/>
        </w:rPr>
        <w:t xml:space="preserve"> </w:t>
      </w:r>
    </w:p>
    <w:p w14:paraId="432CB321"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 xml:space="preserve">The </w:t>
      </w:r>
      <w:r w:rsidRPr="00B61FF1">
        <w:rPr>
          <w:rFonts w:ascii="Arial" w:hAnsi="Arial" w:cs="Arial"/>
          <w:sz w:val="24"/>
          <w:szCs w:val="24"/>
        </w:rPr>
        <w:t>holder registers with ARB pursuant to section 95990(d) and provides ARB with the attestations required pursuant to section 95990(h)(6)</w:t>
      </w:r>
      <w:r w:rsidRPr="00B61FF1">
        <w:rPr>
          <w:rFonts w:ascii="Arial" w:hAnsi="Arial" w:cs="Arial"/>
          <w:sz w:val="24"/>
          <w:szCs w:val="24"/>
          <w:u w:val="single"/>
        </w:rPr>
        <w:t>; and</w:t>
      </w:r>
    </w:p>
    <w:p w14:paraId="24E0C7E4" w14:textId="156558F4" w:rsidR="00FE6A4C" w:rsidRPr="00B61FF1" w:rsidRDefault="00FE6A4C" w:rsidP="00FE6A4C">
      <w:pPr>
        <w:spacing w:line="360" w:lineRule="auto"/>
        <w:ind w:left="2160" w:hanging="720"/>
        <w:rPr>
          <w:rFonts w:ascii="Arial" w:hAnsi="Arial" w:cs="Arial"/>
          <w:dstrike/>
          <w:sz w:val="24"/>
          <w:szCs w:val="24"/>
          <w:u w:val="single"/>
        </w:rPr>
      </w:pPr>
      <w:r w:rsidRPr="00B61FF1">
        <w:rPr>
          <w:rFonts w:ascii="Arial" w:hAnsi="Arial" w:cs="Arial"/>
          <w:sz w:val="24"/>
          <w:szCs w:val="24"/>
          <w:u w:val="single"/>
        </w:rPr>
        <w:t>2.</w:t>
      </w:r>
      <w:r w:rsidRPr="00B61FF1">
        <w:rPr>
          <w:rFonts w:ascii="Arial" w:hAnsi="Arial" w:cs="Arial"/>
          <w:sz w:val="24"/>
          <w:szCs w:val="24"/>
        </w:rPr>
        <w:tab/>
      </w:r>
      <w:r w:rsidR="002838A3" w:rsidRPr="00B61FF1">
        <w:rPr>
          <w:rFonts w:ascii="Arial" w:hAnsi="Arial" w:cs="Arial"/>
          <w:sz w:val="24"/>
          <w:szCs w:val="24"/>
          <w:u w:val="single"/>
        </w:rPr>
        <w:t>The holder has made at least one written request to the Offset Project Operator or Authorized Project Designee confirming that the Offset Project Operator or Authorized Project Designee will not list the applicable early action reporting periods for the early action offset project, and has provided proof of this request, and response, or at least 30 days has passed since the request to ARB</w:t>
      </w:r>
      <w:r w:rsidR="002838A3" w:rsidRPr="00B61FF1">
        <w:rPr>
          <w:rFonts w:ascii="Arial" w:hAnsi="Arial" w:cs="Arial"/>
          <w:sz w:val="24"/>
          <w:szCs w:val="24"/>
        </w:rPr>
        <w:t>.</w:t>
      </w:r>
    </w:p>
    <w:p w14:paraId="5E613391"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parties identified in section 95990(e)(1) must submit the following information to ARB:</w:t>
      </w:r>
    </w:p>
    <w:p w14:paraId="5204354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Early action offset project name;</w:t>
      </w:r>
    </w:p>
    <w:p w14:paraId="067D3C2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Early action offset project location;</w:t>
      </w:r>
    </w:p>
    <w:p w14:paraId="0D78E5E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Offset Project Operator, or if applicable, the Authorized Project Designee;</w:t>
      </w:r>
    </w:p>
    <w:p w14:paraId="7218AAE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Name and date of protocol used by the early action offset project, including, if applicable, a version number;</w:t>
      </w:r>
    </w:p>
    <w:p w14:paraId="3762486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Date of early action offset project listing or registration date and Offset Project Commencement Date; and</w:t>
      </w:r>
    </w:p>
    <w:p w14:paraId="5080461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The name of any verification bodies associated with the early action offset project</w:t>
      </w:r>
      <w:r w:rsidRPr="00B61FF1">
        <w:rPr>
          <w:rFonts w:ascii="Arial" w:hAnsi="Arial" w:cs="Arial"/>
          <w:sz w:val="24"/>
          <w:szCs w:val="24"/>
          <w:u w:val="single"/>
        </w:rPr>
        <w:t xml:space="preserve"> under the Early Action Offset Program</w:t>
      </w:r>
      <w:r w:rsidRPr="00B61FF1">
        <w:rPr>
          <w:rFonts w:ascii="Arial" w:hAnsi="Arial" w:cs="Arial"/>
          <w:sz w:val="24"/>
          <w:szCs w:val="24"/>
        </w:rPr>
        <w:t>.</w:t>
      </w:r>
    </w:p>
    <w:p w14:paraId="640E0D23"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(G)</w:t>
      </w:r>
      <w:r w:rsidRPr="00B61FF1">
        <w:rPr>
          <w:rFonts w:ascii="Arial" w:hAnsi="Arial" w:cs="Arial"/>
          <w:sz w:val="24"/>
          <w:szCs w:val="24"/>
        </w:rPr>
        <w:tab/>
      </w:r>
      <w:r w:rsidRPr="00B61FF1">
        <w:rPr>
          <w:rFonts w:ascii="Arial" w:hAnsi="Arial" w:cs="Arial"/>
          <w:sz w:val="24"/>
          <w:szCs w:val="24"/>
          <w:u w:val="single"/>
        </w:rPr>
        <w:t>For early action offset projects developed under the Climate Action Reserve U.S. Ozone Depleting Substances Project Protocol version 1.0, each Reporting Period, and/or destruction event may be considered an independent project.</w:t>
      </w:r>
    </w:p>
    <w:p w14:paraId="0A1AF2AD"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The parties identified in section 95990(e)(1) may submit one or more early action reporting period(s) for the early action offset project for listing.  The parties are not required to list all early action reporting periods associated with the early action offset project.</w:t>
      </w:r>
    </w:p>
    <w:p w14:paraId="46DC8D18"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z w:val="24"/>
          <w:szCs w:val="24"/>
          <w:u w:val="single"/>
        </w:rPr>
        <w:t>4</w:t>
      </w:r>
      <w:r w:rsidRPr="00B61FF1">
        <w:rPr>
          <w:rFonts w:ascii="Arial" w:hAnsi="Arial" w:cs="Arial"/>
          <w:strike/>
          <w:sz w:val="24"/>
          <w:szCs w:val="24"/>
        </w:rPr>
        <w:t>3</w:t>
      </w:r>
      <w:r w:rsidRPr="00B61FF1">
        <w:rPr>
          <w:rFonts w:ascii="Arial" w:hAnsi="Arial" w:cs="Arial"/>
          <w:sz w:val="24"/>
          <w:szCs w:val="24"/>
        </w:rPr>
        <w:t>)</w:t>
      </w:r>
      <w:r w:rsidRPr="00B61FF1">
        <w:rPr>
          <w:rFonts w:ascii="Arial" w:hAnsi="Arial" w:cs="Arial"/>
          <w:sz w:val="24"/>
          <w:szCs w:val="24"/>
        </w:rPr>
        <w:tab/>
        <w:t xml:space="preserve">The Early Action Offset Program must make the following information available on a publicly available website and clearly indicate which early action offset projects and </w:t>
      </w:r>
      <w:r w:rsidRPr="00B61FF1">
        <w:rPr>
          <w:rFonts w:ascii="Arial" w:hAnsi="Arial" w:cs="Arial"/>
          <w:strike/>
          <w:sz w:val="24"/>
          <w:szCs w:val="24"/>
        </w:rPr>
        <w:t>Offset Project Data Report years</w:t>
      </w:r>
      <w:r w:rsidRPr="00B61FF1">
        <w:rPr>
          <w:rFonts w:ascii="Arial" w:hAnsi="Arial" w:cs="Arial"/>
          <w:sz w:val="24"/>
          <w:szCs w:val="24"/>
          <w:u w:val="single"/>
        </w:rPr>
        <w:t>early action reporting periods</w:t>
      </w:r>
      <w:r w:rsidRPr="00B61FF1">
        <w:rPr>
          <w:rFonts w:ascii="Arial" w:hAnsi="Arial" w:cs="Arial"/>
          <w:sz w:val="24"/>
          <w:szCs w:val="24"/>
        </w:rPr>
        <w:t xml:space="preserve"> qualify for early action under this article:</w:t>
      </w:r>
    </w:p>
    <w:p w14:paraId="161DBF0B"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Early action offset project name;</w:t>
      </w:r>
    </w:p>
    <w:p w14:paraId="0E36BD0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Early action offset project location;</w:t>
      </w:r>
    </w:p>
    <w:p w14:paraId="64FD5EB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Offset Project Operator, or if applicable, the Authorized Project Designee;</w:t>
      </w:r>
    </w:p>
    <w:p w14:paraId="6727C21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Name and date of protocol used by the early action offset project, including, if applicable, a version number;</w:t>
      </w:r>
    </w:p>
    <w:p w14:paraId="7B4EA36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Date of early action offset project listing or registration date and Offset Project Commencement Date; and</w:t>
      </w:r>
    </w:p>
    <w:p w14:paraId="12DEC01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The name of any verification bodies associated with the early action offset project.</w:t>
      </w:r>
    </w:p>
    <w:p w14:paraId="067B218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(f)</w:t>
      </w:r>
      <w:r w:rsidRPr="00B61FF1">
        <w:rPr>
          <w:rFonts w:ascii="Arial" w:hAnsi="Arial" w:cs="Arial"/>
          <w:sz w:val="24"/>
          <w:szCs w:val="24"/>
        </w:rPr>
        <w:tab/>
        <w:t>Regulatory Verification of Early Action Offset Credits.  Any early action offset credit issued by an Early Action Offset Program must be verified under the following requirements before being issued an ARB offset credit pursuant to section 95990(i):</w:t>
      </w:r>
    </w:p>
    <w:p w14:paraId="3CC1C0E3"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rPr>
        <w:t>(1)</w:t>
      </w:r>
      <w:r w:rsidRPr="00B61FF1">
        <w:rPr>
          <w:rFonts w:ascii="Arial" w:hAnsi="Arial" w:cs="Arial"/>
          <w:sz w:val="24"/>
          <w:szCs w:val="24"/>
        </w:rPr>
        <w:tab/>
        <w:t xml:space="preserve">The project must be verified by an ARB-accredited verification body that meets the accreditation requirements in section 95978.  The verification body performing regulatory verification pursuant to this section must be different than </w:t>
      </w:r>
      <w:r w:rsidRPr="00B61FF1">
        <w:rPr>
          <w:rFonts w:ascii="Arial" w:hAnsi="Arial" w:cs="Arial"/>
          <w:sz w:val="24"/>
          <w:szCs w:val="24"/>
          <w:u w:val="single"/>
        </w:rPr>
        <w:t>any</w:t>
      </w:r>
      <w:r w:rsidRPr="00B61FF1">
        <w:rPr>
          <w:rFonts w:ascii="Arial" w:hAnsi="Arial" w:cs="Arial"/>
          <w:strike/>
          <w:sz w:val="24"/>
          <w:szCs w:val="24"/>
        </w:rPr>
        <w:t>the</w:t>
      </w:r>
      <w:r w:rsidRPr="00B61FF1">
        <w:rPr>
          <w:rFonts w:ascii="Arial" w:hAnsi="Arial" w:cs="Arial"/>
          <w:sz w:val="24"/>
          <w:szCs w:val="24"/>
        </w:rPr>
        <w:t xml:space="preserve"> verification body that conducted offset verification services for the early action offset project under the Early Action Offset Program.</w:t>
      </w:r>
      <w:r w:rsidRPr="00B61FF1">
        <w:rPr>
          <w:rFonts w:ascii="Arial" w:hAnsi="Arial" w:cs="Arial"/>
          <w:sz w:val="24"/>
          <w:szCs w:val="24"/>
          <w:u w:val="single"/>
        </w:rPr>
        <w:t xml:space="preserve">  The offset verification team must include an offset project specific verifier for the applicable offset project type.</w:t>
      </w:r>
    </w:p>
    <w:p w14:paraId="7011889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Conflict of interest must be assessed against parties identified pursuant to section 95990(g) and the conflict of interest assessment must meet the requirements of section 95979.</w:t>
      </w:r>
    </w:p>
    <w:p w14:paraId="6BB14D8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A verification body must conduct a desk review for each </w:t>
      </w:r>
      <w:r w:rsidRPr="00B61FF1">
        <w:rPr>
          <w:rFonts w:ascii="Arial" w:hAnsi="Arial" w:cs="Arial"/>
          <w:strike/>
          <w:sz w:val="24"/>
          <w:szCs w:val="24"/>
        </w:rPr>
        <w:t>Offset Project Data Report year</w:t>
      </w:r>
      <w:r w:rsidRPr="00B61FF1">
        <w:rPr>
          <w:rFonts w:ascii="Arial" w:hAnsi="Arial" w:cs="Arial"/>
          <w:sz w:val="24"/>
          <w:szCs w:val="24"/>
          <w:u w:val="single"/>
        </w:rPr>
        <w:t>early action reporting period</w:t>
      </w:r>
      <w:r w:rsidRPr="00B61FF1">
        <w:rPr>
          <w:rFonts w:ascii="Arial" w:hAnsi="Arial" w:cs="Arial"/>
          <w:sz w:val="24"/>
          <w:szCs w:val="24"/>
        </w:rPr>
        <w:t xml:space="preserve"> eligible and applicable pursuant to section 95990(c)(1) for each early action offset project that generates early action offset credits under the quantification methodologies listed in section 95990(c)(5)</w:t>
      </w:r>
      <w:r w:rsidRPr="00B61FF1">
        <w:rPr>
          <w:rFonts w:ascii="Arial" w:hAnsi="Arial" w:cs="Arial"/>
          <w:sz w:val="24"/>
          <w:szCs w:val="24"/>
          <w:u w:val="single"/>
        </w:rPr>
        <w:t>, unless the Offset Project Operator or Authorized Project Designee follows the provisions in section 95990(f)(3)(G)</w:t>
      </w:r>
      <w:r w:rsidRPr="00B61FF1">
        <w:rPr>
          <w:rFonts w:ascii="Arial" w:hAnsi="Arial" w:cs="Arial"/>
          <w:sz w:val="24"/>
          <w:szCs w:val="24"/>
        </w:rPr>
        <w:t xml:space="preserve">.  The desk review of all </w:t>
      </w:r>
      <w:r w:rsidRPr="00B61FF1">
        <w:rPr>
          <w:rFonts w:ascii="Arial" w:hAnsi="Arial" w:cs="Arial"/>
          <w:sz w:val="24"/>
          <w:szCs w:val="24"/>
          <w:u w:val="single"/>
        </w:rPr>
        <w:t>early action reporting periods</w:t>
      </w:r>
      <w:r w:rsidRPr="00B61FF1">
        <w:rPr>
          <w:rFonts w:ascii="Arial" w:hAnsi="Arial" w:cs="Arial"/>
          <w:strike/>
          <w:sz w:val="24"/>
          <w:szCs w:val="24"/>
        </w:rPr>
        <w:t>Offset Project Data Reports for years</w:t>
      </w:r>
      <w:r w:rsidRPr="00B61FF1">
        <w:rPr>
          <w:rFonts w:ascii="Arial" w:hAnsi="Arial" w:cs="Arial"/>
          <w:sz w:val="24"/>
          <w:szCs w:val="24"/>
        </w:rPr>
        <w:t xml:space="preserve"> eligible and applicable pursuant to section 95990(c)(1) for each early action offset project may be applied as one single desk review.  </w:t>
      </w:r>
      <w:r w:rsidRPr="00B61FF1">
        <w:rPr>
          <w:rFonts w:ascii="Arial" w:hAnsi="Arial" w:cs="Arial"/>
          <w:sz w:val="24"/>
          <w:szCs w:val="24"/>
          <w:u w:val="single"/>
        </w:rPr>
        <w:t xml:space="preserve">A desk review pursuant to section 95990(f)(3) may only be conducted once for each early action reporting period.  </w:t>
      </w:r>
      <w:r w:rsidRPr="00B61FF1">
        <w:rPr>
          <w:rFonts w:ascii="Arial" w:hAnsi="Arial" w:cs="Arial"/>
          <w:sz w:val="24"/>
          <w:szCs w:val="24"/>
        </w:rPr>
        <w:t>The desk review must include the following:</w:t>
      </w:r>
    </w:p>
    <w:p w14:paraId="0BF779D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Review of the early action offset project original documentation, including the Early Action Verification Reports and Offset Verification Statements submitted to the Early Action Offset Program, to ensure that the previously provided offset verification services were sufficient to render a reasonable assurance to support the issuance of early action offset credits by the Early Action Offset Program;</w:t>
      </w:r>
    </w:p>
    <w:p w14:paraId="3009686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Review </w:t>
      </w:r>
      <w:r w:rsidRPr="00B61FF1">
        <w:rPr>
          <w:rFonts w:ascii="Arial" w:hAnsi="Arial" w:cs="Arial"/>
          <w:sz w:val="24"/>
          <w:szCs w:val="24"/>
          <w:u w:val="single"/>
        </w:rPr>
        <w:t xml:space="preserve">and recalculation </w:t>
      </w:r>
      <w:r w:rsidRPr="00B61FF1">
        <w:rPr>
          <w:rFonts w:ascii="Arial" w:hAnsi="Arial" w:cs="Arial"/>
          <w:sz w:val="24"/>
          <w:szCs w:val="24"/>
        </w:rPr>
        <w:t xml:space="preserve">of the data checks conducted by the </w:t>
      </w:r>
      <w:r w:rsidRPr="00B61FF1">
        <w:rPr>
          <w:rFonts w:ascii="Arial" w:hAnsi="Arial" w:cs="Arial"/>
          <w:sz w:val="24"/>
          <w:szCs w:val="24"/>
          <w:u w:val="single"/>
        </w:rPr>
        <w:t>original</w:t>
      </w:r>
      <w:r w:rsidRPr="00B61FF1">
        <w:rPr>
          <w:rFonts w:ascii="Arial" w:hAnsi="Arial" w:cs="Arial"/>
          <w:strike/>
          <w:sz w:val="24"/>
          <w:szCs w:val="24"/>
        </w:rPr>
        <w:t xml:space="preserve">offset </w:t>
      </w:r>
      <w:r w:rsidRPr="00B61FF1">
        <w:rPr>
          <w:rFonts w:ascii="Arial" w:hAnsi="Arial" w:cs="Arial"/>
          <w:sz w:val="24"/>
          <w:szCs w:val="24"/>
        </w:rPr>
        <w:t>verification body for the Early Action Offset Program to ensure they were calculated correctly;</w:t>
      </w:r>
    </w:p>
    <w:p w14:paraId="73F6D53D" w14:textId="77777777" w:rsidR="00FE6A4C" w:rsidRPr="00B61FF1" w:rsidRDefault="00FE6A4C" w:rsidP="00FE6A4C">
      <w:pPr>
        <w:pStyle w:val="ListParagraph"/>
        <w:spacing w:line="360" w:lineRule="auto"/>
        <w:ind w:left="1800" w:hanging="720"/>
        <w:rPr>
          <w:rFonts w:ascii="Arial" w:hAnsi="Arial" w:cs="Arial"/>
          <w:sz w:val="24"/>
          <w:szCs w:val="24"/>
          <w:u w:val="single"/>
        </w:rPr>
      </w:pPr>
      <w:r w:rsidRPr="00B61FF1">
        <w:rPr>
          <w:rFonts w:ascii="Arial" w:hAnsi="Arial" w:cs="Arial"/>
          <w:sz w:val="24"/>
          <w:szCs w:val="24"/>
        </w:rPr>
        <w:t>(C)</w:t>
      </w:r>
      <w:r w:rsidRPr="00B61FF1">
        <w:rPr>
          <w:rFonts w:ascii="Arial" w:hAnsi="Arial" w:cs="Arial"/>
          <w:sz w:val="24"/>
          <w:szCs w:val="24"/>
        </w:rPr>
        <w:tab/>
        <w:t xml:space="preserve">If the verification body concludes with reasonable assurance that they concur that a positive verification statement should have been issued based on the Early Action Verification Report and the Offset Verification Statement submitted to the Early Action Offset Program for the applicable </w:t>
      </w:r>
      <w:r w:rsidRPr="00B61FF1">
        <w:rPr>
          <w:rFonts w:ascii="Arial" w:hAnsi="Arial" w:cs="Arial"/>
          <w:strike/>
          <w:sz w:val="24"/>
          <w:szCs w:val="24"/>
        </w:rPr>
        <w:t>Offset Project Data Report year</w:t>
      </w:r>
      <w:r w:rsidRPr="00B61FF1">
        <w:rPr>
          <w:rFonts w:ascii="Arial" w:hAnsi="Arial" w:cs="Arial"/>
          <w:sz w:val="24"/>
          <w:szCs w:val="24"/>
          <w:u w:val="single"/>
        </w:rPr>
        <w:t>early action reporting period</w:t>
      </w:r>
      <w:r w:rsidRPr="00B61FF1">
        <w:rPr>
          <w:rFonts w:ascii="Arial" w:hAnsi="Arial" w:cs="Arial"/>
          <w:sz w:val="24"/>
          <w:szCs w:val="24"/>
        </w:rPr>
        <w:t>, the verification body must submit the attestation in section 95990(f)(3)(D) to ARB</w:t>
      </w:r>
      <w:r w:rsidRPr="00B61FF1">
        <w:rPr>
          <w:rFonts w:ascii="Arial" w:hAnsi="Arial" w:cs="Arial"/>
          <w:sz w:val="24"/>
          <w:szCs w:val="24"/>
          <w:u w:val="single"/>
        </w:rPr>
        <w:t>, and provide ARB with a report detailing the findings of the desk review</w:t>
      </w:r>
      <w:r w:rsidRPr="00B61FF1">
        <w:rPr>
          <w:rFonts w:ascii="Arial" w:hAnsi="Arial" w:cs="Arial"/>
          <w:sz w:val="24"/>
          <w:szCs w:val="24"/>
        </w:rPr>
        <w:t>.</w:t>
      </w:r>
      <w:r w:rsidRPr="00B61FF1">
        <w:rPr>
          <w:rFonts w:ascii="Arial" w:hAnsi="Arial" w:cs="Arial"/>
          <w:sz w:val="24"/>
          <w:szCs w:val="24"/>
          <w:u w:val="single"/>
        </w:rPr>
        <w:t xml:space="preserve">  The Offset Project Operator, Authorized Project Designee, or holder(s) if applicable, must submit the related early action reporting periods for the early action offset project for listing pursuant to section 95990(e) prior to the verification body submitting the attestation or any findings pursuant to section 95990(k).</w:t>
      </w:r>
    </w:p>
    <w:p w14:paraId="5F5F6A3D"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verification body must attest, in writing, to ARB as follows:</w:t>
      </w:r>
    </w:p>
    <w:p w14:paraId="6A7B8158"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 xml:space="preserve">“I certify under penalty of perjury under the laws of the State of California that I have conducted a desk review in accordance with the requirements of section 95990(f)(3) and concur with the issuance of a positive verification statement based on the Early Action Verification Report and Offset Verification Statement that was submitted to the Early Action Offset Program for the applicable </w:t>
      </w:r>
      <w:r w:rsidRPr="00B61FF1">
        <w:rPr>
          <w:rFonts w:ascii="Arial" w:hAnsi="Arial" w:cs="Arial"/>
          <w:strike/>
          <w:sz w:val="24"/>
          <w:szCs w:val="24"/>
        </w:rPr>
        <w:t>Offset Project Data Report year</w:t>
      </w:r>
      <w:r w:rsidRPr="00B61FF1">
        <w:rPr>
          <w:rFonts w:ascii="Arial" w:hAnsi="Arial" w:cs="Arial"/>
          <w:sz w:val="24"/>
          <w:szCs w:val="24"/>
          <w:u w:val="single"/>
        </w:rPr>
        <w:t>early action reporting period</w:t>
      </w:r>
      <w:r w:rsidRPr="00B61FF1">
        <w:rPr>
          <w:rFonts w:ascii="Arial" w:hAnsi="Arial" w:cs="Arial"/>
          <w:sz w:val="24"/>
          <w:szCs w:val="24"/>
        </w:rPr>
        <w:t>.”</w:t>
      </w:r>
    </w:p>
    <w:p w14:paraId="1F1E0F5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For each early action offset project the Offset Project Operator or Authorized Project Designee or the Early Action Offset Program must provide the Early Action Verification Report(s) for all </w:t>
      </w:r>
      <w:r w:rsidRPr="00B61FF1">
        <w:rPr>
          <w:rFonts w:ascii="Arial" w:hAnsi="Arial" w:cs="Arial"/>
          <w:strike/>
          <w:sz w:val="24"/>
          <w:szCs w:val="24"/>
        </w:rPr>
        <w:t>years</w:t>
      </w:r>
      <w:r w:rsidRPr="00B61FF1">
        <w:rPr>
          <w:rFonts w:ascii="Arial" w:hAnsi="Arial" w:cs="Arial"/>
          <w:sz w:val="24"/>
          <w:szCs w:val="24"/>
          <w:u w:val="single"/>
        </w:rPr>
        <w:t>early action reporting periods</w:t>
      </w:r>
      <w:r w:rsidRPr="00B61FF1">
        <w:rPr>
          <w:rFonts w:ascii="Arial" w:hAnsi="Arial" w:cs="Arial"/>
          <w:sz w:val="24"/>
          <w:szCs w:val="24"/>
        </w:rPr>
        <w:t xml:space="preserve"> eligible and applicable pursuant to section 95990(c)(1) to the offset verification team to assist in offset verification services and desk review.</w:t>
      </w:r>
    </w:p>
    <w:p w14:paraId="5F3F7EE7"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(F)</w:t>
      </w:r>
      <w:r w:rsidRPr="00B61FF1">
        <w:rPr>
          <w:rFonts w:ascii="Arial" w:hAnsi="Arial" w:cs="Arial"/>
          <w:sz w:val="24"/>
          <w:szCs w:val="24"/>
        </w:rPr>
        <w:tab/>
      </w:r>
      <w:r w:rsidRPr="00B61FF1">
        <w:rPr>
          <w:rFonts w:ascii="Arial" w:hAnsi="Arial" w:cs="Arial"/>
          <w:sz w:val="24"/>
          <w:szCs w:val="24"/>
          <w:u w:val="single"/>
        </w:rPr>
        <w:t>ARB will review the desk review findings submitted by the desk review verification body and determine whether to accept or reject the findings.  ARB will notify the verification body of its determination.  If ARB does not agree with a positive desk review finding, ARB will request that the reporting information provided by the Offset Project Operator or Authorized Project Designee to the original verification body be subject to full offset verification services pursuant to section 95990(f)(6).</w:t>
      </w:r>
    </w:p>
    <w:p w14:paraId="21F45F41"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(G)</w:t>
      </w:r>
      <w:r w:rsidRPr="00B61FF1">
        <w:rPr>
          <w:rFonts w:ascii="Arial" w:hAnsi="Arial" w:cs="Arial"/>
          <w:sz w:val="24"/>
          <w:szCs w:val="24"/>
        </w:rPr>
        <w:tab/>
      </w:r>
      <w:r w:rsidRPr="00B61FF1">
        <w:rPr>
          <w:rFonts w:ascii="Arial" w:hAnsi="Arial" w:cs="Arial"/>
          <w:sz w:val="24"/>
          <w:szCs w:val="24"/>
          <w:u w:val="single"/>
        </w:rPr>
        <w:t>If the desk review verification body is unable to obtain the original verification body’s data checks calculations or information used by the original verification body required to be reviewed pursuant to section 95990(f)(3)(A) or (B), the Offset Project Operator, Authorized Project Designee, or holder(s), if applicable, may opt out of the desk review and conduct full offset verification services pursuant to section 95990(f)(6).</w:t>
      </w:r>
    </w:p>
    <w:p w14:paraId="36F6F35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If during the desk review performed pursuant to section 95990(f)(3) the verification body cannot conclude with reasonable assurance that a positive verification statement should have been issued based on the Early Action Verification Report and the Offset Verification Statement submitted to the Early Action Offset Program for the applicable </w:t>
      </w:r>
      <w:r w:rsidRPr="00B61FF1">
        <w:rPr>
          <w:rFonts w:ascii="Arial" w:hAnsi="Arial" w:cs="Arial"/>
          <w:strike/>
          <w:sz w:val="24"/>
          <w:szCs w:val="24"/>
        </w:rPr>
        <w:t>Offset Project Data Report year</w:t>
      </w:r>
      <w:r w:rsidRPr="00B61FF1">
        <w:rPr>
          <w:rFonts w:ascii="Arial" w:hAnsi="Arial" w:cs="Arial"/>
          <w:sz w:val="24"/>
          <w:szCs w:val="24"/>
          <w:u w:val="single"/>
        </w:rPr>
        <w:t>early action reporting period</w:t>
      </w:r>
      <w:r w:rsidRPr="00B61FF1">
        <w:rPr>
          <w:rFonts w:ascii="Arial" w:hAnsi="Arial" w:cs="Arial"/>
          <w:sz w:val="24"/>
          <w:szCs w:val="24"/>
        </w:rPr>
        <w:t xml:space="preserve"> then the verification body must prepare a report for ARB and explain the reasons for this conclusion.</w:t>
      </w:r>
    </w:p>
    <w:p w14:paraId="3AE2295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 xml:space="preserve">ARB will review the information submitted by the verification body pursuant to section 95990(f)(4) and may request additional information  from, and consult with, the Early Action Offset Program or the verification body as necessary.  </w:t>
      </w:r>
    </w:p>
    <w:p w14:paraId="11580B07"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 xml:space="preserve">If ARB finds that the </w:t>
      </w:r>
      <w:r w:rsidRPr="00B61FF1">
        <w:rPr>
          <w:rFonts w:ascii="Arial" w:hAnsi="Arial" w:cs="Arial"/>
          <w:strike/>
          <w:sz w:val="24"/>
          <w:szCs w:val="24"/>
        </w:rPr>
        <w:t>Offset Project Data Report</w:t>
      </w:r>
      <w:r w:rsidRPr="00B61FF1">
        <w:rPr>
          <w:rFonts w:ascii="Arial" w:hAnsi="Arial" w:cs="Arial"/>
          <w:sz w:val="24"/>
          <w:szCs w:val="24"/>
          <w:u w:val="single"/>
        </w:rPr>
        <w:t>GHG reductions or removal enhancements reported to the Early Action Offset Program for a given early action reporting period</w:t>
      </w:r>
      <w:r w:rsidRPr="00B61FF1">
        <w:rPr>
          <w:rFonts w:ascii="Arial" w:hAnsi="Arial" w:cs="Arial"/>
          <w:sz w:val="24"/>
          <w:szCs w:val="24"/>
        </w:rPr>
        <w:t xml:space="preserve"> should not have been issued a positive verification statement after reviewing the information submitted </w:t>
      </w:r>
      <w:r w:rsidRPr="00B61FF1">
        <w:rPr>
          <w:rFonts w:ascii="Arial" w:hAnsi="Arial" w:cs="Arial"/>
          <w:strike/>
          <w:sz w:val="24"/>
          <w:szCs w:val="24"/>
        </w:rPr>
        <w:t>in section 95990(f)(5)</w:t>
      </w:r>
      <w:r w:rsidRPr="00B61FF1">
        <w:rPr>
          <w:rFonts w:ascii="Arial" w:hAnsi="Arial" w:cs="Arial"/>
          <w:sz w:val="24"/>
          <w:szCs w:val="24"/>
          <w:u w:val="single"/>
        </w:rPr>
        <w:t>by the desk review verification body</w:t>
      </w:r>
      <w:r w:rsidRPr="00B61FF1">
        <w:rPr>
          <w:rFonts w:ascii="Arial" w:hAnsi="Arial" w:cs="Arial"/>
          <w:sz w:val="24"/>
          <w:szCs w:val="24"/>
        </w:rPr>
        <w:t xml:space="preserve">, the </w:t>
      </w:r>
      <w:r w:rsidRPr="00B61FF1">
        <w:rPr>
          <w:rFonts w:ascii="Arial" w:hAnsi="Arial" w:cs="Arial"/>
          <w:strike/>
          <w:sz w:val="24"/>
          <w:szCs w:val="24"/>
        </w:rPr>
        <w:t>Offset Project Data Report</w:t>
      </w:r>
      <w:r w:rsidRPr="00B61FF1">
        <w:rPr>
          <w:rFonts w:ascii="Arial" w:hAnsi="Arial" w:cs="Arial"/>
          <w:sz w:val="24"/>
          <w:szCs w:val="24"/>
          <w:u w:val="single"/>
        </w:rPr>
        <w:t>reporting information provided by the Offset Project Operator or Authorized Project Designee to the original verification body</w:t>
      </w:r>
      <w:r w:rsidRPr="00B61FF1">
        <w:rPr>
          <w:rFonts w:ascii="Arial" w:hAnsi="Arial" w:cs="Arial"/>
          <w:sz w:val="24"/>
          <w:szCs w:val="24"/>
        </w:rPr>
        <w:t xml:space="preserve"> must be verified and </w:t>
      </w:r>
      <w:r w:rsidRPr="00B61FF1">
        <w:rPr>
          <w:rFonts w:ascii="Arial" w:hAnsi="Arial" w:cs="Arial"/>
          <w:sz w:val="24"/>
          <w:szCs w:val="24"/>
          <w:u w:val="single"/>
        </w:rPr>
        <w:t xml:space="preserve">full </w:t>
      </w:r>
      <w:r w:rsidRPr="00B61FF1">
        <w:rPr>
          <w:rFonts w:ascii="Arial" w:hAnsi="Arial" w:cs="Arial"/>
          <w:sz w:val="24"/>
          <w:szCs w:val="24"/>
        </w:rPr>
        <w:t xml:space="preserve">offset verification services pursuant to sections 95977.1 and any additional verification requirements in the applicable protocol identified in section 95990(c) must be conducted.  </w:t>
      </w:r>
      <w:r w:rsidRPr="00B61FF1">
        <w:rPr>
          <w:rFonts w:ascii="Arial" w:hAnsi="Arial" w:cs="Arial"/>
          <w:sz w:val="24"/>
          <w:szCs w:val="24"/>
          <w:u w:val="single"/>
        </w:rPr>
        <w:t>The Offset Project Operator, Authorized Project Designee, or holder(s), if applicable, may determine to not move forward with the full offset verification services and the early action offset credits would no longer be eligible to transition to ARB offset credits.  If the Offset Project Operator, Authorized Project Designee, or holder(s), if applicable, determine to move forward with the full offset verification services, t</w:t>
      </w:r>
      <w:r w:rsidRPr="00B61FF1">
        <w:rPr>
          <w:rFonts w:ascii="Arial" w:hAnsi="Arial" w:cs="Arial"/>
          <w:strike/>
          <w:sz w:val="24"/>
          <w:szCs w:val="24"/>
        </w:rPr>
        <w:t>T</w:t>
      </w:r>
      <w:r w:rsidRPr="00B61FF1">
        <w:rPr>
          <w:rFonts w:ascii="Arial" w:hAnsi="Arial" w:cs="Arial"/>
          <w:sz w:val="24"/>
          <w:szCs w:val="24"/>
        </w:rPr>
        <w:t xml:space="preserve">he </w:t>
      </w:r>
      <w:r w:rsidRPr="00B61FF1">
        <w:rPr>
          <w:rFonts w:ascii="Arial" w:hAnsi="Arial" w:cs="Arial"/>
          <w:strike/>
          <w:sz w:val="24"/>
          <w:szCs w:val="24"/>
        </w:rPr>
        <w:t>O</w:t>
      </w:r>
      <w:r w:rsidRPr="00B61FF1">
        <w:rPr>
          <w:rFonts w:ascii="Arial" w:hAnsi="Arial" w:cs="Arial"/>
          <w:sz w:val="24"/>
          <w:szCs w:val="24"/>
          <w:u w:val="single"/>
        </w:rPr>
        <w:t>o</w:t>
      </w:r>
      <w:r w:rsidRPr="00B61FF1">
        <w:rPr>
          <w:rFonts w:ascii="Arial" w:hAnsi="Arial" w:cs="Arial"/>
          <w:sz w:val="24"/>
          <w:szCs w:val="24"/>
        </w:rPr>
        <w:t xml:space="preserve">ffset verification services for each </w:t>
      </w:r>
      <w:r w:rsidRPr="00B61FF1">
        <w:rPr>
          <w:rFonts w:ascii="Arial" w:hAnsi="Arial" w:cs="Arial"/>
          <w:strike/>
          <w:sz w:val="24"/>
          <w:szCs w:val="24"/>
        </w:rPr>
        <w:t>Offset Project Data Report year</w:t>
      </w:r>
      <w:r w:rsidRPr="00B61FF1">
        <w:rPr>
          <w:rFonts w:ascii="Arial" w:hAnsi="Arial" w:cs="Arial"/>
          <w:sz w:val="24"/>
          <w:szCs w:val="24"/>
          <w:u w:val="single"/>
        </w:rPr>
        <w:t>early action reporting period</w:t>
      </w:r>
      <w:r w:rsidRPr="00B61FF1">
        <w:rPr>
          <w:rFonts w:ascii="Arial" w:hAnsi="Arial" w:cs="Arial"/>
          <w:sz w:val="24"/>
          <w:szCs w:val="24"/>
        </w:rPr>
        <w:t xml:space="preserve"> may be done by the same verification body that performed the desk review and may be applied as one single offset verification service and meet the following requirements:</w:t>
      </w:r>
    </w:p>
    <w:p w14:paraId="79ABD605"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If the early action offset project is still in operation, the verification body must conduct a site visit as required in section 95977.1(b)(3)(D).</w:t>
      </w:r>
    </w:p>
    <w:p w14:paraId="503E6CC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the early action offset project is no longer in operation, the verification body must conduct a desk review of the original documentation to confirm any previous verification findings related to the types of offset verification services required in section 95977.1(b)(3)(D).</w:t>
      </w:r>
    </w:p>
    <w:p w14:paraId="05E0355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The sampling plan in section 95977.1(b)(3)(G) must cover all serialized early action offset credits issued to the early action offset project for all years eligible and applicable pursuant to section 95990(c)(1);</w:t>
      </w:r>
    </w:p>
    <w:p w14:paraId="0569ECD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The data checks in section 95977.1(b)(3)(L) must include checks across the sources identified in the sampling plan, covering all serialized early action offset credits issued to the early action offset project for all years eligible and applicable pursuant to section 95990(c)(1); and</w:t>
      </w:r>
    </w:p>
    <w:p w14:paraId="4BAEF4F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 xml:space="preserve">The verification body must submit an Offset Verification Statement pursuant to section 95977.1(b)(3)(R) to ARB covering all serialized early action offset credits issued to the early action offset project for all </w:t>
      </w:r>
      <w:r w:rsidRPr="00B61FF1">
        <w:rPr>
          <w:rFonts w:ascii="Arial" w:hAnsi="Arial" w:cs="Arial"/>
          <w:strike/>
          <w:sz w:val="24"/>
          <w:szCs w:val="24"/>
        </w:rPr>
        <w:t>years</w:t>
      </w:r>
      <w:r w:rsidRPr="00B61FF1">
        <w:rPr>
          <w:rFonts w:ascii="Arial" w:hAnsi="Arial" w:cs="Arial"/>
          <w:sz w:val="24"/>
          <w:szCs w:val="24"/>
          <w:u w:val="single"/>
        </w:rPr>
        <w:t>early action reporting periods</w:t>
      </w:r>
      <w:r w:rsidRPr="00B61FF1">
        <w:rPr>
          <w:rFonts w:ascii="Arial" w:hAnsi="Arial" w:cs="Arial"/>
          <w:sz w:val="24"/>
          <w:szCs w:val="24"/>
        </w:rPr>
        <w:t xml:space="preserve"> eligible and applicable pursuant to section 95990(c)(1).  For non-forestry offset projects, the verification body may submit a Positive, Qualified Positive, or Adverse Offset Verification Statement.  Forestry Offset projects may only receive a Positive or Adverse Offset Verification Statement.</w:t>
      </w:r>
    </w:p>
    <w:p w14:paraId="11F8051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(7)</w:t>
      </w:r>
      <w:r w:rsidRPr="00B61FF1">
        <w:rPr>
          <w:rFonts w:ascii="Arial" w:hAnsi="Arial" w:cs="Arial"/>
          <w:sz w:val="24"/>
          <w:szCs w:val="24"/>
        </w:rPr>
        <w:tab/>
        <w:t xml:space="preserve">Once ARB offset credits have been issued for </w:t>
      </w:r>
      <w:r w:rsidRPr="00B61FF1">
        <w:rPr>
          <w:rFonts w:ascii="Arial" w:hAnsi="Arial" w:cs="Arial"/>
          <w:strike/>
          <w:sz w:val="24"/>
          <w:szCs w:val="24"/>
        </w:rPr>
        <w:t>an Offset Project Data Report</w:t>
      </w:r>
      <w:r w:rsidRPr="00B61FF1">
        <w:rPr>
          <w:rFonts w:ascii="Arial" w:hAnsi="Arial" w:cs="Arial"/>
          <w:sz w:val="24"/>
          <w:szCs w:val="24"/>
          <w:u w:val="single"/>
        </w:rPr>
        <w:t>an early action reporting period</w:t>
      </w:r>
      <w:r w:rsidRPr="00B61FF1">
        <w:rPr>
          <w:rFonts w:ascii="Arial" w:hAnsi="Arial" w:cs="Arial"/>
          <w:sz w:val="24"/>
          <w:szCs w:val="24"/>
        </w:rPr>
        <w:t xml:space="preserve"> pursuant to section 95990(i) subsequent offset verification services provided for additional </w:t>
      </w:r>
      <w:r w:rsidRPr="00B61FF1">
        <w:rPr>
          <w:rFonts w:ascii="Arial" w:hAnsi="Arial" w:cs="Arial"/>
          <w:strike/>
          <w:sz w:val="24"/>
          <w:szCs w:val="24"/>
        </w:rPr>
        <w:t>Offset Project Data Reports</w:t>
      </w:r>
      <w:r w:rsidRPr="00B61FF1">
        <w:rPr>
          <w:rFonts w:ascii="Arial" w:hAnsi="Arial" w:cs="Arial"/>
          <w:sz w:val="24"/>
          <w:szCs w:val="24"/>
          <w:u w:val="single"/>
        </w:rPr>
        <w:t>early action reporting periods</w:t>
      </w:r>
      <w:r w:rsidRPr="00B61FF1">
        <w:rPr>
          <w:rFonts w:ascii="Arial" w:hAnsi="Arial" w:cs="Arial"/>
          <w:sz w:val="24"/>
          <w:szCs w:val="24"/>
        </w:rPr>
        <w:t xml:space="preserve"> for the same early action offset project will not trigger a desk review of those </w:t>
      </w:r>
      <w:r w:rsidRPr="00B61FF1">
        <w:rPr>
          <w:rFonts w:ascii="Arial" w:hAnsi="Arial" w:cs="Arial"/>
          <w:strike/>
          <w:sz w:val="24"/>
          <w:szCs w:val="24"/>
        </w:rPr>
        <w:t>Offset Project Data Reports</w:t>
      </w:r>
      <w:r w:rsidRPr="00B61FF1">
        <w:rPr>
          <w:rFonts w:ascii="Arial" w:hAnsi="Arial" w:cs="Arial"/>
          <w:sz w:val="24"/>
          <w:szCs w:val="24"/>
          <w:u w:val="single"/>
        </w:rPr>
        <w:t>early action reporting periods</w:t>
      </w:r>
      <w:r w:rsidRPr="00B61FF1">
        <w:rPr>
          <w:rFonts w:ascii="Arial" w:hAnsi="Arial" w:cs="Arial"/>
          <w:sz w:val="24"/>
          <w:szCs w:val="24"/>
        </w:rPr>
        <w:t xml:space="preserve"> for which ARB offset credits have already been issued pursuant to section 95990(i).</w:t>
      </w:r>
    </w:p>
    <w:p w14:paraId="72E90685"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(g)</w:t>
      </w:r>
      <w:r w:rsidRPr="00B61FF1">
        <w:rPr>
          <w:rFonts w:ascii="Arial" w:hAnsi="Arial" w:cs="Arial"/>
          <w:sz w:val="24"/>
          <w:szCs w:val="24"/>
        </w:rPr>
        <w:tab/>
        <w:t xml:space="preserve">Conflict of Interest Requirements for Early Action.  For each </w:t>
      </w:r>
      <w:r w:rsidRPr="00B61FF1">
        <w:rPr>
          <w:rFonts w:ascii="Arial" w:hAnsi="Arial" w:cs="Arial"/>
          <w:strike/>
          <w:sz w:val="24"/>
          <w:szCs w:val="24"/>
        </w:rPr>
        <w:t>Early Action Verification Report</w:t>
      </w:r>
      <w:r w:rsidRPr="00B61FF1">
        <w:rPr>
          <w:rFonts w:ascii="Arial" w:hAnsi="Arial" w:cs="Arial"/>
          <w:sz w:val="24"/>
          <w:szCs w:val="24"/>
          <w:u w:val="single"/>
        </w:rPr>
        <w:t>early action reporting period for which</w:t>
      </w:r>
      <w:r w:rsidRPr="00B61FF1">
        <w:rPr>
          <w:rFonts w:ascii="Arial" w:hAnsi="Arial" w:cs="Arial"/>
          <w:strike/>
          <w:sz w:val="24"/>
          <w:szCs w:val="24"/>
        </w:rPr>
        <w:t xml:space="preserve"> that</w:t>
      </w:r>
      <w:r w:rsidRPr="00B61FF1">
        <w:rPr>
          <w:rFonts w:ascii="Arial" w:hAnsi="Arial" w:cs="Arial"/>
          <w:sz w:val="24"/>
          <w:szCs w:val="24"/>
        </w:rPr>
        <w:t xml:space="preserve"> a verification body </w:t>
      </w:r>
      <w:r w:rsidRPr="00B61FF1">
        <w:rPr>
          <w:rFonts w:ascii="Arial" w:hAnsi="Arial" w:cs="Arial"/>
          <w:strike/>
          <w:sz w:val="24"/>
          <w:szCs w:val="24"/>
        </w:rPr>
        <w:t>reviews</w:t>
      </w:r>
      <w:r w:rsidRPr="00B61FF1">
        <w:rPr>
          <w:rFonts w:ascii="Arial" w:hAnsi="Arial" w:cs="Arial"/>
          <w:sz w:val="24"/>
          <w:szCs w:val="24"/>
          <w:u w:val="single"/>
        </w:rPr>
        <w:t>provides regulatory verification</w:t>
      </w:r>
      <w:r w:rsidRPr="00B61FF1">
        <w:rPr>
          <w:rFonts w:ascii="Arial" w:hAnsi="Arial" w:cs="Arial"/>
          <w:sz w:val="24"/>
          <w:szCs w:val="24"/>
        </w:rPr>
        <w:t xml:space="preserve"> pursuant to section 95990(f), the verification body must assess conflict of interest according to the following requirements against each party identified in section 95990(g)(2).  The conflict of interest assessment for each </w:t>
      </w:r>
      <w:r w:rsidRPr="00B61FF1">
        <w:rPr>
          <w:rFonts w:ascii="Arial" w:hAnsi="Arial" w:cs="Arial"/>
          <w:strike/>
          <w:sz w:val="24"/>
          <w:szCs w:val="24"/>
        </w:rPr>
        <w:t>Early Action Verification Report</w:t>
      </w:r>
      <w:r w:rsidRPr="00B61FF1">
        <w:rPr>
          <w:rFonts w:ascii="Arial" w:hAnsi="Arial" w:cs="Arial"/>
          <w:sz w:val="24"/>
          <w:szCs w:val="24"/>
          <w:u w:val="single"/>
        </w:rPr>
        <w:t>early action reporting period</w:t>
      </w:r>
      <w:r w:rsidRPr="00B61FF1">
        <w:rPr>
          <w:rFonts w:ascii="Arial" w:hAnsi="Arial" w:cs="Arial"/>
          <w:sz w:val="24"/>
          <w:szCs w:val="24"/>
        </w:rPr>
        <w:t xml:space="preserve"> must be submitted to ARB before ARB issues an ARB offset credit pursuant to section 95990(i).  </w:t>
      </w:r>
      <w:r w:rsidRPr="00B61FF1">
        <w:rPr>
          <w:rFonts w:ascii="Arial" w:hAnsi="Arial" w:cs="Arial"/>
          <w:sz w:val="24"/>
          <w:szCs w:val="24"/>
          <w:u w:val="single"/>
        </w:rPr>
        <w:t>Conflict of interest self-evaluations for multiple early action reporting periods for one early action offset project may be combined into one evaluation.  The Offset Project Operator, Authorized Project Designee, or holder(s), if applicable, must submit the related early action reporting periods for the early action offset project for listing pursuant to section 95990(e), and the listing must be approved, prior to the verification body submitting the conflict of interest assessment pursuant to this section.</w:t>
      </w:r>
    </w:p>
    <w:p w14:paraId="70AC061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The verification body is subject to the conflict of interest requirements in section 95979.  </w:t>
      </w:r>
    </w:p>
    <w:p w14:paraId="127372A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conflict of interest requirements in section 95979 must be assessed against the following parties at the time that offset verification services are conducted pursuant to section 95990(f):</w:t>
      </w:r>
    </w:p>
    <w:p w14:paraId="7202751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The Offset Project Operator </w:t>
      </w:r>
      <w:r w:rsidRPr="00B61FF1">
        <w:rPr>
          <w:rFonts w:ascii="Arial" w:hAnsi="Arial" w:cs="Arial"/>
          <w:strike/>
          <w:sz w:val="24"/>
          <w:szCs w:val="24"/>
        </w:rPr>
        <w:t>or</w:t>
      </w:r>
      <w:r w:rsidRPr="00B61FF1">
        <w:rPr>
          <w:rFonts w:ascii="Arial" w:hAnsi="Arial" w:cs="Arial"/>
          <w:sz w:val="24"/>
          <w:szCs w:val="24"/>
          <w:u w:val="single"/>
        </w:rPr>
        <w:t>and</w:t>
      </w:r>
      <w:r w:rsidRPr="00B61FF1">
        <w:rPr>
          <w:rFonts w:ascii="Arial" w:hAnsi="Arial" w:cs="Arial"/>
          <w:sz w:val="24"/>
          <w:szCs w:val="24"/>
        </w:rPr>
        <w:t xml:space="preserve"> Authorized Project Designee</w:t>
      </w:r>
      <w:r w:rsidRPr="00B61FF1">
        <w:rPr>
          <w:rFonts w:ascii="Arial" w:hAnsi="Arial" w:cs="Arial"/>
          <w:sz w:val="24"/>
          <w:szCs w:val="24"/>
          <w:u w:val="single"/>
        </w:rPr>
        <w:t xml:space="preserve"> or holder(s), if applicable,</w:t>
      </w:r>
      <w:r w:rsidRPr="00B61FF1">
        <w:rPr>
          <w:rFonts w:ascii="Arial" w:hAnsi="Arial" w:cs="Arial"/>
          <w:sz w:val="24"/>
          <w:szCs w:val="24"/>
        </w:rPr>
        <w:t xml:space="preserve"> for the project; and </w:t>
      </w:r>
    </w:p>
    <w:p w14:paraId="6351E571"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Any party that holds greater than 30 percent of the early action offset credits issued to an early action offset project for each individual </w:t>
      </w:r>
      <w:r w:rsidRPr="00B61FF1">
        <w:rPr>
          <w:rFonts w:ascii="Arial" w:hAnsi="Arial" w:cs="Arial"/>
          <w:strike/>
          <w:sz w:val="24"/>
          <w:szCs w:val="24"/>
        </w:rPr>
        <w:t>Early Action Verification Report</w:t>
      </w:r>
      <w:r w:rsidRPr="00B61FF1">
        <w:rPr>
          <w:rFonts w:ascii="Arial" w:hAnsi="Arial" w:cs="Arial"/>
          <w:sz w:val="24"/>
          <w:szCs w:val="24"/>
          <w:u w:val="single"/>
        </w:rPr>
        <w:t>early action reporting period</w:t>
      </w:r>
      <w:r w:rsidRPr="00B61FF1">
        <w:rPr>
          <w:rFonts w:ascii="Arial" w:hAnsi="Arial" w:cs="Arial"/>
          <w:sz w:val="24"/>
          <w:szCs w:val="24"/>
        </w:rPr>
        <w:t xml:space="preserve"> reviewed as part of offset verification services conducted pursuant to section 95990(f).  </w:t>
      </w:r>
    </w:p>
    <w:p w14:paraId="57DBF8FD"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(h)</w:t>
      </w:r>
      <w:r w:rsidRPr="00B61FF1">
        <w:rPr>
          <w:rFonts w:ascii="Arial" w:hAnsi="Arial" w:cs="Arial"/>
          <w:sz w:val="24"/>
          <w:szCs w:val="24"/>
        </w:rPr>
        <w:tab/>
        <w:t xml:space="preserve">Issuance of ARB Offset Credits for Early Action.  ARB will issue ARB offset credits pursuant to section 95990(i) for early action if the following requirements are met: </w:t>
      </w:r>
    </w:p>
    <w:p w14:paraId="2CEBF30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The early action offset credits meet the requirements of section 95990(c);</w:t>
      </w:r>
    </w:p>
    <w:p w14:paraId="72D81E3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GHG reduction or GHG removal enhancement occurred by December 31, 2014;</w:t>
      </w:r>
    </w:p>
    <w:p w14:paraId="680B7A9E"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The GHG reduction or GHG removal enhancement was determined to meet the requirements for regulatory verification pursuant to section 95990(f)</w:t>
      </w:r>
      <w:r w:rsidRPr="00B61FF1">
        <w:rPr>
          <w:rFonts w:ascii="Arial" w:hAnsi="Arial" w:cs="Arial"/>
          <w:sz w:val="24"/>
          <w:szCs w:val="24"/>
          <w:u w:val="single"/>
        </w:rPr>
        <w:t xml:space="preserve"> and verification under the Early Action Offset Program was completed with the submittal of an Offset Verification Statement to an Early Action Offset Program by September 30, 2015 for GHG reductions or removal enhancements eligible to be issued ARB offset credits</w:t>
      </w:r>
      <w:r w:rsidRPr="00B61FF1">
        <w:rPr>
          <w:rFonts w:ascii="Arial" w:hAnsi="Arial" w:cs="Arial"/>
          <w:sz w:val="24"/>
          <w:szCs w:val="24"/>
        </w:rPr>
        <w:t>;</w:t>
      </w:r>
    </w:p>
    <w:p w14:paraId="1B6BF56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The early action offset project has been listed pursuant to section 95990(e); and </w:t>
      </w:r>
    </w:p>
    <w:p w14:paraId="17B29A3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(5)</w:t>
      </w:r>
      <w:r w:rsidRPr="00B61FF1">
        <w:rPr>
          <w:rFonts w:ascii="Arial" w:hAnsi="Arial" w:cs="Arial"/>
          <w:sz w:val="24"/>
          <w:szCs w:val="24"/>
        </w:rPr>
        <w:tab/>
        <w:t>The following parties must submit the attestations listed in section 95990(h)(6) to ARB:</w:t>
      </w:r>
    </w:p>
    <w:p w14:paraId="39D2ADA9" w14:textId="77777777" w:rsidR="00FE6A4C" w:rsidRPr="00B61FF1" w:rsidRDefault="00FE6A4C" w:rsidP="00FE6A4C">
      <w:pPr>
        <w:spacing w:line="360" w:lineRule="auto"/>
        <w:ind w:left="1800" w:hanging="720"/>
        <w:rPr>
          <w:rFonts w:ascii="Arial" w:hAnsi="Arial" w:cs="Arial"/>
          <w:dstrike/>
          <w:sz w:val="24"/>
          <w:szCs w:val="24"/>
        </w:rPr>
      </w:pPr>
      <w:r w:rsidRPr="00B61FF1">
        <w:rPr>
          <w:rFonts w:ascii="Arial" w:hAnsi="Arial" w:cs="Arial"/>
          <w:sz w:val="24"/>
          <w:szCs w:val="24"/>
        </w:rPr>
        <w:t>(A)</w:t>
      </w:r>
      <w:r w:rsidRPr="00B61FF1">
        <w:rPr>
          <w:rFonts w:ascii="Arial" w:hAnsi="Arial" w:cs="Arial"/>
          <w:sz w:val="24"/>
          <w:szCs w:val="24"/>
        </w:rPr>
        <w:tab/>
        <w:t>The Offset Project Operator or Authorized Project Designee for a forest or urban forest early action offset project that does not transition to a Compliance Offset Protocol pursuant to section 95990(k); and</w:t>
      </w:r>
      <w:r w:rsidRPr="00B61FF1">
        <w:rPr>
          <w:rFonts w:ascii="Arial" w:hAnsi="Arial" w:cs="Arial"/>
          <w:dstrike/>
          <w:sz w:val="24"/>
          <w:szCs w:val="24"/>
        </w:rPr>
        <w:t xml:space="preserve"> </w:t>
      </w:r>
    </w:p>
    <w:p w14:paraId="625CEE0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The Offset Project Operator or Authorized Project Designee for the following early action offset projects, except as provided in section 95990(h)(5)(C):</w:t>
      </w:r>
    </w:p>
    <w:p w14:paraId="2224873E"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 forest or urban forest early action offset project that transitions to a Compliance Offset Protocol pursuant to section 95990(k);</w:t>
      </w:r>
    </w:p>
    <w:p w14:paraId="6E65234C"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An early action offset project developed under one of the protocols identified in section 95990(c)(5)(A) and (C).</w:t>
      </w:r>
    </w:p>
    <w:p w14:paraId="3908094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If the Offset Project Operator or Authorized Project Designees identified in section 95990(h)(5)(B) do not register with ARB pursuant to section 95990(d) and list the early action offset project pursuant to section 95990(e), the holder of early action offset credits may seek issuance of ARB offset credits pursuant to section 95990(i), as long as the holder provides ARB the attestations required pursuant to section 95990(h)(6).</w:t>
      </w:r>
    </w:p>
    <w:p w14:paraId="0458CD93"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(6)</w:t>
      </w:r>
      <w:r w:rsidRPr="00B61FF1">
        <w:rPr>
          <w:rFonts w:ascii="Arial" w:hAnsi="Arial" w:cs="Arial"/>
          <w:sz w:val="24"/>
          <w:szCs w:val="24"/>
        </w:rPr>
        <w:tab/>
        <w:t>The parties identified in section 95990(h)(5) must submit the following information to ARB:</w:t>
      </w:r>
    </w:p>
    <w:p w14:paraId="5DD33FA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Attest, in writing, to ARB as follows:</w:t>
      </w:r>
    </w:p>
    <w:p w14:paraId="0C3D5C1C"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“I certify under penalty of perjury under the laws of the State of California the GHG reductions and GHG removal enhancements for [project] from [date] to [date] have been measured in accordance with the [appropriate Early Action Offset Program offset protocol] and all information required to be submitted to ARB is true, accurate, and complete</w:t>
      </w:r>
      <w:r w:rsidRPr="00B61FF1">
        <w:rPr>
          <w:rFonts w:ascii="Arial" w:hAnsi="Arial" w:cs="Arial"/>
          <w:strike/>
          <w:sz w:val="24"/>
          <w:szCs w:val="24"/>
        </w:rPr>
        <w:t>;</w:t>
      </w:r>
      <w:r w:rsidRPr="00B61FF1">
        <w:rPr>
          <w:rFonts w:ascii="Arial" w:hAnsi="Arial" w:cs="Arial"/>
          <w:sz w:val="24"/>
          <w:szCs w:val="24"/>
          <w:u w:val="single"/>
        </w:rPr>
        <w:t>.</w:t>
      </w:r>
      <w:r w:rsidRPr="00B61FF1">
        <w:rPr>
          <w:rFonts w:ascii="Arial" w:hAnsi="Arial" w:cs="Arial"/>
          <w:sz w:val="24"/>
          <w:szCs w:val="24"/>
        </w:rPr>
        <w:t>”</w:t>
      </w:r>
      <w:r w:rsidRPr="00B61FF1">
        <w:rPr>
          <w:rFonts w:ascii="Arial" w:hAnsi="Arial" w:cs="Arial"/>
          <w:sz w:val="24"/>
          <w:szCs w:val="24"/>
          <w:u w:val="single"/>
        </w:rPr>
        <w:t>;</w:t>
      </w:r>
      <w:r w:rsidRPr="00B61FF1">
        <w:rPr>
          <w:rFonts w:ascii="Arial" w:hAnsi="Arial" w:cs="Arial"/>
          <w:sz w:val="24"/>
          <w:szCs w:val="24"/>
        </w:rPr>
        <w:t xml:space="preserve"> </w:t>
      </w:r>
    </w:p>
    <w:p w14:paraId="2903565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Attest, in writing, to ARB as follows:</w:t>
      </w:r>
    </w:p>
    <w:p w14:paraId="001536D5"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“I understand I am voluntarily participating in the California Greenhouse Gas Cap-and-Trade Program under title 17, article 5, and by doing so, I am now subject to all regulatory requirements and enforcement mechanisms of this program and subject myself to the jurisdiction of California as the exclusive venue to resolve any and all disputes</w:t>
      </w:r>
      <w:r w:rsidRPr="00B61FF1">
        <w:rPr>
          <w:rFonts w:ascii="Arial" w:hAnsi="Arial" w:cs="Arial"/>
          <w:strike/>
          <w:sz w:val="24"/>
          <w:szCs w:val="24"/>
        </w:rPr>
        <w:t>;</w:t>
      </w:r>
      <w:r w:rsidRPr="00B61FF1">
        <w:rPr>
          <w:rFonts w:ascii="Arial" w:hAnsi="Arial" w:cs="Arial"/>
          <w:sz w:val="24"/>
          <w:szCs w:val="24"/>
          <w:u w:val="single"/>
        </w:rPr>
        <w:t>.</w:t>
      </w:r>
      <w:r w:rsidRPr="00B61FF1">
        <w:rPr>
          <w:rFonts w:ascii="Arial" w:hAnsi="Arial" w:cs="Arial"/>
          <w:sz w:val="24"/>
          <w:szCs w:val="24"/>
        </w:rPr>
        <w:t>”</w:t>
      </w:r>
      <w:r w:rsidRPr="00B61FF1">
        <w:rPr>
          <w:rFonts w:ascii="Arial" w:hAnsi="Arial" w:cs="Arial"/>
          <w:sz w:val="24"/>
          <w:szCs w:val="24"/>
          <w:u w:val="single"/>
        </w:rPr>
        <w:t>;</w:t>
      </w:r>
      <w:r w:rsidRPr="00B61FF1">
        <w:rPr>
          <w:rFonts w:ascii="Arial" w:hAnsi="Arial" w:cs="Arial"/>
          <w:sz w:val="24"/>
          <w:szCs w:val="24"/>
        </w:rPr>
        <w:t xml:space="preserve"> and</w:t>
      </w:r>
    </w:p>
    <w:p w14:paraId="48E54552"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Attest in writing to ARB as follows:</w:t>
      </w:r>
    </w:p>
    <w:p w14:paraId="1EA1409F"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z w:val="24"/>
          <w:szCs w:val="24"/>
        </w:rPr>
        <w:t>“I understand that the offset project activity and the implementation of the offset project must be in accordance with all applicable local, regional, and national environmental and health and safety regulations that apply based on the offset project location.  I understand that offset projects are not eligible to receive ARB offset credits for GHG reductions or GHG removal enhancements that are not in compliance with the requirements of this Article.”</w:t>
      </w:r>
    </w:p>
    <w:p w14:paraId="2B38CF1B"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(7)</w:t>
      </w:r>
      <w:r w:rsidRPr="00B61FF1">
        <w:rPr>
          <w:rFonts w:ascii="Arial" w:hAnsi="Arial" w:cs="Arial"/>
          <w:sz w:val="24"/>
          <w:szCs w:val="24"/>
        </w:rPr>
        <w:tab/>
        <w:t>An ARB offset credit may not be issued for an early action offset credit that has been retired, canceled, used to meet a surrender obligation, used to meet a voluntary commitment, or used to meet any GHG mitigation requirements in any voluntary or regulatory system.</w:t>
      </w:r>
    </w:p>
    <w:p w14:paraId="3D6E134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(i)</w:t>
      </w:r>
      <w:r w:rsidRPr="00B61FF1">
        <w:rPr>
          <w:rFonts w:ascii="Arial" w:hAnsi="Arial" w:cs="Arial"/>
          <w:sz w:val="24"/>
          <w:szCs w:val="24"/>
        </w:rPr>
        <w:tab/>
        <w:t>Process for Issuance of ARB Offset Credits for Purposes of Early Action.  ARB will issue an ARB offset credit that meets the requirements of section 95990(h) in the amount calculated pursuant to section 95990(i)(1) :</w:t>
      </w:r>
    </w:p>
    <w:p w14:paraId="42E5734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ARB offset credits will be issued according to the following schedule:</w:t>
      </w:r>
    </w:p>
    <w:p w14:paraId="7784AD14"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One ARB offset credit will be issued for one early action offset credit generated under Climate Action Reserve Urban Forest Project Protocol versions 1.0 through 1.1; </w:t>
      </w:r>
    </w:p>
    <w:p w14:paraId="37F0D83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One ARB offset credit will be issued for one early action offset credit generated under Climate Action Reserve U.S. Ozone Depleting Substances Project Protocol version 1.0;</w:t>
      </w:r>
    </w:p>
    <w:p w14:paraId="2DA4A5A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One ARB offset credit will be issued for one early action offset credit generated under Climate Action Reserve U.S. Livestock Project Protocol versions 1.0 through 3.0; and</w:t>
      </w:r>
    </w:p>
    <w:p w14:paraId="2073DD6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ARB offset credits will be issued for early action offset credits generated under Climate Action Reserve Forest Project Protocol version 2.1 and versions 3.0 through 3.2, pursuant to the following:</w:t>
      </w:r>
    </w:p>
    <w:p w14:paraId="18024557"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 xml:space="preserve">If any ARB offset credits are being issued to an early action forest offset project pursuant to this section, </w:t>
      </w:r>
      <w:r w:rsidRPr="00B61FF1">
        <w:rPr>
          <w:rFonts w:ascii="Arial" w:hAnsi="Arial" w:cs="Arial"/>
          <w:sz w:val="24"/>
          <w:szCs w:val="24"/>
          <w:u w:val="single"/>
        </w:rPr>
        <w:t xml:space="preserve">ARB will notify </w:t>
      </w:r>
      <w:r w:rsidRPr="00B61FF1">
        <w:rPr>
          <w:rFonts w:ascii="Arial" w:hAnsi="Arial" w:cs="Arial"/>
          <w:sz w:val="24"/>
          <w:szCs w:val="24"/>
        </w:rPr>
        <w:t>the Early Action Offset Program</w:t>
      </w:r>
      <w:r w:rsidRPr="00B61FF1">
        <w:rPr>
          <w:rFonts w:ascii="Arial" w:hAnsi="Arial" w:cs="Arial"/>
          <w:sz w:val="24"/>
          <w:szCs w:val="24"/>
          <w:u w:val="single"/>
        </w:rPr>
        <w:t xml:space="preserve"> of the quantity of early action offset credits that</w:t>
      </w:r>
      <w:r w:rsidRPr="00B61FF1">
        <w:rPr>
          <w:rFonts w:ascii="Arial" w:hAnsi="Arial" w:cs="Arial"/>
          <w:sz w:val="24"/>
          <w:szCs w:val="24"/>
        </w:rPr>
        <w:t xml:space="preserve"> must </w:t>
      </w:r>
      <w:r w:rsidRPr="00B61FF1">
        <w:rPr>
          <w:rFonts w:ascii="Arial" w:hAnsi="Arial" w:cs="Arial"/>
          <w:sz w:val="24"/>
          <w:szCs w:val="24"/>
          <w:u w:val="single"/>
        </w:rPr>
        <w:t>be removed or canceled</w:t>
      </w:r>
      <w:r w:rsidRPr="00B61FF1">
        <w:rPr>
          <w:rFonts w:ascii="Arial" w:hAnsi="Arial" w:cs="Arial"/>
          <w:strike/>
          <w:sz w:val="24"/>
          <w:szCs w:val="24"/>
        </w:rPr>
        <w:t>transfer</w:t>
      </w:r>
      <w:r w:rsidRPr="00B61FF1">
        <w:rPr>
          <w:rFonts w:ascii="Arial" w:hAnsi="Arial" w:cs="Arial"/>
          <w:sz w:val="24"/>
          <w:szCs w:val="24"/>
        </w:rPr>
        <w:t xml:space="preserve"> </w:t>
      </w:r>
      <w:r w:rsidRPr="00B61FF1">
        <w:rPr>
          <w:rFonts w:ascii="Arial" w:hAnsi="Arial" w:cs="Arial"/>
          <w:strike/>
          <w:sz w:val="24"/>
          <w:szCs w:val="24"/>
        </w:rPr>
        <w:t>all of the early action offset credits in</w:t>
      </w:r>
      <w:r w:rsidRPr="00B61FF1">
        <w:rPr>
          <w:rFonts w:ascii="Arial" w:hAnsi="Arial" w:cs="Arial"/>
          <w:sz w:val="24"/>
          <w:szCs w:val="24"/>
        </w:rPr>
        <w:t xml:space="preserve"> </w:t>
      </w:r>
      <w:r w:rsidRPr="00B61FF1">
        <w:rPr>
          <w:rFonts w:ascii="Arial" w:hAnsi="Arial" w:cs="Arial"/>
          <w:sz w:val="24"/>
          <w:szCs w:val="24"/>
          <w:u w:val="single"/>
        </w:rPr>
        <w:t xml:space="preserve">from </w:t>
      </w:r>
      <w:r w:rsidRPr="00B61FF1">
        <w:rPr>
          <w:rFonts w:ascii="Arial" w:hAnsi="Arial" w:cs="Arial"/>
          <w:sz w:val="24"/>
          <w:szCs w:val="24"/>
        </w:rPr>
        <w:t xml:space="preserve">its buffer account for forest projects for that project </w:t>
      </w:r>
      <w:r w:rsidRPr="00B61FF1">
        <w:rPr>
          <w:rFonts w:ascii="Arial" w:hAnsi="Arial" w:cs="Arial"/>
          <w:strike/>
          <w:sz w:val="24"/>
          <w:szCs w:val="24"/>
        </w:rPr>
        <w:t xml:space="preserve">to ARB by removing the early action offset credits, </w:t>
      </w:r>
      <w:r w:rsidRPr="00B61FF1">
        <w:rPr>
          <w:rFonts w:ascii="Arial" w:hAnsi="Arial" w:cs="Arial"/>
          <w:sz w:val="24"/>
          <w:szCs w:val="24"/>
        </w:rPr>
        <w:t>such that they are no longer available on the Early Action Offset Program’s system.</w:t>
      </w:r>
    </w:p>
    <w:p w14:paraId="2A2ACA90" w14:textId="77777777" w:rsidR="00FE6A4C" w:rsidRPr="00B61FF1" w:rsidRDefault="00FE6A4C" w:rsidP="00FE6A4C">
      <w:pPr>
        <w:spacing w:line="360" w:lineRule="auto"/>
        <w:ind w:left="2880" w:hanging="72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rPr>
        <w:tab/>
        <w:t>For vintages 2001-2004 early action offset credits in the Early Action Offset Program buffer account for forest projects transferred for the early action forest offset project, ARB will create a series of unique serial numbers that identify them as being from these vintage years.</w:t>
      </w:r>
    </w:p>
    <w:p w14:paraId="46A9B361"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The early action offset credits being removed or canceled from the Early Action Offset Program’s buffer account for forest projects must meet the criteria of this section.  Early action offset credits that do not meet the criteria of this section may not be used to meet these buffer account requirements.</w:t>
      </w:r>
    </w:p>
    <w:p w14:paraId="77536B7F"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ARB offset credits, that were placed in the ARB Forest Buffer Account as a result of any early action offset credits which were removed or canceled from the Early Action Offset Program’s buffer account for forest projects, for purposes of transitioning early action offset credits to ARB offset credits for the following reasons, the ARB offset credits will be removed or canceled from the ARB Forest Buffer Account so that they may be transferred permanently to the Early Action Offset Program’s buffer account for forest offset projects:</w:t>
      </w:r>
    </w:p>
    <w:p w14:paraId="564FF07B"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w:t>
      </w:r>
      <w:r w:rsidRPr="00B61FF1">
        <w:rPr>
          <w:rFonts w:ascii="Arial" w:hAnsi="Arial" w:cs="Arial"/>
          <w:sz w:val="24"/>
          <w:szCs w:val="24"/>
        </w:rPr>
        <w:tab/>
      </w:r>
      <w:r w:rsidRPr="00B61FF1">
        <w:rPr>
          <w:rFonts w:ascii="Arial" w:hAnsi="Arial" w:cs="Arial"/>
          <w:sz w:val="24"/>
          <w:szCs w:val="24"/>
          <w:u w:val="single"/>
        </w:rPr>
        <w:t>The early action offset credits did not meet the criteria in section 95990(c); and</w:t>
      </w:r>
    </w:p>
    <w:p w14:paraId="53C97693"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ii.</w:t>
      </w:r>
      <w:r w:rsidRPr="00B61FF1">
        <w:rPr>
          <w:rFonts w:ascii="Arial" w:hAnsi="Arial" w:cs="Arial"/>
          <w:sz w:val="24"/>
          <w:szCs w:val="24"/>
        </w:rPr>
        <w:tab/>
      </w:r>
      <w:r w:rsidRPr="00B61FF1">
        <w:rPr>
          <w:rFonts w:ascii="Arial" w:hAnsi="Arial" w:cs="Arial"/>
          <w:sz w:val="24"/>
          <w:szCs w:val="24"/>
          <w:u w:val="single"/>
        </w:rPr>
        <w:t>The early action offset credits removed from the Early Action Offset Program’s buffer account for forest projects were removed in excess of the amount of early action offset credits required by this section; and</w:t>
      </w:r>
    </w:p>
    <w:p w14:paraId="72D6C1B6"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trike/>
          <w:sz w:val="24"/>
          <w:szCs w:val="24"/>
        </w:rPr>
        <w:t>b</w:t>
      </w:r>
      <w:r w:rsidRPr="00B61FF1">
        <w:rPr>
          <w:rFonts w:ascii="Arial" w:hAnsi="Arial" w:cs="Arial"/>
          <w:sz w:val="24"/>
          <w:szCs w:val="24"/>
        </w:rPr>
        <w:t>.</w:t>
      </w:r>
      <w:r w:rsidRPr="00B61FF1">
        <w:rPr>
          <w:rFonts w:ascii="Arial" w:hAnsi="Arial" w:cs="Arial"/>
          <w:strike/>
          <w:sz w:val="24"/>
          <w:szCs w:val="24"/>
        </w:rPr>
        <w:tab/>
        <w:t>Vintage 2001-2004 serial numbers may only reside in the Forest Buffer Account and will only be retired by ARB in the event of a project termination pursuant to section 95983(d).  These vintages will not be able to count towards the contribution to ARB’s Forest Buffer Account pursuant to this section.</w:t>
      </w:r>
    </w:p>
    <w:p w14:paraId="33D25AEE" w14:textId="77777777" w:rsidR="00FE6A4C" w:rsidRPr="00B61FF1" w:rsidRDefault="00FE6A4C" w:rsidP="00FE6A4C">
      <w:pPr>
        <w:spacing w:line="360" w:lineRule="auto"/>
        <w:ind w:left="2160" w:hanging="720"/>
        <w:rPr>
          <w:rFonts w:ascii="Arial" w:hAnsi="Arial" w:cs="Arial"/>
          <w:strike/>
          <w:sz w:val="24"/>
          <w:szCs w:val="24"/>
        </w:rPr>
      </w:pPr>
      <w:r w:rsidRPr="00B61FF1">
        <w:rPr>
          <w:rFonts w:ascii="Arial" w:hAnsi="Arial" w:cs="Arial"/>
          <w:sz w:val="24"/>
          <w:szCs w:val="24"/>
        </w:rPr>
        <w:t>2.</w:t>
      </w:r>
      <w:r w:rsidRPr="00B61FF1">
        <w:rPr>
          <w:rFonts w:ascii="Arial" w:hAnsi="Arial" w:cs="Arial"/>
          <w:sz w:val="24"/>
          <w:szCs w:val="24"/>
        </w:rPr>
        <w:tab/>
        <w:t xml:space="preserve">A specified number of the issued ARB offset credits must be placed in the Forest Buffer Account </w:t>
      </w:r>
      <w:r w:rsidRPr="00B61FF1">
        <w:rPr>
          <w:rFonts w:ascii="Arial" w:hAnsi="Arial" w:cs="Arial"/>
          <w:strike/>
          <w:sz w:val="24"/>
          <w:szCs w:val="24"/>
        </w:rPr>
        <w:t xml:space="preserve">in the amount determined by the project-specific risk rating calculation in Compliance Offset Protocol U.S. Forest Projects, October 20, 2011 </w:t>
      </w:r>
      <w:r w:rsidRPr="00B61FF1">
        <w:rPr>
          <w:rFonts w:ascii="Arial" w:hAnsi="Arial" w:cs="Arial"/>
          <w:sz w:val="24"/>
          <w:szCs w:val="24"/>
        </w:rPr>
        <w:t xml:space="preserve">for each </w:t>
      </w:r>
      <w:r w:rsidRPr="00B61FF1">
        <w:rPr>
          <w:rFonts w:ascii="Arial" w:hAnsi="Arial" w:cs="Arial"/>
          <w:strike/>
          <w:sz w:val="24"/>
          <w:szCs w:val="24"/>
        </w:rPr>
        <w:t>Offset Project Data Report year</w:t>
      </w:r>
      <w:r w:rsidRPr="00B61FF1">
        <w:rPr>
          <w:rFonts w:ascii="Arial" w:hAnsi="Arial" w:cs="Arial"/>
          <w:sz w:val="24"/>
          <w:szCs w:val="24"/>
          <w:u w:val="single"/>
        </w:rPr>
        <w:t>early action reporting period</w:t>
      </w:r>
      <w:r w:rsidRPr="00B61FF1">
        <w:rPr>
          <w:rFonts w:ascii="Arial" w:hAnsi="Arial" w:cs="Arial"/>
          <w:sz w:val="24"/>
          <w:szCs w:val="24"/>
        </w:rPr>
        <w:t xml:space="preserve"> eligible and applicable pursuant to section 95990(c)(1)</w:t>
      </w:r>
      <w:r w:rsidRPr="00B61FF1">
        <w:rPr>
          <w:rFonts w:ascii="Arial" w:hAnsi="Arial" w:cs="Arial"/>
          <w:sz w:val="24"/>
          <w:szCs w:val="24"/>
          <w:u w:val="single"/>
        </w:rPr>
        <w:t xml:space="preserve"> using the following equation:</w:t>
      </w:r>
      <w:r w:rsidRPr="00B61FF1">
        <w:rPr>
          <w:rFonts w:ascii="Arial" w:hAnsi="Arial" w:cs="Arial"/>
          <w:strike/>
          <w:sz w:val="24"/>
          <w:szCs w:val="24"/>
        </w:rPr>
        <w:t>.</w:t>
      </w:r>
    </w:p>
    <w:p w14:paraId="27F72106" w14:textId="77777777" w:rsidR="00FE6A4C" w:rsidRPr="00B61FF1" w:rsidRDefault="00FE6A4C" w:rsidP="00FE6A4C">
      <w:pPr>
        <w:spacing w:line="360" w:lineRule="auto"/>
        <w:ind w:left="2160" w:hanging="720"/>
        <w:rPr>
          <w:rFonts w:ascii="Arial" w:hAnsi="Arial" w:cs="Arial"/>
          <w:sz w:val="24"/>
          <w:szCs w:val="24"/>
        </w:rPr>
      </w:pPr>
    </w:p>
    <w:p w14:paraId="4EBA9E5F" w14:textId="77777777" w:rsidR="00FE6A4C" w:rsidRPr="00B61FF1" w:rsidRDefault="00661852" w:rsidP="00FE6A4C">
      <w:pPr>
        <w:ind w:left="2160" w:hanging="72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Buffer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Issue</m:t>
              </m:r>
            </m:sub>
          </m:sSub>
          <m:r>
            <w:rPr>
              <w:rFonts w:ascii="Cambria Math" w:hAnsi="Cambria Math" w:cs="Arial"/>
              <w:sz w:val="24"/>
              <w:szCs w:val="24"/>
            </w:rPr>
            <m:t>×Max</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RR</m:t>
                  </m:r>
                </m:e>
                <m:sub>
                  <m:r>
                    <w:rPr>
                      <w:rFonts w:ascii="Cambria Math" w:hAnsi="Cambria Math" w:cs="Arial"/>
                      <w:sz w:val="24"/>
                      <w:szCs w:val="24"/>
                    </w:rPr>
                    <m:t>EAOP</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RR</m:t>
                  </m:r>
                </m:e>
                <m:sub>
                  <m:r>
                    <w:rPr>
                      <w:rFonts w:ascii="Cambria Math" w:hAnsi="Cambria Math" w:cs="Arial"/>
                      <w:sz w:val="24"/>
                      <w:szCs w:val="24"/>
                    </w:rPr>
                    <m:t>COP</m:t>
                  </m:r>
                </m:sub>
              </m:sSub>
            </m:e>
          </m:d>
        </m:oMath>
      </m:oMathPara>
    </w:p>
    <w:p w14:paraId="685A8F61" w14:textId="77777777" w:rsidR="00FE6A4C" w:rsidRPr="00B61FF1" w:rsidRDefault="00661852" w:rsidP="00FE6A4C">
      <w:pPr>
        <w:ind w:left="2160" w:hanging="720"/>
        <w:rPr>
          <w:rFonts w:ascii="Arial" w:hAnsi="Arial" w:cs="Arial"/>
          <w:sz w:val="24"/>
          <w:szCs w:val="24"/>
        </w:rPr>
      </w:pPr>
      <m:oMathPara>
        <m:oMath>
          <m:r>
            <m:rPr>
              <m:sty m:val="p"/>
            </m:rPr>
            <w:rPr>
              <w:rFonts w:ascii="Cambria Math" w:hAnsi="Cambria Math" w:cs="Arial"/>
              <w:sz w:val="24"/>
              <w:szCs w:val="24"/>
            </w:rPr>
            <w:pict w14:anchorId="624633D3">
              <v:rect id="_x0000_i1027" style="width:405pt;height:1pt" o:hralign="center" o:hrstd="t" o:hrnoshade="t" o:hr="t" fillcolor="black [3213]" stroked="f"/>
            </w:pict>
          </m:r>
        </m:oMath>
      </m:oMathPara>
    </w:p>
    <w:p w14:paraId="753B7984" w14:textId="77777777" w:rsidR="00FE6A4C" w:rsidRPr="00B61FF1" w:rsidRDefault="00FE6A4C" w:rsidP="00FE6A4C">
      <w:pPr>
        <w:spacing w:line="360" w:lineRule="auto"/>
        <w:ind w:left="2160" w:hanging="720"/>
        <w:rPr>
          <w:rFonts w:ascii="Arial" w:hAnsi="Arial" w:cs="Arial"/>
          <w:sz w:val="24"/>
          <w:szCs w:val="24"/>
        </w:rPr>
      </w:pPr>
    </w:p>
    <w:p w14:paraId="05B1B1C5" w14:textId="77777777" w:rsidR="00FE6A4C" w:rsidRPr="00B61FF1" w:rsidRDefault="00FE6A4C" w:rsidP="00FE6A4C">
      <w:pPr>
        <w:spacing w:line="360" w:lineRule="auto"/>
        <w:ind w:left="2160"/>
        <w:rPr>
          <w:rFonts w:ascii="Arial" w:hAnsi="Arial" w:cs="Arial"/>
          <w:sz w:val="24"/>
          <w:szCs w:val="24"/>
          <w:u w:val="single"/>
        </w:rPr>
      </w:pPr>
      <w:r w:rsidRPr="00B61FF1">
        <w:rPr>
          <w:rFonts w:ascii="Arial" w:hAnsi="Arial" w:cs="Arial"/>
          <w:sz w:val="24"/>
          <w:szCs w:val="24"/>
          <w:u w:val="single"/>
        </w:rPr>
        <w:t xml:space="preserve">Where: </w:t>
      </w:r>
    </w:p>
    <w:p w14:paraId="0CFD8CF0" w14:textId="77777777" w:rsidR="00FE6A4C" w:rsidRPr="00B61FF1" w:rsidRDefault="00FE6A4C" w:rsidP="00FE6A4C">
      <w:pPr>
        <w:spacing w:line="360" w:lineRule="auto"/>
        <w:ind w:left="216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Buffer</w:t>
      </w:r>
      <w:r w:rsidRPr="00B61FF1">
        <w:rPr>
          <w:rFonts w:ascii="Arial" w:hAnsi="Arial" w:cs="Arial"/>
          <w:sz w:val="24"/>
          <w:szCs w:val="24"/>
          <w:u w:val="single"/>
        </w:rPr>
        <w:t>” is the number of ARB offset credits issued for the early action reporting period to be placed in the ARB Forest Buffer Account;</w:t>
      </w:r>
    </w:p>
    <w:p w14:paraId="761499C4" w14:textId="77777777" w:rsidR="00FE6A4C" w:rsidRPr="00B61FF1" w:rsidRDefault="00FE6A4C" w:rsidP="00FE6A4C">
      <w:pPr>
        <w:spacing w:line="360" w:lineRule="auto"/>
        <w:ind w:left="2160"/>
        <w:rPr>
          <w:rFonts w:ascii="Arial" w:hAnsi="Arial" w:cs="Arial"/>
          <w:sz w:val="24"/>
          <w:szCs w:val="24"/>
          <w:u w:val="single"/>
        </w:rPr>
      </w:pPr>
    </w:p>
    <w:p w14:paraId="0F5BF874" w14:textId="77777777" w:rsidR="00FE6A4C" w:rsidRPr="00B61FF1" w:rsidRDefault="00FE6A4C" w:rsidP="00FE6A4C">
      <w:pPr>
        <w:spacing w:line="360" w:lineRule="auto"/>
        <w:ind w:left="216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as calculated in sections 95990(i)(1)(D)(3.)(a), (b.) or (c.) below, as applicable;</w:t>
      </w:r>
    </w:p>
    <w:p w14:paraId="5657448B" w14:textId="77777777" w:rsidR="00FE6A4C" w:rsidRPr="00B61FF1" w:rsidRDefault="00FE6A4C" w:rsidP="00FE6A4C">
      <w:pPr>
        <w:spacing w:line="360" w:lineRule="auto"/>
        <w:ind w:left="2160"/>
        <w:rPr>
          <w:rFonts w:ascii="Arial" w:hAnsi="Arial" w:cs="Arial"/>
          <w:sz w:val="24"/>
          <w:szCs w:val="24"/>
          <w:u w:val="single"/>
        </w:rPr>
      </w:pPr>
    </w:p>
    <w:p w14:paraId="6CED707F" w14:textId="77777777" w:rsidR="00FE6A4C" w:rsidRPr="00B61FF1" w:rsidRDefault="00FE6A4C" w:rsidP="00FE6A4C">
      <w:pPr>
        <w:spacing w:line="360" w:lineRule="auto"/>
        <w:ind w:left="2160"/>
        <w:rPr>
          <w:rFonts w:ascii="Arial" w:hAnsi="Arial" w:cs="Arial"/>
          <w:sz w:val="24"/>
          <w:szCs w:val="24"/>
          <w:u w:val="single"/>
        </w:rPr>
      </w:pPr>
      <w:r w:rsidRPr="00B61FF1">
        <w:rPr>
          <w:rFonts w:ascii="Arial" w:hAnsi="Arial" w:cs="Arial"/>
          <w:sz w:val="24"/>
          <w:szCs w:val="24"/>
          <w:u w:val="single"/>
        </w:rPr>
        <w:t>“Max” is the larger of the two values [RR</w:t>
      </w:r>
      <w:r w:rsidRPr="00B61FF1">
        <w:rPr>
          <w:rFonts w:ascii="Arial" w:hAnsi="Arial" w:cs="Arial"/>
          <w:sz w:val="24"/>
          <w:szCs w:val="24"/>
          <w:u w:val="single"/>
          <w:vertAlign w:val="subscript"/>
        </w:rPr>
        <w:t>EAOP</w:t>
      </w:r>
      <w:r w:rsidRPr="00B61FF1">
        <w:rPr>
          <w:rFonts w:ascii="Arial" w:hAnsi="Arial" w:cs="Arial"/>
          <w:sz w:val="24"/>
          <w:szCs w:val="24"/>
          <w:u w:val="single"/>
        </w:rPr>
        <w:t>, RR</w:t>
      </w:r>
      <w:r w:rsidRPr="00B61FF1">
        <w:rPr>
          <w:rFonts w:ascii="Arial" w:hAnsi="Arial" w:cs="Arial"/>
          <w:sz w:val="24"/>
          <w:szCs w:val="24"/>
          <w:u w:val="single"/>
          <w:vertAlign w:val="subscript"/>
        </w:rPr>
        <w:t>COP</w:t>
      </w:r>
      <w:r w:rsidRPr="00B61FF1">
        <w:rPr>
          <w:rFonts w:ascii="Arial" w:hAnsi="Arial" w:cs="Arial"/>
          <w:sz w:val="24"/>
          <w:szCs w:val="24"/>
          <w:u w:val="single"/>
        </w:rPr>
        <w:t>];</w:t>
      </w:r>
    </w:p>
    <w:p w14:paraId="6C019678" w14:textId="77777777" w:rsidR="00FE6A4C" w:rsidRPr="00B61FF1" w:rsidRDefault="00FE6A4C" w:rsidP="00FE6A4C">
      <w:pPr>
        <w:spacing w:line="360" w:lineRule="auto"/>
        <w:ind w:left="2160"/>
        <w:rPr>
          <w:rFonts w:ascii="Arial" w:hAnsi="Arial" w:cs="Arial"/>
          <w:sz w:val="24"/>
          <w:szCs w:val="24"/>
          <w:u w:val="single"/>
        </w:rPr>
      </w:pPr>
    </w:p>
    <w:p w14:paraId="13F66DD0" w14:textId="77777777" w:rsidR="00FE6A4C" w:rsidRPr="00B61FF1" w:rsidRDefault="00FE6A4C" w:rsidP="00FE6A4C">
      <w:pPr>
        <w:spacing w:line="360" w:lineRule="auto"/>
        <w:ind w:left="2160"/>
        <w:rPr>
          <w:rFonts w:ascii="Arial" w:hAnsi="Arial" w:cs="Arial"/>
          <w:sz w:val="24"/>
          <w:szCs w:val="24"/>
          <w:u w:val="single"/>
        </w:rPr>
      </w:pPr>
      <w:r w:rsidRPr="00B61FF1">
        <w:rPr>
          <w:rFonts w:ascii="Arial" w:hAnsi="Arial" w:cs="Arial"/>
          <w:sz w:val="24"/>
          <w:szCs w:val="24"/>
          <w:u w:val="single"/>
        </w:rPr>
        <w:t>“RR</w:t>
      </w:r>
      <w:r w:rsidRPr="00B61FF1">
        <w:rPr>
          <w:rFonts w:ascii="Arial" w:hAnsi="Arial" w:cs="Arial"/>
          <w:sz w:val="24"/>
          <w:szCs w:val="24"/>
          <w:u w:val="single"/>
          <w:vertAlign w:val="subscript"/>
        </w:rPr>
        <w:t>EAOP</w:t>
      </w:r>
      <w:r w:rsidRPr="00B61FF1">
        <w:rPr>
          <w:rFonts w:ascii="Arial" w:hAnsi="Arial" w:cs="Arial"/>
          <w:sz w:val="24"/>
          <w:szCs w:val="24"/>
          <w:u w:val="single"/>
        </w:rPr>
        <w:t>” is the reversal risk rating percentage applied by the Early Action Offset Program to calculate the number of early action offset credits placed in the Early Action Offset Program’s buffer account for forest projects at the time of early action offset credit issuance by the Early Action Offset Program for an early action reporting period; and</w:t>
      </w:r>
    </w:p>
    <w:p w14:paraId="6FDF6D8C" w14:textId="77777777" w:rsidR="00FE6A4C" w:rsidRPr="00B61FF1" w:rsidRDefault="00FE6A4C" w:rsidP="00FE6A4C">
      <w:pPr>
        <w:spacing w:line="360" w:lineRule="auto"/>
        <w:ind w:left="2160"/>
        <w:rPr>
          <w:rFonts w:ascii="Arial" w:hAnsi="Arial" w:cs="Arial"/>
          <w:sz w:val="24"/>
          <w:szCs w:val="24"/>
          <w:u w:val="single"/>
        </w:rPr>
      </w:pPr>
    </w:p>
    <w:p w14:paraId="697A7B68" w14:textId="77777777" w:rsidR="00FE6A4C" w:rsidRPr="00B61FF1" w:rsidRDefault="00FE6A4C" w:rsidP="00FE6A4C">
      <w:pPr>
        <w:spacing w:line="360" w:lineRule="auto"/>
        <w:ind w:left="2160"/>
        <w:rPr>
          <w:rFonts w:ascii="Arial" w:hAnsi="Arial" w:cs="Arial"/>
          <w:sz w:val="24"/>
          <w:szCs w:val="24"/>
          <w:u w:val="single"/>
        </w:rPr>
      </w:pPr>
      <w:r w:rsidRPr="00B61FF1">
        <w:rPr>
          <w:rFonts w:ascii="Arial" w:hAnsi="Arial" w:cs="Arial"/>
          <w:sz w:val="24"/>
          <w:szCs w:val="24"/>
          <w:u w:val="single"/>
        </w:rPr>
        <w:t>“RR</w:t>
      </w:r>
      <w:r w:rsidRPr="00B61FF1">
        <w:rPr>
          <w:rFonts w:ascii="Arial" w:hAnsi="Arial" w:cs="Arial"/>
          <w:sz w:val="24"/>
          <w:szCs w:val="24"/>
          <w:u w:val="single"/>
          <w:vertAlign w:val="subscript"/>
        </w:rPr>
        <w:t>COP</w:t>
      </w:r>
      <w:r w:rsidRPr="00B61FF1">
        <w:rPr>
          <w:rFonts w:ascii="Arial" w:hAnsi="Arial" w:cs="Arial"/>
          <w:sz w:val="24"/>
          <w:szCs w:val="24"/>
          <w:u w:val="single"/>
        </w:rPr>
        <w:t>” is the reversal risk rating percentage that must be applied to an early action forest offset project pursuant to the project-specific reversal risk rating calculation in Compliance Offset Protocol U.S. Forest Projects, October 20, 2011 for an early action reporting period.</w:t>
      </w:r>
    </w:p>
    <w:p w14:paraId="1ADD462F" w14:textId="77777777" w:rsidR="00FE6A4C" w:rsidRPr="00B61FF1" w:rsidRDefault="00FE6A4C" w:rsidP="00FE6A4C">
      <w:pPr>
        <w:spacing w:line="360" w:lineRule="auto"/>
        <w:ind w:left="2160"/>
        <w:rPr>
          <w:rFonts w:ascii="Arial" w:hAnsi="Arial" w:cs="Arial"/>
          <w:sz w:val="24"/>
          <w:szCs w:val="24"/>
          <w:u w:val="single"/>
        </w:rPr>
      </w:pPr>
    </w:p>
    <w:p w14:paraId="35DA4727"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ARB will calculate the reversal risk rating percentage for RR</w:t>
      </w:r>
      <w:r w:rsidRPr="00B61FF1">
        <w:rPr>
          <w:rFonts w:ascii="Arial" w:hAnsi="Arial" w:cs="Arial"/>
          <w:sz w:val="24"/>
          <w:szCs w:val="24"/>
          <w:u w:val="single"/>
          <w:vertAlign w:val="subscript"/>
        </w:rPr>
        <w:t>COP</w:t>
      </w:r>
      <w:r w:rsidRPr="00B61FF1">
        <w:rPr>
          <w:rFonts w:ascii="Arial" w:hAnsi="Arial" w:cs="Arial"/>
          <w:sz w:val="24"/>
          <w:szCs w:val="24"/>
          <w:u w:val="single"/>
        </w:rPr>
        <w:t xml:space="preserve"> for the early action reporting period for the early action offset project according to the requirements in the Compliance Offset Protocol U.S. Forest Projects, October 20, 2011.</w:t>
      </w:r>
    </w:p>
    <w:p w14:paraId="11E860FD"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When calculating the reversal risk rating percentage using the Compliance Offset Protocol U.S. Forest Projects, October 20, 2011, ARB will use the maximum value for each risk category unless the original early action verification included a review of the criteria and verification of the requirements for calculating the risk category.</w:t>
      </w:r>
    </w:p>
    <w:p w14:paraId="1ADD77C5"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Qualified Conservation Easements cannot be retroactively applied to the reversal risk rating percentage calculations for the purposes of early action only.</w:t>
      </w:r>
    </w:p>
    <w:p w14:paraId="3D487A5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r>
      <w:r w:rsidRPr="00B61FF1">
        <w:rPr>
          <w:rFonts w:ascii="Arial" w:hAnsi="Arial" w:cs="Arial"/>
          <w:strike/>
          <w:sz w:val="24"/>
          <w:szCs w:val="24"/>
        </w:rPr>
        <w:t>If the Offset Project Operator or Authorized Project Designee registers and lists the early action offset project pursuant to sections 95990(d) and (e) and is seeking issuance of ARB offset credits for an Offset Project Data Report year</w:t>
      </w:r>
      <w:r w:rsidRPr="00B61FF1">
        <w:rPr>
          <w:rFonts w:ascii="Arial" w:hAnsi="Arial" w:cs="Arial"/>
          <w:sz w:val="24"/>
          <w:szCs w:val="24"/>
        </w:rPr>
        <w:t xml:space="preserve"> ARB will determine the number of ARB offset credits that </w:t>
      </w:r>
      <w:r w:rsidRPr="00B61FF1">
        <w:rPr>
          <w:rFonts w:ascii="Arial" w:hAnsi="Arial" w:cs="Arial"/>
          <w:strike/>
          <w:sz w:val="24"/>
          <w:szCs w:val="24"/>
        </w:rPr>
        <w:t>will</w:t>
      </w:r>
      <w:r w:rsidRPr="00B61FF1">
        <w:rPr>
          <w:rFonts w:ascii="Arial" w:hAnsi="Arial" w:cs="Arial"/>
          <w:sz w:val="24"/>
          <w:szCs w:val="24"/>
          <w:u w:val="single"/>
        </w:rPr>
        <w:t>may</w:t>
      </w:r>
      <w:r w:rsidRPr="00B61FF1">
        <w:rPr>
          <w:rFonts w:ascii="Arial" w:hAnsi="Arial" w:cs="Arial"/>
          <w:sz w:val="24"/>
          <w:szCs w:val="24"/>
        </w:rPr>
        <w:t xml:space="preserve"> be issued to the Offset Project Operator</w:t>
      </w:r>
      <w:r w:rsidRPr="00B61FF1">
        <w:rPr>
          <w:rFonts w:ascii="Arial" w:hAnsi="Arial" w:cs="Arial"/>
          <w:sz w:val="24"/>
          <w:szCs w:val="24"/>
          <w:u w:val="single"/>
        </w:rPr>
        <w:t>,</w:t>
      </w:r>
      <w:r w:rsidRPr="00B61FF1">
        <w:rPr>
          <w:rFonts w:ascii="Arial" w:hAnsi="Arial" w:cs="Arial"/>
          <w:strike/>
          <w:sz w:val="24"/>
          <w:szCs w:val="24"/>
        </w:rPr>
        <w:t xml:space="preserve"> or</w:t>
      </w:r>
      <w:r w:rsidRPr="00B61FF1">
        <w:rPr>
          <w:rFonts w:ascii="Arial" w:hAnsi="Arial" w:cs="Arial"/>
          <w:sz w:val="24"/>
          <w:szCs w:val="24"/>
        </w:rPr>
        <w:t xml:space="preserve"> Authorized Project Designee</w:t>
      </w:r>
      <w:r w:rsidRPr="00B61FF1">
        <w:rPr>
          <w:rFonts w:ascii="Arial" w:hAnsi="Arial" w:cs="Arial"/>
          <w:sz w:val="24"/>
          <w:szCs w:val="24"/>
          <w:u w:val="single"/>
        </w:rPr>
        <w:t xml:space="preserve">, or holder(s), if applicable, for each early action reporting period for which ARB offset credits are issued </w:t>
      </w:r>
      <w:r w:rsidRPr="00B61FF1">
        <w:rPr>
          <w:rFonts w:ascii="Arial" w:hAnsi="Arial" w:cs="Arial"/>
          <w:sz w:val="24"/>
          <w:szCs w:val="24"/>
        </w:rPr>
        <w:t xml:space="preserve">as follows: </w:t>
      </w:r>
    </w:p>
    <w:p w14:paraId="208A10CF"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If the following condition applies, </w:t>
      </w:r>
      <w:r w:rsidRPr="00B61FF1">
        <w:rPr>
          <w:rFonts w:ascii="Arial" w:hAnsi="Arial" w:cs="Arial"/>
          <w:sz w:val="24"/>
          <w:szCs w:val="24"/>
          <w:u w:val="single"/>
        </w:rPr>
        <w:t xml:space="preserve">and no early action offset credits have yet been canceled or retired from the Early Action Offset Program’s buffer account for forest projects for the early action reporting period, </w:t>
      </w:r>
      <w:r w:rsidRPr="00B61FF1">
        <w:rPr>
          <w:rFonts w:ascii="Arial" w:hAnsi="Arial" w:cs="Arial"/>
          <w:sz w:val="24"/>
          <w:szCs w:val="24"/>
        </w:rPr>
        <w:t>then ARB will issue one ARB offset credit for each early action offset credit</w:t>
      </w:r>
      <w:r w:rsidRPr="00B61FF1">
        <w:rPr>
          <w:rFonts w:ascii="Arial" w:hAnsi="Arial" w:cs="Arial"/>
          <w:sz w:val="24"/>
          <w:szCs w:val="24"/>
          <w:u w:val="single"/>
        </w:rPr>
        <w:t xml:space="preserve"> that meets the requirements of this section for which the </w:t>
      </w:r>
      <w:r w:rsidRPr="00B61FF1">
        <w:rPr>
          <w:rFonts w:ascii="Arial" w:hAnsi="Arial" w:cs="Arial"/>
          <w:sz w:val="24"/>
          <w:szCs w:val="24"/>
        </w:rPr>
        <w:t>Offset Project Operator</w:t>
      </w:r>
      <w:r w:rsidRPr="00B61FF1">
        <w:rPr>
          <w:rFonts w:ascii="Arial" w:hAnsi="Arial" w:cs="Arial"/>
          <w:sz w:val="24"/>
          <w:szCs w:val="24"/>
          <w:u w:val="single"/>
        </w:rPr>
        <w:t>,</w:t>
      </w:r>
      <w:r w:rsidRPr="00B61FF1">
        <w:rPr>
          <w:rFonts w:ascii="Arial" w:hAnsi="Arial" w:cs="Arial"/>
          <w:sz w:val="24"/>
          <w:szCs w:val="24"/>
        </w:rPr>
        <w:t xml:space="preserve"> Authorized Project Designee</w:t>
      </w:r>
      <w:r w:rsidRPr="00B61FF1">
        <w:rPr>
          <w:rFonts w:ascii="Arial" w:hAnsi="Arial" w:cs="Arial"/>
          <w:sz w:val="24"/>
          <w:szCs w:val="24"/>
          <w:u w:val="single"/>
        </w:rPr>
        <w:t>, or holder(s), if applicable, are seeking issuance of ARB offset credits, plus an amount of ARB offset credits equal to the associated credits transferring over from the Early Action Offset Program’s buffer account for forest projects, for an early action reporting period</w:t>
      </w:r>
      <w:r w:rsidRPr="00B61FF1">
        <w:rPr>
          <w:rFonts w:ascii="Arial" w:hAnsi="Arial" w:cs="Arial"/>
          <w:sz w:val="24"/>
          <w:szCs w:val="24"/>
        </w:rPr>
        <w:t>:</w:t>
      </w:r>
    </w:p>
    <w:p w14:paraId="6BB38753" w14:textId="77777777" w:rsidR="00FE6A4C" w:rsidRPr="00B61FF1" w:rsidRDefault="00FE6A4C" w:rsidP="00FE6A4C">
      <w:pPr>
        <w:spacing w:line="360" w:lineRule="auto"/>
        <w:ind w:left="2880" w:hanging="720"/>
        <w:rPr>
          <w:rFonts w:ascii="Arial" w:hAnsi="Arial" w:cs="Arial"/>
          <w:sz w:val="24"/>
          <w:szCs w:val="24"/>
        </w:rPr>
      </w:pPr>
    </w:p>
    <w:p w14:paraId="615B68D8" w14:textId="77777777" w:rsidR="00FE6A4C" w:rsidRPr="00B61FF1" w:rsidRDefault="00FE6A4C" w:rsidP="00FE6A4C">
      <w:pPr>
        <w:ind w:left="2520" w:hanging="720"/>
        <w:rPr>
          <w:rFonts w:ascii="Arial" w:hAnsi="Arial" w:cs="Arial"/>
          <w:sz w:val="24"/>
          <w:szCs w:val="24"/>
        </w:rPr>
      </w:pPr>
      <m:oMathPara>
        <m:oMath>
          <m:r>
            <w:rPr>
              <w:rFonts w:ascii="Cambria Math" w:hAnsi="Cambria Math" w:cs="Arial"/>
              <w:sz w:val="24"/>
              <w:szCs w:val="24"/>
            </w:rPr>
            <m:t xml:space="preserve">If: </m:t>
          </m:r>
          <m:sSub>
            <m:sSubPr>
              <m:ctrlPr>
                <w:rPr>
                  <w:rFonts w:ascii="Cambria Math" w:hAnsi="Cambria Math" w:cs="Arial"/>
                  <w:i/>
                  <w:sz w:val="24"/>
                  <w:szCs w:val="24"/>
                </w:rPr>
              </m:ctrlPr>
            </m:sSubPr>
            <m:e>
              <m:r>
                <w:rPr>
                  <w:rFonts w:ascii="Cambria Math" w:hAnsi="Cambria Math" w:cs="Arial"/>
                  <w:sz w:val="24"/>
                  <w:szCs w:val="24"/>
                </w:rPr>
                <m:t xml:space="preserve"> RR</m:t>
              </m:r>
            </m:e>
            <m:sub>
              <m:r>
                <w:rPr>
                  <w:rFonts w:ascii="Cambria Math" w:hAnsi="Cambria Math" w:cs="Arial"/>
                  <w:sz w:val="24"/>
                  <w:szCs w:val="24"/>
                </w:rPr>
                <m:t>EAOP</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RR</m:t>
              </m:r>
            </m:e>
            <m:sub>
              <m:r>
                <w:rPr>
                  <w:rFonts w:ascii="Cambria Math" w:hAnsi="Cambria Math" w:cs="Arial"/>
                  <w:sz w:val="24"/>
                  <w:szCs w:val="24"/>
                </w:rPr>
                <m:t>COP</m:t>
              </m:r>
            </m:sub>
          </m:sSub>
        </m:oMath>
      </m:oMathPara>
    </w:p>
    <w:p w14:paraId="0AD223AD" w14:textId="77777777" w:rsidR="00FE6A4C" w:rsidRPr="00B61FF1" w:rsidRDefault="00661852" w:rsidP="00FE6A4C">
      <w:pPr>
        <w:ind w:left="2520" w:hanging="720"/>
        <w:rPr>
          <w:rFonts w:ascii="Arial" w:hAnsi="Arial" w:cs="Arial"/>
          <w:sz w:val="24"/>
          <w:szCs w:val="24"/>
        </w:rPr>
      </w:pPr>
      <m:oMathPara>
        <m:oMath>
          <m:r>
            <m:rPr>
              <m:sty m:val="p"/>
            </m:rPr>
            <w:rPr>
              <w:rFonts w:ascii="Cambria Math" w:hAnsi="Cambria Math" w:cs="Arial"/>
              <w:sz w:val="24"/>
              <w:szCs w:val="24"/>
            </w:rPr>
            <w:pict w14:anchorId="3A3F0616">
              <v:rect id="_x0000_i1028" style="width:150.55pt;height:1pt" o:hrpct="492" o:hralign="center" o:hrstd="t" o:hrnoshade="t" o:hr="t" fillcolor="black [3213]" stroked="f"/>
            </w:pict>
          </m:r>
        </m:oMath>
      </m:oMathPara>
    </w:p>
    <w:p w14:paraId="3AAF6B54" w14:textId="77777777" w:rsidR="00FE6A4C" w:rsidRPr="00B61FF1" w:rsidRDefault="00FE6A4C" w:rsidP="00FE6A4C">
      <w:pPr>
        <w:ind w:left="2520" w:hanging="720"/>
        <w:rPr>
          <w:rFonts w:ascii="Arial" w:hAnsi="Arial" w:cs="Arial"/>
          <w:sz w:val="24"/>
          <w:szCs w:val="24"/>
        </w:rPr>
      </w:pPr>
    </w:p>
    <w:p w14:paraId="76B55A4B" w14:textId="77777777" w:rsidR="00FE6A4C" w:rsidRPr="00B61FF1" w:rsidRDefault="00FE6A4C" w:rsidP="00FE6A4C">
      <w:pPr>
        <w:ind w:left="2520" w:hanging="720"/>
        <w:rPr>
          <w:rFonts w:ascii="Arial" w:hAnsi="Arial" w:cs="Arial"/>
          <w:sz w:val="24"/>
          <w:szCs w:val="24"/>
        </w:rPr>
      </w:pPr>
      <m:oMathPara>
        <m:oMath>
          <m:r>
            <w:rPr>
              <w:rFonts w:ascii="Cambria Math" w:hAnsi="Cambria Math" w:cs="Arial"/>
              <w:sz w:val="24"/>
              <w:szCs w:val="24"/>
            </w:rPr>
            <m:t xml:space="preserve">Then : </m:t>
          </m:r>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Issue</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Request</m:t>
                  </m:r>
                </m:sub>
              </m:sSub>
            </m:num>
            <m:den>
              <m:d>
                <m:dPr>
                  <m:ctrlPr>
                    <w:rPr>
                      <w:rFonts w:ascii="Cambria Math" w:hAnsi="Cambria Math" w:cs="Arial"/>
                      <w:i/>
                      <w:sz w:val="24"/>
                      <w:szCs w:val="24"/>
                    </w:rPr>
                  </m:ctrlPr>
                </m:dPr>
                <m:e>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RR</m:t>
                      </m:r>
                    </m:e>
                    <m:sub>
                      <m:r>
                        <w:rPr>
                          <w:rFonts w:ascii="Cambria Math" w:hAnsi="Cambria Math" w:cs="Arial"/>
                          <w:sz w:val="24"/>
                          <w:szCs w:val="24"/>
                        </w:rPr>
                        <m:t>EAOP</m:t>
                      </m:r>
                    </m:sub>
                  </m:sSub>
                </m:e>
              </m:d>
            </m:den>
          </m:f>
        </m:oMath>
      </m:oMathPara>
    </w:p>
    <w:p w14:paraId="2655D4DA" w14:textId="77777777" w:rsidR="00FE6A4C" w:rsidRPr="00B61FF1" w:rsidRDefault="00661852" w:rsidP="00FE6A4C">
      <w:pPr>
        <w:ind w:left="2520" w:hanging="720"/>
        <w:rPr>
          <w:rFonts w:ascii="Arial" w:hAnsi="Arial" w:cs="Arial"/>
          <w:sz w:val="24"/>
          <w:szCs w:val="24"/>
        </w:rPr>
      </w:pPr>
      <m:oMathPara>
        <m:oMath>
          <m:r>
            <m:rPr>
              <m:sty m:val="p"/>
            </m:rPr>
            <w:rPr>
              <w:rFonts w:ascii="Cambria Math" w:hAnsi="Cambria Math" w:cs="Arial"/>
              <w:sz w:val="24"/>
              <w:szCs w:val="24"/>
            </w:rPr>
            <w:pict w14:anchorId="1ED94B11">
              <v:rect id="_x0000_i1029" style="width:211.75pt;height:1pt" o:hrpct="692" o:hralign="center" o:hrstd="t" o:hrnoshade="t" o:hr="t" fillcolor="black [3213]" stroked="f"/>
            </w:pict>
          </m:r>
        </m:oMath>
      </m:oMathPara>
    </w:p>
    <w:p w14:paraId="45D36E5C" w14:textId="77777777" w:rsidR="00FE6A4C" w:rsidRPr="00B61FF1" w:rsidRDefault="00FE6A4C" w:rsidP="00FE6A4C">
      <w:pPr>
        <w:ind w:left="2520" w:hanging="720"/>
        <w:rPr>
          <w:rFonts w:ascii="Arial" w:hAnsi="Arial" w:cs="Arial"/>
          <w:sz w:val="24"/>
          <w:szCs w:val="24"/>
        </w:rPr>
      </w:pPr>
    </w:p>
    <w:p w14:paraId="5B3D9DFB" w14:textId="77777777" w:rsidR="00FE6A4C" w:rsidRPr="00B61FF1" w:rsidRDefault="00661852" w:rsidP="00FE6A4C">
      <w:pPr>
        <w:ind w:left="2520" w:hanging="720"/>
        <w:jc w:val="center"/>
        <w:rPr>
          <w:rFonts w:ascii="Arial" w:hAnsi="Arial" w:cs="Arial"/>
          <w:strike/>
          <w:sz w:val="24"/>
          <w:szCs w:val="24"/>
        </w:rPr>
      </w:pPr>
      <m:oMathPara>
        <m:oMath>
          <m:sSub>
            <m:sSubPr>
              <m:ctrlPr>
                <w:rPr>
                  <w:rFonts w:ascii="Cambria Math" w:hAnsi="Cambria Math" w:cs="Arial"/>
                  <w:i/>
                  <w:strike/>
                  <w:sz w:val="24"/>
                  <w:szCs w:val="24"/>
                </w:rPr>
              </m:ctrlPr>
            </m:sSubPr>
            <m:e>
              <m:r>
                <w:rPr>
                  <w:rFonts w:ascii="Cambria Math" w:hAnsi="Cambria Math" w:cs="Arial"/>
                  <w:strike/>
                  <w:sz w:val="24"/>
                  <w:szCs w:val="24"/>
                </w:rPr>
                <m:t>EAOP</m:t>
              </m:r>
            </m:e>
            <m:sub>
              <m:r>
                <w:rPr>
                  <w:rFonts w:ascii="Cambria Math" w:hAnsi="Cambria Math" w:cs="Arial"/>
                  <w:strike/>
                  <w:sz w:val="24"/>
                  <w:szCs w:val="24"/>
                </w:rPr>
                <m:t xml:space="preserve">Buffer </m:t>
              </m:r>
            </m:sub>
          </m:sSub>
          <m:r>
            <w:rPr>
              <w:rFonts w:ascii="Cambria Math" w:hAnsi="Cambria Math" w:cs="Arial"/>
              <w:strike/>
              <w:sz w:val="24"/>
              <w:szCs w:val="24"/>
            </w:rPr>
            <m:t xml:space="preserve">≥ </m:t>
          </m:r>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Issue</m:t>
              </m:r>
            </m:sub>
          </m:sSub>
          <m:r>
            <w:rPr>
              <w:rFonts w:ascii="Cambria Math" w:hAnsi="Cambria Math" w:cs="Arial"/>
              <w:strike/>
              <w:sz w:val="24"/>
              <w:szCs w:val="24"/>
            </w:rPr>
            <m:t xml:space="preserve"> × </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COP</m:t>
              </m:r>
            </m:sub>
          </m:sSub>
        </m:oMath>
      </m:oMathPara>
    </w:p>
    <w:p w14:paraId="65E288DD" w14:textId="77777777" w:rsidR="00FE6A4C" w:rsidRPr="00B61FF1" w:rsidRDefault="00FE6A4C" w:rsidP="00FE6A4C">
      <w:pPr>
        <w:spacing w:line="360" w:lineRule="auto"/>
        <w:ind w:left="1800"/>
        <w:rPr>
          <w:rFonts w:ascii="Arial" w:hAnsi="Arial" w:cs="Arial"/>
          <w:sz w:val="24"/>
          <w:szCs w:val="24"/>
        </w:rPr>
      </w:pPr>
    </w:p>
    <w:p w14:paraId="3EA96897"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z w:val="24"/>
          <w:szCs w:val="24"/>
        </w:rPr>
        <w:t>Where:</w:t>
      </w:r>
    </w:p>
    <w:p w14:paraId="041E4EB0" w14:textId="77777777" w:rsidR="00FE6A4C" w:rsidRPr="00B61FF1" w:rsidRDefault="00FE6A4C" w:rsidP="00FE6A4C">
      <w:pPr>
        <w:spacing w:line="360" w:lineRule="auto"/>
        <w:ind w:left="288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xml:space="preserve">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based on the amount of ARB offset credits for which the party is seeking issuance;</w:t>
      </w:r>
    </w:p>
    <w:p w14:paraId="19BD63A5" w14:textId="77777777" w:rsidR="00FE6A4C" w:rsidRPr="00B61FF1" w:rsidRDefault="00FE6A4C" w:rsidP="00FE6A4C">
      <w:pPr>
        <w:spacing w:line="360" w:lineRule="auto"/>
        <w:ind w:left="2880"/>
        <w:rPr>
          <w:rFonts w:ascii="Arial" w:hAnsi="Arial" w:cs="Arial"/>
          <w:sz w:val="24"/>
          <w:szCs w:val="24"/>
          <w:u w:val="single"/>
        </w:rPr>
      </w:pPr>
    </w:p>
    <w:p w14:paraId="11A48324" w14:textId="77777777" w:rsidR="00FE6A4C" w:rsidRPr="00B61FF1" w:rsidRDefault="00FE6A4C" w:rsidP="00FE6A4C">
      <w:pPr>
        <w:spacing w:line="360" w:lineRule="auto"/>
        <w:ind w:left="288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Request</w:t>
      </w:r>
      <w:r w:rsidRPr="00B61FF1">
        <w:rPr>
          <w:rFonts w:ascii="Arial" w:hAnsi="Arial" w:cs="Arial"/>
          <w:sz w:val="24"/>
          <w:szCs w:val="24"/>
          <w:u w:val="single"/>
        </w:rPr>
        <w:t>” is the number of early action offset credits that meet the requirements of this section for which the Offset Project Operator, Authorized Project Designee, or holder(s), if applicable, are seeking issuance of ARB offset credits for an early action reporting period;</w:t>
      </w:r>
    </w:p>
    <w:p w14:paraId="6F47B984" w14:textId="77777777" w:rsidR="00FE6A4C" w:rsidRPr="00B61FF1" w:rsidRDefault="00FE6A4C" w:rsidP="00FE6A4C">
      <w:pPr>
        <w:spacing w:line="360" w:lineRule="auto"/>
        <w:ind w:left="2880"/>
        <w:rPr>
          <w:rFonts w:ascii="Arial" w:hAnsi="Arial" w:cs="Arial"/>
          <w:sz w:val="24"/>
          <w:szCs w:val="24"/>
          <w:u w:val="single"/>
        </w:rPr>
      </w:pPr>
    </w:p>
    <w:p w14:paraId="2DA4FB0F" w14:textId="77777777" w:rsidR="00FE6A4C" w:rsidRPr="00B61FF1" w:rsidRDefault="00FE6A4C" w:rsidP="00FE6A4C">
      <w:pPr>
        <w:spacing w:line="360" w:lineRule="auto"/>
        <w:ind w:left="2880"/>
        <w:rPr>
          <w:rFonts w:ascii="Arial" w:hAnsi="Arial" w:cs="Arial"/>
          <w:sz w:val="24"/>
          <w:szCs w:val="24"/>
          <w:u w:val="single"/>
        </w:rPr>
      </w:pPr>
      <w:r w:rsidRPr="00B61FF1">
        <w:rPr>
          <w:rFonts w:ascii="Arial" w:hAnsi="Arial" w:cs="Arial"/>
          <w:sz w:val="24"/>
          <w:szCs w:val="24"/>
          <w:u w:val="single"/>
        </w:rPr>
        <w:t>“RR</w:t>
      </w:r>
      <w:r w:rsidRPr="00B61FF1">
        <w:rPr>
          <w:rFonts w:ascii="Arial" w:hAnsi="Arial" w:cs="Arial"/>
          <w:sz w:val="24"/>
          <w:szCs w:val="24"/>
          <w:u w:val="single"/>
          <w:vertAlign w:val="subscript"/>
        </w:rPr>
        <w:t>EAOP</w:t>
      </w:r>
      <w:r w:rsidRPr="00B61FF1">
        <w:rPr>
          <w:rFonts w:ascii="Arial" w:hAnsi="Arial" w:cs="Arial"/>
          <w:sz w:val="24"/>
          <w:szCs w:val="24"/>
          <w:u w:val="single"/>
        </w:rPr>
        <w:t>” is the risk-reversal rating percentage applied by the Early Action Offset Program to calculate the number of early action offset credits that were placed into the Early Action’s buffer account for forest projects at the time of early action offset credit issuance by the Early Action Offset Program for each early action reporting period; and</w:t>
      </w:r>
    </w:p>
    <w:p w14:paraId="2D403CE7" w14:textId="77777777" w:rsidR="00FE6A4C" w:rsidRPr="00B61FF1" w:rsidRDefault="00FE6A4C" w:rsidP="00FE6A4C">
      <w:pPr>
        <w:spacing w:line="360" w:lineRule="auto"/>
        <w:ind w:left="2880"/>
        <w:rPr>
          <w:rFonts w:ascii="Arial" w:hAnsi="Arial" w:cs="Arial"/>
          <w:strike/>
          <w:sz w:val="24"/>
          <w:szCs w:val="24"/>
        </w:rPr>
      </w:pPr>
      <w:r w:rsidRPr="00B61FF1">
        <w:rPr>
          <w:rFonts w:ascii="Arial" w:hAnsi="Arial" w:cs="Arial"/>
          <w:strike/>
          <w:sz w:val="24"/>
          <w:szCs w:val="24"/>
        </w:rPr>
        <w:t>“EAOP</w:t>
      </w:r>
      <w:r w:rsidRPr="00B61FF1">
        <w:rPr>
          <w:rFonts w:ascii="Arial" w:hAnsi="Arial" w:cs="Arial"/>
          <w:strike/>
          <w:sz w:val="24"/>
          <w:szCs w:val="24"/>
          <w:vertAlign w:val="subscript"/>
        </w:rPr>
        <w:t>Buffer</w:t>
      </w:r>
      <w:r w:rsidRPr="00B61FF1">
        <w:rPr>
          <w:rFonts w:ascii="Arial" w:hAnsi="Arial" w:cs="Arial"/>
          <w:strike/>
          <w:sz w:val="24"/>
          <w:szCs w:val="24"/>
        </w:rPr>
        <w:t xml:space="preserve">” is the total number of early action offset credits in the Early Action Offset Program’s buffer account for forest projects that meet the requirements of section 95990(h) and are being transferred to ARB for the applicable Offset Project Data Report; </w:t>
      </w:r>
    </w:p>
    <w:p w14:paraId="146D2437" w14:textId="77777777" w:rsidR="00FE6A4C" w:rsidRPr="00B61FF1" w:rsidRDefault="00FE6A4C" w:rsidP="00FE6A4C">
      <w:pPr>
        <w:spacing w:line="360" w:lineRule="auto"/>
        <w:ind w:left="2880"/>
        <w:rPr>
          <w:rFonts w:ascii="Arial" w:hAnsi="Arial" w:cs="Arial"/>
          <w:strike/>
          <w:sz w:val="24"/>
          <w:szCs w:val="24"/>
        </w:rPr>
      </w:pPr>
      <w:r w:rsidRPr="00B61FF1">
        <w:rPr>
          <w:rFonts w:ascii="Arial" w:hAnsi="Arial" w:cs="Arial"/>
          <w:strike/>
          <w:sz w:val="24"/>
          <w:szCs w:val="24"/>
        </w:rPr>
        <w:t>“EAOC</w:t>
      </w:r>
      <w:r w:rsidRPr="00B61FF1">
        <w:rPr>
          <w:rFonts w:ascii="Arial" w:hAnsi="Arial" w:cs="Arial"/>
          <w:strike/>
          <w:sz w:val="24"/>
          <w:szCs w:val="24"/>
          <w:vertAlign w:val="subscript"/>
        </w:rPr>
        <w:t>Issue</w:t>
      </w:r>
      <w:r w:rsidRPr="00B61FF1">
        <w:rPr>
          <w:rFonts w:ascii="Arial" w:hAnsi="Arial" w:cs="Arial"/>
          <w:strike/>
          <w:sz w:val="24"/>
          <w:szCs w:val="24"/>
        </w:rPr>
        <w:t>” is the total number of early action offset credits that meet the requirements of section 95990(h) for which the Offset Project Operator or Authorized Project Designee is seeking issuance of ARB offset credits pursuant to this section for the applicable Offset Project Data Report;</w:t>
      </w:r>
      <w:r w:rsidRPr="00B61FF1">
        <w:rPr>
          <w:rFonts w:ascii="Arial" w:hAnsi="Arial" w:cs="Arial"/>
          <w:strike/>
          <w:sz w:val="24"/>
          <w:szCs w:val="24"/>
          <w:u w:val="single"/>
        </w:rPr>
        <w:t xml:space="preserve">  </w:t>
      </w:r>
    </w:p>
    <w:p w14:paraId="3A131198" w14:textId="77777777" w:rsidR="00FE6A4C" w:rsidRPr="00B61FF1" w:rsidRDefault="00FE6A4C" w:rsidP="00FE6A4C">
      <w:pPr>
        <w:spacing w:line="360" w:lineRule="auto"/>
        <w:ind w:left="2880"/>
        <w:rPr>
          <w:rFonts w:ascii="Arial" w:hAnsi="Arial" w:cs="Arial"/>
          <w:sz w:val="24"/>
          <w:szCs w:val="24"/>
        </w:rPr>
      </w:pPr>
    </w:p>
    <w:p w14:paraId="0896D63B"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z w:val="24"/>
          <w:szCs w:val="24"/>
        </w:rPr>
        <w:t>“RR</w:t>
      </w:r>
      <w:r w:rsidRPr="00B61FF1">
        <w:rPr>
          <w:rFonts w:ascii="Arial" w:hAnsi="Arial" w:cs="Arial"/>
          <w:sz w:val="24"/>
          <w:szCs w:val="24"/>
          <w:vertAlign w:val="subscript"/>
        </w:rPr>
        <w:t>COP</w:t>
      </w:r>
      <w:r w:rsidRPr="00B61FF1">
        <w:rPr>
          <w:rFonts w:ascii="Arial" w:hAnsi="Arial" w:cs="Arial"/>
          <w:sz w:val="24"/>
          <w:szCs w:val="24"/>
        </w:rPr>
        <w:t xml:space="preserve">” is the </w:t>
      </w:r>
      <w:r w:rsidRPr="00B61FF1">
        <w:rPr>
          <w:rFonts w:ascii="Arial" w:hAnsi="Arial" w:cs="Arial"/>
          <w:sz w:val="24"/>
          <w:szCs w:val="24"/>
          <w:u w:val="single"/>
        </w:rPr>
        <w:t xml:space="preserve">reversal risk rating </w:t>
      </w:r>
      <w:r w:rsidRPr="00B61FF1">
        <w:rPr>
          <w:rFonts w:ascii="Arial" w:hAnsi="Arial" w:cs="Arial"/>
          <w:sz w:val="24"/>
          <w:szCs w:val="24"/>
        </w:rPr>
        <w:t xml:space="preserve">percentage that must be applied </w:t>
      </w:r>
      <w:r w:rsidRPr="00B61FF1">
        <w:rPr>
          <w:rFonts w:ascii="Arial" w:hAnsi="Arial" w:cs="Arial"/>
          <w:strike/>
          <w:sz w:val="24"/>
          <w:szCs w:val="24"/>
        </w:rPr>
        <w:t>for</w:t>
      </w:r>
      <w:r w:rsidRPr="00B61FF1">
        <w:rPr>
          <w:rFonts w:ascii="Arial" w:hAnsi="Arial" w:cs="Arial"/>
          <w:sz w:val="24"/>
          <w:szCs w:val="24"/>
          <w:u w:val="single"/>
        </w:rPr>
        <w:t>to</w:t>
      </w:r>
      <w:r w:rsidRPr="00B61FF1">
        <w:rPr>
          <w:rFonts w:ascii="Arial" w:hAnsi="Arial" w:cs="Arial"/>
          <w:sz w:val="24"/>
          <w:szCs w:val="24"/>
        </w:rPr>
        <w:t xml:space="preserve"> the early action forest offset project pursuant to the project-specific </w:t>
      </w:r>
      <w:r w:rsidRPr="00B61FF1">
        <w:rPr>
          <w:rFonts w:ascii="Arial" w:hAnsi="Arial" w:cs="Arial"/>
          <w:sz w:val="24"/>
          <w:szCs w:val="24"/>
          <w:u w:val="single"/>
        </w:rPr>
        <w:t xml:space="preserve">reversal </w:t>
      </w:r>
      <w:r w:rsidRPr="00B61FF1">
        <w:rPr>
          <w:rFonts w:ascii="Arial" w:hAnsi="Arial" w:cs="Arial"/>
          <w:sz w:val="24"/>
          <w:szCs w:val="24"/>
        </w:rPr>
        <w:t>risk rating calculation in Compliance Offset Protocol U.S. Forest Projects, October 20, 2011</w:t>
      </w:r>
      <w:r w:rsidRPr="00B61FF1">
        <w:rPr>
          <w:rFonts w:ascii="Arial" w:hAnsi="Arial" w:cs="Arial"/>
          <w:sz w:val="24"/>
          <w:szCs w:val="24"/>
          <w:u w:val="single"/>
        </w:rPr>
        <w:t xml:space="preserve"> for an early action reporting period.</w:t>
      </w:r>
      <w:r w:rsidRPr="00B61FF1">
        <w:rPr>
          <w:rFonts w:ascii="Arial" w:hAnsi="Arial" w:cs="Arial"/>
          <w:strike/>
          <w:sz w:val="24"/>
          <w:szCs w:val="24"/>
        </w:rPr>
        <w:t>;</w:t>
      </w:r>
    </w:p>
    <w:p w14:paraId="1DA53907" w14:textId="77777777" w:rsidR="00FE6A4C" w:rsidRPr="00B61FF1" w:rsidRDefault="00FE6A4C" w:rsidP="00FE6A4C">
      <w:pPr>
        <w:spacing w:line="360" w:lineRule="auto"/>
        <w:ind w:left="3600" w:hanging="720"/>
        <w:rPr>
          <w:rFonts w:ascii="Arial" w:hAnsi="Arial" w:cs="Arial"/>
          <w:dstrike/>
          <w:sz w:val="24"/>
          <w:szCs w:val="24"/>
        </w:rPr>
      </w:pPr>
    </w:p>
    <w:p w14:paraId="66897FBB"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w:t>
      </w:r>
      <w:r w:rsidRPr="00B61FF1">
        <w:rPr>
          <w:rFonts w:ascii="Arial" w:hAnsi="Arial" w:cs="Arial"/>
          <w:sz w:val="24"/>
          <w:szCs w:val="24"/>
        </w:rPr>
        <w:tab/>
      </w:r>
      <w:r w:rsidRPr="00B61FF1">
        <w:rPr>
          <w:rFonts w:ascii="Arial" w:hAnsi="Arial" w:cs="Arial"/>
          <w:sz w:val="24"/>
          <w:szCs w:val="24"/>
          <w:u w:val="single"/>
        </w:rPr>
        <w:t>The Early Action Offset Program must retire or cancel early action offset credits from its buffer account for forest projects for the early action reporting period equal to the following:</w:t>
      </w:r>
    </w:p>
    <w:p w14:paraId="43F61FFF" w14:textId="77777777" w:rsidR="00FE6A4C" w:rsidRPr="00B61FF1" w:rsidRDefault="00661852" w:rsidP="00FE6A4C">
      <w:pPr>
        <w:ind w:left="252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EAOP</m:t>
              </m:r>
            </m:e>
            <m:sub>
              <m:r>
                <w:rPr>
                  <w:rFonts w:ascii="Cambria Math" w:hAnsi="Cambria Math" w:cs="Arial"/>
                  <w:sz w:val="24"/>
                  <w:szCs w:val="24"/>
                </w:rPr>
                <m:t>BufferRetire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ARB</m:t>
              </m:r>
            </m:e>
            <m:sub>
              <m:r>
                <w:rPr>
                  <w:rFonts w:ascii="Cambria Math" w:hAnsi="Cambria Math" w:cs="Arial"/>
                  <w:sz w:val="24"/>
                  <w:szCs w:val="24"/>
                </w:rPr>
                <m:t>Issue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RR</m:t>
              </m:r>
            </m:e>
            <m:sub>
              <m:r>
                <w:rPr>
                  <w:rFonts w:ascii="Cambria Math" w:hAnsi="Cambria Math" w:cs="Arial"/>
                  <w:sz w:val="24"/>
                  <w:szCs w:val="24"/>
                </w:rPr>
                <m:t>EAOP</m:t>
              </m:r>
            </m:sub>
          </m:sSub>
        </m:oMath>
      </m:oMathPara>
    </w:p>
    <w:p w14:paraId="5436452A" w14:textId="77777777" w:rsidR="00FE6A4C" w:rsidRPr="00B61FF1" w:rsidRDefault="00661852" w:rsidP="00FE6A4C">
      <w:pPr>
        <w:ind w:left="2520"/>
        <w:rPr>
          <w:rFonts w:ascii="Arial" w:hAnsi="Arial" w:cs="Arial"/>
          <w:sz w:val="24"/>
          <w:szCs w:val="24"/>
        </w:rPr>
      </w:pPr>
      <m:oMathPara>
        <m:oMath>
          <m:r>
            <m:rPr>
              <m:sty m:val="p"/>
            </m:rPr>
            <w:rPr>
              <w:rFonts w:ascii="Cambria Math" w:hAnsi="Cambria Math" w:cs="Arial"/>
              <w:sz w:val="24"/>
              <w:szCs w:val="24"/>
            </w:rPr>
            <w:pict w14:anchorId="1121932F">
              <v:rect id="_x0000_i1030" style="width:216.95pt;height:1pt" o:hrpct="709" o:hralign="center" o:hrstd="t" o:hrnoshade="t" o:hr="t" fillcolor="black [3213]" stroked="f"/>
            </w:pict>
          </m:r>
        </m:oMath>
      </m:oMathPara>
    </w:p>
    <w:p w14:paraId="410839B2" w14:textId="77777777" w:rsidR="00FE6A4C" w:rsidRPr="00B61FF1" w:rsidRDefault="00FE6A4C" w:rsidP="00FE6A4C">
      <w:pPr>
        <w:ind w:left="2520"/>
        <w:rPr>
          <w:rFonts w:ascii="Arial" w:hAnsi="Arial" w:cs="Arial"/>
          <w:sz w:val="24"/>
          <w:szCs w:val="24"/>
        </w:rPr>
      </w:pPr>
    </w:p>
    <w:p w14:paraId="739A288B"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Where:</w:t>
      </w:r>
    </w:p>
    <w:p w14:paraId="7C125640"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BufferRetire</w:t>
      </w:r>
      <w:r w:rsidRPr="00B61FF1">
        <w:rPr>
          <w:rFonts w:ascii="Arial" w:hAnsi="Arial" w:cs="Arial"/>
          <w:sz w:val="24"/>
          <w:szCs w:val="24"/>
          <w:u w:val="single"/>
        </w:rPr>
        <w:t>” is the number of early action offset credits the Early Action Offset Program will retire from its buffer account for forest projects for the early action reporting period;</w:t>
      </w:r>
    </w:p>
    <w:p w14:paraId="6683DBE5" w14:textId="77777777" w:rsidR="00FE6A4C" w:rsidRPr="00B61FF1" w:rsidRDefault="00FE6A4C" w:rsidP="00FE6A4C">
      <w:pPr>
        <w:spacing w:line="360" w:lineRule="auto"/>
        <w:ind w:left="3600"/>
        <w:rPr>
          <w:rFonts w:ascii="Arial" w:hAnsi="Arial" w:cs="Arial"/>
          <w:sz w:val="24"/>
          <w:szCs w:val="24"/>
          <w:u w:val="single"/>
        </w:rPr>
      </w:pPr>
    </w:p>
    <w:p w14:paraId="6B97C9C3"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as calculated in section 95990(i)(1)(D)3.a. above; and</w:t>
      </w:r>
    </w:p>
    <w:p w14:paraId="39243B6C" w14:textId="77777777" w:rsidR="00FE6A4C" w:rsidRPr="00B61FF1" w:rsidRDefault="00FE6A4C" w:rsidP="00FE6A4C">
      <w:pPr>
        <w:spacing w:line="360" w:lineRule="auto"/>
        <w:ind w:left="3600"/>
        <w:rPr>
          <w:rFonts w:ascii="Arial" w:hAnsi="Arial" w:cs="Arial"/>
          <w:sz w:val="24"/>
          <w:szCs w:val="24"/>
          <w:u w:val="single"/>
        </w:rPr>
      </w:pPr>
    </w:p>
    <w:p w14:paraId="3E086232"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“RR</w:t>
      </w:r>
      <w:r w:rsidRPr="00B61FF1">
        <w:rPr>
          <w:rFonts w:ascii="Arial" w:hAnsi="Arial" w:cs="Arial"/>
          <w:sz w:val="24"/>
          <w:szCs w:val="24"/>
          <w:u w:val="single"/>
          <w:vertAlign w:val="subscript"/>
        </w:rPr>
        <w:t>EAOP</w:t>
      </w:r>
      <w:r w:rsidRPr="00B61FF1">
        <w:rPr>
          <w:rFonts w:ascii="Arial" w:hAnsi="Arial" w:cs="Arial"/>
          <w:sz w:val="24"/>
          <w:szCs w:val="24"/>
          <w:u w:val="single"/>
        </w:rPr>
        <w:t>” is the risk-reversal rating percentage applied by the Early Action Offset Program to calculate the number of early action offset credits that were placed into the Early Action’s buffer account for forest projects at the time of early action offset credit issuance by the Early Action Offset Program for each early action reporting period.</w:t>
      </w:r>
    </w:p>
    <w:p w14:paraId="62ABE856" w14:textId="77777777" w:rsidR="00FE6A4C" w:rsidRPr="00B61FF1" w:rsidRDefault="00FE6A4C" w:rsidP="00FE6A4C">
      <w:pPr>
        <w:spacing w:line="360" w:lineRule="auto"/>
        <w:ind w:left="3600"/>
        <w:rPr>
          <w:rFonts w:ascii="Arial" w:hAnsi="Arial" w:cs="Arial"/>
          <w:sz w:val="24"/>
          <w:szCs w:val="24"/>
          <w:u w:val="single"/>
        </w:rPr>
      </w:pPr>
    </w:p>
    <w:p w14:paraId="77FD12B7"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ii.</w:t>
      </w:r>
      <w:r w:rsidRPr="00B61FF1">
        <w:rPr>
          <w:rFonts w:ascii="Arial" w:hAnsi="Arial" w:cs="Arial"/>
          <w:sz w:val="24"/>
          <w:szCs w:val="24"/>
        </w:rPr>
        <w:tab/>
      </w:r>
      <w:r w:rsidRPr="00B61FF1">
        <w:rPr>
          <w:rFonts w:ascii="Arial" w:hAnsi="Arial" w:cs="Arial"/>
          <w:sz w:val="24"/>
          <w:szCs w:val="24"/>
          <w:u w:val="single"/>
        </w:rPr>
        <w:t>ARB will place ARB offset credits into the Holding Account of the Offset Project Operator, Authorized Project Designee, or holder(s), if applicable, according to the following for each early action reporting period:</w:t>
      </w:r>
    </w:p>
    <w:p w14:paraId="42C3F0C3" w14:textId="77777777" w:rsidR="00FE6A4C" w:rsidRPr="00B61FF1" w:rsidRDefault="00661852" w:rsidP="00FE6A4C">
      <w:pPr>
        <w:ind w:left="3600" w:hanging="720"/>
        <w:rPr>
          <w:rFonts w:ascii="Arial" w:hAnsi="Arial" w:cs="Arial"/>
          <w:sz w:val="24"/>
          <w:szCs w:val="24"/>
          <w:u w:val="single"/>
        </w:rPr>
      </w:pPr>
      <m:oMathPara>
        <m:oMath>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Holding</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Issue</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Buffer</m:t>
              </m:r>
            </m:sub>
          </m:sSub>
        </m:oMath>
      </m:oMathPara>
    </w:p>
    <w:p w14:paraId="71F85376" w14:textId="6870F768" w:rsidR="00FE6A4C" w:rsidRPr="00B61FF1" w:rsidRDefault="00FE6A4C" w:rsidP="00FE6A4C">
      <w:pPr>
        <w:tabs>
          <w:tab w:val="left" w:pos="2610"/>
        </w:tabs>
        <w:ind w:left="3600" w:hanging="720"/>
        <w:rPr>
          <w:rFonts w:ascii="Arial" w:hAnsi="Arial" w:cs="Arial"/>
          <w:sz w:val="24"/>
          <w:szCs w:val="24"/>
        </w:rPr>
      </w:pPr>
    </w:p>
    <w:p w14:paraId="5EA6C1EA" w14:textId="77777777" w:rsidR="00FE6A4C" w:rsidRPr="00B61FF1" w:rsidRDefault="00FE6A4C" w:rsidP="00FE6A4C">
      <w:pPr>
        <w:tabs>
          <w:tab w:val="left" w:pos="2610"/>
        </w:tabs>
        <w:spacing w:line="360" w:lineRule="auto"/>
        <w:ind w:left="3600" w:hanging="720"/>
        <w:rPr>
          <w:rFonts w:ascii="Arial" w:hAnsi="Arial" w:cs="Arial"/>
          <w:sz w:val="24"/>
          <w:szCs w:val="24"/>
        </w:rPr>
      </w:pPr>
    </w:p>
    <w:p w14:paraId="3E6A0526" w14:textId="77777777" w:rsidR="00FE6A4C" w:rsidRPr="00B61FF1" w:rsidRDefault="00FE6A4C" w:rsidP="00FE6A4C">
      <w:pPr>
        <w:tabs>
          <w:tab w:val="left" w:pos="2610"/>
        </w:tabs>
        <w:spacing w:line="360" w:lineRule="auto"/>
        <w:ind w:left="3600"/>
        <w:rPr>
          <w:rFonts w:ascii="Arial" w:hAnsi="Arial" w:cs="Arial"/>
          <w:sz w:val="24"/>
          <w:szCs w:val="24"/>
          <w:u w:val="single"/>
        </w:rPr>
      </w:pPr>
      <w:r w:rsidRPr="00B61FF1">
        <w:rPr>
          <w:rFonts w:ascii="Arial" w:hAnsi="Arial" w:cs="Arial"/>
          <w:sz w:val="24"/>
          <w:szCs w:val="24"/>
          <w:u w:val="single"/>
        </w:rPr>
        <w:t>Where:</w:t>
      </w:r>
    </w:p>
    <w:p w14:paraId="0454662A" w14:textId="77777777" w:rsidR="00FE6A4C" w:rsidRPr="00B61FF1" w:rsidRDefault="00FE6A4C" w:rsidP="00FE6A4C">
      <w:pPr>
        <w:tabs>
          <w:tab w:val="left" w:pos="2610"/>
        </w:tabs>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Holding</w:t>
      </w:r>
      <w:r w:rsidRPr="00B61FF1">
        <w:rPr>
          <w:rFonts w:ascii="Arial" w:hAnsi="Arial" w:cs="Arial"/>
          <w:sz w:val="24"/>
          <w:szCs w:val="24"/>
          <w:u w:val="single"/>
        </w:rPr>
        <w:t>” is the number of ARB offset credits to be placed into the Holding Account of the Offset Project Operator, Authorized Project Designee, or holder(s) if applicable, seeking issuance of ARB offset credits for an early action reporting period;</w:t>
      </w:r>
    </w:p>
    <w:p w14:paraId="34E00731" w14:textId="77777777" w:rsidR="00FE6A4C" w:rsidRPr="00B61FF1" w:rsidRDefault="00FE6A4C" w:rsidP="00FE6A4C">
      <w:pPr>
        <w:spacing w:line="360" w:lineRule="auto"/>
        <w:ind w:left="3600"/>
        <w:rPr>
          <w:rFonts w:ascii="Arial" w:hAnsi="Arial" w:cs="Arial"/>
          <w:sz w:val="24"/>
          <w:szCs w:val="24"/>
          <w:u w:val="single"/>
        </w:rPr>
      </w:pPr>
    </w:p>
    <w:p w14:paraId="1180A38B"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xml:space="preserve">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as calculated in section 95990(i)(1)(D)3.a. above; and</w:t>
      </w:r>
    </w:p>
    <w:p w14:paraId="0F0EBC94" w14:textId="77777777" w:rsidR="00FE6A4C" w:rsidRPr="00B61FF1" w:rsidRDefault="00FE6A4C" w:rsidP="00FE6A4C">
      <w:pPr>
        <w:spacing w:line="360" w:lineRule="auto"/>
        <w:ind w:left="3600"/>
        <w:rPr>
          <w:rFonts w:ascii="Arial" w:hAnsi="Arial" w:cs="Arial"/>
          <w:sz w:val="24"/>
          <w:szCs w:val="24"/>
          <w:u w:val="single"/>
        </w:rPr>
      </w:pPr>
    </w:p>
    <w:p w14:paraId="43652C44" w14:textId="77777777" w:rsidR="00FE6A4C" w:rsidRPr="00B61FF1" w:rsidRDefault="00FE6A4C" w:rsidP="00FE6A4C">
      <w:pPr>
        <w:spacing w:line="360" w:lineRule="auto"/>
        <w:ind w:left="3600"/>
        <w:rPr>
          <w:rFonts w:ascii="Arial" w:hAnsi="Arial" w:cs="Arial"/>
          <w:sz w:val="24"/>
          <w:szCs w:val="24"/>
        </w:rPr>
      </w:pPr>
      <w:r w:rsidRPr="00B61FF1">
        <w:rPr>
          <w:rFonts w:ascii="Arial" w:hAnsi="Arial" w:cs="Arial"/>
          <w:sz w:val="24"/>
          <w:szCs w:val="24"/>
          <w:u w:val="single"/>
        </w:rPr>
        <w:t>“ARB</w:t>
      </w:r>
      <w:r w:rsidRPr="00B61FF1">
        <w:rPr>
          <w:rFonts w:ascii="Arial" w:hAnsi="Arial" w:cs="Arial"/>
          <w:sz w:val="24"/>
          <w:szCs w:val="24"/>
          <w:u w:val="single"/>
          <w:vertAlign w:val="subscript"/>
        </w:rPr>
        <w:t>Buffer</w:t>
      </w:r>
      <w:r w:rsidRPr="00B61FF1">
        <w:rPr>
          <w:rFonts w:ascii="Arial" w:hAnsi="Arial" w:cs="Arial"/>
          <w:sz w:val="24"/>
          <w:szCs w:val="24"/>
          <w:u w:val="single"/>
        </w:rPr>
        <w:t>” is the number of ARB Offset Credits issued for the early action reporting period to be placed in the ARB Forest Buffer Account as calculated in 95990(i)(1)(D)2. above.</w:t>
      </w:r>
    </w:p>
    <w:p w14:paraId="1B6016E1" w14:textId="77777777" w:rsidR="00FE6A4C" w:rsidRPr="00B61FF1" w:rsidRDefault="00FE6A4C" w:rsidP="00FE6A4C">
      <w:pPr>
        <w:spacing w:line="360" w:lineRule="auto"/>
        <w:ind w:left="3600" w:hanging="720"/>
        <w:rPr>
          <w:rFonts w:ascii="Arial" w:hAnsi="Arial" w:cs="Arial"/>
          <w:sz w:val="24"/>
          <w:szCs w:val="24"/>
          <w:u w:val="single"/>
        </w:rPr>
      </w:pPr>
    </w:p>
    <w:p w14:paraId="505A77F9"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If the </w:t>
      </w:r>
      <w:r w:rsidRPr="00B61FF1">
        <w:rPr>
          <w:rFonts w:ascii="Arial" w:hAnsi="Arial" w:cs="Arial"/>
          <w:strike/>
          <w:sz w:val="24"/>
          <w:szCs w:val="24"/>
        </w:rPr>
        <w:t>amount of early action offset credits being transferred to ARB from the</w:t>
      </w:r>
      <w:r w:rsidRPr="00B61FF1">
        <w:rPr>
          <w:rFonts w:ascii="Arial" w:hAnsi="Arial" w:cs="Arial"/>
          <w:sz w:val="24"/>
          <w:szCs w:val="24"/>
        </w:rPr>
        <w:t xml:space="preserve"> Early Action Offset Program’s </w:t>
      </w:r>
      <w:r w:rsidRPr="00B61FF1">
        <w:rPr>
          <w:rFonts w:ascii="Arial" w:hAnsi="Arial" w:cs="Arial"/>
          <w:strike/>
          <w:sz w:val="24"/>
          <w:szCs w:val="24"/>
        </w:rPr>
        <w:t>buffer account for forest projects</w:t>
      </w:r>
      <w:r w:rsidRPr="00B61FF1">
        <w:rPr>
          <w:rFonts w:ascii="Arial" w:hAnsi="Arial" w:cs="Arial"/>
          <w:sz w:val="24"/>
          <w:szCs w:val="24"/>
          <w:u w:val="single"/>
        </w:rPr>
        <w:t>reversal risk rating percentage is less than the reversal risk rating calculated using the Compliance Offset Protocol U.S. Forest Projects, October 20, 2011, and no early action offset credits have yet been canceled or retired from the Early Action Offset Program’s buffer account for forest projects for the early action reporting period, the following equation will determine</w:t>
      </w:r>
      <w:r w:rsidRPr="00B61FF1">
        <w:rPr>
          <w:rFonts w:ascii="Arial" w:hAnsi="Arial" w:cs="Arial"/>
          <w:strike/>
          <w:sz w:val="24"/>
          <w:szCs w:val="24"/>
        </w:rPr>
        <w:t>does not cover</w:t>
      </w:r>
      <w:r w:rsidRPr="00B61FF1">
        <w:rPr>
          <w:rFonts w:ascii="Arial" w:hAnsi="Arial" w:cs="Arial"/>
          <w:sz w:val="24"/>
          <w:szCs w:val="24"/>
        </w:rPr>
        <w:t xml:space="preserve"> the number of ARB offset credits to be </w:t>
      </w:r>
      <w:r w:rsidRPr="00B61FF1">
        <w:rPr>
          <w:rFonts w:ascii="Arial" w:hAnsi="Arial" w:cs="Arial"/>
          <w:strike/>
          <w:sz w:val="24"/>
          <w:szCs w:val="24"/>
        </w:rPr>
        <w:t>placed in the Forest Buffer Account</w:t>
      </w:r>
      <w:r w:rsidRPr="00B61FF1">
        <w:rPr>
          <w:rFonts w:ascii="Arial" w:hAnsi="Arial" w:cs="Arial"/>
          <w:sz w:val="24"/>
          <w:szCs w:val="24"/>
          <w:u w:val="single"/>
        </w:rPr>
        <w:t xml:space="preserve"> issued for each early action reporting period</w:t>
      </w:r>
      <w:r w:rsidRPr="00B61FF1">
        <w:rPr>
          <w:rFonts w:ascii="Arial" w:hAnsi="Arial" w:cs="Arial"/>
          <w:strike/>
          <w:sz w:val="24"/>
          <w:szCs w:val="24"/>
        </w:rPr>
        <w:t>, the following applies</w:t>
      </w:r>
      <w:r w:rsidRPr="00B61FF1">
        <w:rPr>
          <w:rFonts w:ascii="Arial" w:hAnsi="Arial" w:cs="Arial"/>
          <w:sz w:val="24"/>
          <w:szCs w:val="24"/>
        </w:rPr>
        <w:t>:</w:t>
      </w:r>
    </w:p>
    <w:p w14:paraId="39B97B2D" w14:textId="77777777" w:rsidR="00FE6A4C" w:rsidRPr="00B61FF1" w:rsidRDefault="00FE6A4C" w:rsidP="00FE6A4C">
      <w:pPr>
        <w:spacing w:line="360" w:lineRule="auto"/>
        <w:ind w:left="1440"/>
        <w:jc w:val="center"/>
        <w:rPr>
          <w:rFonts w:ascii="Arial" w:hAnsi="Arial" w:cs="Arial"/>
          <w:strike/>
          <w:sz w:val="24"/>
          <w:szCs w:val="24"/>
        </w:rPr>
      </w:pPr>
      <m:oMathPara>
        <m:oMath>
          <m:r>
            <w:rPr>
              <w:rFonts w:ascii="Cambria Math" w:hAnsi="Cambria Math" w:cs="Arial"/>
              <w:strike/>
              <w:sz w:val="24"/>
              <w:szCs w:val="24"/>
            </w:rPr>
            <m:t xml:space="preserve">If: </m:t>
          </m:r>
          <m:sSub>
            <m:sSubPr>
              <m:ctrlPr>
                <w:rPr>
                  <w:rFonts w:ascii="Cambria Math" w:hAnsi="Cambria Math" w:cs="Arial"/>
                  <w:i/>
                  <w:strike/>
                  <w:sz w:val="24"/>
                  <w:szCs w:val="24"/>
                </w:rPr>
              </m:ctrlPr>
            </m:sSubPr>
            <m:e>
              <m:r>
                <w:rPr>
                  <w:rFonts w:ascii="Cambria Math" w:hAnsi="Cambria Math" w:cs="Arial"/>
                  <w:strike/>
                  <w:sz w:val="24"/>
                  <w:szCs w:val="24"/>
                </w:rPr>
                <m:t>EAOP</m:t>
              </m:r>
            </m:e>
            <m:sub>
              <m:r>
                <w:rPr>
                  <w:rFonts w:ascii="Cambria Math" w:hAnsi="Cambria Math" w:cs="Arial"/>
                  <w:strike/>
                  <w:sz w:val="24"/>
                  <w:szCs w:val="24"/>
                </w:rPr>
                <m:t>Buffer</m:t>
              </m:r>
            </m:sub>
          </m:sSub>
          <m:r>
            <w:rPr>
              <w:rFonts w:ascii="Cambria Math" w:hAnsi="Cambria Math" w:cs="Arial"/>
              <w:strike/>
              <w:sz w:val="24"/>
              <w:szCs w:val="24"/>
            </w:rPr>
            <m:t>&lt;</m:t>
          </m:r>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Issue</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COP</m:t>
              </m:r>
            </m:sub>
          </m:sSub>
        </m:oMath>
      </m:oMathPara>
    </w:p>
    <w:p w14:paraId="1BB74085" w14:textId="77777777" w:rsidR="00FE6A4C" w:rsidRPr="00B61FF1" w:rsidRDefault="00FE6A4C" w:rsidP="00FE6A4C">
      <w:pPr>
        <w:spacing w:line="360" w:lineRule="auto"/>
        <w:ind w:left="1440"/>
        <w:jc w:val="center"/>
        <w:rPr>
          <w:rFonts w:ascii="Arial" w:hAnsi="Arial" w:cs="Arial"/>
          <w:strike/>
          <w:sz w:val="24"/>
          <w:szCs w:val="24"/>
        </w:rPr>
      </w:pPr>
      <m:oMathPara>
        <m:oMath>
          <m:r>
            <w:rPr>
              <w:rFonts w:ascii="Cambria Math" w:hAnsi="Cambria Math" w:cs="Arial"/>
              <w:strike/>
              <w:sz w:val="24"/>
              <w:szCs w:val="24"/>
            </w:rPr>
            <m:t xml:space="preserve">Then: </m:t>
          </m:r>
          <m:sSub>
            <m:sSubPr>
              <m:ctrlPr>
                <w:rPr>
                  <w:rFonts w:ascii="Cambria Math" w:hAnsi="Cambria Math" w:cs="Arial"/>
                  <w:i/>
                  <w:strike/>
                  <w:sz w:val="24"/>
                  <w:szCs w:val="24"/>
                </w:rPr>
              </m:ctrlPr>
            </m:sSubPr>
            <m:e>
              <m:r>
                <w:rPr>
                  <w:rFonts w:ascii="Cambria Math" w:hAnsi="Cambria Math" w:cs="Arial"/>
                  <w:strike/>
                  <w:sz w:val="24"/>
                  <w:szCs w:val="24"/>
                </w:rPr>
                <m:t>ARB</m:t>
              </m:r>
            </m:e>
            <m:sub>
              <m:r>
                <w:rPr>
                  <w:rFonts w:ascii="Cambria Math" w:hAnsi="Cambria Math" w:cs="Arial"/>
                  <w:strike/>
                  <w:sz w:val="24"/>
                  <w:szCs w:val="24"/>
                </w:rPr>
                <m:t>Issue</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Issue</m:t>
              </m:r>
            </m:sub>
          </m:sSub>
          <m:r>
            <w:rPr>
              <w:rFonts w:ascii="Cambria Math" w:hAnsi="Cambria Math" w:cs="Arial"/>
              <w:strike/>
              <w:sz w:val="24"/>
              <w:szCs w:val="24"/>
            </w:rPr>
            <m:t>-</m:t>
          </m:r>
          <m:d>
            <m:dPr>
              <m:begChr m:val="|"/>
              <m:endChr m:val="|"/>
              <m:ctrlPr>
                <w:rPr>
                  <w:rFonts w:ascii="Cambria Math" w:hAnsi="Cambria Math" w:cs="Arial"/>
                  <w:i/>
                  <w:strike/>
                  <w:sz w:val="24"/>
                  <w:szCs w:val="24"/>
                </w:rPr>
              </m:ctrlPr>
            </m:dPr>
            <m:e>
              <m:d>
                <m:dPr>
                  <m:ctrlPr>
                    <w:rPr>
                      <w:rFonts w:ascii="Cambria Math" w:hAnsi="Cambria Math" w:cs="Arial"/>
                      <w:i/>
                      <w:strike/>
                      <w:sz w:val="24"/>
                      <w:szCs w:val="24"/>
                    </w:rPr>
                  </m:ctrlPr>
                </m:dPr>
                <m:e>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Issue</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COP</m:t>
                      </m:r>
                    </m:sub>
                  </m:sSub>
                </m:e>
              </m:d>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EAOP</m:t>
                  </m:r>
                </m:e>
                <m:sub>
                  <m:r>
                    <w:rPr>
                      <w:rFonts w:ascii="Cambria Math" w:hAnsi="Cambria Math" w:cs="Arial"/>
                      <w:strike/>
                      <w:sz w:val="24"/>
                      <w:szCs w:val="24"/>
                    </w:rPr>
                    <m:t>Buffer</m:t>
                  </m:r>
                </m:sub>
              </m:sSub>
            </m:e>
          </m:d>
        </m:oMath>
      </m:oMathPara>
    </w:p>
    <w:p w14:paraId="6032F99E" w14:textId="77777777" w:rsidR="00FE6A4C" w:rsidRPr="00B61FF1" w:rsidRDefault="00FE6A4C" w:rsidP="00FE6A4C">
      <w:pPr>
        <w:ind w:left="2520" w:hanging="720"/>
        <w:rPr>
          <w:rFonts w:ascii="Arial" w:hAnsi="Arial" w:cs="Arial"/>
          <w:sz w:val="24"/>
          <w:szCs w:val="24"/>
          <w:u w:val="single"/>
        </w:rPr>
      </w:pPr>
      <m:oMathPara>
        <m:oMath>
          <m:r>
            <w:rPr>
              <w:rFonts w:ascii="Cambria Math" w:hAnsi="Cambria Math" w:cs="Arial"/>
              <w:sz w:val="24"/>
              <w:szCs w:val="24"/>
              <w:u w:val="single"/>
            </w:rPr>
            <m:t xml:space="preserve">If: </m:t>
          </m:r>
          <m:sSub>
            <m:sSubPr>
              <m:ctrlPr>
                <w:rPr>
                  <w:rFonts w:ascii="Cambria Math" w:hAnsi="Cambria Math" w:cs="Arial"/>
                  <w:i/>
                  <w:sz w:val="24"/>
                  <w:szCs w:val="24"/>
                  <w:u w:val="single"/>
                </w:rPr>
              </m:ctrlPr>
            </m:sSubPr>
            <m:e>
              <m:r>
                <w:rPr>
                  <w:rFonts w:ascii="Cambria Math" w:hAnsi="Cambria Math" w:cs="Arial"/>
                  <w:sz w:val="24"/>
                  <w:szCs w:val="24"/>
                  <w:u w:val="single"/>
                </w:rPr>
                <m:t xml:space="preserve"> RR</m:t>
              </m:r>
            </m:e>
            <m:sub>
              <m:r>
                <w:rPr>
                  <w:rFonts w:ascii="Cambria Math" w:hAnsi="Cambria Math" w:cs="Arial"/>
                  <w:sz w:val="24"/>
                  <w:szCs w:val="24"/>
                  <w:u w:val="single"/>
                </w:rPr>
                <m:t>EAOP</m:t>
              </m:r>
            </m:sub>
          </m:sSub>
          <m:r>
            <w:rPr>
              <w:rFonts w:ascii="Cambria Math" w:hAnsi="Cambria Math" w:cs="Arial"/>
              <w:sz w:val="24"/>
              <w:szCs w:val="24"/>
              <w:u w:val="single"/>
            </w:rPr>
            <m:t>&lt;</m:t>
          </m:r>
          <m:sSub>
            <m:sSubPr>
              <m:ctrlPr>
                <w:rPr>
                  <w:rFonts w:ascii="Cambria Math" w:hAnsi="Cambria Math" w:cs="Arial"/>
                  <w:i/>
                  <w:sz w:val="24"/>
                  <w:szCs w:val="24"/>
                  <w:u w:val="single"/>
                </w:rPr>
              </m:ctrlPr>
            </m:sSubPr>
            <m:e>
              <m:r>
                <w:rPr>
                  <w:rFonts w:ascii="Cambria Math" w:hAnsi="Cambria Math" w:cs="Arial"/>
                  <w:sz w:val="24"/>
                  <w:szCs w:val="24"/>
                  <w:u w:val="single"/>
                </w:rPr>
                <m:t>RR</m:t>
              </m:r>
            </m:e>
            <m:sub>
              <m:r>
                <w:rPr>
                  <w:rFonts w:ascii="Cambria Math" w:hAnsi="Cambria Math" w:cs="Arial"/>
                  <w:sz w:val="24"/>
                  <w:szCs w:val="24"/>
                  <w:u w:val="single"/>
                </w:rPr>
                <m:t>COP</m:t>
              </m:r>
            </m:sub>
          </m:sSub>
        </m:oMath>
      </m:oMathPara>
    </w:p>
    <w:p w14:paraId="1E9F114B" w14:textId="50D0321D" w:rsidR="00FE6A4C" w:rsidRPr="00B61FF1" w:rsidRDefault="00FE6A4C" w:rsidP="00FE6A4C">
      <w:pPr>
        <w:ind w:left="2520" w:hanging="720"/>
        <w:rPr>
          <w:rFonts w:ascii="Arial" w:hAnsi="Arial" w:cs="Arial"/>
          <w:sz w:val="24"/>
          <w:szCs w:val="24"/>
        </w:rPr>
      </w:pPr>
    </w:p>
    <w:p w14:paraId="57673D7E" w14:textId="77777777" w:rsidR="00FE6A4C" w:rsidRPr="00B61FF1" w:rsidRDefault="00FE6A4C" w:rsidP="00FE6A4C">
      <w:pPr>
        <w:ind w:left="2520" w:hanging="720"/>
        <w:rPr>
          <w:rFonts w:ascii="Arial" w:hAnsi="Arial" w:cs="Arial"/>
          <w:sz w:val="24"/>
          <w:szCs w:val="24"/>
        </w:rPr>
      </w:pPr>
    </w:p>
    <w:p w14:paraId="2EAEDD0C" w14:textId="77777777" w:rsidR="00FE6A4C" w:rsidRPr="00B61FF1" w:rsidRDefault="00FE6A4C" w:rsidP="00FE6A4C">
      <w:pPr>
        <w:ind w:left="2520" w:hanging="720"/>
        <w:rPr>
          <w:rFonts w:ascii="Arial" w:hAnsi="Arial" w:cs="Arial"/>
          <w:sz w:val="24"/>
          <w:szCs w:val="24"/>
          <w:u w:val="single"/>
        </w:rPr>
      </w:pPr>
      <m:oMathPara>
        <m:oMath>
          <m:r>
            <w:rPr>
              <w:rFonts w:ascii="Cambria Math" w:hAnsi="Cambria Math" w:cs="Arial"/>
              <w:sz w:val="24"/>
              <w:szCs w:val="24"/>
              <w:u w:val="single"/>
            </w:rPr>
            <m:t xml:space="preserve">Then : </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Issue</m:t>
              </m:r>
            </m:sub>
          </m:sSub>
          <m:r>
            <w:rPr>
              <w:rFonts w:ascii="Cambria Math" w:hAnsi="Cambria Math" w:cs="Arial"/>
              <w:sz w:val="24"/>
              <w:szCs w:val="24"/>
              <w:u w:val="single"/>
            </w:rPr>
            <m:t>=</m:t>
          </m:r>
          <m:f>
            <m:fPr>
              <m:ctrlPr>
                <w:rPr>
                  <w:rFonts w:ascii="Cambria Math" w:hAnsi="Cambria Math" w:cs="Arial"/>
                  <w:i/>
                  <w:sz w:val="24"/>
                  <w:szCs w:val="24"/>
                  <w:u w:val="single"/>
                </w:rPr>
              </m:ctrlPr>
            </m:fPr>
            <m:num>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Request</m:t>
                  </m:r>
                </m:sub>
              </m:sSub>
            </m:num>
            <m:den>
              <m:d>
                <m:dPr>
                  <m:ctrlPr>
                    <w:rPr>
                      <w:rFonts w:ascii="Cambria Math" w:hAnsi="Cambria Math" w:cs="Arial"/>
                      <w:i/>
                      <w:sz w:val="24"/>
                      <w:szCs w:val="24"/>
                      <w:u w:val="single"/>
                    </w:rPr>
                  </m:ctrlPr>
                </m:dPr>
                <m:e>
                  <m:r>
                    <w:rPr>
                      <w:rFonts w:ascii="Cambria Math" w:hAnsi="Cambria Math" w:cs="Arial"/>
                      <w:sz w:val="24"/>
                      <w:szCs w:val="24"/>
                      <w:u w:val="single"/>
                    </w:rPr>
                    <m:t>1-</m:t>
                  </m:r>
                  <m:sSub>
                    <m:sSubPr>
                      <m:ctrlPr>
                        <w:rPr>
                          <w:rFonts w:ascii="Cambria Math" w:hAnsi="Cambria Math" w:cs="Arial"/>
                          <w:i/>
                          <w:sz w:val="24"/>
                          <w:szCs w:val="24"/>
                          <w:u w:val="single"/>
                        </w:rPr>
                      </m:ctrlPr>
                    </m:sSubPr>
                    <m:e>
                      <m:r>
                        <w:rPr>
                          <w:rFonts w:ascii="Cambria Math" w:hAnsi="Cambria Math" w:cs="Arial"/>
                          <w:sz w:val="24"/>
                          <w:szCs w:val="24"/>
                          <w:u w:val="single"/>
                        </w:rPr>
                        <m:t>RR</m:t>
                      </m:r>
                    </m:e>
                    <m:sub>
                      <m:r>
                        <w:rPr>
                          <w:rFonts w:ascii="Cambria Math" w:hAnsi="Cambria Math" w:cs="Arial"/>
                          <w:sz w:val="24"/>
                          <w:szCs w:val="24"/>
                          <w:u w:val="single"/>
                        </w:rPr>
                        <m:t>EAOP</m:t>
                      </m:r>
                    </m:sub>
                  </m:sSub>
                </m:e>
              </m:d>
            </m:den>
          </m:f>
        </m:oMath>
      </m:oMathPara>
    </w:p>
    <w:p w14:paraId="0562D9C6" w14:textId="5E1F5A80" w:rsidR="00FE6A4C" w:rsidRPr="00B61FF1" w:rsidRDefault="00FE6A4C" w:rsidP="00FE6A4C">
      <w:pPr>
        <w:ind w:left="2520" w:hanging="720"/>
        <w:rPr>
          <w:rFonts w:ascii="Arial" w:hAnsi="Arial" w:cs="Arial"/>
          <w:sz w:val="24"/>
          <w:szCs w:val="24"/>
        </w:rPr>
      </w:pPr>
    </w:p>
    <w:p w14:paraId="3C492E30" w14:textId="77777777" w:rsidR="00FE6A4C" w:rsidRPr="00B61FF1" w:rsidRDefault="00FE6A4C" w:rsidP="00FE6A4C">
      <w:pPr>
        <w:spacing w:line="360" w:lineRule="auto"/>
        <w:ind w:left="1800"/>
        <w:rPr>
          <w:rFonts w:ascii="Arial" w:hAnsi="Arial" w:cs="Arial"/>
          <w:sz w:val="24"/>
          <w:szCs w:val="24"/>
        </w:rPr>
      </w:pPr>
    </w:p>
    <w:p w14:paraId="5E7DB630"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z w:val="24"/>
          <w:szCs w:val="24"/>
        </w:rPr>
        <w:t>Where:</w:t>
      </w:r>
    </w:p>
    <w:p w14:paraId="17C3259C"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z w:val="24"/>
          <w:szCs w:val="24"/>
        </w:rPr>
        <w:t>“ARB</w:t>
      </w:r>
      <w:r w:rsidRPr="00B61FF1">
        <w:rPr>
          <w:rFonts w:ascii="Arial" w:hAnsi="Arial" w:cs="Arial"/>
          <w:sz w:val="24"/>
          <w:szCs w:val="24"/>
          <w:vertAlign w:val="subscript"/>
        </w:rPr>
        <w:t>Issue</w:t>
      </w:r>
      <w:r w:rsidRPr="00B61FF1">
        <w:rPr>
          <w:rFonts w:ascii="Arial" w:hAnsi="Arial" w:cs="Arial"/>
          <w:sz w:val="24"/>
          <w:szCs w:val="24"/>
        </w:rPr>
        <w:t xml:space="preserve">” is the total number of ARB offset credits </w:t>
      </w:r>
      <w:r w:rsidRPr="00B61FF1">
        <w:rPr>
          <w:rFonts w:ascii="Arial" w:hAnsi="Arial" w:cs="Arial"/>
          <w:strike/>
          <w:sz w:val="24"/>
          <w:szCs w:val="24"/>
        </w:rPr>
        <w:t>that will be</w:t>
      </w:r>
      <w:r w:rsidRPr="00B61FF1">
        <w:rPr>
          <w:rFonts w:ascii="Arial" w:hAnsi="Arial" w:cs="Arial"/>
          <w:sz w:val="24"/>
          <w:szCs w:val="24"/>
        </w:rPr>
        <w:t xml:space="preserve"> issued</w:t>
      </w:r>
      <w:r w:rsidRPr="00B61FF1">
        <w:rPr>
          <w:rFonts w:ascii="Arial" w:hAnsi="Arial" w:cs="Arial"/>
          <w:sz w:val="24"/>
          <w:szCs w:val="24"/>
          <w:u w:val="single"/>
        </w:rPr>
        <w:t xml:space="preserve"> by ARB into the Issuance Account, including the ARB offset credits to be placed into the Forest Buffer Account, for transitioning the early action offset credits requested by</w:t>
      </w:r>
      <w:r w:rsidRPr="00B61FF1">
        <w:rPr>
          <w:rFonts w:ascii="Arial" w:hAnsi="Arial" w:cs="Arial"/>
          <w:strike/>
          <w:sz w:val="24"/>
          <w:szCs w:val="24"/>
        </w:rPr>
        <w:t xml:space="preserve"> to</w:t>
      </w:r>
      <w:r w:rsidRPr="00B61FF1">
        <w:rPr>
          <w:rFonts w:ascii="Arial" w:hAnsi="Arial" w:cs="Arial"/>
          <w:sz w:val="24"/>
          <w:szCs w:val="24"/>
        </w:rPr>
        <w:t xml:space="preserve"> the Offset Project Operator</w:t>
      </w:r>
      <w:r w:rsidRPr="00B61FF1">
        <w:rPr>
          <w:rFonts w:ascii="Arial" w:hAnsi="Arial" w:cs="Arial"/>
          <w:sz w:val="24"/>
          <w:szCs w:val="24"/>
          <w:u w:val="single"/>
        </w:rPr>
        <w:t>,</w:t>
      </w:r>
      <w:r w:rsidRPr="00B61FF1">
        <w:rPr>
          <w:rFonts w:ascii="Arial" w:hAnsi="Arial" w:cs="Arial"/>
          <w:strike/>
          <w:sz w:val="24"/>
          <w:szCs w:val="24"/>
        </w:rPr>
        <w:t xml:space="preserve"> or</w:t>
      </w:r>
      <w:r w:rsidRPr="00B61FF1">
        <w:rPr>
          <w:rFonts w:ascii="Arial" w:hAnsi="Arial" w:cs="Arial"/>
          <w:sz w:val="24"/>
          <w:szCs w:val="24"/>
        </w:rPr>
        <w:t xml:space="preserve"> Authorized Project Designee</w:t>
      </w:r>
      <w:r w:rsidRPr="00B61FF1">
        <w:rPr>
          <w:rFonts w:ascii="Arial" w:hAnsi="Arial" w:cs="Arial"/>
          <w:sz w:val="24"/>
          <w:szCs w:val="24"/>
          <w:u w:val="single"/>
        </w:rPr>
        <w:t xml:space="preserve">, or holder(s) </w:t>
      </w:r>
      <w:r w:rsidRPr="00B61FF1">
        <w:rPr>
          <w:rFonts w:ascii="Arial" w:hAnsi="Arial" w:cs="Arial"/>
          <w:sz w:val="24"/>
          <w:szCs w:val="24"/>
        </w:rPr>
        <w:t xml:space="preserve">for </w:t>
      </w:r>
      <w:r w:rsidRPr="00B61FF1">
        <w:rPr>
          <w:rFonts w:ascii="Arial" w:hAnsi="Arial" w:cs="Arial"/>
          <w:strike/>
          <w:sz w:val="24"/>
          <w:szCs w:val="24"/>
        </w:rPr>
        <w:t>the applicable Offset Project Data Report</w:t>
      </w:r>
      <w:r w:rsidRPr="00B61FF1">
        <w:rPr>
          <w:rFonts w:ascii="Arial" w:hAnsi="Arial" w:cs="Arial"/>
          <w:sz w:val="24"/>
          <w:szCs w:val="24"/>
          <w:u w:val="single"/>
        </w:rPr>
        <w:t>an early action reporting period, based on the amount of ARB offset credits for which the party is seeking issuance</w:t>
      </w:r>
      <w:r w:rsidRPr="00B61FF1">
        <w:rPr>
          <w:rFonts w:ascii="Arial" w:hAnsi="Arial" w:cs="Arial"/>
          <w:sz w:val="24"/>
          <w:szCs w:val="24"/>
        </w:rPr>
        <w:t>;</w:t>
      </w:r>
    </w:p>
    <w:p w14:paraId="348680CE" w14:textId="77777777" w:rsidR="00FE6A4C" w:rsidRPr="00B61FF1" w:rsidRDefault="00FE6A4C" w:rsidP="00FE6A4C">
      <w:pPr>
        <w:spacing w:line="360" w:lineRule="auto"/>
        <w:ind w:left="2880"/>
        <w:rPr>
          <w:rFonts w:ascii="Arial" w:hAnsi="Arial" w:cs="Arial"/>
          <w:sz w:val="24"/>
          <w:szCs w:val="24"/>
        </w:rPr>
      </w:pPr>
    </w:p>
    <w:p w14:paraId="27081BFB"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z w:val="24"/>
          <w:szCs w:val="24"/>
          <w:u w:val="single"/>
        </w:rPr>
        <w:t>“ARB</w:t>
      </w:r>
      <w:r w:rsidRPr="00B61FF1">
        <w:rPr>
          <w:rFonts w:ascii="Arial" w:hAnsi="Arial" w:cs="Arial"/>
          <w:sz w:val="24"/>
          <w:szCs w:val="24"/>
          <w:u w:val="single"/>
          <w:vertAlign w:val="subscript"/>
        </w:rPr>
        <w:t>Request</w:t>
      </w:r>
      <w:r w:rsidRPr="00B61FF1">
        <w:rPr>
          <w:rFonts w:ascii="Arial" w:hAnsi="Arial" w:cs="Arial"/>
          <w:sz w:val="24"/>
          <w:szCs w:val="24"/>
          <w:u w:val="single"/>
        </w:rPr>
        <w:t>” is the number of early action offset credits that meet the requirements of this section for which the Offset Project Operator, Authorized Project Designee, or holder(s), if applicable, are seeking issuance of ARB offset credits for an early action reporting period;</w:t>
      </w:r>
    </w:p>
    <w:p w14:paraId="7D26280C" w14:textId="77777777" w:rsidR="00FE6A4C" w:rsidRPr="00B61FF1" w:rsidRDefault="00FE6A4C" w:rsidP="00FE6A4C">
      <w:pPr>
        <w:spacing w:line="360" w:lineRule="auto"/>
        <w:ind w:left="2880"/>
        <w:rPr>
          <w:rFonts w:ascii="Arial" w:hAnsi="Arial" w:cs="Arial"/>
          <w:strike/>
          <w:sz w:val="24"/>
          <w:szCs w:val="24"/>
        </w:rPr>
      </w:pPr>
      <w:r w:rsidRPr="00B61FF1">
        <w:rPr>
          <w:rFonts w:ascii="Arial" w:hAnsi="Arial" w:cs="Arial"/>
          <w:strike/>
          <w:sz w:val="24"/>
          <w:szCs w:val="24"/>
        </w:rPr>
        <w:t>“EAOC</w:t>
      </w:r>
      <w:r w:rsidRPr="00B61FF1">
        <w:rPr>
          <w:rFonts w:ascii="Arial" w:hAnsi="Arial" w:cs="Arial"/>
          <w:strike/>
          <w:sz w:val="24"/>
          <w:szCs w:val="24"/>
          <w:vertAlign w:val="subscript"/>
        </w:rPr>
        <w:t>Issue</w:t>
      </w:r>
      <w:r w:rsidRPr="00B61FF1">
        <w:rPr>
          <w:rFonts w:ascii="Arial" w:hAnsi="Arial" w:cs="Arial"/>
          <w:strike/>
          <w:sz w:val="24"/>
          <w:szCs w:val="24"/>
        </w:rPr>
        <w:t>” is the total number of early action offset credits that meet the requirements of section 95990(h) for which the Offset Project Operator or Authorized Project Designee is seeking issuance of ARB offset credits pursuant to this section for the applicable Offset Project Data Report;</w:t>
      </w:r>
    </w:p>
    <w:p w14:paraId="3BDB5995" w14:textId="77777777" w:rsidR="00FE6A4C" w:rsidRPr="00B61FF1" w:rsidRDefault="00FE6A4C" w:rsidP="00FE6A4C">
      <w:pPr>
        <w:spacing w:line="360" w:lineRule="auto"/>
        <w:ind w:left="2880"/>
        <w:rPr>
          <w:rFonts w:ascii="Arial" w:hAnsi="Arial" w:cs="Arial"/>
          <w:strike/>
          <w:sz w:val="24"/>
          <w:szCs w:val="24"/>
        </w:rPr>
      </w:pPr>
    </w:p>
    <w:p w14:paraId="69088178" w14:textId="77777777" w:rsidR="00FE6A4C" w:rsidRPr="00B61FF1" w:rsidRDefault="00FE6A4C" w:rsidP="00FE6A4C">
      <w:pPr>
        <w:spacing w:line="360" w:lineRule="auto"/>
        <w:ind w:left="2880"/>
        <w:rPr>
          <w:rFonts w:ascii="Arial" w:hAnsi="Arial" w:cs="Arial"/>
          <w:strike/>
          <w:sz w:val="24"/>
          <w:szCs w:val="24"/>
        </w:rPr>
      </w:pPr>
      <w:r w:rsidRPr="00B61FF1">
        <w:rPr>
          <w:rFonts w:ascii="Arial" w:hAnsi="Arial" w:cs="Arial"/>
          <w:sz w:val="24"/>
          <w:szCs w:val="24"/>
          <w:u w:val="single"/>
        </w:rPr>
        <w:t>“RR</w:t>
      </w:r>
      <w:r w:rsidRPr="00B61FF1">
        <w:rPr>
          <w:rFonts w:ascii="Arial" w:hAnsi="Arial" w:cs="Arial"/>
          <w:sz w:val="24"/>
          <w:szCs w:val="24"/>
          <w:u w:val="single"/>
          <w:vertAlign w:val="subscript"/>
        </w:rPr>
        <w:t>EAOP</w:t>
      </w:r>
      <w:r w:rsidRPr="00B61FF1">
        <w:rPr>
          <w:rFonts w:ascii="Arial" w:hAnsi="Arial" w:cs="Arial"/>
          <w:sz w:val="24"/>
          <w:szCs w:val="24"/>
          <w:u w:val="single"/>
        </w:rPr>
        <w:t>” is the risk-reversal rating percentage applied by the Early Action Offset Program to calculate the number of early action offset credits that were placed into the Early Action Offset Program’s buffer account for forest projects at the time of early action offset credit issuance by the Early Action Offset Program for each early action reporting period; and</w:t>
      </w:r>
    </w:p>
    <w:p w14:paraId="065BB85B" w14:textId="77777777" w:rsidR="00FE6A4C" w:rsidRPr="00B61FF1" w:rsidRDefault="00FE6A4C" w:rsidP="00FE6A4C">
      <w:pPr>
        <w:spacing w:line="360" w:lineRule="auto"/>
        <w:ind w:left="2880"/>
        <w:rPr>
          <w:rFonts w:ascii="Arial" w:hAnsi="Arial" w:cs="Arial"/>
          <w:sz w:val="24"/>
          <w:szCs w:val="24"/>
        </w:rPr>
      </w:pPr>
    </w:p>
    <w:p w14:paraId="07BC33C8" w14:textId="77777777" w:rsidR="00FE6A4C" w:rsidRPr="00B61FF1" w:rsidRDefault="00FE6A4C" w:rsidP="00FE6A4C">
      <w:pPr>
        <w:spacing w:line="360" w:lineRule="auto"/>
        <w:ind w:left="2880"/>
        <w:rPr>
          <w:rFonts w:ascii="Arial" w:hAnsi="Arial" w:cs="Arial"/>
          <w:strike/>
          <w:sz w:val="24"/>
          <w:szCs w:val="24"/>
        </w:rPr>
      </w:pPr>
      <w:r w:rsidRPr="00B61FF1">
        <w:rPr>
          <w:rFonts w:ascii="Arial" w:hAnsi="Arial" w:cs="Arial"/>
          <w:sz w:val="24"/>
          <w:szCs w:val="24"/>
        </w:rPr>
        <w:t>“RR</w:t>
      </w:r>
      <w:r w:rsidRPr="00B61FF1">
        <w:rPr>
          <w:rFonts w:ascii="Arial" w:hAnsi="Arial" w:cs="Arial"/>
          <w:sz w:val="24"/>
          <w:szCs w:val="24"/>
          <w:vertAlign w:val="subscript"/>
        </w:rPr>
        <w:t>COP</w:t>
      </w:r>
      <w:r w:rsidRPr="00B61FF1">
        <w:rPr>
          <w:rFonts w:ascii="Arial" w:hAnsi="Arial" w:cs="Arial"/>
          <w:sz w:val="24"/>
          <w:szCs w:val="24"/>
        </w:rPr>
        <w:t xml:space="preserve">” is the </w:t>
      </w:r>
      <w:r w:rsidRPr="00B61FF1">
        <w:rPr>
          <w:rFonts w:ascii="Arial" w:hAnsi="Arial" w:cs="Arial"/>
          <w:sz w:val="24"/>
          <w:szCs w:val="24"/>
          <w:u w:val="single"/>
        </w:rPr>
        <w:t xml:space="preserve">reversal risk rating </w:t>
      </w:r>
      <w:r w:rsidRPr="00B61FF1">
        <w:rPr>
          <w:rFonts w:ascii="Arial" w:hAnsi="Arial" w:cs="Arial"/>
          <w:sz w:val="24"/>
          <w:szCs w:val="24"/>
        </w:rPr>
        <w:t xml:space="preserve">percentage that must be applied </w:t>
      </w:r>
      <w:r w:rsidRPr="00B61FF1">
        <w:rPr>
          <w:rFonts w:ascii="Arial" w:hAnsi="Arial" w:cs="Arial"/>
          <w:strike/>
          <w:sz w:val="24"/>
          <w:szCs w:val="24"/>
        </w:rPr>
        <w:t>for</w:t>
      </w:r>
      <w:r w:rsidRPr="00B61FF1">
        <w:rPr>
          <w:rFonts w:ascii="Arial" w:hAnsi="Arial" w:cs="Arial"/>
          <w:sz w:val="24"/>
          <w:szCs w:val="24"/>
          <w:u w:val="single"/>
        </w:rPr>
        <w:t>to</w:t>
      </w:r>
      <w:r w:rsidRPr="00B61FF1">
        <w:rPr>
          <w:rFonts w:ascii="Arial" w:hAnsi="Arial" w:cs="Arial"/>
          <w:sz w:val="24"/>
          <w:szCs w:val="24"/>
        </w:rPr>
        <w:t xml:space="preserve"> the early action forest offset project pursuant to the project-specific </w:t>
      </w:r>
      <w:r w:rsidRPr="00B61FF1">
        <w:rPr>
          <w:rFonts w:ascii="Arial" w:hAnsi="Arial" w:cs="Arial"/>
          <w:sz w:val="24"/>
          <w:szCs w:val="24"/>
          <w:u w:val="single"/>
        </w:rPr>
        <w:t xml:space="preserve">reversal </w:t>
      </w:r>
      <w:r w:rsidRPr="00B61FF1">
        <w:rPr>
          <w:rFonts w:ascii="Arial" w:hAnsi="Arial" w:cs="Arial"/>
          <w:sz w:val="24"/>
          <w:szCs w:val="24"/>
        </w:rPr>
        <w:t>risk rating calculation in Compliance Offset Protocol U.S. Forest Projects, October 20, 2011</w:t>
      </w:r>
      <w:r w:rsidRPr="00B61FF1">
        <w:rPr>
          <w:rFonts w:ascii="Arial" w:hAnsi="Arial" w:cs="Arial"/>
          <w:sz w:val="24"/>
          <w:szCs w:val="24"/>
          <w:u w:val="single"/>
        </w:rPr>
        <w:t xml:space="preserve"> for an early action reporting period.</w:t>
      </w:r>
      <w:r w:rsidRPr="00B61FF1">
        <w:rPr>
          <w:rFonts w:ascii="Arial" w:hAnsi="Arial" w:cs="Arial"/>
          <w:strike/>
          <w:sz w:val="24"/>
          <w:szCs w:val="24"/>
        </w:rPr>
        <w:t>;</w:t>
      </w:r>
    </w:p>
    <w:p w14:paraId="5A1B4663" w14:textId="77777777" w:rsidR="00FE6A4C" w:rsidRPr="00B61FF1" w:rsidRDefault="00FE6A4C" w:rsidP="00FE6A4C">
      <w:pPr>
        <w:spacing w:line="360" w:lineRule="auto"/>
        <w:ind w:left="2880"/>
        <w:rPr>
          <w:rFonts w:ascii="Arial" w:hAnsi="Arial" w:cs="Arial"/>
          <w:sz w:val="24"/>
          <w:szCs w:val="24"/>
        </w:rPr>
      </w:pPr>
      <w:r w:rsidRPr="00B61FF1">
        <w:rPr>
          <w:rFonts w:ascii="Arial" w:hAnsi="Arial" w:cs="Arial"/>
          <w:strike/>
          <w:sz w:val="24"/>
          <w:szCs w:val="24"/>
        </w:rPr>
        <w:t>“EAOP</w:t>
      </w:r>
      <w:r w:rsidRPr="00B61FF1">
        <w:rPr>
          <w:rFonts w:ascii="Arial" w:hAnsi="Arial" w:cs="Arial"/>
          <w:strike/>
          <w:sz w:val="24"/>
          <w:szCs w:val="24"/>
          <w:vertAlign w:val="subscript"/>
        </w:rPr>
        <w:t>Buffer</w:t>
      </w:r>
      <w:r w:rsidRPr="00B61FF1">
        <w:rPr>
          <w:rFonts w:ascii="Arial" w:hAnsi="Arial" w:cs="Arial"/>
          <w:strike/>
          <w:sz w:val="24"/>
          <w:szCs w:val="24"/>
        </w:rPr>
        <w:t>” is the total number of early action offset credits in the Early Action Offset Program’s buffer account for forest projects that meet the requirements of section 95990(h) and are being transferred to ARB for the applicable Offset Project Data Report;</w:t>
      </w:r>
    </w:p>
    <w:p w14:paraId="63682FC9" w14:textId="77777777" w:rsidR="00FE6A4C" w:rsidRPr="00B61FF1" w:rsidRDefault="00FE6A4C" w:rsidP="00FE6A4C">
      <w:pPr>
        <w:spacing w:line="360" w:lineRule="auto"/>
        <w:ind w:left="1800"/>
        <w:rPr>
          <w:rFonts w:ascii="Arial" w:hAnsi="Arial" w:cs="Arial"/>
          <w:sz w:val="24"/>
          <w:szCs w:val="24"/>
        </w:rPr>
      </w:pPr>
    </w:p>
    <w:p w14:paraId="2EFE1A79"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w:t>
      </w:r>
      <w:r w:rsidRPr="00B61FF1">
        <w:rPr>
          <w:rFonts w:ascii="Arial" w:hAnsi="Arial" w:cs="Arial"/>
          <w:sz w:val="24"/>
          <w:szCs w:val="24"/>
        </w:rPr>
        <w:tab/>
      </w:r>
      <w:r w:rsidRPr="00B61FF1">
        <w:rPr>
          <w:rFonts w:ascii="Arial" w:hAnsi="Arial" w:cs="Arial"/>
          <w:sz w:val="24"/>
          <w:szCs w:val="24"/>
          <w:u w:val="single"/>
        </w:rPr>
        <w:t xml:space="preserve">The Early Action Offset Program must retire or cancel early action offset credits from its buffer account for forest projects for the early action reporting period equal to the following:  </w:t>
      </w:r>
    </w:p>
    <w:p w14:paraId="654A4F60" w14:textId="77777777" w:rsidR="00FE6A4C" w:rsidRPr="00B61FF1" w:rsidRDefault="00661852" w:rsidP="00FE6A4C">
      <w:pPr>
        <w:ind w:left="2160"/>
        <w:jc w:val="center"/>
        <w:rPr>
          <w:rFonts w:ascii="Arial" w:hAnsi="Arial" w:cs="Arial"/>
          <w:sz w:val="24"/>
          <w:szCs w:val="24"/>
          <w:u w:val="single"/>
        </w:rPr>
      </w:pPr>
      <m:oMathPara>
        <m:oMath>
          <m:sSub>
            <m:sSubPr>
              <m:ctrlPr>
                <w:rPr>
                  <w:rFonts w:ascii="Cambria Math" w:hAnsi="Cambria Math" w:cs="Arial"/>
                  <w:i/>
                  <w:sz w:val="24"/>
                  <w:szCs w:val="24"/>
                  <w:u w:val="single"/>
                </w:rPr>
              </m:ctrlPr>
            </m:sSubPr>
            <m:e>
              <m:r>
                <w:rPr>
                  <w:rFonts w:ascii="Cambria Math" w:hAnsi="Cambria Math" w:cs="Arial"/>
                  <w:sz w:val="24"/>
                  <w:szCs w:val="24"/>
                  <w:u w:val="single"/>
                </w:rPr>
                <m:t>EAOP</m:t>
              </m:r>
            </m:e>
            <m:sub>
              <m:r>
                <w:rPr>
                  <w:rFonts w:ascii="Cambria Math" w:hAnsi="Cambria Math" w:cs="Arial"/>
                  <w:sz w:val="24"/>
                  <w:szCs w:val="24"/>
                  <w:u w:val="single"/>
                </w:rPr>
                <m:t>BufferRetire</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Issue</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RR</m:t>
              </m:r>
            </m:e>
            <m:sub>
              <m:r>
                <w:rPr>
                  <w:rFonts w:ascii="Cambria Math" w:hAnsi="Cambria Math" w:cs="Arial"/>
                  <w:sz w:val="24"/>
                  <w:szCs w:val="24"/>
                  <w:u w:val="single"/>
                </w:rPr>
                <m:t>EAOP</m:t>
              </m:r>
            </m:sub>
          </m:sSub>
        </m:oMath>
      </m:oMathPara>
    </w:p>
    <w:p w14:paraId="6ED3F149" w14:textId="73DFC3C7" w:rsidR="00FE6A4C" w:rsidRPr="00B61FF1" w:rsidRDefault="00FE6A4C" w:rsidP="00FE6A4C">
      <w:pPr>
        <w:ind w:left="2160"/>
        <w:jc w:val="center"/>
        <w:rPr>
          <w:rFonts w:ascii="Arial" w:hAnsi="Arial" w:cs="Arial"/>
          <w:sz w:val="24"/>
          <w:szCs w:val="24"/>
        </w:rPr>
      </w:pPr>
    </w:p>
    <w:p w14:paraId="53DC6E70" w14:textId="77777777" w:rsidR="00FE6A4C" w:rsidRPr="00B61FF1" w:rsidRDefault="00FE6A4C" w:rsidP="00FE6A4C">
      <w:pPr>
        <w:tabs>
          <w:tab w:val="left" w:pos="2610"/>
        </w:tabs>
        <w:spacing w:line="360" w:lineRule="auto"/>
        <w:ind w:left="3600"/>
        <w:rPr>
          <w:rFonts w:ascii="Arial" w:hAnsi="Arial" w:cs="Arial"/>
          <w:sz w:val="24"/>
          <w:szCs w:val="24"/>
          <w:u w:val="single"/>
        </w:rPr>
      </w:pPr>
    </w:p>
    <w:p w14:paraId="4A858E56"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Where:</w:t>
      </w:r>
    </w:p>
    <w:p w14:paraId="00B2564F"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BufferRetire</w:t>
      </w:r>
      <w:r w:rsidRPr="00B61FF1">
        <w:rPr>
          <w:rFonts w:ascii="Arial" w:hAnsi="Arial" w:cs="Arial"/>
          <w:sz w:val="24"/>
          <w:szCs w:val="24"/>
          <w:u w:val="single"/>
        </w:rPr>
        <w:t>” is the number of early action offset credits the Early Action Offset Program will retire from its buffer account for forest projects for an early action reporting period;</w:t>
      </w:r>
    </w:p>
    <w:p w14:paraId="54A5B8BD" w14:textId="77777777" w:rsidR="00FE6A4C" w:rsidRPr="00B61FF1" w:rsidRDefault="00FE6A4C" w:rsidP="00FE6A4C">
      <w:pPr>
        <w:spacing w:line="360" w:lineRule="auto"/>
        <w:ind w:left="3600"/>
        <w:rPr>
          <w:rFonts w:ascii="Arial" w:hAnsi="Arial" w:cs="Arial"/>
          <w:sz w:val="24"/>
          <w:szCs w:val="24"/>
          <w:u w:val="single"/>
        </w:rPr>
      </w:pPr>
    </w:p>
    <w:p w14:paraId="74AD12A9"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as calculated in section 95990(i)(1)(D)3.b. above; and</w:t>
      </w:r>
    </w:p>
    <w:p w14:paraId="2EB1C732" w14:textId="77777777" w:rsidR="00FE6A4C" w:rsidRPr="00B61FF1" w:rsidRDefault="00FE6A4C" w:rsidP="00FE6A4C">
      <w:pPr>
        <w:spacing w:line="360" w:lineRule="auto"/>
        <w:ind w:left="3600"/>
        <w:rPr>
          <w:rFonts w:ascii="Arial" w:hAnsi="Arial" w:cs="Arial"/>
          <w:sz w:val="24"/>
          <w:szCs w:val="24"/>
          <w:u w:val="single"/>
        </w:rPr>
      </w:pPr>
    </w:p>
    <w:p w14:paraId="75338EEB"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“RR</w:t>
      </w:r>
      <w:r w:rsidRPr="00B61FF1">
        <w:rPr>
          <w:rFonts w:ascii="Arial" w:hAnsi="Arial" w:cs="Arial"/>
          <w:sz w:val="24"/>
          <w:szCs w:val="24"/>
          <w:u w:val="single"/>
          <w:vertAlign w:val="subscript"/>
        </w:rPr>
        <w:t>EAOP</w:t>
      </w:r>
      <w:r w:rsidRPr="00B61FF1">
        <w:rPr>
          <w:rFonts w:ascii="Arial" w:hAnsi="Arial" w:cs="Arial"/>
          <w:sz w:val="24"/>
          <w:szCs w:val="24"/>
          <w:u w:val="single"/>
        </w:rPr>
        <w:t>” is the risk-reversal rating percentage applied by the Early Action Offset Program to calculate the number of early action offset credits that were placed into the Early Action’s buffer account for forest projects at the time of early action offset credit issuance by the Early Action Offset Program for an early action reporting period.</w:t>
      </w:r>
    </w:p>
    <w:p w14:paraId="55FED1B2" w14:textId="77777777" w:rsidR="00FE6A4C" w:rsidRPr="00B61FF1" w:rsidRDefault="00FE6A4C" w:rsidP="00FE6A4C">
      <w:pPr>
        <w:spacing w:line="360" w:lineRule="auto"/>
        <w:ind w:left="3600" w:hanging="720"/>
        <w:rPr>
          <w:rFonts w:ascii="Arial" w:hAnsi="Arial" w:cs="Arial"/>
          <w:sz w:val="24"/>
          <w:szCs w:val="24"/>
          <w:u w:val="single"/>
        </w:rPr>
      </w:pPr>
    </w:p>
    <w:p w14:paraId="2BBF6B1D"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ii.</w:t>
      </w:r>
      <w:r w:rsidRPr="00B61FF1">
        <w:rPr>
          <w:rFonts w:ascii="Arial" w:hAnsi="Arial" w:cs="Arial"/>
          <w:sz w:val="24"/>
          <w:szCs w:val="24"/>
        </w:rPr>
        <w:tab/>
      </w:r>
      <w:r w:rsidRPr="00B61FF1">
        <w:rPr>
          <w:rFonts w:ascii="Arial" w:hAnsi="Arial" w:cs="Arial"/>
          <w:sz w:val="24"/>
          <w:szCs w:val="24"/>
          <w:u w:val="single"/>
        </w:rPr>
        <w:t>ARB will place ARB offset credits into the Holding Account of the Offset Project Operator, Authorized Project Designee, or holder(s), if applicable, according to the following, for each early action reporting period:</w:t>
      </w:r>
    </w:p>
    <w:p w14:paraId="697CFC04" w14:textId="77777777" w:rsidR="00FE6A4C" w:rsidRPr="00B61FF1" w:rsidRDefault="00661852" w:rsidP="00FE6A4C">
      <w:pPr>
        <w:ind w:left="2520"/>
        <w:rPr>
          <w:rFonts w:ascii="Arial" w:hAnsi="Arial" w:cs="Arial"/>
          <w:sz w:val="24"/>
          <w:szCs w:val="24"/>
          <w:u w:val="single"/>
        </w:rPr>
      </w:pPr>
      <m:oMathPara>
        <m:oMath>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Holding</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Issue</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Buffer</m:t>
              </m:r>
            </m:sub>
          </m:sSub>
        </m:oMath>
      </m:oMathPara>
    </w:p>
    <w:p w14:paraId="7ADD2667" w14:textId="6A669CFB" w:rsidR="00FE6A4C" w:rsidRPr="00B61FF1" w:rsidRDefault="00FE6A4C" w:rsidP="00FE6A4C">
      <w:pPr>
        <w:ind w:left="2520"/>
        <w:rPr>
          <w:rFonts w:ascii="Arial" w:hAnsi="Arial" w:cs="Arial"/>
          <w:sz w:val="24"/>
          <w:szCs w:val="24"/>
          <w:vertAlign w:val="subscript"/>
        </w:rPr>
      </w:pPr>
    </w:p>
    <w:p w14:paraId="11172E6A" w14:textId="77777777" w:rsidR="00FE6A4C" w:rsidRPr="00B61FF1" w:rsidRDefault="00FE6A4C" w:rsidP="00FE6A4C">
      <w:pPr>
        <w:tabs>
          <w:tab w:val="left" w:pos="2610"/>
        </w:tabs>
        <w:spacing w:line="360" w:lineRule="auto"/>
        <w:ind w:left="3600"/>
        <w:rPr>
          <w:rFonts w:ascii="Arial" w:hAnsi="Arial" w:cs="Arial"/>
          <w:sz w:val="24"/>
          <w:szCs w:val="24"/>
          <w:u w:val="single"/>
        </w:rPr>
      </w:pPr>
    </w:p>
    <w:p w14:paraId="415C48B0" w14:textId="77777777" w:rsidR="00FE6A4C" w:rsidRPr="00B61FF1" w:rsidRDefault="00FE6A4C" w:rsidP="00FE6A4C">
      <w:pPr>
        <w:tabs>
          <w:tab w:val="left" w:pos="2610"/>
        </w:tabs>
        <w:spacing w:line="360" w:lineRule="auto"/>
        <w:ind w:left="3600"/>
        <w:rPr>
          <w:rFonts w:ascii="Arial" w:hAnsi="Arial" w:cs="Arial"/>
          <w:sz w:val="24"/>
          <w:szCs w:val="24"/>
          <w:u w:val="single"/>
        </w:rPr>
      </w:pPr>
      <w:r w:rsidRPr="00B61FF1">
        <w:rPr>
          <w:rFonts w:ascii="Arial" w:hAnsi="Arial" w:cs="Arial"/>
          <w:sz w:val="24"/>
          <w:szCs w:val="24"/>
          <w:u w:val="single"/>
        </w:rPr>
        <w:t>Where:</w:t>
      </w:r>
    </w:p>
    <w:p w14:paraId="0C5D59EA" w14:textId="77777777" w:rsidR="00FE6A4C" w:rsidRPr="00B61FF1" w:rsidRDefault="00FE6A4C" w:rsidP="00FE6A4C">
      <w:pPr>
        <w:tabs>
          <w:tab w:val="left" w:pos="2610"/>
        </w:tabs>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Holding</w:t>
      </w:r>
      <w:r w:rsidRPr="00B61FF1">
        <w:rPr>
          <w:rFonts w:ascii="Arial" w:hAnsi="Arial" w:cs="Arial"/>
          <w:sz w:val="24"/>
          <w:szCs w:val="24"/>
          <w:u w:val="single"/>
        </w:rPr>
        <w:t>” is the number of ARB offset credits to be placed into the Holding Account of the Offset Project Operator, Authorized Project Designee, or holder(s) if applicable, seeking issuance of ARB offset credits for an early action reporting period;</w:t>
      </w:r>
    </w:p>
    <w:p w14:paraId="744F0E8B" w14:textId="77777777" w:rsidR="00FE6A4C" w:rsidRPr="00B61FF1" w:rsidRDefault="00FE6A4C" w:rsidP="00FE6A4C">
      <w:pPr>
        <w:spacing w:line="360" w:lineRule="auto"/>
        <w:ind w:left="3600"/>
        <w:rPr>
          <w:rFonts w:ascii="Arial" w:hAnsi="Arial" w:cs="Arial"/>
          <w:sz w:val="24"/>
          <w:szCs w:val="24"/>
          <w:u w:val="single"/>
        </w:rPr>
      </w:pPr>
    </w:p>
    <w:p w14:paraId="17EDCE9A"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xml:space="preserve">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as calculated in section 95990(i)(1)(D)3.b. above; and</w:t>
      </w:r>
    </w:p>
    <w:p w14:paraId="191BB733" w14:textId="77777777" w:rsidR="00FE6A4C" w:rsidRPr="00B61FF1" w:rsidRDefault="00FE6A4C" w:rsidP="00FE6A4C">
      <w:pPr>
        <w:spacing w:line="360" w:lineRule="auto"/>
        <w:ind w:left="3600"/>
        <w:rPr>
          <w:rFonts w:ascii="Arial" w:hAnsi="Arial" w:cs="Arial"/>
          <w:sz w:val="24"/>
          <w:szCs w:val="24"/>
          <w:u w:val="single"/>
        </w:rPr>
      </w:pPr>
    </w:p>
    <w:p w14:paraId="574FDD6B"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Buffer</w:t>
      </w:r>
      <w:r w:rsidRPr="00B61FF1">
        <w:rPr>
          <w:rFonts w:ascii="Arial" w:hAnsi="Arial" w:cs="Arial"/>
          <w:sz w:val="24"/>
          <w:szCs w:val="24"/>
          <w:u w:val="single"/>
        </w:rPr>
        <w:t>” is the number of ARB Offset Credits issued for the early action reporting period to be placed in the ARB Forest Buffer Account as calculated in 95990(i)(1)(D)2. above.</w:t>
      </w:r>
    </w:p>
    <w:p w14:paraId="2DEE2D0F" w14:textId="77777777" w:rsidR="00FE6A4C" w:rsidRPr="00B61FF1" w:rsidRDefault="00FE6A4C" w:rsidP="00FE6A4C">
      <w:pPr>
        <w:spacing w:line="360" w:lineRule="auto"/>
        <w:ind w:left="3600"/>
        <w:rPr>
          <w:rFonts w:ascii="Arial" w:hAnsi="Arial" w:cs="Arial"/>
          <w:sz w:val="24"/>
          <w:szCs w:val="24"/>
          <w:u w:val="single"/>
        </w:rPr>
      </w:pPr>
    </w:p>
    <w:p w14:paraId="25437477"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If early action offset credits have already been canceled or removed from the Early Action Offset Program’s buffer account for forest projects for an early action reporting period due to a reversal or retirement prior to issuance of ARB offset credits, the following will apply for any early action reporting period regardless of ARB’s or the Early Action Offset Program’s reversal risk rating calculation:</w:t>
      </w:r>
    </w:p>
    <w:p w14:paraId="27D7AECE"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w:t>
      </w:r>
      <w:r w:rsidRPr="00B61FF1">
        <w:rPr>
          <w:rFonts w:ascii="Arial" w:hAnsi="Arial" w:cs="Arial"/>
          <w:sz w:val="24"/>
          <w:szCs w:val="24"/>
        </w:rPr>
        <w:tab/>
      </w:r>
      <w:r w:rsidRPr="00B61FF1">
        <w:rPr>
          <w:rFonts w:ascii="Arial" w:hAnsi="Arial" w:cs="Arial"/>
          <w:sz w:val="24"/>
          <w:szCs w:val="24"/>
          <w:u w:val="single"/>
        </w:rPr>
        <w:t>The number of early action offset credits the Early Action Offset Program must cancel from its buffer account for forest projects for the early action reporting period is as follows:</w:t>
      </w:r>
    </w:p>
    <w:p w14:paraId="1859E9CF" w14:textId="77777777" w:rsidR="00FE6A4C" w:rsidRPr="00B61FF1" w:rsidRDefault="00661852" w:rsidP="00FE6A4C">
      <w:pPr>
        <w:ind w:left="2880"/>
        <w:jc w:val="center"/>
        <w:rPr>
          <w:rFonts w:ascii="Arial" w:hAnsi="Arial" w:cs="Arial"/>
          <w:sz w:val="24"/>
          <w:szCs w:val="24"/>
          <w:u w:val="single"/>
        </w:rPr>
      </w:pPr>
      <m:oMathPara>
        <m:oMathParaPr>
          <m:jc m:val="left"/>
        </m:oMathParaPr>
        <m:oMath>
          <m:sSub>
            <m:sSubPr>
              <m:ctrlPr>
                <w:rPr>
                  <w:rFonts w:ascii="Cambria Math" w:hAnsi="Cambria Math" w:cs="Arial"/>
                  <w:i/>
                  <w:sz w:val="24"/>
                  <w:szCs w:val="24"/>
                  <w:u w:val="single"/>
                </w:rPr>
              </m:ctrlPr>
            </m:sSubPr>
            <m:e>
              <m:r>
                <w:rPr>
                  <w:rFonts w:ascii="Cambria Math" w:hAnsi="Cambria Math" w:cs="Arial"/>
                  <w:sz w:val="24"/>
                  <w:szCs w:val="24"/>
                  <w:u w:val="single"/>
                </w:rPr>
                <m:t>EAOP</m:t>
              </m:r>
            </m:e>
            <m:sub>
              <m:r>
                <w:rPr>
                  <w:rFonts w:ascii="Cambria Math" w:hAnsi="Cambria Math" w:cs="Arial"/>
                  <w:sz w:val="24"/>
                  <w:szCs w:val="24"/>
                  <w:u w:val="single"/>
                </w:rPr>
                <m:t>BufferRetire</m:t>
              </m:r>
            </m:sub>
          </m:sSub>
          <m:r>
            <w:rPr>
              <w:rFonts w:ascii="Cambria Math" w:hAnsi="Cambria Math" w:cs="Arial"/>
              <w:sz w:val="24"/>
              <w:szCs w:val="24"/>
              <w:u w:val="single"/>
            </w:rPr>
            <m:t>=</m:t>
          </m:r>
          <m:f>
            <m:fPr>
              <m:ctrlPr>
                <w:rPr>
                  <w:rFonts w:ascii="Cambria Math" w:hAnsi="Cambria Math" w:cs="Arial"/>
                  <w:i/>
                  <w:sz w:val="24"/>
                  <w:szCs w:val="24"/>
                  <w:u w:val="single"/>
                </w:rPr>
              </m:ctrlPr>
            </m:fPr>
            <m:num>
              <m:f>
                <m:fPr>
                  <m:ctrlPr>
                    <w:rPr>
                      <w:rFonts w:ascii="Cambria Math" w:hAnsi="Cambria Math" w:cs="Arial"/>
                      <w:i/>
                      <w:sz w:val="24"/>
                      <w:szCs w:val="24"/>
                      <w:u w:val="single"/>
                    </w:rPr>
                  </m:ctrlPr>
                </m:fPr>
                <m:num>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Request</m:t>
                      </m:r>
                    </m:sub>
                  </m:sSub>
                </m:num>
                <m:den>
                  <m:d>
                    <m:dPr>
                      <m:ctrlPr>
                        <w:rPr>
                          <w:rFonts w:ascii="Cambria Math" w:hAnsi="Cambria Math" w:cs="Arial"/>
                          <w:i/>
                          <w:sz w:val="24"/>
                          <w:szCs w:val="24"/>
                          <w:u w:val="single"/>
                        </w:rPr>
                      </m:ctrlPr>
                    </m:dPr>
                    <m:e>
                      <m:r>
                        <w:rPr>
                          <w:rFonts w:ascii="Cambria Math" w:hAnsi="Cambria Math" w:cs="Arial"/>
                          <w:sz w:val="24"/>
                          <w:szCs w:val="24"/>
                          <w:u w:val="single"/>
                        </w:rPr>
                        <m:t>1-</m:t>
                      </m:r>
                      <m:sSub>
                        <m:sSubPr>
                          <m:ctrlPr>
                            <w:rPr>
                              <w:rFonts w:ascii="Cambria Math" w:hAnsi="Cambria Math" w:cs="Arial"/>
                              <w:i/>
                              <w:sz w:val="24"/>
                              <w:szCs w:val="24"/>
                              <w:u w:val="single"/>
                            </w:rPr>
                          </m:ctrlPr>
                        </m:sSubPr>
                        <m:e>
                          <m:r>
                            <w:rPr>
                              <w:rFonts w:ascii="Cambria Math" w:hAnsi="Cambria Math" w:cs="Arial"/>
                              <w:sz w:val="24"/>
                              <w:szCs w:val="24"/>
                              <w:u w:val="single"/>
                            </w:rPr>
                            <m:t>RR</m:t>
                          </m:r>
                        </m:e>
                        <m:sub>
                          <m:r>
                            <w:rPr>
                              <w:rFonts w:ascii="Cambria Math" w:hAnsi="Cambria Math" w:cs="Arial"/>
                              <w:sz w:val="24"/>
                              <w:szCs w:val="24"/>
                              <w:u w:val="single"/>
                            </w:rPr>
                            <m:t>EAOP</m:t>
                          </m:r>
                        </m:sub>
                      </m:sSub>
                    </m:e>
                  </m:d>
                </m:den>
              </m:f>
            </m:num>
            <m:den>
              <m:sSub>
                <m:sSubPr>
                  <m:ctrlPr>
                    <w:rPr>
                      <w:rFonts w:ascii="Cambria Math" w:hAnsi="Cambria Math" w:cs="Arial"/>
                      <w:i/>
                      <w:sz w:val="24"/>
                      <w:szCs w:val="24"/>
                      <w:u w:val="single"/>
                    </w:rPr>
                  </m:ctrlPr>
                </m:sSubPr>
                <m:e>
                  <m:r>
                    <w:rPr>
                      <w:rFonts w:ascii="Cambria Math" w:hAnsi="Cambria Math" w:cs="Arial"/>
                      <w:sz w:val="24"/>
                      <w:szCs w:val="24"/>
                      <w:u w:val="single"/>
                    </w:rPr>
                    <m:t>EAOP</m:t>
                  </m:r>
                </m:e>
                <m:sub>
                  <m:r>
                    <w:rPr>
                      <w:rFonts w:ascii="Cambria Math" w:hAnsi="Cambria Math" w:cs="Arial"/>
                      <w:sz w:val="24"/>
                      <w:szCs w:val="24"/>
                      <w:u w:val="single"/>
                    </w:rPr>
                    <m:t>Issue</m:t>
                  </m:r>
                </m:sub>
              </m:sSub>
            </m:den>
          </m:f>
          <m:r>
            <w:rPr>
              <w:rFonts w:ascii="Cambria Math" w:hAnsi="Cambria Math" w:cs="Arial" w:hint="eastAsia"/>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EAOP</m:t>
              </m:r>
            </m:e>
            <m:sub>
              <m:r>
                <w:rPr>
                  <w:rFonts w:ascii="Cambria Math" w:hAnsi="Cambria Math" w:cs="Arial"/>
                  <w:sz w:val="24"/>
                  <w:szCs w:val="24"/>
                  <w:u w:val="single"/>
                </w:rPr>
                <m:t>BufferActive</m:t>
              </m:r>
            </m:sub>
          </m:sSub>
        </m:oMath>
      </m:oMathPara>
    </w:p>
    <w:p w14:paraId="4C6B5CED" w14:textId="7DA13467" w:rsidR="00FE6A4C" w:rsidRPr="00B61FF1" w:rsidRDefault="00FE6A4C" w:rsidP="00FE6A4C">
      <w:pPr>
        <w:ind w:left="2880"/>
        <w:rPr>
          <w:rFonts w:ascii="Arial" w:hAnsi="Arial" w:cs="Arial"/>
          <w:sz w:val="24"/>
          <w:szCs w:val="24"/>
        </w:rPr>
      </w:pPr>
    </w:p>
    <w:p w14:paraId="4DD8C8D0" w14:textId="77777777" w:rsidR="00FE6A4C" w:rsidRPr="00B61FF1" w:rsidRDefault="00FE6A4C" w:rsidP="00FE6A4C">
      <w:pPr>
        <w:spacing w:line="360" w:lineRule="auto"/>
        <w:ind w:left="2520"/>
        <w:rPr>
          <w:rFonts w:ascii="Arial" w:hAnsi="Arial" w:cs="Arial"/>
          <w:sz w:val="24"/>
          <w:szCs w:val="24"/>
          <w:u w:val="single"/>
        </w:rPr>
      </w:pPr>
    </w:p>
    <w:p w14:paraId="109CAFCD"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Where:</w:t>
      </w:r>
    </w:p>
    <w:p w14:paraId="661115F3"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BufferRetire</w:t>
      </w:r>
      <w:r w:rsidRPr="00B61FF1">
        <w:rPr>
          <w:rFonts w:ascii="Arial" w:hAnsi="Arial" w:cs="Arial"/>
          <w:sz w:val="24"/>
          <w:szCs w:val="24"/>
          <w:u w:val="single"/>
        </w:rPr>
        <w:t>” is the number of early action offset credits the Early Action Offset Program will retire from its buffer account for forest projects for an early action reporting period;</w:t>
      </w:r>
    </w:p>
    <w:p w14:paraId="3883FA3F" w14:textId="77777777" w:rsidR="00FE6A4C" w:rsidRPr="00B61FF1" w:rsidRDefault="00FE6A4C" w:rsidP="00FE6A4C">
      <w:pPr>
        <w:spacing w:line="360" w:lineRule="auto"/>
        <w:ind w:left="3600"/>
        <w:rPr>
          <w:rFonts w:ascii="Arial" w:hAnsi="Arial" w:cs="Arial"/>
          <w:sz w:val="24"/>
          <w:szCs w:val="24"/>
          <w:u w:val="single"/>
        </w:rPr>
      </w:pPr>
    </w:p>
    <w:p w14:paraId="3A241D1A"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Issue</w:t>
      </w:r>
      <w:r w:rsidRPr="00B61FF1">
        <w:rPr>
          <w:rFonts w:ascii="Arial" w:hAnsi="Arial" w:cs="Arial"/>
          <w:sz w:val="24"/>
          <w:szCs w:val="24"/>
          <w:u w:val="single"/>
        </w:rPr>
        <w:t>” is the total number of early action offset credits that were issued, for the early action reporting period by the Early Action Offset Program including early action offset credits placed in the buffer account for forest projects;</w:t>
      </w:r>
    </w:p>
    <w:p w14:paraId="167D3C99" w14:textId="77777777" w:rsidR="00FE6A4C" w:rsidRPr="00B61FF1" w:rsidRDefault="00FE6A4C" w:rsidP="00FE6A4C">
      <w:pPr>
        <w:spacing w:line="360" w:lineRule="auto"/>
        <w:ind w:left="3600"/>
        <w:rPr>
          <w:rFonts w:ascii="Arial" w:hAnsi="Arial" w:cs="Arial"/>
          <w:sz w:val="24"/>
          <w:szCs w:val="24"/>
          <w:u w:val="single"/>
        </w:rPr>
      </w:pPr>
    </w:p>
    <w:p w14:paraId="5D8A7E5D"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Request</w:t>
      </w:r>
      <w:r w:rsidRPr="00B61FF1">
        <w:rPr>
          <w:rFonts w:ascii="Arial" w:hAnsi="Arial" w:cs="Arial"/>
          <w:sz w:val="24"/>
          <w:szCs w:val="24"/>
          <w:u w:val="single"/>
        </w:rPr>
        <w:t>” is the number of early action offset credits that meet the requirements of this section for which the Offset Project Operator, Authorized Project Designee, or holder(s), if applicable, are seeking issuance of ARB offset credits for the early action reporting period;</w:t>
      </w:r>
    </w:p>
    <w:p w14:paraId="251EAC40" w14:textId="77777777" w:rsidR="00FE6A4C" w:rsidRPr="00B61FF1" w:rsidRDefault="00FE6A4C" w:rsidP="00FE6A4C">
      <w:pPr>
        <w:spacing w:line="360" w:lineRule="auto"/>
        <w:ind w:left="3600"/>
        <w:rPr>
          <w:rFonts w:ascii="Arial" w:hAnsi="Arial" w:cs="Arial"/>
          <w:sz w:val="24"/>
          <w:szCs w:val="24"/>
          <w:u w:val="single"/>
        </w:rPr>
      </w:pPr>
    </w:p>
    <w:p w14:paraId="24C2CD65"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“RR</w:t>
      </w:r>
      <w:r w:rsidRPr="00B61FF1">
        <w:rPr>
          <w:rFonts w:ascii="Arial" w:hAnsi="Arial" w:cs="Arial"/>
          <w:sz w:val="24"/>
          <w:szCs w:val="24"/>
          <w:u w:val="single"/>
          <w:vertAlign w:val="subscript"/>
        </w:rPr>
        <w:t>EAOP</w:t>
      </w:r>
      <w:r w:rsidRPr="00B61FF1">
        <w:rPr>
          <w:rFonts w:ascii="Arial" w:hAnsi="Arial" w:cs="Arial"/>
          <w:sz w:val="24"/>
          <w:szCs w:val="24"/>
          <w:u w:val="single"/>
        </w:rPr>
        <w:t>” is the risk-reversal rating percentage applied by the Early Action Offset Program to calculate the number of early action offset credits that were placed into the Early Action’s buffer account for forest projects at the time of early action offset credit issuance by the Early Action Offset Program for an early action reporting period; and</w:t>
      </w:r>
    </w:p>
    <w:p w14:paraId="604E73BB" w14:textId="77777777" w:rsidR="00FE6A4C" w:rsidRPr="00B61FF1" w:rsidRDefault="00FE6A4C" w:rsidP="00FE6A4C">
      <w:pPr>
        <w:spacing w:line="360" w:lineRule="auto"/>
        <w:ind w:left="3600"/>
        <w:rPr>
          <w:rFonts w:ascii="Arial" w:hAnsi="Arial" w:cs="Arial"/>
          <w:sz w:val="24"/>
          <w:szCs w:val="24"/>
          <w:u w:val="single"/>
        </w:rPr>
      </w:pPr>
    </w:p>
    <w:p w14:paraId="3CBAB72F"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BufferActive</w:t>
      </w:r>
      <w:r w:rsidRPr="00B61FF1">
        <w:rPr>
          <w:rFonts w:ascii="Arial" w:hAnsi="Arial" w:cs="Arial"/>
          <w:sz w:val="24"/>
          <w:szCs w:val="24"/>
          <w:u w:val="single"/>
        </w:rPr>
        <w:t>” is the number of active early action offset credits remaining in the Early Action Offset Program buffer account for forest projects for the early action reporting period after the reversal or retirement.</w:t>
      </w:r>
    </w:p>
    <w:p w14:paraId="62124F47" w14:textId="77777777" w:rsidR="00FE6A4C" w:rsidRPr="00B61FF1" w:rsidRDefault="00FE6A4C" w:rsidP="00FE6A4C">
      <w:pPr>
        <w:spacing w:line="360" w:lineRule="auto"/>
        <w:ind w:left="3600"/>
        <w:rPr>
          <w:rFonts w:ascii="Arial" w:hAnsi="Arial" w:cs="Arial"/>
          <w:sz w:val="24"/>
          <w:szCs w:val="24"/>
          <w:u w:val="single"/>
        </w:rPr>
      </w:pPr>
    </w:p>
    <w:p w14:paraId="73784263" w14:textId="77777777" w:rsidR="00FE6A4C" w:rsidRPr="00B61FF1" w:rsidRDefault="00FE6A4C" w:rsidP="00FE6A4C">
      <w:pPr>
        <w:pStyle w:val="ListParagraph"/>
        <w:spacing w:line="360" w:lineRule="auto"/>
        <w:ind w:left="3600" w:hanging="720"/>
        <w:rPr>
          <w:rFonts w:ascii="Arial" w:hAnsi="Arial" w:cs="Arial"/>
          <w:sz w:val="24"/>
          <w:szCs w:val="24"/>
          <w:u w:val="single"/>
        </w:rPr>
      </w:pPr>
      <w:r w:rsidRPr="00B61FF1">
        <w:rPr>
          <w:rFonts w:ascii="Arial" w:hAnsi="Arial" w:cs="Arial"/>
          <w:sz w:val="24"/>
          <w:szCs w:val="24"/>
          <w:u w:val="single"/>
        </w:rPr>
        <w:t>ii</w:t>
      </w:r>
      <w:r w:rsidRPr="00B61FF1">
        <w:rPr>
          <w:rFonts w:ascii="Arial" w:hAnsi="Arial" w:cs="Arial"/>
          <w:sz w:val="24"/>
          <w:szCs w:val="24"/>
        </w:rPr>
        <w:tab/>
      </w:r>
      <w:r w:rsidRPr="00B61FF1">
        <w:rPr>
          <w:rFonts w:ascii="Arial" w:hAnsi="Arial" w:cs="Arial"/>
          <w:sz w:val="24"/>
          <w:szCs w:val="24"/>
          <w:u w:val="single"/>
        </w:rPr>
        <w:t>The number of early action offset credits ARB will issue is as follows:</w:t>
      </w:r>
      <w:r w:rsidRPr="00B61FF1">
        <w:rPr>
          <w:u w:val="single"/>
        </w:rPr>
        <w:t xml:space="preserve"> </w:t>
      </w:r>
    </w:p>
    <w:p w14:paraId="6797C9DF" w14:textId="77777777" w:rsidR="00FE6A4C" w:rsidRPr="00B61FF1" w:rsidRDefault="00661852" w:rsidP="00FE6A4C">
      <w:pPr>
        <w:ind w:left="2880"/>
        <w:rPr>
          <w:rFonts w:ascii="Arial" w:hAnsi="Arial" w:cs="Arial"/>
          <w:i/>
          <w:sz w:val="24"/>
          <w:szCs w:val="24"/>
          <w:u w:val="single"/>
        </w:rPr>
      </w:pPr>
      <m:oMathPara>
        <m:oMathParaPr>
          <m:jc m:val="center"/>
        </m:oMathParaPr>
        <m:oMath>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Issue</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Request</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EAOP</m:t>
              </m:r>
            </m:e>
            <m:sub>
              <m:r>
                <w:rPr>
                  <w:rFonts w:ascii="Cambria Math" w:hAnsi="Cambria Math" w:cs="Arial"/>
                  <w:sz w:val="24"/>
                  <w:szCs w:val="24"/>
                  <w:u w:val="single"/>
                </w:rPr>
                <m:t>BufferRetire</m:t>
              </m:r>
            </m:sub>
          </m:sSub>
        </m:oMath>
      </m:oMathPara>
    </w:p>
    <w:p w14:paraId="45285E3B" w14:textId="2C6450D9" w:rsidR="00FE6A4C" w:rsidRPr="00B61FF1" w:rsidRDefault="00FE6A4C" w:rsidP="00FE6A4C">
      <w:pPr>
        <w:ind w:left="2160"/>
        <w:rPr>
          <w:rFonts w:ascii="Arial" w:hAnsi="Arial" w:cs="Arial"/>
          <w:i/>
          <w:sz w:val="24"/>
          <w:szCs w:val="24"/>
        </w:rPr>
      </w:pPr>
    </w:p>
    <w:p w14:paraId="38B3DEB1" w14:textId="77777777" w:rsidR="00FE6A4C" w:rsidRPr="00B61FF1" w:rsidRDefault="00FE6A4C" w:rsidP="00FE6A4C">
      <w:pPr>
        <w:ind w:left="2160"/>
        <w:rPr>
          <w:rFonts w:ascii="Arial" w:hAnsi="Arial" w:cs="Arial"/>
          <w:i/>
          <w:sz w:val="24"/>
          <w:szCs w:val="24"/>
        </w:rPr>
      </w:pPr>
    </w:p>
    <w:p w14:paraId="6772FD4C"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Where:</w:t>
      </w:r>
    </w:p>
    <w:p w14:paraId="416C3403"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w:t>
      </w:r>
    </w:p>
    <w:p w14:paraId="6F14240A" w14:textId="77777777" w:rsidR="00FE6A4C" w:rsidRPr="00B61FF1" w:rsidRDefault="00FE6A4C" w:rsidP="00FE6A4C">
      <w:pPr>
        <w:spacing w:line="360" w:lineRule="auto"/>
        <w:ind w:left="3600"/>
        <w:rPr>
          <w:rFonts w:ascii="Arial" w:hAnsi="Arial" w:cs="Arial"/>
          <w:sz w:val="24"/>
          <w:szCs w:val="24"/>
          <w:u w:val="single"/>
        </w:rPr>
      </w:pPr>
    </w:p>
    <w:p w14:paraId="72B78260"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Request</w:t>
      </w:r>
      <w:r w:rsidRPr="00B61FF1">
        <w:rPr>
          <w:rFonts w:ascii="Arial" w:hAnsi="Arial" w:cs="Arial"/>
          <w:sz w:val="24"/>
          <w:szCs w:val="24"/>
          <w:u w:val="single"/>
        </w:rPr>
        <w:t>” is the number of early action offset credits that meet the requirements of this section for which the Offset Project Operator, Authorized Project Designee, or holder(s), if applicable, are seeking issuance of ARB offset credits for each early action reporting period; and</w:t>
      </w:r>
    </w:p>
    <w:p w14:paraId="051188B3" w14:textId="77777777" w:rsidR="00FE6A4C" w:rsidRPr="00B61FF1" w:rsidRDefault="00FE6A4C" w:rsidP="00FE6A4C">
      <w:pPr>
        <w:spacing w:line="360" w:lineRule="auto"/>
        <w:ind w:left="3600"/>
        <w:rPr>
          <w:rFonts w:ascii="Arial" w:hAnsi="Arial" w:cs="Arial"/>
          <w:sz w:val="24"/>
          <w:szCs w:val="24"/>
          <w:u w:val="single"/>
        </w:rPr>
      </w:pPr>
    </w:p>
    <w:p w14:paraId="0CB5FD31"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“EAOP</w:t>
      </w:r>
      <w:r w:rsidRPr="00B61FF1">
        <w:rPr>
          <w:rFonts w:ascii="Arial" w:hAnsi="Arial" w:cs="Arial"/>
          <w:sz w:val="24"/>
          <w:szCs w:val="24"/>
          <w:u w:val="single"/>
          <w:vertAlign w:val="subscript"/>
        </w:rPr>
        <w:t>BufferRetire</w:t>
      </w:r>
      <w:r w:rsidRPr="00B61FF1">
        <w:rPr>
          <w:rFonts w:ascii="Arial" w:hAnsi="Arial" w:cs="Arial"/>
          <w:sz w:val="24"/>
          <w:szCs w:val="24"/>
          <w:u w:val="single"/>
        </w:rPr>
        <w:t>” is the number of early action offset credits the Early Action Offset Program will retire from its buffer account for forest projects for an early action reporting period, as calculated pursuant to section 95990(i)(1)(D)3.c.i. above;</w:t>
      </w:r>
    </w:p>
    <w:p w14:paraId="3CBF0330" w14:textId="77777777" w:rsidR="00FE6A4C" w:rsidRPr="00B61FF1" w:rsidRDefault="00FE6A4C" w:rsidP="00FE6A4C">
      <w:pPr>
        <w:spacing w:line="360" w:lineRule="auto"/>
        <w:ind w:left="3600"/>
        <w:rPr>
          <w:rFonts w:ascii="Arial" w:hAnsi="Arial" w:cs="Arial"/>
          <w:sz w:val="24"/>
          <w:szCs w:val="24"/>
          <w:u w:val="single"/>
        </w:rPr>
      </w:pPr>
    </w:p>
    <w:p w14:paraId="06EA1FBC" w14:textId="77777777" w:rsidR="00FE6A4C" w:rsidRPr="00B61FF1" w:rsidRDefault="00FE6A4C" w:rsidP="00FE6A4C">
      <w:pPr>
        <w:spacing w:line="360" w:lineRule="auto"/>
        <w:ind w:left="3600" w:hanging="720"/>
        <w:rPr>
          <w:rFonts w:ascii="Arial" w:hAnsi="Arial" w:cs="Arial"/>
          <w:sz w:val="24"/>
          <w:szCs w:val="24"/>
          <w:u w:val="single"/>
        </w:rPr>
      </w:pPr>
      <w:r w:rsidRPr="00B61FF1">
        <w:rPr>
          <w:rFonts w:ascii="Arial" w:hAnsi="Arial" w:cs="Arial"/>
          <w:sz w:val="24"/>
          <w:szCs w:val="24"/>
          <w:u w:val="single"/>
        </w:rPr>
        <w:t>iii</w:t>
      </w:r>
      <w:r w:rsidRPr="00B61FF1">
        <w:rPr>
          <w:rFonts w:ascii="Arial" w:hAnsi="Arial" w:cs="Arial"/>
          <w:sz w:val="24"/>
          <w:szCs w:val="24"/>
        </w:rPr>
        <w:tab/>
      </w:r>
      <w:r w:rsidRPr="00B61FF1">
        <w:rPr>
          <w:rFonts w:ascii="Arial" w:hAnsi="Arial" w:cs="Arial"/>
          <w:sz w:val="24"/>
          <w:szCs w:val="24"/>
          <w:u w:val="single"/>
        </w:rPr>
        <w:t>ARB will place ARB offset credits into the Holding Account of the Offset Project Operator, Authorized Project Designee, or holder(s), if applicable, according to the following for each early action reporting period:</w:t>
      </w:r>
    </w:p>
    <w:p w14:paraId="5ED013DC" w14:textId="77777777" w:rsidR="00FE6A4C" w:rsidRPr="00B61FF1" w:rsidRDefault="00661852" w:rsidP="00FE6A4C">
      <w:pPr>
        <w:ind w:left="2160"/>
        <w:rPr>
          <w:rFonts w:ascii="Arial" w:hAnsi="Arial" w:cs="Arial"/>
          <w:sz w:val="24"/>
          <w:szCs w:val="24"/>
          <w:u w:val="single"/>
        </w:rPr>
      </w:pPr>
      <m:oMathPara>
        <m:oMathParaPr>
          <m:jc m:val="center"/>
        </m:oMathParaPr>
        <m:oMath>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Holding</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Issue</m:t>
              </m:r>
            </m:sub>
          </m:sSub>
          <m:r>
            <w:rPr>
              <w:rFonts w:ascii="Cambria Math" w:hAnsi="Cambria Math" w:cs="Arial"/>
              <w:sz w:val="24"/>
              <w:szCs w:val="24"/>
              <w:u w:val="single"/>
            </w:rPr>
            <m:t>-</m:t>
          </m:r>
          <m:sSub>
            <m:sSubPr>
              <m:ctrlPr>
                <w:rPr>
                  <w:rFonts w:ascii="Cambria Math" w:hAnsi="Cambria Math" w:cs="Arial"/>
                  <w:i/>
                  <w:sz w:val="24"/>
                  <w:szCs w:val="24"/>
                  <w:u w:val="single"/>
                </w:rPr>
              </m:ctrlPr>
            </m:sSubPr>
            <m:e>
              <m:r>
                <w:rPr>
                  <w:rFonts w:ascii="Cambria Math" w:hAnsi="Cambria Math" w:cs="Arial"/>
                  <w:sz w:val="24"/>
                  <w:szCs w:val="24"/>
                  <w:u w:val="single"/>
                </w:rPr>
                <m:t>ARB</m:t>
              </m:r>
            </m:e>
            <m:sub>
              <m:r>
                <w:rPr>
                  <w:rFonts w:ascii="Cambria Math" w:hAnsi="Cambria Math" w:cs="Arial"/>
                  <w:sz w:val="24"/>
                  <w:szCs w:val="24"/>
                  <w:u w:val="single"/>
                </w:rPr>
                <m:t>Buffer</m:t>
              </m:r>
            </m:sub>
          </m:sSub>
        </m:oMath>
      </m:oMathPara>
    </w:p>
    <w:p w14:paraId="6F96D156" w14:textId="1F7E7139" w:rsidR="00FE6A4C" w:rsidRPr="00B61FF1" w:rsidRDefault="00FE6A4C" w:rsidP="00FE6A4C">
      <w:pPr>
        <w:ind w:left="2160"/>
        <w:rPr>
          <w:rFonts w:ascii="Arial" w:hAnsi="Arial" w:cs="Arial"/>
          <w:sz w:val="24"/>
          <w:szCs w:val="24"/>
          <w:vertAlign w:val="subscript"/>
        </w:rPr>
      </w:pPr>
    </w:p>
    <w:p w14:paraId="07E9B819" w14:textId="77777777" w:rsidR="00FE6A4C" w:rsidRPr="00B61FF1" w:rsidRDefault="00FE6A4C" w:rsidP="00FE6A4C">
      <w:pPr>
        <w:spacing w:line="360" w:lineRule="auto"/>
        <w:ind w:left="2160"/>
        <w:rPr>
          <w:rFonts w:ascii="Arial" w:hAnsi="Arial" w:cs="Arial"/>
          <w:sz w:val="24"/>
          <w:szCs w:val="24"/>
        </w:rPr>
      </w:pPr>
    </w:p>
    <w:p w14:paraId="2C484145"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Where:</w:t>
      </w:r>
    </w:p>
    <w:p w14:paraId="6AFCB1A8"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Holding</w:t>
      </w:r>
      <w:r w:rsidRPr="00B61FF1">
        <w:rPr>
          <w:rFonts w:ascii="Arial" w:hAnsi="Arial" w:cs="Arial"/>
          <w:sz w:val="24"/>
          <w:szCs w:val="24"/>
          <w:u w:val="single"/>
        </w:rPr>
        <w:t>” is the number of ARB offset credits to be placed in the Holding Account of the Offset Project Operator, Authorized Project Designee, or holder(s) if applicable, seeking issuance of ARB offset credits for an early action reporting period;</w:t>
      </w:r>
    </w:p>
    <w:p w14:paraId="7B385FB5" w14:textId="77777777" w:rsidR="00FE6A4C" w:rsidRPr="00B61FF1" w:rsidRDefault="00FE6A4C" w:rsidP="00FE6A4C">
      <w:pPr>
        <w:spacing w:line="360" w:lineRule="auto"/>
        <w:ind w:left="3600"/>
        <w:rPr>
          <w:rFonts w:ascii="Arial" w:hAnsi="Arial" w:cs="Arial"/>
          <w:sz w:val="24"/>
          <w:szCs w:val="24"/>
          <w:u w:val="single"/>
        </w:rPr>
      </w:pPr>
    </w:p>
    <w:p w14:paraId="3CBC8F53"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Issue</w:t>
      </w:r>
      <w:r w:rsidRPr="00B61FF1">
        <w:rPr>
          <w:rFonts w:ascii="Arial" w:hAnsi="Arial" w:cs="Arial"/>
          <w:sz w:val="24"/>
          <w:szCs w:val="24"/>
          <w:u w:val="single"/>
        </w:rPr>
        <w:t xml:space="preserve"> is the total number of ARB offset credits issued by ARB into the Issuance Account, including the ARB offset credits to be placed into the Forest Buffer Account, for transitioning the early action offset credits requested by the Offset Project Operator, Authorized Project Designee, or holder(s), for an early action reporting period as calculated in section 95990(i)(1)(D)3.c.ii. above; and</w:t>
      </w:r>
    </w:p>
    <w:p w14:paraId="28D344A3" w14:textId="77777777" w:rsidR="00FE6A4C" w:rsidRPr="00B61FF1" w:rsidRDefault="00FE6A4C" w:rsidP="00FE6A4C">
      <w:pPr>
        <w:spacing w:line="360" w:lineRule="auto"/>
        <w:ind w:left="3600"/>
        <w:rPr>
          <w:rFonts w:ascii="Arial" w:hAnsi="Arial" w:cs="Arial"/>
          <w:sz w:val="24"/>
          <w:szCs w:val="24"/>
          <w:u w:val="single"/>
        </w:rPr>
      </w:pPr>
    </w:p>
    <w:p w14:paraId="4BFCE0C1" w14:textId="77777777" w:rsidR="00FE6A4C" w:rsidRPr="00B61FF1" w:rsidRDefault="00FE6A4C" w:rsidP="00FE6A4C">
      <w:pPr>
        <w:spacing w:line="360" w:lineRule="auto"/>
        <w:ind w:left="3600"/>
        <w:rPr>
          <w:rFonts w:ascii="Arial" w:hAnsi="Arial" w:cs="Arial"/>
          <w:sz w:val="24"/>
          <w:szCs w:val="24"/>
          <w:u w:val="single"/>
        </w:rPr>
      </w:pPr>
      <w:r w:rsidRPr="00B61FF1">
        <w:rPr>
          <w:rFonts w:ascii="Arial" w:hAnsi="Arial" w:cs="Arial"/>
          <w:sz w:val="24"/>
          <w:szCs w:val="24"/>
          <w:u w:val="single"/>
        </w:rPr>
        <w:t>“ARB</w:t>
      </w:r>
      <w:r w:rsidRPr="00B61FF1">
        <w:rPr>
          <w:rFonts w:ascii="Arial" w:hAnsi="Arial" w:cs="Arial"/>
          <w:sz w:val="24"/>
          <w:szCs w:val="24"/>
          <w:u w:val="single"/>
          <w:vertAlign w:val="subscript"/>
        </w:rPr>
        <w:t>Buffer</w:t>
      </w:r>
      <w:r w:rsidRPr="00B61FF1">
        <w:rPr>
          <w:rFonts w:ascii="Arial" w:hAnsi="Arial" w:cs="Arial"/>
          <w:sz w:val="24"/>
          <w:szCs w:val="24"/>
          <w:u w:val="single"/>
        </w:rPr>
        <w:t>” is the number of ARB Offset Credits issued for the early action reporting period to be placed in the ARB Forest Buffer Account as calculated in 95990(i)(1)(D)2. above.</w:t>
      </w:r>
    </w:p>
    <w:p w14:paraId="3F472727" w14:textId="77777777" w:rsidR="00FE6A4C" w:rsidRPr="00B61FF1" w:rsidRDefault="00FE6A4C" w:rsidP="00FE6A4C">
      <w:pPr>
        <w:spacing w:line="360" w:lineRule="auto"/>
        <w:ind w:left="3600"/>
        <w:rPr>
          <w:rFonts w:ascii="Arial" w:hAnsi="Arial" w:cs="Arial"/>
          <w:sz w:val="24"/>
          <w:szCs w:val="24"/>
          <w:u w:val="single"/>
        </w:rPr>
      </w:pPr>
    </w:p>
    <w:p w14:paraId="27B5D13F" w14:textId="77777777" w:rsidR="00FE6A4C" w:rsidRPr="00B61FF1" w:rsidRDefault="00FE6A4C" w:rsidP="00FE6A4C">
      <w:pPr>
        <w:spacing w:line="360" w:lineRule="auto"/>
        <w:ind w:left="2880" w:hanging="720"/>
        <w:rPr>
          <w:rFonts w:ascii="Arial" w:hAnsi="Arial" w:cs="Arial"/>
          <w:sz w:val="24"/>
          <w:szCs w:val="24"/>
          <w:u w:val="single"/>
        </w:rPr>
      </w:pPr>
      <w:r w:rsidRPr="00B61FF1">
        <w:rPr>
          <w:rFonts w:ascii="Arial" w:hAnsi="Arial" w:cs="Arial"/>
          <w:sz w:val="24"/>
          <w:szCs w:val="24"/>
          <w:u w:val="single"/>
        </w:rPr>
        <w:t>d.</w:t>
      </w:r>
      <w:r w:rsidRPr="00B61FF1">
        <w:rPr>
          <w:rFonts w:ascii="Arial" w:hAnsi="Arial" w:cs="Arial"/>
          <w:sz w:val="24"/>
          <w:szCs w:val="24"/>
        </w:rPr>
        <w:tab/>
      </w:r>
      <w:r w:rsidRPr="00B61FF1">
        <w:rPr>
          <w:rFonts w:ascii="Arial" w:hAnsi="Arial" w:cs="Arial"/>
          <w:sz w:val="24"/>
          <w:szCs w:val="24"/>
          <w:u w:val="single"/>
        </w:rPr>
        <w:t xml:space="preserve">Following an ARB request seeking the retirement or cancellation of early action offset credits from an Early Action Offset Program’s buffer account for forest projects, ARB may request proof from an Early Action Offset Program that it has retired early action offset credits from its buffer account for forest offset projects.  The Early Action Program must provide proof to ARB of its retirement of these early action offset credits from its buffer account for forest projects within 10 calendar days of a request by ARB. </w:t>
      </w:r>
    </w:p>
    <w:p w14:paraId="05291BB5" w14:textId="77777777" w:rsidR="00FE6A4C" w:rsidRPr="00B61FF1" w:rsidRDefault="00FE6A4C" w:rsidP="00FE6A4C">
      <w:pPr>
        <w:spacing w:line="360" w:lineRule="auto"/>
        <w:ind w:left="2160" w:hanging="720"/>
        <w:rPr>
          <w:rFonts w:ascii="Arial" w:hAnsi="Arial" w:cs="Arial"/>
          <w:strike/>
          <w:sz w:val="24"/>
          <w:szCs w:val="24"/>
        </w:rPr>
      </w:pPr>
      <w:r w:rsidRPr="00B61FF1">
        <w:rPr>
          <w:rFonts w:ascii="Arial" w:hAnsi="Arial" w:cs="Arial"/>
          <w:strike/>
          <w:sz w:val="24"/>
          <w:szCs w:val="24"/>
        </w:rPr>
        <w:t>4.</w:t>
      </w:r>
      <w:r w:rsidRPr="00B61FF1">
        <w:rPr>
          <w:rFonts w:ascii="Arial" w:hAnsi="Arial" w:cs="Arial"/>
          <w:strike/>
          <w:sz w:val="24"/>
          <w:szCs w:val="24"/>
        </w:rPr>
        <w:tab/>
        <w:t>If the holder of early action offset credits registers and lists the early action offset project pursuant to sections 95990(d) and (e), provides the attestations listed in section 95990(h)(6) to ARB, and is seeking issuance of ARB offset credits pursuant to this section for an Offset Project Data Report year, ARB will determine the number of ARB offset credits that will be issued to each holder of the original early action offset credits as follows:</w:t>
      </w:r>
    </w:p>
    <w:p w14:paraId="15189C9D" w14:textId="77777777" w:rsidR="00FE6A4C" w:rsidRPr="00B61FF1" w:rsidRDefault="00FE6A4C" w:rsidP="00FE6A4C">
      <w:pPr>
        <w:spacing w:line="360" w:lineRule="auto"/>
        <w:ind w:left="2880" w:hanging="720"/>
        <w:rPr>
          <w:rFonts w:ascii="Arial" w:hAnsi="Arial" w:cs="Arial"/>
          <w:strike/>
          <w:sz w:val="24"/>
          <w:szCs w:val="24"/>
        </w:rPr>
      </w:pPr>
      <w:r w:rsidRPr="00B61FF1">
        <w:rPr>
          <w:rFonts w:ascii="Arial" w:hAnsi="Arial" w:cs="Arial"/>
          <w:strike/>
          <w:sz w:val="24"/>
          <w:szCs w:val="24"/>
        </w:rPr>
        <w:t>a.</w:t>
      </w:r>
      <w:r w:rsidRPr="00B61FF1">
        <w:rPr>
          <w:rFonts w:ascii="Arial" w:hAnsi="Arial" w:cs="Arial"/>
          <w:strike/>
          <w:sz w:val="24"/>
          <w:szCs w:val="24"/>
        </w:rPr>
        <w:tab/>
        <w:t>If the following condition applies, then ARB will issue one ARB offset credit for each early action offset credit for which the holder is seeking issuance of ARB offset credits:</w:t>
      </w:r>
    </w:p>
    <w:p w14:paraId="6C3CECCD" w14:textId="77777777" w:rsidR="00FE6A4C" w:rsidRPr="00B61FF1" w:rsidRDefault="00FE6A4C" w:rsidP="00FE6A4C">
      <w:pPr>
        <w:spacing w:line="360" w:lineRule="auto"/>
        <w:ind w:left="2160" w:hanging="720"/>
        <w:rPr>
          <w:rFonts w:ascii="Arial" w:hAnsi="Arial" w:cs="Arial"/>
          <w:sz w:val="24"/>
          <w:szCs w:val="24"/>
        </w:rPr>
      </w:pPr>
    </w:p>
    <w:p w14:paraId="78557665" w14:textId="77777777" w:rsidR="00FE6A4C" w:rsidRPr="00B61FF1" w:rsidRDefault="00661852" w:rsidP="00FE6A4C">
      <w:pPr>
        <w:spacing w:line="360" w:lineRule="auto"/>
        <w:ind w:left="2160" w:hanging="720"/>
        <w:rPr>
          <w:rFonts w:ascii="Arial" w:hAnsi="Arial" w:cs="Arial"/>
          <w:strike/>
          <w:sz w:val="24"/>
          <w:szCs w:val="24"/>
        </w:rPr>
      </w:pPr>
      <m:oMathPara>
        <m:oMath>
          <m:sSub>
            <m:sSubPr>
              <m:ctrlPr>
                <w:rPr>
                  <w:rFonts w:ascii="Cambria Math" w:hAnsi="Cambria Math" w:cs="Arial"/>
                  <w:i/>
                  <w:strike/>
                  <w:sz w:val="24"/>
                  <w:szCs w:val="24"/>
                </w:rPr>
              </m:ctrlPr>
            </m:sSubPr>
            <m:e>
              <m:r>
                <w:rPr>
                  <w:rFonts w:ascii="Cambria Math" w:hAnsi="Cambria Math" w:cs="Arial"/>
                  <w:strike/>
                  <w:sz w:val="24"/>
                  <w:szCs w:val="24"/>
                </w:rPr>
                <m:t>EAOP</m:t>
              </m:r>
            </m:e>
            <m:sub>
              <m:r>
                <w:rPr>
                  <w:rFonts w:ascii="Cambria Math" w:hAnsi="Cambria Math" w:cs="Arial"/>
                  <w:strike/>
                  <w:sz w:val="24"/>
                  <w:szCs w:val="24"/>
                </w:rPr>
                <m:t>Buffer</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Issue</m:t>
              </m:r>
            </m:sub>
          </m:sSub>
          <m:r>
            <w:rPr>
              <w:rFonts w:ascii="Cambria Math" w:hAnsi="Cambria Math" w:cs="Arial" w:hint="eastAsia"/>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COP</m:t>
              </m:r>
            </m:sub>
          </m:sSub>
        </m:oMath>
      </m:oMathPara>
    </w:p>
    <w:p w14:paraId="01ABFFB3"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Where:</w:t>
      </w:r>
    </w:p>
    <w:p w14:paraId="3E7D2502"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“EAOP</w:t>
      </w:r>
      <w:r w:rsidRPr="00B61FF1">
        <w:rPr>
          <w:rFonts w:ascii="Arial" w:hAnsi="Arial" w:cs="Arial"/>
          <w:strike/>
          <w:sz w:val="24"/>
          <w:szCs w:val="24"/>
          <w:vertAlign w:val="subscript"/>
        </w:rPr>
        <w:t>Buffer</w:t>
      </w:r>
      <w:r w:rsidRPr="00B61FF1">
        <w:rPr>
          <w:rFonts w:ascii="Arial" w:hAnsi="Arial" w:cs="Arial"/>
          <w:strike/>
          <w:sz w:val="24"/>
          <w:szCs w:val="24"/>
        </w:rPr>
        <w:t xml:space="preserve">” is the total number of early action offset credits in the Early Action Offset Program’s buffer account for forest projects that meet the requirements of section 95990(h) and are being transferred to ARB for the applicable Offset Project Data Report; </w:t>
      </w:r>
    </w:p>
    <w:p w14:paraId="6201934C" w14:textId="77777777" w:rsidR="00FE6A4C" w:rsidRPr="00B61FF1" w:rsidRDefault="00FE6A4C" w:rsidP="00FE6A4C">
      <w:pPr>
        <w:spacing w:line="360" w:lineRule="auto"/>
        <w:ind w:left="1800"/>
        <w:rPr>
          <w:rFonts w:ascii="Arial" w:hAnsi="Arial" w:cs="Arial"/>
          <w:strike/>
          <w:sz w:val="24"/>
          <w:szCs w:val="24"/>
        </w:rPr>
      </w:pPr>
    </w:p>
    <w:p w14:paraId="717CA5B8"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“EAOC</w:t>
      </w:r>
      <w:r w:rsidRPr="00B61FF1">
        <w:rPr>
          <w:rFonts w:ascii="Arial" w:hAnsi="Arial" w:cs="Arial"/>
          <w:strike/>
          <w:sz w:val="24"/>
          <w:szCs w:val="24"/>
          <w:vertAlign w:val="subscript"/>
        </w:rPr>
        <w:t>PIssue</w:t>
      </w:r>
      <w:r w:rsidRPr="00B61FF1">
        <w:rPr>
          <w:rFonts w:ascii="Arial" w:hAnsi="Arial" w:cs="Arial"/>
          <w:strike/>
          <w:sz w:val="24"/>
          <w:szCs w:val="24"/>
        </w:rPr>
        <w:t>” is the total number of early action offset credits that meet the requirements of section 95990(h) that would qualify to be issued ARB offset credits pursuant to this section for the applicable Offset Project Data Report;</w:t>
      </w:r>
    </w:p>
    <w:p w14:paraId="55EE7F40" w14:textId="77777777" w:rsidR="00FE6A4C" w:rsidRPr="00B61FF1" w:rsidRDefault="00FE6A4C" w:rsidP="00FE6A4C">
      <w:pPr>
        <w:spacing w:line="360" w:lineRule="auto"/>
        <w:ind w:left="1800"/>
        <w:rPr>
          <w:rFonts w:ascii="Arial" w:hAnsi="Arial" w:cs="Arial"/>
          <w:strike/>
          <w:sz w:val="24"/>
          <w:szCs w:val="24"/>
        </w:rPr>
      </w:pPr>
    </w:p>
    <w:p w14:paraId="39949A62"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“RR</w:t>
      </w:r>
      <w:r w:rsidRPr="00B61FF1">
        <w:rPr>
          <w:rFonts w:ascii="Arial" w:hAnsi="Arial" w:cs="Arial"/>
          <w:strike/>
          <w:sz w:val="24"/>
          <w:szCs w:val="24"/>
          <w:vertAlign w:val="subscript"/>
        </w:rPr>
        <w:t>COP</w:t>
      </w:r>
      <w:r w:rsidRPr="00B61FF1">
        <w:rPr>
          <w:rFonts w:ascii="Arial" w:hAnsi="Arial" w:cs="Arial"/>
          <w:strike/>
          <w:sz w:val="24"/>
          <w:szCs w:val="24"/>
        </w:rPr>
        <w:t>” is the percentage that must be applied for the early action forest offset project pursuant to the project-specific risk rating calculation in Compliance Offset Protocol U.S. Forest Projects, October 20, 2011;</w:t>
      </w:r>
    </w:p>
    <w:p w14:paraId="14F37D2B" w14:textId="77777777" w:rsidR="00FE6A4C" w:rsidRPr="00B61FF1" w:rsidRDefault="00FE6A4C" w:rsidP="00FE6A4C">
      <w:pPr>
        <w:spacing w:line="360" w:lineRule="auto"/>
        <w:ind w:left="1800"/>
        <w:rPr>
          <w:rFonts w:ascii="Arial" w:hAnsi="Arial" w:cs="Arial"/>
          <w:strike/>
          <w:sz w:val="24"/>
          <w:szCs w:val="24"/>
        </w:rPr>
      </w:pPr>
    </w:p>
    <w:p w14:paraId="5C158CBF" w14:textId="77777777" w:rsidR="00FE6A4C" w:rsidRPr="00B61FF1" w:rsidRDefault="00FE6A4C" w:rsidP="00FE6A4C">
      <w:pPr>
        <w:spacing w:line="360" w:lineRule="auto"/>
        <w:ind w:left="2880" w:hanging="720"/>
        <w:rPr>
          <w:rFonts w:ascii="Arial" w:hAnsi="Arial" w:cs="Arial"/>
          <w:strike/>
          <w:sz w:val="24"/>
          <w:szCs w:val="24"/>
        </w:rPr>
      </w:pPr>
      <w:r w:rsidRPr="00B61FF1">
        <w:rPr>
          <w:rFonts w:ascii="Arial" w:hAnsi="Arial" w:cs="Arial"/>
          <w:strike/>
          <w:sz w:val="24"/>
          <w:szCs w:val="24"/>
        </w:rPr>
        <w:t>b.</w:t>
      </w:r>
      <w:r w:rsidRPr="00B61FF1">
        <w:rPr>
          <w:rFonts w:ascii="Arial" w:hAnsi="Arial" w:cs="Arial"/>
          <w:strike/>
          <w:sz w:val="24"/>
          <w:szCs w:val="24"/>
        </w:rPr>
        <w:tab/>
        <w:t>If the amount of early action offset credits being transferred to ARB from the Early Action Offset Program’s buffer account for forest projects does not cover the number of ARB offset credits to be placed in the Forest Buffer Account, the following applies:</w:t>
      </w:r>
    </w:p>
    <w:p w14:paraId="41C56915" w14:textId="77777777" w:rsidR="00FE6A4C" w:rsidRPr="00B61FF1" w:rsidRDefault="00FE6A4C" w:rsidP="00FE6A4C">
      <w:pPr>
        <w:spacing w:line="360" w:lineRule="auto"/>
        <w:ind w:left="2160" w:hanging="720"/>
        <w:rPr>
          <w:rFonts w:ascii="Arial" w:hAnsi="Arial" w:cs="Arial"/>
          <w:sz w:val="24"/>
          <w:szCs w:val="24"/>
        </w:rPr>
      </w:pPr>
    </w:p>
    <w:p w14:paraId="4D5D2178" w14:textId="77777777" w:rsidR="00FE6A4C" w:rsidRPr="00B61FF1" w:rsidRDefault="00FE6A4C" w:rsidP="00FE6A4C">
      <w:pPr>
        <w:spacing w:line="360" w:lineRule="auto"/>
        <w:rPr>
          <w:rFonts w:ascii="Arial" w:hAnsi="Arial" w:cs="Arial"/>
          <w:strike/>
          <w:sz w:val="24"/>
          <w:szCs w:val="24"/>
        </w:rPr>
      </w:pPr>
      <m:oMathPara>
        <m:oMath>
          <m:r>
            <w:rPr>
              <w:rFonts w:ascii="Cambria Math" w:hAnsi="Cambria Math" w:cs="Arial"/>
              <w:strike/>
              <w:sz w:val="24"/>
              <w:szCs w:val="24"/>
            </w:rPr>
            <m:t xml:space="preserve">If: </m:t>
          </m:r>
          <m:sSub>
            <m:sSubPr>
              <m:ctrlPr>
                <w:rPr>
                  <w:rFonts w:ascii="Cambria Math" w:hAnsi="Cambria Math" w:cs="Arial"/>
                  <w:i/>
                  <w:strike/>
                  <w:sz w:val="24"/>
                  <w:szCs w:val="24"/>
                </w:rPr>
              </m:ctrlPr>
            </m:sSubPr>
            <m:e>
              <m:r>
                <w:rPr>
                  <w:rFonts w:ascii="Cambria Math" w:hAnsi="Cambria Math" w:cs="Arial"/>
                  <w:strike/>
                  <w:sz w:val="24"/>
                  <w:szCs w:val="24"/>
                </w:rPr>
                <m:t>EAOP</m:t>
              </m:r>
            </m:e>
            <m:sub>
              <m:r>
                <w:rPr>
                  <w:rFonts w:ascii="Cambria Math" w:hAnsi="Cambria Math" w:cs="Arial"/>
                  <w:strike/>
                  <w:sz w:val="24"/>
                  <w:szCs w:val="24"/>
                </w:rPr>
                <m:t>Buffer</m:t>
              </m:r>
            </m:sub>
          </m:sSub>
          <m:r>
            <w:rPr>
              <w:rFonts w:ascii="Cambria Math" w:hAnsi="Cambria Math" w:cs="Arial"/>
              <w:strike/>
              <w:sz w:val="24"/>
              <w:szCs w:val="24"/>
            </w:rPr>
            <m:t>&lt;</m:t>
          </m:r>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PIssue</m:t>
              </m:r>
            </m:sub>
          </m:sSub>
          <m:r>
            <w:rPr>
              <w:rFonts w:ascii="Cambria Math" w:hAnsi="Cambria Math" w:cs="Arial" w:hint="eastAsia"/>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COP</m:t>
              </m:r>
            </m:sub>
          </m:sSub>
        </m:oMath>
      </m:oMathPara>
    </w:p>
    <w:p w14:paraId="08D9E671" w14:textId="77777777" w:rsidR="00FE6A4C" w:rsidRPr="00B61FF1" w:rsidRDefault="00FE6A4C" w:rsidP="00FE6A4C">
      <w:pPr>
        <w:spacing w:line="360" w:lineRule="auto"/>
        <w:rPr>
          <w:rFonts w:ascii="Arial" w:hAnsi="Arial" w:cs="Arial"/>
          <w:strike/>
          <w:sz w:val="24"/>
          <w:szCs w:val="24"/>
        </w:rPr>
      </w:pPr>
    </w:p>
    <w:p w14:paraId="2A6A3B78" w14:textId="77777777" w:rsidR="00FE6A4C" w:rsidRPr="00B61FF1" w:rsidRDefault="00FE6A4C" w:rsidP="00FE6A4C">
      <w:pPr>
        <w:spacing w:line="360" w:lineRule="auto"/>
        <w:rPr>
          <w:rFonts w:ascii="Arial" w:hAnsi="Arial" w:cs="Arial"/>
          <w:strike/>
          <w:sz w:val="24"/>
          <w:szCs w:val="24"/>
        </w:rPr>
      </w:pPr>
      <m:oMathPara>
        <m:oMath>
          <m:r>
            <w:rPr>
              <w:rFonts w:ascii="Cambria Math" w:hAnsi="Cambria Math" w:cs="Arial"/>
              <w:strike/>
              <w:sz w:val="24"/>
              <w:szCs w:val="24"/>
            </w:rPr>
            <m:t xml:space="preserve">Then: </m:t>
          </m:r>
          <m:sSub>
            <m:sSubPr>
              <m:ctrlPr>
                <w:rPr>
                  <w:rFonts w:ascii="Cambria Math" w:hAnsi="Cambria Math" w:cs="Arial"/>
                  <w:i/>
                  <w:strike/>
                  <w:sz w:val="24"/>
                  <w:szCs w:val="24"/>
                </w:rPr>
              </m:ctrlPr>
            </m:sSubPr>
            <m:e>
              <m:r>
                <w:rPr>
                  <w:rFonts w:ascii="Cambria Math" w:hAnsi="Cambria Math" w:cs="Arial"/>
                  <w:strike/>
                  <w:sz w:val="24"/>
                  <w:szCs w:val="24"/>
                </w:rPr>
                <m:t>ARB</m:t>
              </m:r>
            </m:e>
            <m:sub>
              <m:r>
                <w:rPr>
                  <w:rFonts w:ascii="Cambria Math" w:hAnsi="Cambria Math" w:cs="Arial"/>
                  <w:strike/>
                  <w:sz w:val="24"/>
                  <w:szCs w:val="24"/>
                </w:rPr>
                <m:t>HIssue</m:t>
              </m:r>
            </m:sub>
          </m:sSub>
          <m:r>
            <w:rPr>
              <w:rFonts w:ascii="Cambria Math" w:hAnsi="Cambria Math" w:cs="Arial"/>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HIssue</m:t>
              </m:r>
            </m:sub>
          </m:sSub>
          <m:r>
            <w:rPr>
              <w:rFonts w:ascii="Cambria Math" w:hAnsi="Cambria Math" w:cs="Arial"/>
              <w:strike/>
              <w:sz w:val="24"/>
              <w:szCs w:val="24"/>
            </w:rPr>
            <m:t>-</m:t>
          </m:r>
          <m:d>
            <m:dPr>
              <m:begChr m:val="|"/>
              <m:endChr m:val="|"/>
              <m:ctrlPr>
                <w:rPr>
                  <w:rFonts w:ascii="Cambria Math" w:hAnsi="Cambria Math" w:cs="Arial"/>
                  <w:i/>
                  <w:strike/>
                  <w:sz w:val="24"/>
                  <w:szCs w:val="24"/>
                </w:rPr>
              </m:ctrlPr>
            </m:dPr>
            <m:e>
              <m:d>
                <m:dPr>
                  <m:ctrlPr>
                    <w:rPr>
                      <w:rFonts w:ascii="Cambria Math" w:hAnsi="Cambria Math" w:cs="Arial"/>
                      <w:i/>
                      <w:strike/>
                      <w:sz w:val="24"/>
                      <w:szCs w:val="24"/>
                    </w:rPr>
                  </m:ctrlPr>
                </m:dPr>
                <m:e>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HIssue</m:t>
                      </m:r>
                    </m:sub>
                  </m:sSub>
                  <m:r>
                    <w:rPr>
                      <w:rFonts w:ascii="Cambria Math" w:hAnsi="Cambria Math" w:cs="Arial" w:hint="eastAsia"/>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COP</m:t>
                      </m:r>
                    </m:sub>
                  </m:sSub>
                </m:e>
              </m:d>
              <m:r>
                <w:rPr>
                  <w:rFonts w:ascii="Cambria Math" w:hAnsi="Cambria Math" w:cs="Arial"/>
                  <w:strike/>
                  <w:sz w:val="24"/>
                  <w:szCs w:val="24"/>
                </w:rPr>
                <m:t>-</m:t>
              </m:r>
              <m:d>
                <m:dPr>
                  <m:ctrlPr>
                    <w:rPr>
                      <w:rFonts w:ascii="Cambria Math" w:hAnsi="Cambria Math" w:cs="Arial"/>
                      <w:i/>
                      <w:strike/>
                      <w:sz w:val="24"/>
                      <w:szCs w:val="24"/>
                    </w:rPr>
                  </m:ctrlPr>
                </m:dPr>
                <m:e>
                  <m:sSub>
                    <m:sSubPr>
                      <m:ctrlPr>
                        <w:rPr>
                          <w:rFonts w:ascii="Cambria Math" w:hAnsi="Cambria Math" w:cs="Arial"/>
                          <w:i/>
                          <w:strike/>
                          <w:sz w:val="24"/>
                          <w:szCs w:val="24"/>
                        </w:rPr>
                      </m:ctrlPr>
                    </m:sSubPr>
                    <m:e>
                      <m:r>
                        <w:rPr>
                          <w:rFonts w:ascii="Cambria Math" w:hAnsi="Cambria Math" w:cs="Arial"/>
                          <w:strike/>
                          <w:sz w:val="24"/>
                          <w:szCs w:val="24"/>
                        </w:rPr>
                        <m:t>EAOC</m:t>
                      </m:r>
                    </m:e>
                    <m:sub>
                      <m:r>
                        <w:rPr>
                          <w:rFonts w:ascii="Cambria Math" w:hAnsi="Cambria Math" w:cs="Arial"/>
                          <w:strike/>
                          <w:sz w:val="24"/>
                          <w:szCs w:val="24"/>
                        </w:rPr>
                        <m:t>HIssue</m:t>
                      </m:r>
                    </m:sub>
                  </m:sSub>
                  <m:r>
                    <w:rPr>
                      <w:rFonts w:ascii="Cambria Math" w:hAnsi="Cambria Math" w:cs="Arial" w:hint="eastAsia"/>
                      <w:strike/>
                      <w:sz w:val="24"/>
                      <w:szCs w:val="24"/>
                    </w:rPr>
                    <m:t>×</m:t>
                  </m:r>
                  <m:sSub>
                    <m:sSubPr>
                      <m:ctrlPr>
                        <w:rPr>
                          <w:rFonts w:ascii="Cambria Math" w:hAnsi="Cambria Math" w:cs="Arial"/>
                          <w:i/>
                          <w:strike/>
                          <w:sz w:val="24"/>
                          <w:szCs w:val="24"/>
                        </w:rPr>
                      </m:ctrlPr>
                    </m:sSubPr>
                    <m:e>
                      <m:r>
                        <w:rPr>
                          <w:rFonts w:ascii="Cambria Math" w:hAnsi="Cambria Math" w:cs="Arial"/>
                          <w:strike/>
                          <w:sz w:val="24"/>
                          <w:szCs w:val="24"/>
                        </w:rPr>
                        <m:t>RR</m:t>
                      </m:r>
                    </m:e>
                    <m:sub>
                      <m:r>
                        <w:rPr>
                          <w:rFonts w:ascii="Cambria Math" w:hAnsi="Cambria Math" w:cs="Arial"/>
                          <w:strike/>
                          <w:sz w:val="24"/>
                          <w:szCs w:val="24"/>
                        </w:rPr>
                        <m:t>EAP</m:t>
                      </m:r>
                    </m:sub>
                  </m:sSub>
                </m:e>
              </m:d>
            </m:e>
          </m:d>
        </m:oMath>
      </m:oMathPara>
    </w:p>
    <w:p w14:paraId="487829D5" w14:textId="77777777" w:rsidR="00FE6A4C" w:rsidRPr="00B61FF1" w:rsidRDefault="00FE6A4C" w:rsidP="00FE6A4C">
      <w:pPr>
        <w:spacing w:line="360" w:lineRule="auto"/>
        <w:ind w:left="2520" w:hanging="720"/>
        <w:rPr>
          <w:rFonts w:ascii="Arial" w:hAnsi="Arial" w:cs="Arial"/>
          <w:sz w:val="24"/>
          <w:szCs w:val="24"/>
        </w:rPr>
      </w:pPr>
    </w:p>
    <w:p w14:paraId="44E9B5E8" w14:textId="77777777" w:rsidR="00FE6A4C" w:rsidRPr="00B61FF1" w:rsidRDefault="00FE6A4C" w:rsidP="00FE6A4C">
      <w:pPr>
        <w:spacing w:line="360" w:lineRule="auto"/>
        <w:ind w:left="2520" w:hanging="720"/>
        <w:rPr>
          <w:rFonts w:ascii="Arial" w:hAnsi="Arial" w:cs="Arial"/>
          <w:strike/>
          <w:sz w:val="24"/>
          <w:szCs w:val="24"/>
        </w:rPr>
      </w:pPr>
      <w:r w:rsidRPr="00B61FF1">
        <w:rPr>
          <w:rFonts w:ascii="Arial" w:hAnsi="Arial" w:cs="Arial"/>
          <w:strike/>
          <w:sz w:val="24"/>
          <w:szCs w:val="24"/>
        </w:rPr>
        <w:t>Where:</w:t>
      </w:r>
    </w:p>
    <w:p w14:paraId="54F463D7"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“EAOP</w:t>
      </w:r>
      <w:r w:rsidRPr="00B61FF1">
        <w:rPr>
          <w:rFonts w:ascii="Arial" w:hAnsi="Arial" w:cs="Arial"/>
          <w:strike/>
          <w:sz w:val="24"/>
          <w:szCs w:val="24"/>
          <w:vertAlign w:val="subscript"/>
        </w:rPr>
        <w:t>Buffer</w:t>
      </w:r>
      <w:r w:rsidRPr="00B61FF1">
        <w:rPr>
          <w:rFonts w:ascii="Arial" w:hAnsi="Arial" w:cs="Arial"/>
          <w:strike/>
          <w:sz w:val="24"/>
          <w:szCs w:val="24"/>
        </w:rPr>
        <w:t xml:space="preserve">” is the total number of early action offset credits in the Early Action Offset Program’s buffer account for forest projects that meet the requirements of section 95990(h) and are being transferred to ARB for the applicable Offset Project Data Report; </w:t>
      </w:r>
    </w:p>
    <w:p w14:paraId="3EA711C9" w14:textId="77777777" w:rsidR="00FE6A4C" w:rsidRPr="00B61FF1" w:rsidRDefault="00FE6A4C" w:rsidP="00FE6A4C">
      <w:pPr>
        <w:spacing w:line="360" w:lineRule="auto"/>
        <w:ind w:left="1800"/>
        <w:rPr>
          <w:rFonts w:ascii="Arial" w:hAnsi="Arial" w:cs="Arial"/>
          <w:strike/>
          <w:sz w:val="24"/>
          <w:szCs w:val="24"/>
        </w:rPr>
      </w:pPr>
    </w:p>
    <w:p w14:paraId="2A622E54"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“EAOC</w:t>
      </w:r>
      <w:r w:rsidRPr="00B61FF1">
        <w:rPr>
          <w:rFonts w:ascii="Arial" w:hAnsi="Arial" w:cs="Arial"/>
          <w:strike/>
          <w:sz w:val="24"/>
          <w:szCs w:val="24"/>
          <w:vertAlign w:val="subscript"/>
        </w:rPr>
        <w:t>PIssue</w:t>
      </w:r>
      <w:r w:rsidRPr="00B61FF1">
        <w:rPr>
          <w:rFonts w:ascii="Arial" w:hAnsi="Arial" w:cs="Arial"/>
          <w:strike/>
          <w:sz w:val="24"/>
          <w:szCs w:val="24"/>
        </w:rPr>
        <w:t>” is the total number of early action offset credits that meet the requirements of section 95990(h) that would qualify to be issued ARB offset credits pursuant to this section for the applicable Offset Project Data Report;</w:t>
      </w:r>
    </w:p>
    <w:p w14:paraId="13980BFC" w14:textId="77777777" w:rsidR="00FE6A4C" w:rsidRPr="00B61FF1" w:rsidRDefault="00FE6A4C" w:rsidP="00FE6A4C">
      <w:pPr>
        <w:spacing w:line="360" w:lineRule="auto"/>
        <w:ind w:left="1800"/>
        <w:rPr>
          <w:rFonts w:ascii="Arial" w:hAnsi="Arial" w:cs="Arial"/>
          <w:strike/>
          <w:sz w:val="24"/>
          <w:szCs w:val="24"/>
        </w:rPr>
      </w:pPr>
    </w:p>
    <w:p w14:paraId="4B107041"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“ARB</w:t>
      </w:r>
      <w:r w:rsidRPr="00B61FF1">
        <w:rPr>
          <w:rFonts w:ascii="Arial" w:hAnsi="Arial" w:cs="Arial"/>
          <w:strike/>
          <w:sz w:val="24"/>
          <w:szCs w:val="24"/>
          <w:vertAlign w:val="subscript"/>
        </w:rPr>
        <w:t>HIssue</w:t>
      </w:r>
      <w:r w:rsidRPr="00B61FF1">
        <w:rPr>
          <w:rFonts w:ascii="Arial" w:hAnsi="Arial" w:cs="Arial"/>
          <w:strike/>
          <w:sz w:val="24"/>
          <w:szCs w:val="24"/>
        </w:rPr>
        <w:t>” is the total number of ARB offset credits that will be issued to the holder of early action offset credits seeking issuance of ARB offset credits pursuant to this section for the applicable Offset Project Data Report;</w:t>
      </w:r>
    </w:p>
    <w:p w14:paraId="50AF3FCF" w14:textId="77777777" w:rsidR="00FE6A4C" w:rsidRPr="00B61FF1" w:rsidRDefault="00FE6A4C" w:rsidP="00FE6A4C">
      <w:pPr>
        <w:spacing w:line="360" w:lineRule="auto"/>
        <w:ind w:left="2520" w:hanging="720"/>
        <w:rPr>
          <w:rFonts w:ascii="Arial" w:hAnsi="Arial" w:cs="Arial"/>
          <w:strike/>
          <w:sz w:val="24"/>
          <w:szCs w:val="24"/>
        </w:rPr>
      </w:pPr>
    </w:p>
    <w:p w14:paraId="6E2FCC00"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“EAOC</w:t>
      </w:r>
      <w:r w:rsidRPr="00B61FF1">
        <w:rPr>
          <w:rFonts w:ascii="Arial" w:hAnsi="Arial" w:cs="Arial"/>
          <w:strike/>
          <w:sz w:val="24"/>
          <w:szCs w:val="24"/>
          <w:vertAlign w:val="subscript"/>
        </w:rPr>
        <w:t>HIssue</w:t>
      </w:r>
      <w:r w:rsidRPr="00B61FF1">
        <w:rPr>
          <w:rFonts w:ascii="Arial" w:hAnsi="Arial" w:cs="Arial"/>
          <w:strike/>
          <w:sz w:val="24"/>
          <w:szCs w:val="24"/>
        </w:rPr>
        <w:t>” is the total number of early action offset credits that meet the requirements of section 95990(h) for which the holder of early action offset credits is seeking issuance of ARB offset credits pursuant to this section for the applicable Offset Project Data Report;</w:t>
      </w:r>
    </w:p>
    <w:p w14:paraId="3AB21A1B" w14:textId="77777777" w:rsidR="00FE6A4C" w:rsidRPr="00B61FF1" w:rsidRDefault="00FE6A4C" w:rsidP="00FE6A4C">
      <w:pPr>
        <w:spacing w:line="360" w:lineRule="auto"/>
        <w:ind w:left="1800"/>
        <w:rPr>
          <w:rFonts w:ascii="Arial" w:hAnsi="Arial" w:cs="Arial"/>
          <w:strike/>
          <w:sz w:val="24"/>
          <w:szCs w:val="24"/>
        </w:rPr>
      </w:pPr>
    </w:p>
    <w:p w14:paraId="5DA04C42" w14:textId="77777777" w:rsidR="00FE6A4C" w:rsidRPr="00B61FF1" w:rsidRDefault="00FE6A4C" w:rsidP="00FE6A4C">
      <w:pPr>
        <w:spacing w:line="360" w:lineRule="auto"/>
        <w:ind w:left="1800"/>
        <w:rPr>
          <w:rFonts w:ascii="Arial" w:hAnsi="Arial" w:cs="Arial"/>
          <w:strike/>
          <w:sz w:val="24"/>
          <w:szCs w:val="24"/>
        </w:rPr>
      </w:pPr>
      <w:r w:rsidRPr="00B61FF1">
        <w:rPr>
          <w:rFonts w:ascii="Arial" w:hAnsi="Arial" w:cs="Arial"/>
          <w:strike/>
          <w:sz w:val="24"/>
          <w:szCs w:val="24"/>
        </w:rPr>
        <w:t>“RR</w:t>
      </w:r>
      <w:r w:rsidRPr="00B61FF1">
        <w:rPr>
          <w:rFonts w:ascii="Arial" w:hAnsi="Arial" w:cs="Arial"/>
          <w:strike/>
          <w:sz w:val="24"/>
          <w:szCs w:val="24"/>
          <w:vertAlign w:val="subscript"/>
        </w:rPr>
        <w:t>COP</w:t>
      </w:r>
      <w:r w:rsidRPr="00B61FF1">
        <w:rPr>
          <w:rFonts w:ascii="Arial" w:hAnsi="Arial" w:cs="Arial"/>
          <w:strike/>
          <w:sz w:val="24"/>
          <w:szCs w:val="24"/>
        </w:rPr>
        <w:t>” is the percentage that must be applied for the early action forest offset project pursuant to the project-specific risk rating calculation in Compliance Offset Protocol U.S. Forest Projects, October 20, 2011;</w:t>
      </w:r>
    </w:p>
    <w:p w14:paraId="699A60A2" w14:textId="77777777" w:rsidR="00FE6A4C" w:rsidRPr="00B61FF1" w:rsidRDefault="00FE6A4C" w:rsidP="00FE6A4C">
      <w:pPr>
        <w:spacing w:line="360" w:lineRule="auto"/>
        <w:ind w:left="1800"/>
        <w:rPr>
          <w:rFonts w:ascii="Arial" w:hAnsi="Arial" w:cs="Arial"/>
          <w:strike/>
          <w:sz w:val="24"/>
          <w:szCs w:val="24"/>
        </w:rPr>
      </w:pPr>
    </w:p>
    <w:p w14:paraId="627A0CD4" w14:textId="77777777" w:rsidR="00FE6A4C" w:rsidRPr="00B61FF1" w:rsidRDefault="00FE6A4C" w:rsidP="00FE6A4C">
      <w:pPr>
        <w:spacing w:line="360" w:lineRule="auto"/>
        <w:ind w:left="1800"/>
        <w:rPr>
          <w:rFonts w:ascii="Arial" w:hAnsi="Arial" w:cs="Arial"/>
          <w:sz w:val="24"/>
          <w:szCs w:val="24"/>
        </w:rPr>
      </w:pPr>
      <w:r w:rsidRPr="00B61FF1">
        <w:rPr>
          <w:rFonts w:ascii="Arial" w:hAnsi="Arial" w:cs="Arial"/>
          <w:strike/>
          <w:sz w:val="24"/>
          <w:szCs w:val="24"/>
        </w:rPr>
        <w:t>“RR</w:t>
      </w:r>
      <w:r w:rsidRPr="00B61FF1">
        <w:rPr>
          <w:rFonts w:ascii="Arial" w:hAnsi="Arial" w:cs="Arial"/>
          <w:strike/>
          <w:sz w:val="24"/>
          <w:szCs w:val="24"/>
          <w:vertAlign w:val="subscript"/>
        </w:rPr>
        <w:t>EAP</w:t>
      </w:r>
      <w:r w:rsidRPr="00B61FF1">
        <w:rPr>
          <w:rFonts w:ascii="Arial" w:hAnsi="Arial" w:cs="Arial"/>
          <w:strike/>
          <w:sz w:val="24"/>
          <w:szCs w:val="24"/>
        </w:rPr>
        <w:t>” is the percentage that was calculated and applied for the early action forest offset project pursuant to the project-specific risk rating calculation in the applicable early action protocol;</w:t>
      </w:r>
    </w:p>
    <w:p w14:paraId="7F4B0305" w14:textId="77777777" w:rsidR="00FE6A4C" w:rsidRPr="00B61FF1" w:rsidRDefault="00FE6A4C" w:rsidP="00FE6A4C">
      <w:pPr>
        <w:spacing w:line="360" w:lineRule="auto"/>
        <w:ind w:left="2160" w:hanging="720"/>
        <w:rPr>
          <w:rFonts w:ascii="Arial" w:hAnsi="Arial" w:cs="Arial"/>
          <w:sz w:val="24"/>
          <w:szCs w:val="24"/>
        </w:rPr>
      </w:pPr>
    </w:p>
    <w:p w14:paraId="7BBFC721"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trike/>
          <w:sz w:val="24"/>
          <w:szCs w:val="24"/>
        </w:rPr>
        <w:t>5</w:t>
      </w:r>
      <w:r w:rsidRPr="00B61FF1">
        <w:rPr>
          <w:rFonts w:ascii="Arial" w:hAnsi="Arial" w:cs="Arial"/>
          <w:sz w:val="24"/>
          <w:szCs w:val="24"/>
          <w:u w:val="single"/>
        </w:rPr>
        <w:t>4</w:t>
      </w:r>
      <w:r w:rsidRPr="00B61FF1">
        <w:rPr>
          <w:rFonts w:ascii="Arial" w:hAnsi="Arial" w:cs="Arial"/>
          <w:sz w:val="24"/>
          <w:szCs w:val="24"/>
        </w:rPr>
        <w:t>.</w:t>
      </w:r>
      <w:r w:rsidRPr="00B61FF1">
        <w:rPr>
          <w:rFonts w:ascii="Arial" w:hAnsi="Arial" w:cs="Arial"/>
          <w:sz w:val="24"/>
          <w:szCs w:val="24"/>
        </w:rPr>
        <w:tab/>
        <w:t>If there is an unintentional reversal for any early action forest offset project, even after it transitions to ARB’s Compliance Offset Protocol U.S. Forest Projects, October 20, 2011, the provisions in section 95983(b) and (d) apply.</w:t>
      </w:r>
    </w:p>
    <w:p w14:paraId="074747FC"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trike/>
          <w:sz w:val="24"/>
          <w:szCs w:val="24"/>
        </w:rPr>
        <w:t>6</w:t>
      </w:r>
      <w:r w:rsidRPr="00B61FF1">
        <w:rPr>
          <w:rFonts w:ascii="Arial" w:hAnsi="Arial" w:cs="Arial"/>
          <w:sz w:val="24"/>
          <w:szCs w:val="24"/>
          <w:u w:val="single"/>
        </w:rPr>
        <w:t>5</w:t>
      </w:r>
      <w:r w:rsidRPr="00B61FF1">
        <w:rPr>
          <w:rFonts w:ascii="Arial" w:hAnsi="Arial" w:cs="Arial"/>
          <w:sz w:val="24"/>
          <w:szCs w:val="24"/>
        </w:rPr>
        <w:t>.</w:t>
      </w:r>
      <w:r w:rsidRPr="00B61FF1">
        <w:rPr>
          <w:rFonts w:ascii="Arial" w:hAnsi="Arial" w:cs="Arial"/>
          <w:sz w:val="24"/>
          <w:szCs w:val="24"/>
        </w:rPr>
        <w:tab/>
        <w:t>If there is an intentional reversal for any early action forest offset project, even after it transitions to ARB’s Compliance Offset Protocol U.S. Forest Projects, October 20, 2011, the provisions in section 95983(c) and (d) apply.</w:t>
      </w:r>
    </w:p>
    <w:p w14:paraId="54A13FE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If an early action offset project is issued ARB offset credits pursuant to section 95990(i)(1)(D) and transitions from Climate Action Reserve Forest Project Protocol version 2.1 to Compliance Offset Protocol U.S. Forest Projects, October 20, 2011 pursuant to section 95990(k) the early action offset project may calculate its project baseline pursuant to section 95990(k)(1)(D) and use the following method to determine if it could qualify for additional early action offset credits:</w:t>
      </w:r>
    </w:p>
    <w:p w14:paraId="491E3579"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Based on the project baseline calculated in section 95990(k)(1)(D), the early action offset project must calculate and sum the net GHG emission reductions and GHG removal enhancements it achieves following all the provisions of the Compliance Offset Protocol U.S. Forest Projects, October 20, 2011 and the requirements in this article, from the date of offset project commencement under the Early Action Offset Program through the date the early action offset project applies for transition pursuant to section 95990(k).</w:t>
      </w:r>
    </w:p>
    <w:p w14:paraId="26F63CA6"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The early action offset project must subtract the number of early action offset credits issued by the Early Action Offset Program for the period from the date of offset project commencement through the time the early action offset project applies for transition pursuant to section 95990(k) from the number of sum determined pursuant to section 95990(i)(E)(1.):</w:t>
      </w:r>
    </w:p>
    <w:p w14:paraId="4F81700A"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 xml:space="preserve">If the difference is positive, ARB will issue ARB offset credits equivalent to the difference at the time of offset project transition pursuant to section 95990(k) for the timeframe specified in section 95990(i)(1)(E)(1.) </w:t>
      </w:r>
      <w:r w:rsidRPr="00B61FF1">
        <w:rPr>
          <w:rFonts w:ascii="Arial" w:hAnsi="Arial" w:cs="Arial"/>
          <w:sz w:val="24"/>
          <w:szCs w:val="24"/>
          <w:u w:val="single"/>
        </w:rPr>
        <w:t xml:space="preserve">to the Offset Project Operator or Authorized Project Designee.  </w:t>
      </w:r>
    </w:p>
    <w:p w14:paraId="33B41144" w14:textId="77777777" w:rsidR="00FE6A4C" w:rsidRPr="00B61FF1" w:rsidRDefault="00FE6A4C" w:rsidP="00FE6A4C">
      <w:pPr>
        <w:spacing w:line="360" w:lineRule="auto"/>
        <w:ind w:left="288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If the difference is negative, ARB will only issue ARB offset credits pursuant to section 95990(i)(D)(1.) for the timeframe specified in section 95990(i)(1)(E)(1.)</w:t>
      </w:r>
    </w:p>
    <w:p w14:paraId="1E072B2E" w14:textId="77777777" w:rsidR="00FE6A4C" w:rsidRPr="00B61FF1" w:rsidRDefault="00FE6A4C" w:rsidP="00FE6A4C">
      <w:pPr>
        <w:spacing w:line="360" w:lineRule="auto"/>
        <w:ind w:left="2160" w:hanging="720"/>
        <w:rPr>
          <w:rFonts w:ascii="Arial" w:hAnsi="Arial" w:cs="Arial"/>
          <w:sz w:val="24"/>
          <w:szCs w:val="24"/>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Section 95990(i)(1)(E) does not apply to holders of early action offset credits.</w:t>
      </w:r>
    </w:p>
    <w:p w14:paraId="14105682"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ARB will notify the Early Action Offset Program within 10 calendar days of ARB’s determination of issuance of ARB offset credits pursuant to this section.</w:t>
      </w:r>
    </w:p>
    <w:p w14:paraId="51D3880D"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 xml:space="preserve">Early action offset credits must be </w:t>
      </w:r>
      <w:r w:rsidRPr="00B61FF1">
        <w:rPr>
          <w:rFonts w:ascii="Arial" w:hAnsi="Arial" w:cs="Arial"/>
          <w:sz w:val="24"/>
          <w:szCs w:val="24"/>
          <w:u w:val="single"/>
        </w:rPr>
        <w:t xml:space="preserve">permanently </w:t>
      </w:r>
      <w:r w:rsidRPr="00B61FF1">
        <w:rPr>
          <w:rFonts w:ascii="Arial" w:hAnsi="Arial" w:cs="Arial"/>
          <w:sz w:val="24"/>
          <w:szCs w:val="24"/>
        </w:rPr>
        <w:t xml:space="preserve">removed </w:t>
      </w:r>
      <w:r w:rsidRPr="00B61FF1">
        <w:rPr>
          <w:rFonts w:ascii="Arial" w:hAnsi="Arial" w:cs="Arial"/>
          <w:sz w:val="24"/>
          <w:szCs w:val="24"/>
          <w:u w:val="single"/>
        </w:rPr>
        <w:t xml:space="preserve">or canceled </w:t>
      </w:r>
      <w:r w:rsidRPr="00B61FF1">
        <w:rPr>
          <w:rFonts w:ascii="Arial" w:hAnsi="Arial" w:cs="Arial"/>
          <w:sz w:val="24"/>
          <w:szCs w:val="24"/>
        </w:rPr>
        <w:t>by the Early Action Offset Program within 10 calendar days of ARB notification, such that the early action offset credits are no longer available for transaction on the Early Action Offset Program registry system.</w:t>
      </w:r>
    </w:p>
    <w:p w14:paraId="3B1737DC"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Not later than 15 calendar days after ARB issues an ARB offset credit for purposes of early action, ARB will notify the Offset Project Operator, Authorized Project Designee, and holder</w:t>
      </w:r>
      <w:r w:rsidRPr="00B61FF1">
        <w:rPr>
          <w:rFonts w:ascii="Arial" w:hAnsi="Arial" w:cs="Arial"/>
          <w:sz w:val="24"/>
          <w:szCs w:val="24"/>
          <w:u w:val="single"/>
        </w:rPr>
        <w:t>(</w:t>
      </w:r>
      <w:r w:rsidRPr="00B61FF1">
        <w:rPr>
          <w:rFonts w:ascii="Arial" w:hAnsi="Arial" w:cs="Arial"/>
          <w:sz w:val="24"/>
          <w:szCs w:val="24"/>
        </w:rPr>
        <w:t>s</w:t>
      </w:r>
      <w:r w:rsidRPr="00B61FF1">
        <w:rPr>
          <w:rFonts w:ascii="Arial" w:hAnsi="Arial" w:cs="Arial"/>
          <w:sz w:val="24"/>
          <w:szCs w:val="24"/>
          <w:u w:val="single"/>
        </w:rPr>
        <w:t>)</w:t>
      </w:r>
      <w:r w:rsidRPr="00B61FF1">
        <w:rPr>
          <w:rFonts w:ascii="Arial" w:hAnsi="Arial" w:cs="Arial"/>
          <w:sz w:val="24"/>
          <w:szCs w:val="24"/>
        </w:rPr>
        <w:t xml:space="preserve"> of the original early action offset credits</w:t>
      </w:r>
      <w:r w:rsidRPr="00B61FF1">
        <w:rPr>
          <w:rFonts w:ascii="Arial" w:hAnsi="Arial" w:cs="Arial"/>
          <w:sz w:val="24"/>
          <w:szCs w:val="24"/>
          <w:u w:val="single"/>
        </w:rPr>
        <w:t>, if applicable,</w:t>
      </w:r>
      <w:r w:rsidRPr="00B61FF1">
        <w:rPr>
          <w:rFonts w:ascii="Arial" w:hAnsi="Arial" w:cs="Arial"/>
          <w:sz w:val="24"/>
          <w:szCs w:val="24"/>
        </w:rPr>
        <w:t xml:space="preserve"> of the issuance.</w:t>
      </w:r>
    </w:p>
    <w:p w14:paraId="04C6C44C"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(j)</w:t>
      </w:r>
      <w:r w:rsidRPr="00B61FF1">
        <w:rPr>
          <w:rFonts w:ascii="Arial" w:hAnsi="Arial" w:cs="Arial"/>
          <w:sz w:val="24"/>
          <w:szCs w:val="24"/>
        </w:rPr>
        <w:tab/>
        <w:t>Registration and Transfer of ARB Offset Credits for Purposes of Early Action.  An ARB offset credit issued pursuant to section 95990(i) will be registered by creating a unique ARB serial number.  ARB will transfer the serial numbers into Holding Accounts as follows within 15 working days of the notice of issuance pursuant to section 95990(i)(4), unless otherwise required in section 95990(i)(1)(D):</w:t>
      </w:r>
    </w:p>
    <w:p w14:paraId="58655520" w14:textId="77777777" w:rsidR="00FE6A4C" w:rsidRPr="00B61FF1" w:rsidRDefault="00FE6A4C" w:rsidP="00FE6A4C">
      <w:pPr>
        <w:spacing w:line="360" w:lineRule="auto"/>
        <w:ind w:left="1080" w:hanging="720"/>
        <w:rPr>
          <w:rFonts w:ascii="Arial" w:hAnsi="Arial" w:cs="Arial"/>
          <w:dstrike/>
          <w:sz w:val="24"/>
          <w:szCs w:val="24"/>
        </w:rPr>
      </w:pPr>
      <w:r w:rsidRPr="00B61FF1">
        <w:rPr>
          <w:rFonts w:ascii="Arial" w:hAnsi="Arial" w:cs="Arial"/>
          <w:sz w:val="24"/>
          <w:szCs w:val="24"/>
        </w:rPr>
        <w:t>(1)</w:t>
      </w:r>
      <w:r w:rsidRPr="00B61FF1">
        <w:rPr>
          <w:rFonts w:ascii="Arial" w:hAnsi="Arial" w:cs="Arial"/>
          <w:sz w:val="24"/>
          <w:szCs w:val="24"/>
        </w:rPr>
        <w:tab/>
        <w:t xml:space="preserve">If the Offset Project Operator or Authorized Project Designee </w:t>
      </w:r>
      <w:r w:rsidRPr="00B61FF1">
        <w:rPr>
          <w:rFonts w:ascii="Arial" w:hAnsi="Arial" w:cs="Arial"/>
          <w:strike/>
          <w:sz w:val="24"/>
          <w:szCs w:val="24"/>
        </w:rPr>
        <w:t xml:space="preserve">registered the early action offset project pursuant to section 95990(d), lists the early action offset project pursuant to section 95990(e), provides ARB the attestations pursuant to section 95990(h)(6), and is issued ARB offset credits pursuant to section 95990(i), </w:t>
      </w:r>
      <w:r w:rsidRPr="00B61FF1">
        <w:rPr>
          <w:rFonts w:ascii="Arial" w:hAnsi="Arial" w:cs="Arial"/>
          <w:sz w:val="24"/>
          <w:szCs w:val="24"/>
          <w:u w:val="single"/>
        </w:rPr>
        <w:t xml:space="preserve">was issued additional ARB offset credits pursuant to section 95990(i)(1)(E)(2.)(a.) </w:t>
      </w:r>
      <w:r w:rsidRPr="00B61FF1">
        <w:rPr>
          <w:rFonts w:ascii="Arial" w:hAnsi="Arial" w:cs="Arial"/>
          <w:sz w:val="24"/>
          <w:szCs w:val="24"/>
        </w:rPr>
        <w:t>ARB will transfer the ARB offset credit into the Holding Account of the Offset Project Operator or Authorized Project Designee.</w:t>
      </w:r>
    </w:p>
    <w:p w14:paraId="427F8B5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r>
      <w:r w:rsidRPr="00B61FF1">
        <w:rPr>
          <w:rFonts w:ascii="Arial" w:hAnsi="Arial" w:cs="Arial"/>
          <w:strike/>
          <w:sz w:val="24"/>
          <w:szCs w:val="24"/>
        </w:rPr>
        <w:t xml:space="preserve">If the holder registered the early action offset project pursuant to section 95990(d), lists the early action offset project pursuant to section 95990(e), provides ARB the attestations pursuant to section 95990(h)(6), and is issued ARB offset credits pursuant to section 95990(i), </w:t>
      </w:r>
      <w:r w:rsidRPr="00B61FF1">
        <w:rPr>
          <w:rFonts w:ascii="Arial" w:hAnsi="Arial" w:cs="Arial"/>
          <w:sz w:val="24"/>
          <w:szCs w:val="24"/>
          <w:u w:val="single"/>
        </w:rPr>
        <w:t xml:space="preserve">For an ARB offset credit issued pursuant to section 95990(i)(1)(A) through (D) </w:t>
      </w:r>
      <w:r w:rsidRPr="00B61FF1">
        <w:rPr>
          <w:rFonts w:ascii="Arial" w:hAnsi="Arial" w:cs="Arial"/>
          <w:sz w:val="24"/>
          <w:szCs w:val="24"/>
        </w:rPr>
        <w:t>ARB will transfer the ARB offset credit</w:t>
      </w:r>
      <w:r w:rsidRPr="00B61FF1">
        <w:rPr>
          <w:rFonts w:ascii="Arial" w:hAnsi="Arial" w:cs="Arial"/>
          <w:sz w:val="24"/>
          <w:szCs w:val="24"/>
          <w:u w:val="single"/>
        </w:rPr>
        <w:t>s</w:t>
      </w:r>
      <w:r w:rsidRPr="00B61FF1">
        <w:rPr>
          <w:rFonts w:ascii="Arial" w:hAnsi="Arial" w:cs="Arial"/>
          <w:sz w:val="24"/>
          <w:szCs w:val="24"/>
        </w:rPr>
        <w:t xml:space="preserve"> into the Holding Account of the </w:t>
      </w:r>
      <w:r w:rsidRPr="00B61FF1">
        <w:rPr>
          <w:rFonts w:ascii="Arial" w:hAnsi="Arial" w:cs="Arial"/>
          <w:sz w:val="24"/>
          <w:szCs w:val="24"/>
          <w:u w:val="single"/>
        </w:rPr>
        <w:t>Offset Project Operator, Authorized Project Designee, or</w:t>
      </w:r>
      <w:r w:rsidRPr="00B61FF1">
        <w:rPr>
          <w:rFonts w:ascii="Arial" w:hAnsi="Arial" w:cs="Arial"/>
          <w:sz w:val="24"/>
          <w:szCs w:val="24"/>
        </w:rPr>
        <w:t xml:space="preserve"> holder</w:t>
      </w:r>
      <w:r w:rsidRPr="00B61FF1">
        <w:rPr>
          <w:rFonts w:ascii="Arial" w:hAnsi="Arial" w:cs="Arial"/>
          <w:sz w:val="24"/>
          <w:szCs w:val="24"/>
          <w:u w:val="single"/>
        </w:rPr>
        <w:t>(s) of the early action offset credits</w:t>
      </w:r>
      <w:r w:rsidRPr="00B61FF1">
        <w:rPr>
          <w:rFonts w:ascii="Arial" w:hAnsi="Arial" w:cs="Arial"/>
          <w:sz w:val="24"/>
          <w:szCs w:val="24"/>
        </w:rPr>
        <w:t xml:space="preserve">.  </w:t>
      </w:r>
    </w:p>
    <w:p w14:paraId="32112C7F"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t xml:space="preserve">The </w:t>
      </w:r>
      <w:r w:rsidRPr="00B61FF1">
        <w:rPr>
          <w:rFonts w:ascii="Arial" w:hAnsi="Arial" w:cs="Arial"/>
          <w:sz w:val="24"/>
          <w:szCs w:val="24"/>
          <w:u w:val="single"/>
        </w:rPr>
        <w:t xml:space="preserve">Offset Project Operator, Authorized Project Designee, or </w:t>
      </w:r>
      <w:r w:rsidRPr="00B61FF1">
        <w:rPr>
          <w:rFonts w:ascii="Arial" w:hAnsi="Arial" w:cs="Arial"/>
          <w:sz w:val="24"/>
          <w:szCs w:val="24"/>
        </w:rPr>
        <w:t>holder</w:t>
      </w:r>
      <w:r w:rsidRPr="00B61FF1">
        <w:rPr>
          <w:rFonts w:ascii="Arial" w:hAnsi="Arial" w:cs="Arial"/>
          <w:sz w:val="24"/>
          <w:szCs w:val="24"/>
          <w:u w:val="single"/>
        </w:rPr>
        <w:t>(s)</w:t>
      </w:r>
      <w:r w:rsidRPr="00B61FF1">
        <w:rPr>
          <w:rFonts w:ascii="Arial" w:hAnsi="Arial" w:cs="Arial"/>
          <w:sz w:val="24"/>
          <w:szCs w:val="24"/>
        </w:rPr>
        <w:t xml:space="preserve"> must prove ownership of the original early action offset credits, including the original serial numbers issued by the Early Action Offset Program, </w:t>
      </w:r>
      <w:r w:rsidRPr="00B61FF1">
        <w:rPr>
          <w:rFonts w:ascii="Arial" w:hAnsi="Arial" w:cs="Arial"/>
          <w:sz w:val="24"/>
          <w:szCs w:val="24"/>
          <w:u w:val="single"/>
        </w:rPr>
        <w:t xml:space="preserve">and submit a request for issuance to ARB for the issuance of ARB offset credits, </w:t>
      </w:r>
      <w:r w:rsidRPr="00B61FF1">
        <w:rPr>
          <w:rFonts w:ascii="Arial" w:hAnsi="Arial" w:cs="Arial"/>
          <w:sz w:val="24"/>
          <w:szCs w:val="24"/>
        </w:rPr>
        <w:t>before ARB will transfer the ARB offset credits</w:t>
      </w:r>
      <w:r w:rsidRPr="00B61FF1">
        <w:rPr>
          <w:rFonts w:ascii="Arial" w:hAnsi="Arial" w:cs="Arial"/>
          <w:sz w:val="24"/>
          <w:szCs w:val="24"/>
          <w:u w:val="single"/>
        </w:rPr>
        <w:t xml:space="preserve"> into the Holding Account</w:t>
      </w:r>
      <w:r w:rsidRPr="00B61FF1">
        <w:rPr>
          <w:rFonts w:ascii="Arial" w:hAnsi="Arial" w:cs="Arial"/>
          <w:sz w:val="24"/>
          <w:szCs w:val="24"/>
        </w:rPr>
        <w:t xml:space="preserve">.  </w:t>
      </w:r>
      <w:r w:rsidRPr="00B61FF1">
        <w:rPr>
          <w:rFonts w:ascii="Arial" w:hAnsi="Arial" w:cs="Arial"/>
          <w:sz w:val="24"/>
          <w:szCs w:val="24"/>
          <w:u w:val="single"/>
        </w:rPr>
        <w:t>Offset Project Operators, Authorized Project Designees, and Forest Owners may also be considered holders if they can prove ownership of the original early action offset credits.</w:t>
      </w:r>
    </w:p>
    <w:p w14:paraId="57E4DE33" w14:textId="77777777" w:rsidR="00FE6A4C" w:rsidRPr="00B61FF1" w:rsidRDefault="00FE6A4C" w:rsidP="00FE6A4C">
      <w:pPr>
        <w:spacing w:line="360" w:lineRule="auto"/>
        <w:ind w:left="180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 xml:space="preserve">Before any party is issued ARB offset credits into a Holding Account, the party must be registered with ARB pursuant to section 95830 and be approved for a Holding Account.  </w:t>
      </w:r>
    </w:p>
    <w:p w14:paraId="022D311C"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 xml:space="preserve">ARB will make publicly available on its webpage which early action offset credits qualify to be issued ARB offset credits based on the early action reporting period in which the early action offset credits were issued.  </w:t>
      </w:r>
    </w:p>
    <w:p w14:paraId="1AC1A5D6"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(k)</w:t>
      </w:r>
      <w:r w:rsidRPr="00B61FF1">
        <w:rPr>
          <w:rFonts w:ascii="Arial" w:hAnsi="Arial" w:cs="Arial"/>
          <w:sz w:val="24"/>
          <w:szCs w:val="24"/>
        </w:rPr>
        <w:tab/>
        <w:t>Transition of Early Action Offset Projects to the Compliance Program.</w:t>
      </w:r>
    </w:p>
    <w:p w14:paraId="1203D219"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(1)</w:t>
      </w:r>
      <w:r w:rsidRPr="00B61FF1">
        <w:rPr>
          <w:rFonts w:ascii="Arial" w:hAnsi="Arial" w:cs="Arial"/>
          <w:sz w:val="24"/>
          <w:szCs w:val="24"/>
        </w:rPr>
        <w:tab/>
        <w:t>Early Action Offset Project Transition to ARB Compliance Offset Protocols.  Early action offset projects must transition to ARB Compliance Offset Protocols no later than February 28, 2015</w:t>
      </w:r>
      <w:r w:rsidRPr="00B61FF1">
        <w:rPr>
          <w:rFonts w:ascii="Arial" w:hAnsi="Arial" w:cs="Arial"/>
          <w:sz w:val="24"/>
          <w:szCs w:val="24"/>
          <w:u w:val="single"/>
        </w:rPr>
        <w:t>, by submitting listing information required pursuant to section 95975 to ARB or an Offset Project Registry and having that listing approved</w:t>
      </w:r>
      <w:r w:rsidRPr="00B61FF1">
        <w:rPr>
          <w:rFonts w:ascii="Arial" w:hAnsi="Arial" w:cs="Arial"/>
          <w:sz w:val="24"/>
          <w:szCs w:val="24"/>
        </w:rPr>
        <w:t>:</w:t>
      </w:r>
    </w:p>
    <w:p w14:paraId="379FBAE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Early action offset projects using Climate Action Reserve U.S. Livestock Project Protocol versions 1.0 through 3.0 must use and meet all the requirements in Compliance Offset Protocol Livestock Projects, October 20, 2011;</w:t>
      </w:r>
    </w:p>
    <w:p w14:paraId="05D24E78"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Early action offset projects using Climate Action Reserve Urban Forest Project Protocol versions 1.0 through 1.1 must use and meet all the requirements in Compliance Offset Protocol Urban Forest Projects, October 20, 2011;</w:t>
      </w:r>
    </w:p>
    <w:p w14:paraId="7019128E"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Early action offset projects using Climate Action Reserve U.S. Ozone Depleting Substances Project Protocol version 1.0 must use and meet all the requirements in Compliance Offset Protocol Ozone Depleting Substances, October 20, 2011; </w:t>
      </w:r>
    </w:p>
    <w:p w14:paraId="0CE9BDF0"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(D)</w:t>
      </w:r>
      <w:r w:rsidRPr="00B61FF1">
        <w:rPr>
          <w:rFonts w:ascii="Arial" w:hAnsi="Arial" w:cs="Arial"/>
          <w:sz w:val="24"/>
          <w:szCs w:val="24"/>
        </w:rPr>
        <w:tab/>
        <w:t xml:space="preserve">Early action offset projects using Climate Action Reserve Forest Project Protocol version 2.1 must use and meet all the requirements in Compliance Offset Protocol U.S. Forest Projects, October 20, 2011.  At the time of transition the early action offset project must calculate its project baseline according to all the provisions in Compliance Offset Protocol U.S. Forest Projects, October 20, 2011 and the requirements in this article </w:t>
      </w:r>
      <w:r w:rsidRPr="00B61FF1">
        <w:rPr>
          <w:rFonts w:ascii="Arial" w:hAnsi="Arial" w:cs="Arial"/>
          <w:sz w:val="24"/>
          <w:szCs w:val="24"/>
          <w:u w:val="single"/>
        </w:rPr>
        <w:t xml:space="preserve">over the period of time </w:t>
      </w:r>
      <w:r w:rsidRPr="00B61FF1">
        <w:rPr>
          <w:rFonts w:ascii="Arial" w:hAnsi="Arial" w:cs="Arial"/>
          <w:sz w:val="24"/>
          <w:szCs w:val="24"/>
        </w:rPr>
        <w:t>from the date of offset project commencement under the Early Action Offset Program to the date the early action offset project applies for transition pursuant to section 95990(k)</w:t>
      </w:r>
      <w:r w:rsidRPr="00B61FF1">
        <w:rPr>
          <w:rFonts w:ascii="Arial" w:hAnsi="Arial" w:cs="Arial"/>
          <w:sz w:val="24"/>
          <w:szCs w:val="24"/>
          <w:u w:val="single"/>
        </w:rPr>
        <w:t>, plus one-hundred years</w:t>
      </w:r>
      <w:r w:rsidRPr="00B61FF1">
        <w:rPr>
          <w:rFonts w:ascii="Arial" w:hAnsi="Arial" w:cs="Arial"/>
          <w:sz w:val="24"/>
          <w:szCs w:val="24"/>
        </w:rPr>
        <w:t>.  This project baseline will remain valid for the duration of the offset project life.  Registry offset credits and ARB offset credits issued for the first Reporting Period after the early action offset project is listed pursuant to section 95975 using the Compliance Offset Protocol U.S. Forest Projects, October 20, 2011, will only be for the increased carbon stocks beyond what was already issued early action offset credits in the last year before the early action offset project transitioned to a Compliance Offset Protocol pursuant to this section.</w:t>
      </w:r>
    </w:p>
    <w:p w14:paraId="7E28467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(E)</w:t>
      </w:r>
      <w:r w:rsidRPr="00B61FF1">
        <w:rPr>
          <w:rFonts w:ascii="Arial" w:hAnsi="Arial" w:cs="Arial"/>
          <w:sz w:val="24"/>
          <w:szCs w:val="24"/>
        </w:rPr>
        <w:tab/>
        <w:t>Early action offset projects using Climate Action Reserve Forest Project Protocol versions 3.0 through 3.2 must use Compliance Offset Protocol U.S. Forest Projects, October 20, 2011 and subtract from the project baseline any carbon stocks from any optional pools that are excluded in the Compliance Offset Protocol beginning with the last reporting period under the Early Action Offset Program.  Decreases will not constitute a reversal.</w:t>
      </w:r>
    </w:p>
    <w:p w14:paraId="6A248930"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(2)</w:t>
      </w:r>
      <w:r w:rsidRPr="00B61FF1">
        <w:rPr>
          <w:rFonts w:ascii="Arial" w:hAnsi="Arial" w:cs="Arial"/>
          <w:sz w:val="24"/>
          <w:szCs w:val="24"/>
        </w:rPr>
        <w:tab/>
        <w:t>Crediting Periods for Early Action Offset Projects.  When an early action offset project transitions to a Compliance Offset Protocol pursuant to section 95990(k)(1), it will begin an initial crediting period.  The initial crediting period will begin with the date that the first verified GHG emission reductions or GHG removal enhancements occur using a Compliance Offset Protocol approved pursuant to section 95971.</w:t>
      </w:r>
    </w:p>
    <w:p w14:paraId="16AFF2BF"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(3)</w:t>
      </w:r>
      <w:r w:rsidRPr="00B61FF1">
        <w:rPr>
          <w:rFonts w:ascii="Arial" w:hAnsi="Arial" w:cs="Arial"/>
          <w:sz w:val="24"/>
          <w:szCs w:val="24"/>
        </w:rPr>
        <w:tab/>
        <w:t>Listing Requirements for Transition of Early Action Offset Projects.  At the time an early action offset project transitions to a Compliance Offset Protocol pursuant to section 95990(k)(1), the Offset Project Operator or Authorized Project Designee must:</w:t>
      </w:r>
    </w:p>
    <w:p w14:paraId="770049F9"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Meet the requirements for offset projects pursuant to section 95973; and</w:t>
      </w:r>
    </w:p>
    <w:p w14:paraId="6122C553"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List the offset project pursuant to section 95975.</w:t>
      </w:r>
    </w:p>
    <w:p w14:paraId="0DF8E256"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 xml:space="preserve">To transition an early action offset project to the ARB compliance offset program, the offset project must be listed with ARB or an Offset Project Registry by February 28, 2015, but has until September 30, 2015 to complete the verification of GHG reductions and GHG removal enhancements </w:t>
      </w:r>
      <w:r w:rsidRPr="00B61FF1">
        <w:rPr>
          <w:rFonts w:ascii="Arial" w:hAnsi="Arial" w:cs="Arial"/>
          <w:strike/>
          <w:sz w:val="24"/>
          <w:szCs w:val="24"/>
        </w:rPr>
        <w:t>pursuant to section 95990(f)</w:t>
      </w:r>
      <w:r w:rsidRPr="00B61FF1">
        <w:rPr>
          <w:rFonts w:ascii="Arial" w:hAnsi="Arial" w:cs="Arial"/>
          <w:sz w:val="24"/>
          <w:szCs w:val="24"/>
        </w:rPr>
        <w:t xml:space="preserve"> </w:t>
      </w:r>
      <w:r w:rsidRPr="00B61FF1">
        <w:rPr>
          <w:rFonts w:ascii="Arial" w:hAnsi="Arial" w:cs="Arial"/>
          <w:sz w:val="24"/>
          <w:szCs w:val="24"/>
          <w:u w:val="single"/>
        </w:rPr>
        <w:t xml:space="preserve">under the Early Action Offset Program </w:t>
      </w:r>
      <w:r w:rsidRPr="00B61FF1">
        <w:rPr>
          <w:rFonts w:ascii="Arial" w:hAnsi="Arial" w:cs="Arial"/>
          <w:sz w:val="24"/>
          <w:szCs w:val="24"/>
        </w:rPr>
        <w:t>that were achieved in 2014.  These GHG reductions and GHG removal enhancements are eligible for early action offset credits.</w:t>
      </w:r>
    </w:p>
    <w:p w14:paraId="200FC746"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(4)</w:t>
      </w:r>
      <w:r w:rsidRPr="00B61FF1">
        <w:rPr>
          <w:rFonts w:ascii="Arial" w:hAnsi="Arial" w:cs="Arial"/>
          <w:sz w:val="24"/>
          <w:szCs w:val="24"/>
        </w:rPr>
        <w:tab/>
        <w:t xml:space="preserve">After an early action offset project lists with ARB pursuant to section 95990(k)(3), it must meet the following requirements: </w:t>
      </w:r>
    </w:p>
    <w:p w14:paraId="185C8D97"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(A)</w:t>
      </w:r>
      <w:r w:rsidRPr="00B61FF1">
        <w:rPr>
          <w:rFonts w:ascii="Arial" w:hAnsi="Arial" w:cs="Arial"/>
          <w:sz w:val="24"/>
          <w:szCs w:val="24"/>
        </w:rPr>
        <w:tab/>
        <w:t>Monitoring, reporting, and record retention requirements pursuant to section 95976;</w:t>
      </w:r>
    </w:p>
    <w:p w14:paraId="31B0A66F"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(B)</w:t>
      </w:r>
      <w:r w:rsidRPr="00B61FF1">
        <w:rPr>
          <w:rFonts w:ascii="Arial" w:hAnsi="Arial" w:cs="Arial"/>
          <w:sz w:val="24"/>
          <w:szCs w:val="24"/>
        </w:rPr>
        <w:tab/>
        <w:t xml:space="preserve">GHG reduction and GHG removal enhancement verification requirements pursuant to sections 95977 through 95978; </w:t>
      </w:r>
    </w:p>
    <w:p w14:paraId="60EDBC3A" w14:textId="77777777" w:rsidR="00FE6A4C" w:rsidRPr="00B61FF1" w:rsidRDefault="00FE6A4C" w:rsidP="00FE6A4C">
      <w:pPr>
        <w:spacing w:line="360" w:lineRule="auto"/>
        <w:ind w:left="180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t>Be issued a registry offset credit pursuant to section 95980.1 or an ARB offset credit pursuant to section 95981.1 for any GHG reductions or GHG removal enhancements it achieves.</w:t>
      </w:r>
    </w:p>
    <w:p w14:paraId="1B5AD6FD"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 xml:space="preserve">ARB will not issue ARB offset credits after August 31, 2016 for any GHG reductions or removal enhancements achieved through 2014 and issued early action offset credits by an Early Action Offset Program. </w:t>
      </w:r>
    </w:p>
    <w:p w14:paraId="06F65A31" w14:textId="77777777" w:rsidR="00FE6A4C" w:rsidRPr="00B61FF1" w:rsidRDefault="00FE6A4C" w:rsidP="00FE6A4C">
      <w:pPr>
        <w:spacing w:line="360" w:lineRule="auto"/>
        <w:ind w:left="720" w:hanging="720"/>
        <w:rPr>
          <w:rFonts w:ascii="Arial" w:hAnsi="Arial" w:cs="Arial"/>
          <w:sz w:val="24"/>
          <w:szCs w:val="24"/>
        </w:rPr>
      </w:pPr>
      <w:r w:rsidRPr="00B61FF1">
        <w:rPr>
          <w:rFonts w:ascii="Arial" w:hAnsi="Arial" w:cs="Arial"/>
          <w:sz w:val="24"/>
          <w:szCs w:val="24"/>
        </w:rPr>
        <w:t>(l)</w:t>
      </w:r>
      <w:r w:rsidRPr="00B61FF1">
        <w:rPr>
          <w:rFonts w:ascii="Arial" w:hAnsi="Arial" w:cs="Arial"/>
          <w:sz w:val="24"/>
          <w:szCs w:val="24"/>
        </w:rPr>
        <w:tab/>
        <w:t>An ARB offset credit issued pursuant to section 95990(i) may be invalidated pursuant to section</w:t>
      </w:r>
      <w:r w:rsidRPr="00B61FF1">
        <w:rPr>
          <w:rFonts w:ascii="Arial" w:hAnsi="Arial" w:cs="Arial"/>
          <w:sz w:val="24"/>
          <w:szCs w:val="24"/>
          <w:u w:val="single"/>
        </w:rPr>
        <w:t>s</w:t>
      </w:r>
      <w:r w:rsidRPr="00B61FF1">
        <w:rPr>
          <w:rFonts w:ascii="Arial" w:hAnsi="Arial" w:cs="Arial"/>
          <w:sz w:val="24"/>
          <w:szCs w:val="24"/>
        </w:rPr>
        <w:t xml:space="preserve"> 95985</w:t>
      </w:r>
      <w:r w:rsidRPr="00B61FF1">
        <w:rPr>
          <w:rFonts w:ascii="Arial" w:hAnsi="Arial" w:cs="Arial"/>
          <w:sz w:val="24"/>
          <w:szCs w:val="24"/>
          <w:u w:val="single"/>
        </w:rPr>
        <w:t>(a) through (i)</w:t>
      </w:r>
      <w:r w:rsidRPr="00B61FF1">
        <w:rPr>
          <w:rFonts w:ascii="Arial" w:hAnsi="Arial" w:cs="Arial"/>
          <w:sz w:val="24"/>
          <w:szCs w:val="24"/>
        </w:rPr>
        <w:t xml:space="preserve"> as follows:  </w:t>
      </w:r>
    </w:p>
    <w:p w14:paraId="33EEB8B5"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trike/>
          <w:sz w:val="24"/>
          <w:szCs w:val="24"/>
        </w:rPr>
        <w:t>(1)</w:t>
      </w:r>
      <w:r w:rsidRPr="00B61FF1">
        <w:rPr>
          <w:rFonts w:ascii="Arial" w:hAnsi="Arial" w:cs="Arial"/>
          <w:strike/>
          <w:sz w:val="24"/>
          <w:szCs w:val="24"/>
        </w:rPr>
        <w:tab/>
        <w:t>ARB Offset Credits from Non-Sequestration Offset Projects.  An ARB offset credit from a non-sequestration project may be invalidated pursuant to sections 95985(a) through (h) and section 95985(j):</w:t>
      </w:r>
      <w:r w:rsidRPr="00B61FF1">
        <w:rPr>
          <w:rFonts w:ascii="Arial" w:hAnsi="Arial" w:cs="Arial"/>
          <w:sz w:val="24"/>
          <w:szCs w:val="24"/>
        </w:rPr>
        <w:t xml:space="preserve"> </w:t>
      </w:r>
    </w:p>
    <w:p w14:paraId="6830C65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A</w:t>
      </w:r>
      <w:r w:rsidRPr="00B61FF1">
        <w:rPr>
          <w:rFonts w:ascii="Arial" w:hAnsi="Arial" w:cs="Arial"/>
          <w:sz w:val="24"/>
          <w:szCs w:val="24"/>
          <w:u w:val="single"/>
        </w:rPr>
        <w:t>1</w:t>
      </w:r>
      <w:r w:rsidRPr="00B61FF1">
        <w:rPr>
          <w:rFonts w:ascii="Arial" w:hAnsi="Arial" w:cs="Arial"/>
          <w:sz w:val="24"/>
          <w:szCs w:val="24"/>
        </w:rPr>
        <w:t>)</w:t>
      </w:r>
      <w:r w:rsidRPr="00B61FF1">
        <w:rPr>
          <w:rFonts w:ascii="Arial" w:hAnsi="Arial" w:cs="Arial"/>
          <w:sz w:val="24"/>
          <w:szCs w:val="24"/>
        </w:rPr>
        <w:tab/>
        <w:t xml:space="preserve">If an Offset Project Operator or Authorized Project Designee registers and lists the early action offset project pursuant to sections 95990(d) and (e), </w:t>
      </w:r>
      <w:r w:rsidRPr="00B61FF1">
        <w:rPr>
          <w:rFonts w:ascii="Arial" w:hAnsi="Arial" w:cs="Arial"/>
          <w:sz w:val="24"/>
          <w:szCs w:val="24"/>
          <w:u w:val="single"/>
        </w:rPr>
        <w:t xml:space="preserve">and </w:t>
      </w:r>
      <w:r w:rsidRPr="00B61FF1">
        <w:rPr>
          <w:rFonts w:ascii="Arial" w:hAnsi="Arial" w:cs="Arial"/>
          <w:sz w:val="24"/>
          <w:szCs w:val="24"/>
        </w:rPr>
        <w:t>submits the attestations to ARB pursuant to section 95990(h)(6)</w:t>
      </w:r>
      <w:r w:rsidRPr="00B61FF1">
        <w:rPr>
          <w:rFonts w:ascii="Arial" w:hAnsi="Arial" w:cs="Arial"/>
          <w:strike/>
          <w:sz w:val="24"/>
          <w:szCs w:val="24"/>
        </w:rPr>
        <w:t xml:space="preserve">, and was issued offset credits pursuant to section 95990(i) </w:t>
      </w:r>
      <w:r w:rsidRPr="00B61FF1">
        <w:rPr>
          <w:rFonts w:ascii="Arial" w:hAnsi="Arial" w:cs="Arial"/>
          <w:sz w:val="24"/>
          <w:szCs w:val="24"/>
        </w:rPr>
        <w:t>and the party identified in section 95985(e)(2) is no longer in business pursuant to section 95101(h)(2), the provisions in sections 95985(h)(1)(C)(1.) through (3.) and sections 95985(h)(2)(B)(1.) through (3.) still apply to the Offset Project Operator; or</w:t>
      </w:r>
    </w:p>
    <w:p w14:paraId="3236594A" w14:textId="77777777" w:rsidR="00FE6A4C" w:rsidRPr="00B61FF1" w:rsidRDefault="00FE6A4C" w:rsidP="00FE6A4C">
      <w:pPr>
        <w:spacing w:line="360" w:lineRule="auto"/>
        <w:ind w:left="1080" w:hanging="720"/>
        <w:rPr>
          <w:rFonts w:ascii="Arial" w:hAnsi="Arial" w:cs="Arial"/>
          <w:sz w:val="24"/>
          <w:szCs w:val="24"/>
        </w:rPr>
      </w:pPr>
      <w:r w:rsidRPr="00B61FF1">
        <w:rPr>
          <w:rFonts w:ascii="Arial" w:hAnsi="Arial" w:cs="Arial"/>
          <w:sz w:val="24"/>
          <w:szCs w:val="24"/>
        </w:rPr>
        <w:t>(</w:t>
      </w:r>
      <w:r w:rsidRPr="00B61FF1">
        <w:rPr>
          <w:rFonts w:ascii="Arial" w:hAnsi="Arial" w:cs="Arial"/>
          <w:strike/>
          <w:sz w:val="24"/>
          <w:szCs w:val="24"/>
        </w:rPr>
        <w:t>B</w:t>
      </w:r>
      <w:r w:rsidRPr="00B61FF1">
        <w:rPr>
          <w:rFonts w:ascii="Arial" w:hAnsi="Arial" w:cs="Arial"/>
          <w:sz w:val="24"/>
          <w:szCs w:val="24"/>
          <w:u w:val="single"/>
        </w:rPr>
        <w:t>2</w:t>
      </w:r>
      <w:r w:rsidRPr="00B61FF1">
        <w:rPr>
          <w:rFonts w:ascii="Arial" w:hAnsi="Arial" w:cs="Arial"/>
          <w:sz w:val="24"/>
          <w:szCs w:val="24"/>
        </w:rPr>
        <w:t>)</w:t>
      </w:r>
      <w:r w:rsidRPr="00B61FF1">
        <w:rPr>
          <w:rFonts w:ascii="Arial" w:hAnsi="Arial" w:cs="Arial"/>
          <w:sz w:val="24"/>
          <w:szCs w:val="24"/>
        </w:rPr>
        <w:tab/>
        <w:t xml:space="preserve">If the holder of early action offset credits registers and lists the early action offset project pursuant to sections 95990(d) and (e), </w:t>
      </w:r>
      <w:r w:rsidRPr="00B61FF1">
        <w:rPr>
          <w:rFonts w:ascii="Arial" w:hAnsi="Arial" w:cs="Arial"/>
          <w:sz w:val="24"/>
          <w:szCs w:val="24"/>
          <w:u w:val="single"/>
        </w:rPr>
        <w:t xml:space="preserve">and </w:t>
      </w:r>
      <w:r w:rsidRPr="00B61FF1">
        <w:rPr>
          <w:rFonts w:ascii="Arial" w:hAnsi="Arial" w:cs="Arial"/>
          <w:sz w:val="24"/>
          <w:szCs w:val="24"/>
        </w:rPr>
        <w:t>submits the attestations to ARB pursuant to section 95990(h)(6), and was issued ARB offset credits pursuant to section 95990(i) and the party identified in section 95985(e)(2) is no longer in business pursuant to section 95101(h)(2), the provisions in sections 95985(h)(1)(C)(1.) through (3.) and sections 95985(h)(2)(B)(1.) through (3.) apply to the holder that was issued ARB offset credits pursuant to section 95990(i) and not the Offset Project Operator.</w:t>
      </w:r>
    </w:p>
    <w:p w14:paraId="6A0C499E"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For an early action offset project developed under one of the quantification methodologies in sections 95990(c)(5)(A), (B), or (D), the statute of limitations will remain at eight years, unless one of the following applies and are met to reduce the statute of limitations to three years:</w:t>
      </w:r>
    </w:p>
    <w:p w14:paraId="74711527" w14:textId="77777777" w:rsidR="00FE6A4C" w:rsidRPr="00B61FF1" w:rsidRDefault="00FE6A4C" w:rsidP="00FE6A4C">
      <w:pPr>
        <w:spacing w:line="360" w:lineRule="auto"/>
        <w:ind w:left="144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If an Offset Project Operator or Authorized Project Designee transitions an early action offset project to a Compliance Offset Protocol pursuant to section 95990(k):</w:t>
      </w:r>
    </w:p>
    <w:p w14:paraId="31456272"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An ARB-accredited verification body must verify a subsequent Offset Project Data Report generated under a Compliance Offset Protocol;</w:t>
      </w:r>
    </w:p>
    <w:p w14:paraId="4DDE6AD5"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The ARB-accredited verification body must be a different verification body than the one that conducted any regulatory verification services of the early action offset project pursuant to section 95990(f) or that verified the early action offset program under the Early Action Offset Program; and</w:t>
      </w:r>
    </w:p>
    <w:p w14:paraId="68B548CA"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The new ARB-accredited verification body must verify the subsequent Offset Project Data Report within three years of the date of ARB offset credit issuance; or</w:t>
      </w:r>
    </w:p>
    <w:p w14:paraId="0DB65E4E" w14:textId="77777777" w:rsidR="00FE6A4C" w:rsidRPr="00B61FF1" w:rsidRDefault="00FE6A4C" w:rsidP="00FE6A4C">
      <w:pPr>
        <w:spacing w:line="360" w:lineRule="auto"/>
        <w:ind w:left="144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If an Offset Project Operator or Authorized Project Designee does not transition an early action offset project to a Compliance Offset Protocol pursuant to section 95990(k), or the Offset Project Operator or Authorized Project Designee chooses to reduce the statute of limitations prior to the verification of a subsequent Offset Project Data Report being verified pursuant to section 95990(l)(3)(A)(1.) above:</w:t>
      </w:r>
    </w:p>
    <w:p w14:paraId="284C7F8C"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1.</w:t>
      </w:r>
      <w:r w:rsidRPr="00B61FF1">
        <w:rPr>
          <w:rFonts w:ascii="Arial" w:hAnsi="Arial" w:cs="Arial"/>
          <w:sz w:val="24"/>
          <w:szCs w:val="24"/>
        </w:rPr>
        <w:tab/>
      </w:r>
      <w:r w:rsidRPr="00B61FF1">
        <w:rPr>
          <w:rFonts w:ascii="Arial" w:hAnsi="Arial" w:cs="Arial"/>
          <w:sz w:val="24"/>
          <w:szCs w:val="24"/>
          <w:u w:val="single"/>
        </w:rPr>
        <w:t>An ARB-accredited verification body must conduct full offset verification services based on the original data reports and/or reporting information submitted to the Early Action Offset Program for the original offset verification conducted under the Early Action Offset Program.  The full offset verification services must be in addition to any regulatory verification services conducted for the early action offset project pursuant to section 95990(f);</w:t>
      </w:r>
    </w:p>
    <w:p w14:paraId="19C5F3F4"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2.</w:t>
      </w:r>
      <w:r w:rsidRPr="00B61FF1">
        <w:rPr>
          <w:rFonts w:ascii="Arial" w:hAnsi="Arial" w:cs="Arial"/>
          <w:sz w:val="24"/>
          <w:szCs w:val="24"/>
        </w:rPr>
        <w:tab/>
      </w:r>
      <w:r w:rsidRPr="00B61FF1">
        <w:rPr>
          <w:rFonts w:ascii="Arial" w:hAnsi="Arial" w:cs="Arial"/>
          <w:sz w:val="24"/>
          <w:szCs w:val="24"/>
          <w:u w:val="single"/>
        </w:rPr>
        <w:t>The ARB-accredited verification body must be a different verification body than the one that conducted any regulatory verification services of the early action offset project pursuant to section 95990(f) or that verified the early action offset program under the Early Action Offset Program; and</w:t>
      </w:r>
    </w:p>
    <w:p w14:paraId="5A2CA62A" w14:textId="77777777" w:rsidR="00FE6A4C" w:rsidRPr="00B61FF1" w:rsidRDefault="00FE6A4C" w:rsidP="00FE6A4C">
      <w:pPr>
        <w:spacing w:line="360" w:lineRule="auto"/>
        <w:ind w:left="2160" w:hanging="720"/>
        <w:rPr>
          <w:rFonts w:ascii="Arial" w:hAnsi="Arial" w:cs="Arial"/>
          <w:sz w:val="24"/>
          <w:szCs w:val="24"/>
          <w:u w:val="single"/>
        </w:rPr>
      </w:pPr>
      <w:r w:rsidRPr="00B61FF1">
        <w:rPr>
          <w:rFonts w:ascii="Arial" w:hAnsi="Arial" w:cs="Arial"/>
          <w:sz w:val="24"/>
          <w:szCs w:val="24"/>
          <w:u w:val="single"/>
        </w:rPr>
        <w:t>3.</w:t>
      </w:r>
      <w:r w:rsidRPr="00B61FF1">
        <w:rPr>
          <w:rFonts w:ascii="Arial" w:hAnsi="Arial" w:cs="Arial"/>
          <w:sz w:val="24"/>
          <w:szCs w:val="24"/>
        </w:rPr>
        <w:tab/>
      </w:r>
      <w:r w:rsidRPr="00B61FF1">
        <w:rPr>
          <w:rFonts w:ascii="Arial" w:hAnsi="Arial" w:cs="Arial"/>
          <w:sz w:val="24"/>
          <w:szCs w:val="24"/>
          <w:u w:val="single"/>
        </w:rPr>
        <w:t>The new ARB-accredited verification body must complete the full offset verification services, by submitting an Offset Verification Statement, within three years following the issuance of ARB offset credits as a result of the regulatory verification services performed pursuant to section 95990(f).  The full offset verification services must include a site visit to the offset project location.  The site visit must only be performed once for all qualifying early action reporting periods.</w:t>
      </w:r>
    </w:p>
    <w:p w14:paraId="7DEF80E1"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(4)</w:t>
      </w:r>
      <w:r w:rsidRPr="00B61FF1">
        <w:rPr>
          <w:rFonts w:ascii="Arial" w:hAnsi="Arial" w:cs="Arial"/>
          <w:sz w:val="24"/>
          <w:szCs w:val="24"/>
        </w:rPr>
        <w:tab/>
      </w:r>
      <w:r w:rsidRPr="00B61FF1">
        <w:rPr>
          <w:rFonts w:ascii="Arial" w:hAnsi="Arial" w:cs="Arial"/>
          <w:sz w:val="24"/>
          <w:szCs w:val="24"/>
          <w:u w:val="single"/>
        </w:rPr>
        <w:t>For an early action offset project developed under the quantification methodology in sections 95990(c)(5)(C), the statute of limitations will remain at eight years, unless the following criteria are met to reduce the statute of limitations to three years:</w:t>
      </w:r>
    </w:p>
    <w:p w14:paraId="68303FF5" w14:textId="77777777" w:rsidR="00FE6A4C" w:rsidRPr="00B61FF1" w:rsidRDefault="00FE6A4C" w:rsidP="00FE6A4C">
      <w:pPr>
        <w:spacing w:line="360" w:lineRule="auto"/>
        <w:ind w:left="144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Pr="00B61FF1">
        <w:rPr>
          <w:rFonts w:ascii="Arial" w:hAnsi="Arial" w:cs="Arial"/>
          <w:sz w:val="24"/>
          <w:szCs w:val="24"/>
          <w:u w:val="single"/>
        </w:rPr>
        <w:t>An ARB-accredited verification body must conduct full offset verification services based on the original data reports and/or reporting information submitted to the Early Action Offset Program for the original offset verification conducted under the Early Action Offset Program.  The full offset verification services must be in addition to any regulatory verification services conducted for the early action offset project pursuant to section 95990(f);</w:t>
      </w:r>
    </w:p>
    <w:p w14:paraId="1E127C89" w14:textId="77777777" w:rsidR="00FE6A4C" w:rsidRPr="00B61FF1" w:rsidRDefault="00FE6A4C" w:rsidP="00FE6A4C">
      <w:pPr>
        <w:spacing w:line="360" w:lineRule="auto"/>
        <w:ind w:left="144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The ARB-accredited verification body must be a different verification body than the one that conducted any regulatory verification services of the early action offset project pursuant to section 95990(f) or that verified the early action offset program under the Early Action Offset Program; and</w:t>
      </w:r>
    </w:p>
    <w:p w14:paraId="46406824" w14:textId="77777777" w:rsidR="00FE6A4C" w:rsidRPr="00B61FF1" w:rsidRDefault="00FE6A4C" w:rsidP="00FE6A4C">
      <w:pPr>
        <w:spacing w:line="360" w:lineRule="auto"/>
        <w:ind w:left="144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The new ARB-accredited verification body must complete the full offset verification services, by submitting an Offset Verification Statement, within three years of the conclusion of the regulatory verification services performed pursuant to section 95990(f) and the full offset verification services must include a site visit to the offset project location.  The site visit must only be performed once for all qualifying early action reporting periods.</w:t>
      </w:r>
    </w:p>
    <w:p w14:paraId="2FE7F4C9" w14:textId="77777777" w:rsidR="00FE6A4C" w:rsidRPr="00B61FF1" w:rsidRDefault="00FE6A4C" w:rsidP="00FE6A4C">
      <w:pPr>
        <w:spacing w:line="360" w:lineRule="auto"/>
        <w:ind w:left="1080" w:hanging="720"/>
        <w:rPr>
          <w:rFonts w:ascii="Arial" w:hAnsi="Arial" w:cs="Arial"/>
          <w:sz w:val="24"/>
          <w:szCs w:val="24"/>
          <w:u w:val="single"/>
        </w:rPr>
      </w:pPr>
      <w:r w:rsidRPr="00B61FF1">
        <w:rPr>
          <w:rFonts w:ascii="Arial" w:hAnsi="Arial" w:cs="Arial"/>
          <w:sz w:val="24"/>
          <w:szCs w:val="24"/>
          <w:u w:val="single"/>
        </w:rPr>
        <w:t>(5)</w:t>
      </w:r>
      <w:r w:rsidRPr="00B61FF1">
        <w:rPr>
          <w:rFonts w:ascii="Arial" w:hAnsi="Arial" w:cs="Arial"/>
          <w:sz w:val="24"/>
          <w:szCs w:val="24"/>
        </w:rPr>
        <w:tab/>
      </w:r>
      <w:r w:rsidRPr="00B61FF1">
        <w:rPr>
          <w:rFonts w:ascii="Arial" w:hAnsi="Arial" w:cs="Arial"/>
          <w:sz w:val="24"/>
          <w:szCs w:val="24"/>
          <w:u w:val="single"/>
        </w:rPr>
        <w:t>For all ARB offset credits issued for early action, the timeframe for the statute of limitations will always begin with the date the ARB offset credits are issued by ARB.</w:t>
      </w:r>
    </w:p>
    <w:p w14:paraId="70A69656" w14:textId="77777777" w:rsidR="00FE6A4C" w:rsidRPr="00B61FF1" w:rsidRDefault="00FE6A4C" w:rsidP="00FE6A4C">
      <w:pPr>
        <w:spacing w:line="360" w:lineRule="auto"/>
        <w:ind w:left="1080" w:hanging="720"/>
        <w:rPr>
          <w:rFonts w:ascii="Arial" w:hAnsi="Arial" w:cs="Arial"/>
          <w:strike/>
          <w:sz w:val="24"/>
          <w:szCs w:val="24"/>
          <w:u w:val="single"/>
        </w:rPr>
      </w:pPr>
      <w:r w:rsidRPr="00B61FF1">
        <w:rPr>
          <w:rFonts w:ascii="Arial" w:hAnsi="Arial" w:cs="Arial"/>
          <w:strike/>
          <w:sz w:val="24"/>
          <w:szCs w:val="24"/>
        </w:rPr>
        <w:t>(2)</w:t>
      </w:r>
      <w:r w:rsidRPr="00B61FF1">
        <w:rPr>
          <w:rFonts w:ascii="Arial" w:hAnsi="Arial" w:cs="Arial"/>
          <w:strike/>
          <w:sz w:val="24"/>
          <w:szCs w:val="24"/>
        </w:rPr>
        <w:tab/>
        <w:t>ARB Offset Credits from Forest Offset Projects.  An ARB offset credit from a forest offset project may be invalidated pursuant to sections 95985(a) through (g) and sections 95985(i) and (j).</w:t>
      </w:r>
    </w:p>
    <w:p w14:paraId="153EDDBC" w14:textId="77777777" w:rsidR="00FE6A4C" w:rsidRPr="00B61FF1" w:rsidRDefault="00FE6A4C" w:rsidP="00F43CE0">
      <w:pPr>
        <w:rPr>
          <w:rFonts w:ascii="Arial" w:hAnsi="Arial" w:cs="Arial"/>
        </w:rPr>
      </w:pPr>
    </w:p>
    <w:p w14:paraId="71E40892" w14:textId="77777777" w:rsidR="002A6137" w:rsidRPr="00CC193F" w:rsidRDefault="002A6137" w:rsidP="002A6137">
      <w:pPr>
        <w:rPr>
          <w:rFonts w:ascii="Arial" w:hAnsi="Arial" w:cs="Arial"/>
        </w:rPr>
      </w:pPr>
      <w:r w:rsidRPr="00CC193F">
        <w:rPr>
          <w:rFonts w:ascii="Arial" w:hAnsi="Arial" w:cs="Arial"/>
        </w:rPr>
        <w:t>NOTE:  Authority cited:  Sections 38510, 38560, 38562, 38570, 38571, 38580, 39600 and 39601, Health and Safety Code.</w:t>
      </w:r>
    </w:p>
    <w:p w14:paraId="5429C319" w14:textId="77777777" w:rsidR="002A6137" w:rsidRPr="00B61FF1" w:rsidRDefault="002A6137" w:rsidP="002A6137">
      <w:pPr>
        <w:rPr>
          <w:rFonts w:ascii="Arial" w:hAnsi="Arial" w:cs="Arial"/>
          <w:u w:val="single"/>
        </w:rPr>
      </w:pPr>
      <w:r w:rsidRPr="00CC193F">
        <w:rPr>
          <w:rFonts w:ascii="Arial" w:hAnsi="Arial" w:cs="Arial"/>
        </w:rPr>
        <w:t>Reference:  Sections 38530, 38560.5, 38564, 38565, 38570 and 39600, Health and Safety Code</w:t>
      </w:r>
      <w:r w:rsidRPr="00B61FF1">
        <w:rPr>
          <w:rFonts w:ascii="Arial" w:hAnsi="Arial" w:cs="Arial"/>
          <w:u w:val="single"/>
        </w:rPr>
        <w:t>.</w:t>
      </w:r>
    </w:p>
    <w:p w14:paraId="06541214" w14:textId="77777777" w:rsidR="00FE6A4C" w:rsidRDefault="00FE6A4C" w:rsidP="00F43CE0">
      <w:pPr>
        <w:rPr>
          <w:rFonts w:ascii="Arial" w:hAnsi="Arial" w:cs="Arial"/>
        </w:rPr>
      </w:pPr>
    </w:p>
    <w:p w14:paraId="57094E84" w14:textId="77777777" w:rsidR="00CC193F" w:rsidRPr="004B7DC9" w:rsidRDefault="00CC193F" w:rsidP="00CC193F">
      <w:pPr>
        <w:spacing w:before="240" w:after="60" w:line="360" w:lineRule="auto"/>
        <w:outlineLvl w:val="1"/>
        <w:rPr>
          <w:rFonts w:ascii="Arial" w:hAnsi="Arial" w:cs="Arial"/>
          <w:b/>
          <w:bCs/>
          <w:iCs/>
          <w:sz w:val="24"/>
          <w:szCs w:val="24"/>
        </w:rPr>
      </w:pPr>
      <w:bookmarkStart w:id="723" w:name="_Toc299094995"/>
      <w:bookmarkStart w:id="724" w:name="_Toc302746849"/>
      <w:r w:rsidRPr="004B7DC9">
        <w:rPr>
          <w:rFonts w:ascii="Arial" w:hAnsi="Arial" w:cs="Arial"/>
          <w:b/>
          <w:bCs/>
          <w:iCs/>
          <w:sz w:val="24"/>
          <w:szCs w:val="24"/>
        </w:rPr>
        <w:t>§ 95991.  Sector-Based Offset Credits.</w:t>
      </w:r>
      <w:bookmarkEnd w:id="723"/>
      <w:bookmarkEnd w:id="724"/>
    </w:p>
    <w:p w14:paraId="1B15F95E" w14:textId="2517C411" w:rsidR="00CC193F" w:rsidRPr="004B7DC9" w:rsidRDefault="00CC193F" w:rsidP="00CC193F">
      <w:pPr>
        <w:spacing w:line="360" w:lineRule="auto"/>
        <w:rPr>
          <w:rFonts w:ascii="Arial" w:hAnsi="Arial" w:cs="Arial"/>
          <w:sz w:val="24"/>
          <w:szCs w:val="22"/>
        </w:rPr>
      </w:pPr>
      <w:r w:rsidRPr="004B7DC9">
        <w:rPr>
          <w:rFonts w:ascii="Arial" w:hAnsi="Arial" w:cs="Arial"/>
          <w:sz w:val="24"/>
          <w:szCs w:val="24"/>
        </w:rPr>
        <w:t>Sector-based offset credits may be generated through reduced or avoided GHG emissions from within, or carbon removed and sequestered from the atmosphere by, a specific sector in a particular jurisdiction.  The Board may consider for acceptance compliance instruments issued from sector</w:t>
      </w:r>
      <w:r w:rsidRPr="004B7DC9">
        <w:rPr>
          <w:rFonts w:ascii="Arial" w:hAnsi="Arial" w:cs="Arial"/>
          <w:sz w:val="24"/>
          <w:szCs w:val="24"/>
        </w:rPr>
        <w:noBreakHyphen/>
        <w:t>based offset crediting programs that meet the requirements set forth in section 95994 and originate from developing countries or from subnational jurisdictions within those developing countries, except as specified in subarticle 13</w:t>
      </w:r>
      <w:r>
        <w:rPr>
          <w:rFonts w:ascii="Arial" w:hAnsi="Arial" w:cs="Arial"/>
          <w:sz w:val="24"/>
          <w:szCs w:val="22"/>
        </w:rPr>
        <w:t>.</w:t>
      </w:r>
    </w:p>
    <w:p w14:paraId="350C55B4" w14:textId="77777777" w:rsidR="00CC193F" w:rsidRPr="004B7DC9" w:rsidRDefault="00CC193F" w:rsidP="00CC193F">
      <w:pPr>
        <w:rPr>
          <w:rFonts w:ascii="Arial" w:hAnsi="Arial" w:cs="Arial"/>
        </w:rPr>
      </w:pPr>
      <w:r w:rsidRPr="004B7DC9">
        <w:rPr>
          <w:rFonts w:ascii="Arial" w:hAnsi="Arial" w:cs="Arial"/>
        </w:rPr>
        <w:t>NOTE: Authority cited:  Sections 38510, 38560, 38562, 38570, 38571, 38580, 39600 and 39601, Health and Safety Code.</w:t>
      </w:r>
    </w:p>
    <w:p w14:paraId="3540A9F7" w14:textId="77777777" w:rsidR="00CC193F" w:rsidRPr="004B7DC9" w:rsidRDefault="00CC193F" w:rsidP="00CC193F">
      <w:pPr>
        <w:rPr>
          <w:rFonts w:ascii="Arial" w:hAnsi="Arial" w:cs="Arial"/>
        </w:rPr>
      </w:pPr>
      <w:r w:rsidRPr="004B7DC9">
        <w:rPr>
          <w:rFonts w:ascii="Arial" w:hAnsi="Arial" w:cs="Arial"/>
        </w:rPr>
        <w:t>Reference:   Sections 38530, 38560.5, 38564, 38565, 38570 and 39600, Health and Safety Code.</w:t>
      </w:r>
    </w:p>
    <w:p w14:paraId="0CC53ED4" w14:textId="77777777" w:rsidR="00CC193F" w:rsidRPr="004B7DC9" w:rsidRDefault="00CC193F" w:rsidP="00CC193F">
      <w:pPr>
        <w:spacing w:before="240" w:after="60" w:line="360" w:lineRule="auto"/>
        <w:outlineLvl w:val="1"/>
        <w:rPr>
          <w:rFonts w:ascii="Arial" w:hAnsi="Arial" w:cs="Arial"/>
          <w:b/>
          <w:bCs/>
          <w:iCs/>
          <w:sz w:val="24"/>
          <w:szCs w:val="24"/>
        </w:rPr>
      </w:pPr>
      <w:bookmarkStart w:id="725" w:name="_Toc275870269"/>
      <w:bookmarkStart w:id="726" w:name="_Toc294275164"/>
      <w:bookmarkStart w:id="727" w:name="_Toc299094996"/>
      <w:bookmarkStart w:id="728" w:name="_Toc302746850"/>
      <w:r w:rsidRPr="004B7DC9">
        <w:rPr>
          <w:rFonts w:ascii="Arial" w:hAnsi="Arial" w:cs="Arial"/>
          <w:b/>
          <w:bCs/>
          <w:iCs/>
          <w:sz w:val="24"/>
          <w:szCs w:val="24"/>
        </w:rPr>
        <w:t>§ 95992.  Procedures for Approval of Sector-Based Crediting Programs</w:t>
      </w:r>
      <w:bookmarkEnd w:id="725"/>
      <w:bookmarkEnd w:id="726"/>
      <w:r w:rsidRPr="004B7DC9">
        <w:rPr>
          <w:rFonts w:ascii="Arial" w:hAnsi="Arial" w:cs="Arial"/>
          <w:b/>
          <w:bCs/>
          <w:iCs/>
          <w:sz w:val="24"/>
          <w:szCs w:val="24"/>
        </w:rPr>
        <w:t>.</w:t>
      </w:r>
      <w:bookmarkEnd w:id="727"/>
      <w:bookmarkEnd w:id="728"/>
    </w:p>
    <w:p w14:paraId="0607F32E" w14:textId="77777777" w:rsidR="00CC193F" w:rsidRPr="004B7DC9" w:rsidRDefault="00CC193F" w:rsidP="00CC193F">
      <w:pPr>
        <w:spacing w:line="360" w:lineRule="auto"/>
        <w:rPr>
          <w:rFonts w:ascii="Arial" w:hAnsi="Arial" w:cs="Arial"/>
          <w:sz w:val="24"/>
          <w:szCs w:val="22"/>
        </w:rPr>
      </w:pPr>
      <w:r w:rsidRPr="004B7DC9">
        <w:rPr>
          <w:rFonts w:ascii="Arial" w:hAnsi="Arial" w:cs="Arial"/>
          <w:sz w:val="24"/>
          <w:szCs w:val="22"/>
        </w:rPr>
        <w:t>The Board may approve a sector-based crediting program in an eligible jurisdiction after public notice and opportunity for public comment in accordance with the Administrative Procedure Act (Government Code section 11340 et seq.).  Provisions set forth in this article shall specify which compliance instruments issued by an approved sector-based crediting program may be used to meet a compliance obligation under this Article.</w:t>
      </w:r>
    </w:p>
    <w:p w14:paraId="7A08ECF8" w14:textId="77777777" w:rsidR="00CC193F" w:rsidRPr="004B7DC9" w:rsidRDefault="00CC193F" w:rsidP="00CC193F">
      <w:pPr>
        <w:rPr>
          <w:rFonts w:ascii="Arial" w:hAnsi="Arial" w:cs="Arial"/>
        </w:rPr>
      </w:pPr>
      <w:r w:rsidRPr="004B7DC9">
        <w:rPr>
          <w:rFonts w:ascii="Arial" w:hAnsi="Arial" w:cs="Arial"/>
        </w:rPr>
        <w:t>NOTE: Authority cited:  Sections 38510, 38560, 38562, 38570, 38571, 38580, 39600 and 39601, Health and Safety Code.</w:t>
      </w:r>
    </w:p>
    <w:p w14:paraId="4377EE50" w14:textId="77777777" w:rsidR="00CC193F" w:rsidRPr="004B7DC9" w:rsidRDefault="00CC193F" w:rsidP="00CC193F">
      <w:pPr>
        <w:rPr>
          <w:rFonts w:ascii="Arial" w:hAnsi="Arial" w:cs="Arial"/>
        </w:rPr>
      </w:pPr>
      <w:r w:rsidRPr="004B7DC9">
        <w:rPr>
          <w:rFonts w:ascii="Arial" w:hAnsi="Arial" w:cs="Arial"/>
        </w:rPr>
        <w:t>Reference:   Sections 38530, 38560.5, 38564, 38565, 38570 and 39600, Health and Safety Code.</w:t>
      </w:r>
    </w:p>
    <w:p w14:paraId="3B2C53CB" w14:textId="77777777" w:rsidR="00CC193F" w:rsidRDefault="00CC193F" w:rsidP="00CC193F">
      <w:pPr>
        <w:autoSpaceDE/>
        <w:autoSpaceDN/>
        <w:adjustRightInd/>
        <w:rPr>
          <w:rFonts w:ascii="Arial" w:hAnsi="Arial" w:cs="Arial"/>
          <w:b/>
          <w:bCs/>
          <w:iCs/>
          <w:sz w:val="24"/>
          <w:szCs w:val="24"/>
        </w:rPr>
      </w:pPr>
      <w:bookmarkStart w:id="729" w:name="_Toc273512701"/>
      <w:bookmarkStart w:id="730" w:name="_Toc275870270"/>
      <w:bookmarkStart w:id="731" w:name="_Toc294275165"/>
      <w:bookmarkStart w:id="732" w:name="_Toc299094997"/>
      <w:bookmarkStart w:id="733" w:name="_Toc302746851"/>
    </w:p>
    <w:p w14:paraId="2E97689E" w14:textId="77777777" w:rsidR="00CC193F" w:rsidRDefault="00CC193F" w:rsidP="00CC193F">
      <w:pPr>
        <w:autoSpaceDE/>
        <w:autoSpaceDN/>
        <w:adjustRightInd/>
        <w:rPr>
          <w:rFonts w:ascii="Arial" w:hAnsi="Arial" w:cs="Arial"/>
          <w:b/>
          <w:bCs/>
          <w:iCs/>
          <w:sz w:val="24"/>
          <w:szCs w:val="24"/>
        </w:rPr>
      </w:pPr>
    </w:p>
    <w:p w14:paraId="3A20BCD9" w14:textId="77777777" w:rsidR="00CC193F" w:rsidRPr="004B7DC9" w:rsidRDefault="00CC193F" w:rsidP="00CC193F">
      <w:pPr>
        <w:autoSpaceDE/>
        <w:autoSpaceDN/>
        <w:adjustRightInd/>
        <w:rPr>
          <w:rFonts w:ascii="Arial" w:hAnsi="Arial" w:cs="Arial"/>
          <w:b/>
          <w:bCs/>
          <w:iCs/>
          <w:sz w:val="24"/>
          <w:szCs w:val="24"/>
        </w:rPr>
      </w:pPr>
      <w:r w:rsidRPr="004B7DC9">
        <w:rPr>
          <w:rFonts w:ascii="Arial" w:hAnsi="Arial" w:cs="Arial"/>
          <w:b/>
          <w:bCs/>
          <w:iCs/>
          <w:sz w:val="24"/>
          <w:szCs w:val="24"/>
        </w:rPr>
        <w:t>§ 95993.  Sources for Sector-Based Offset Credits</w:t>
      </w:r>
      <w:bookmarkEnd w:id="729"/>
      <w:bookmarkEnd w:id="730"/>
      <w:bookmarkEnd w:id="731"/>
      <w:r w:rsidRPr="004B7DC9">
        <w:rPr>
          <w:rFonts w:ascii="Arial" w:hAnsi="Arial" w:cs="Arial"/>
          <w:b/>
          <w:bCs/>
          <w:iCs/>
          <w:sz w:val="24"/>
          <w:szCs w:val="24"/>
        </w:rPr>
        <w:t>.</w:t>
      </w:r>
      <w:bookmarkEnd w:id="732"/>
      <w:bookmarkEnd w:id="733"/>
    </w:p>
    <w:p w14:paraId="14F9A0C9" w14:textId="77777777" w:rsidR="00CC193F" w:rsidRPr="004B7DC9" w:rsidRDefault="00CC193F" w:rsidP="00CC193F">
      <w:pPr>
        <w:spacing w:line="360" w:lineRule="auto"/>
        <w:rPr>
          <w:rFonts w:ascii="Arial" w:hAnsi="Arial" w:cs="Arial"/>
          <w:sz w:val="24"/>
          <w:szCs w:val="22"/>
        </w:rPr>
      </w:pPr>
      <w:r w:rsidRPr="004B7DC9">
        <w:rPr>
          <w:rFonts w:ascii="Arial" w:hAnsi="Arial" w:cs="Arial"/>
          <w:sz w:val="24"/>
          <w:szCs w:val="24"/>
        </w:rPr>
        <w:t>Sector-based credits may be generated from:</w:t>
      </w:r>
    </w:p>
    <w:p w14:paraId="4799EB3A" w14:textId="77777777" w:rsidR="00CC193F" w:rsidRPr="004B7DC9" w:rsidRDefault="00CC193F" w:rsidP="00CC193F">
      <w:pPr>
        <w:numPr>
          <w:ilvl w:val="0"/>
          <w:numId w:val="64"/>
        </w:numPr>
        <w:spacing w:line="360" w:lineRule="auto"/>
        <w:rPr>
          <w:rFonts w:ascii="Arial" w:hAnsi="Arial" w:cs="Arial"/>
          <w:sz w:val="24"/>
          <w:szCs w:val="24"/>
        </w:rPr>
      </w:pPr>
      <w:r w:rsidRPr="004B7DC9">
        <w:rPr>
          <w:rFonts w:ascii="Arial" w:hAnsi="Arial" w:cs="Arial"/>
          <w:sz w:val="24"/>
          <w:szCs w:val="24"/>
        </w:rPr>
        <w:t>Reducing Emissions from Deforestation and Forest Degradation (REDD) Plans</w:t>
      </w:r>
      <w:r>
        <w:rPr>
          <w:rFonts w:ascii="Arial" w:hAnsi="Arial" w:cs="Arial"/>
          <w:sz w:val="24"/>
          <w:szCs w:val="24"/>
        </w:rPr>
        <w:t>.</w:t>
      </w:r>
    </w:p>
    <w:p w14:paraId="76E1F05A" w14:textId="77777777" w:rsidR="00CC193F" w:rsidRPr="004B7DC9" w:rsidRDefault="00CC193F" w:rsidP="00CC193F">
      <w:pPr>
        <w:rPr>
          <w:rFonts w:ascii="Arial" w:hAnsi="Arial" w:cs="Arial"/>
        </w:rPr>
      </w:pPr>
    </w:p>
    <w:p w14:paraId="54CE9632" w14:textId="77777777" w:rsidR="00CC193F" w:rsidRPr="004B7DC9" w:rsidRDefault="00CC193F" w:rsidP="00CC193F">
      <w:pPr>
        <w:rPr>
          <w:rFonts w:ascii="Arial" w:hAnsi="Arial" w:cs="Arial"/>
        </w:rPr>
      </w:pPr>
      <w:r w:rsidRPr="004B7DC9">
        <w:rPr>
          <w:rFonts w:ascii="Arial" w:hAnsi="Arial" w:cs="Arial"/>
        </w:rPr>
        <w:t>NOTE: Authority cited:  Sections 38510, 38560, 38562, 38570, 38571, 38580, 39600 and 39601, Health and Safety Code.</w:t>
      </w:r>
    </w:p>
    <w:p w14:paraId="1464CC6A" w14:textId="77777777" w:rsidR="00CC193F" w:rsidRPr="004B7DC9" w:rsidRDefault="00CC193F" w:rsidP="00CC193F">
      <w:pPr>
        <w:rPr>
          <w:rFonts w:ascii="Arial" w:hAnsi="Arial" w:cs="Arial"/>
        </w:rPr>
      </w:pPr>
      <w:r w:rsidRPr="004B7DC9">
        <w:rPr>
          <w:rFonts w:ascii="Arial" w:hAnsi="Arial" w:cs="Arial"/>
        </w:rPr>
        <w:t>Reference:   Sections 38530, 38560.5, 38564, 38565, 38570 and 39600, Health and Safety Code.</w:t>
      </w:r>
    </w:p>
    <w:p w14:paraId="57895EA7" w14:textId="77777777" w:rsidR="00CC193F" w:rsidRPr="004B7DC9" w:rsidRDefault="00CC193F" w:rsidP="00CC193F">
      <w:pPr>
        <w:spacing w:before="240" w:after="60" w:line="360" w:lineRule="auto"/>
        <w:outlineLvl w:val="1"/>
        <w:rPr>
          <w:rFonts w:ascii="Arial" w:hAnsi="Arial" w:cs="Arial"/>
          <w:b/>
          <w:bCs/>
          <w:iCs/>
          <w:sz w:val="24"/>
          <w:szCs w:val="24"/>
        </w:rPr>
      </w:pPr>
      <w:bookmarkStart w:id="734" w:name="_Toc273512702"/>
      <w:bookmarkStart w:id="735" w:name="_Toc275870271"/>
      <w:bookmarkStart w:id="736" w:name="_Toc294275166"/>
      <w:bookmarkStart w:id="737" w:name="_Toc299094998"/>
      <w:bookmarkStart w:id="738" w:name="_Toc302746852"/>
      <w:r w:rsidRPr="004B7DC9">
        <w:rPr>
          <w:rFonts w:ascii="Arial" w:hAnsi="Arial" w:cs="Arial"/>
          <w:b/>
          <w:bCs/>
          <w:iCs/>
          <w:sz w:val="24"/>
          <w:szCs w:val="24"/>
        </w:rPr>
        <w:t>§ 95994.  Requirements for Sector-Based Offset Crediting Programs</w:t>
      </w:r>
      <w:bookmarkEnd w:id="734"/>
      <w:bookmarkEnd w:id="735"/>
      <w:bookmarkEnd w:id="736"/>
      <w:r w:rsidRPr="004B7DC9">
        <w:rPr>
          <w:rFonts w:ascii="Arial" w:hAnsi="Arial" w:cs="Arial"/>
          <w:b/>
          <w:bCs/>
          <w:iCs/>
          <w:sz w:val="24"/>
          <w:szCs w:val="24"/>
        </w:rPr>
        <w:t>.</w:t>
      </w:r>
      <w:bookmarkEnd w:id="737"/>
      <w:bookmarkEnd w:id="738"/>
    </w:p>
    <w:p w14:paraId="4C0117BD" w14:textId="77777777" w:rsidR="00CC193F" w:rsidRPr="004B7DC9" w:rsidRDefault="00CC193F" w:rsidP="00CC193F">
      <w:pPr>
        <w:numPr>
          <w:ilvl w:val="0"/>
          <w:numId w:val="65"/>
        </w:numPr>
        <w:spacing w:line="360" w:lineRule="auto"/>
        <w:rPr>
          <w:rFonts w:ascii="Arial" w:hAnsi="Arial" w:cs="Arial"/>
          <w:sz w:val="24"/>
          <w:szCs w:val="22"/>
        </w:rPr>
      </w:pPr>
      <w:r w:rsidRPr="004B7DC9">
        <w:rPr>
          <w:rFonts w:ascii="Arial" w:hAnsi="Arial" w:cs="Arial"/>
          <w:sz w:val="24"/>
          <w:szCs w:val="22"/>
        </w:rPr>
        <w:t>General Requirements for Sector-Based Crediting Programs.</w:t>
      </w:r>
      <w:r w:rsidRPr="004B7DC9">
        <w:rPr>
          <w:rFonts w:ascii="Arial" w:hAnsi="Arial" w:cs="Arial"/>
          <w:i/>
          <w:sz w:val="24"/>
          <w:szCs w:val="22"/>
        </w:rPr>
        <w:t xml:space="preserve">  </w:t>
      </w:r>
      <w:r w:rsidRPr="004B7DC9">
        <w:rPr>
          <w:rFonts w:ascii="Arial" w:hAnsi="Arial" w:cs="Arial"/>
          <w:sz w:val="24"/>
          <w:szCs w:val="22"/>
        </w:rPr>
        <w:t xml:space="preserve">The Board may consider for approval a sector-based crediting program which may include the following sectoral requirements: </w:t>
      </w:r>
    </w:p>
    <w:p w14:paraId="60F89D27" w14:textId="77777777" w:rsidR="00CC193F" w:rsidRPr="004B7DC9" w:rsidRDefault="00CC193F" w:rsidP="00CC193F">
      <w:pPr>
        <w:numPr>
          <w:ilvl w:val="1"/>
          <w:numId w:val="65"/>
        </w:numPr>
        <w:spacing w:line="360" w:lineRule="auto"/>
        <w:rPr>
          <w:rFonts w:ascii="Arial" w:hAnsi="Arial" w:cs="Arial"/>
          <w:sz w:val="24"/>
          <w:szCs w:val="24"/>
        </w:rPr>
      </w:pPr>
      <w:r w:rsidRPr="004B7DC9">
        <w:rPr>
          <w:rFonts w:ascii="Arial" w:hAnsi="Arial" w:cs="Arial"/>
          <w:sz w:val="24"/>
          <w:szCs w:val="24"/>
        </w:rPr>
        <w:t>Sector Plan.  The host jurisdiction has established a plan for reducing emissions from the sector.</w:t>
      </w:r>
    </w:p>
    <w:p w14:paraId="3CB1C5CC" w14:textId="77777777" w:rsidR="00CC193F" w:rsidRPr="004B7DC9" w:rsidRDefault="00CC193F" w:rsidP="00CC193F">
      <w:pPr>
        <w:numPr>
          <w:ilvl w:val="1"/>
          <w:numId w:val="65"/>
        </w:numPr>
        <w:spacing w:line="360" w:lineRule="auto"/>
        <w:rPr>
          <w:rFonts w:ascii="Arial" w:hAnsi="Arial" w:cs="Arial"/>
          <w:sz w:val="24"/>
          <w:szCs w:val="24"/>
        </w:rPr>
      </w:pPr>
      <w:r w:rsidRPr="004B7DC9">
        <w:rPr>
          <w:rFonts w:ascii="Arial" w:hAnsi="Arial" w:cs="Arial"/>
          <w:sz w:val="24"/>
          <w:szCs w:val="24"/>
        </w:rPr>
        <w:t>Monitoring, Reporting, Verification, and Enforcement.  The program includes a transparent system that regularly monitors, inventories, reports, verifies, and maintains accounting for emission reductions across the program’s entire sector, as well as maintains enforcement capability over its reference activity producing credits.</w:t>
      </w:r>
    </w:p>
    <w:p w14:paraId="0AFDFAC7" w14:textId="77777777" w:rsidR="00CC193F" w:rsidRPr="004B7DC9" w:rsidRDefault="00CC193F" w:rsidP="00CC193F">
      <w:pPr>
        <w:numPr>
          <w:ilvl w:val="1"/>
          <w:numId w:val="65"/>
        </w:numPr>
        <w:spacing w:line="360" w:lineRule="auto"/>
        <w:rPr>
          <w:rFonts w:ascii="Arial" w:hAnsi="Arial" w:cs="Arial"/>
          <w:sz w:val="24"/>
          <w:szCs w:val="24"/>
        </w:rPr>
      </w:pPr>
      <w:r w:rsidRPr="004B7DC9">
        <w:rPr>
          <w:rFonts w:ascii="Arial" w:hAnsi="Arial" w:cs="Arial"/>
          <w:sz w:val="24"/>
          <w:szCs w:val="24"/>
        </w:rPr>
        <w:t xml:space="preserve">Offset Criteria.  The program has requirements to ensure that offset credits generated by the program are real, additional, quantifiable, permanent, verifiable and enforceable.  </w:t>
      </w:r>
    </w:p>
    <w:p w14:paraId="4C8A6BB3" w14:textId="77777777" w:rsidR="00CC193F" w:rsidRPr="004B7DC9" w:rsidRDefault="00CC193F" w:rsidP="00CC193F">
      <w:pPr>
        <w:numPr>
          <w:ilvl w:val="1"/>
          <w:numId w:val="65"/>
        </w:numPr>
        <w:spacing w:line="360" w:lineRule="auto"/>
        <w:rPr>
          <w:rFonts w:ascii="Arial" w:hAnsi="Arial" w:cs="Arial"/>
          <w:sz w:val="24"/>
          <w:szCs w:val="24"/>
        </w:rPr>
      </w:pPr>
      <w:r w:rsidRPr="004B7DC9">
        <w:rPr>
          <w:rFonts w:ascii="Arial" w:hAnsi="Arial" w:cs="Arial"/>
          <w:sz w:val="24"/>
          <w:szCs w:val="24"/>
        </w:rPr>
        <w:t xml:space="preserve">Sectoral Level Performance.  The program includes a transparent system for determining and reporting when it meets or exceeds its crediting baseline(s), and evaluating the performance of the program’s sector during each program’s crediting period relative to the business as usual or other emissions reference level. </w:t>
      </w:r>
    </w:p>
    <w:p w14:paraId="75528FD6" w14:textId="77777777" w:rsidR="00CC193F" w:rsidRPr="004B7DC9" w:rsidRDefault="00CC193F" w:rsidP="00CC193F">
      <w:pPr>
        <w:numPr>
          <w:ilvl w:val="1"/>
          <w:numId w:val="65"/>
        </w:numPr>
        <w:spacing w:line="360" w:lineRule="auto"/>
        <w:rPr>
          <w:rFonts w:ascii="Arial" w:hAnsi="Arial" w:cs="Arial"/>
          <w:sz w:val="24"/>
          <w:szCs w:val="24"/>
        </w:rPr>
      </w:pPr>
      <w:r w:rsidRPr="004B7DC9">
        <w:rPr>
          <w:rFonts w:ascii="Arial" w:hAnsi="Arial" w:cs="Arial"/>
          <w:iCs/>
          <w:sz w:val="24"/>
          <w:szCs w:val="24"/>
        </w:rPr>
        <w:t>Public Participation and Participatory Management Mechanism</w:t>
      </w:r>
      <w:r w:rsidRPr="004B7DC9">
        <w:rPr>
          <w:rFonts w:ascii="Arial" w:hAnsi="Arial" w:cs="Arial"/>
          <w:sz w:val="24"/>
          <w:szCs w:val="24"/>
        </w:rPr>
        <w:t xml:space="preserve">.  The program has established a means for public participation and consultation in the program design process. </w:t>
      </w:r>
    </w:p>
    <w:p w14:paraId="7B64EE76" w14:textId="77777777" w:rsidR="00CC193F" w:rsidRPr="004B7DC9" w:rsidRDefault="00CC193F" w:rsidP="00CC193F">
      <w:pPr>
        <w:numPr>
          <w:ilvl w:val="1"/>
          <w:numId w:val="65"/>
        </w:numPr>
        <w:spacing w:line="360" w:lineRule="auto"/>
        <w:rPr>
          <w:rFonts w:ascii="Arial" w:hAnsi="Arial" w:cs="Arial"/>
          <w:sz w:val="24"/>
          <w:szCs w:val="24"/>
        </w:rPr>
      </w:pPr>
      <w:r w:rsidRPr="004B7DC9">
        <w:rPr>
          <w:rFonts w:ascii="Arial" w:hAnsi="Arial" w:cs="Arial"/>
          <w:sz w:val="24"/>
          <w:szCs w:val="24"/>
        </w:rPr>
        <w:t>Nested Approach.  If applicable, the program includes:</w:t>
      </w:r>
    </w:p>
    <w:p w14:paraId="6A1D3075" w14:textId="77777777" w:rsidR="00CC193F" w:rsidRPr="004B7DC9" w:rsidRDefault="00CC193F" w:rsidP="00CC193F">
      <w:pPr>
        <w:numPr>
          <w:ilvl w:val="2"/>
          <w:numId w:val="65"/>
        </w:numPr>
        <w:spacing w:line="360" w:lineRule="auto"/>
        <w:rPr>
          <w:rFonts w:ascii="Arial" w:hAnsi="Arial" w:cs="Arial"/>
          <w:sz w:val="24"/>
          <w:szCs w:val="24"/>
        </w:rPr>
      </w:pPr>
      <w:r w:rsidRPr="004B7DC9">
        <w:rPr>
          <w:rFonts w:ascii="Arial" w:hAnsi="Arial" w:cs="Arial"/>
          <w:sz w:val="24"/>
          <w:szCs w:val="22"/>
        </w:rPr>
        <w:t>Offset project-specific requirements that establish methods to inventory, quantify, monitor, verify, enforce, and account for all project-level activities</w:t>
      </w:r>
    </w:p>
    <w:p w14:paraId="7CD8E1A0" w14:textId="77777777" w:rsidR="00CC193F" w:rsidRPr="004B7DC9" w:rsidRDefault="00CC193F" w:rsidP="00CC193F">
      <w:pPr>
        <w:numPr>
          <w:ilvl w:val="2"/>
          <w:numId w:val="65"/>
        </w:numPr>
        <w:spacing w:line="360" w:lineRule="auto"/>
        <w:rPr>
          <w:rFonts w:ascii="Arial" w:hAnsi="Arial" w:cs="Arial"/>
          <w:sz w:val="24"/>
          <w:szCs w:val="24"/>
        </w:rPr>
      </w:pPr>
      <w:r w:rsidRPr="004B7DC9">
        <w:rPr>
          <w:rFonts w:ascii="Arial" w:hAnsi="Arial" w:cs="Arial"/>
          <w:sz w:val="24"/>
          <w:szCs w:val="24"/>
        </w:rPr>
        <w:t xml:space="preserve">A system for reconciling offset project-based GHG reductions in sector-level accounting from the host jurisdiction. </w:t>
      </w:r>
    </w:p>
    <w:p w14:paraId="2754B143" w14:textId="77777777" w:rsidR="00CC193F" w:rsidRPr="004B7DC9" w:rsidRDefault="00CC193F" w:rsidP="00CC193F">
      <w:pPr>
        <w:rPr>
          <w:rFonts w:ascii="Arial" w:hAnsi="Arial" w:cs="Arial"/>
        </w:rPr>
      </w:pPr>
      <w:r w:rsidRPr="004B7DC9">
        <w:rPr>
          <w:rFonts w:ascii="Arial" w:hAnsi="Arial" w:cs="Arial"/>
        </w:rPr>
        <w:t>NOTE: Authority cited:  Sections 38510, 38560, 38562, 38570, 38571, 38580, 39600 and 39601, Health and Safety Code.</w:t>
      </w:r>
    </w:p>
    <w:p w14:paraId="77210DA9" w14:textId="77777777" w:rsidR="00CC193F" w:rsidRPr="004B7DC9" w:rsidRDefault="00CC193F" w:rsidP="00CC193F">
      <w:pPr>
        <w:rPr>
          <w:rFonts w:ascii="Arial" w:hAnsi="Arial" w:cs="Arial"/>
        </w:rPr>
      </w:pPr>
      <w:r w:rsidRPr="004B7DC9">
        <w:rPr>
          <w:rFonts w:ascii="Arial" w:hAnsi="Arial" w:cs="Arial"/>
        </w:rPr>
        <w:t>Reference:   Sections 38530, 38560.5, 38564, 38565, 38570 and 39600, Health and Safety Code.</w:t>
      </w:r>
    </w:p>
    <w:p w14:paraId="49250FD1" w14:textId="77777777" w:rsidR="00CC193F" w:rsidRPr="004B7DC9" w:rsidRDefault="00CC193F" w:rsidP="00CC193F">
      <w:pPr>
        <w:spacing w:before="240" w:after="60" w:line="360" w:lineRule="auto"/>
        <w:outlineLvl w:val="1"/>
        <w:rPr>
          <w:rFonts w:ascii="Arial" w:hAnsi="Arial" w:cs="Arial"/>
          <w:b/>
          <w:bCs/>
          <w:iCs/>
          <w:sz w:val="24"/>
          <w:szCs w:val="24"/>
        </w:rPr>
      </w:pPr>
      <w:bookmarkStart w:id="739" w:name="_Toc273512704"/>
      <w:bookmarkStart w:id="740" w:name="_Toc275870272"/>
      <w:bookmarkStart w:id="741" w:name="_Toc294275167"/>
      <w:bookmarkStart w:id="742" w:name="_Toc299094999"/>
      <w:bookmarkStart w:id="743" w:name="_Toc302746853"/>
      <w:r w:rsidRPr="004B7DC9">
        <w:rPr>
          <w:rFonts w:ascii="Arial" w:hAnsi="Arial" w:cs="Arial"/>
          <w:b/>
          <w:bCs/>
          <w:iCs/>
          <w:sz w:val="24"/>
          <w:szCs w:val="24"/>
        </w:rPr>
        <w:t>§ 95995.  Quantitative Usage Limit</w:t>
      </w:r>
      <w:bookmarkEnd w:id="739"/>
      <w:bookmarkEnd w:id="740"/>
      <w:bookmarkEnd w:id="741"/>
      <w:r w:rsidRPr="004B7DC9">
        <w:rPr>
          <w:rFonts w:ascii="Arial" w:hAnsi="Arial" w:cs="Arial"/>
          <w:b/>
          <w:bCs/>
          <w:iCs/>
          <w:sz w:val="24"/>
          <w:szCs w:val="24"/>
        </w:rPr>
        <w:t>.</w:t>
      </w:r>
      <w:bookmarkEnd w:id="742"/>
      <w:bookmarkEnd w:id="743"/>
    </w:p>
    <w:p w14:paraId="2DDCA164" w14:textId="77777777" w:rsidR="00CC193F" w:rsidRPr="004B7DC9" w:rsidRDefault="00CC193F" w:rsidP="00CC193F">
      <w:pPr>
        <w:spacing w:line="360" w:lineRule="auto"/>
        <w:rPr>
          <w:rFonts w:ascii="Arial" w:hAnsi="Arial" w:cs="Arial"/>
          <w:sz w:val="24"/>
          <w:szCs w:val="22"/>
        </w:rPr>
      </w:pPr>
      <w:r w:rsidRPr="004B7DC9">
        <w:rPr>
          <w:rFonts w:ascii="Arial" w:hAnsi="Arial" w:cs="Arial"/>
          <w:sz w:val="24"/>
          <w:szCs w:val="22"/>
        </w:rPr>
        <w:t xml:space="preserve">Sector-based offset credits approved by ARB for compliance pursuant to section 95821(d) are subject to the quantitative usage limit specified in section 95854. </w:t>
      </w:r>
    </w:p>
    <w:p w14:paraId="0428325A" w14:textId="77777777" w:rsidR="00CC193F" w:rsidRPr="004B7DC9" w:rsidRDefault="00CC193F" w:rsidP="00CC193F">
      <w:pPr>
        <w:spacing w:line="360" w:lineRule="auto"/>
        <w:rPr>
          <w:rFonts w:ascii="Arial" w:hAnsi="Arial" w:cs="Arial"/>
          <w:sz w:val="24"/>
          <w:szCs w:val="22"/>
        </w:rPr>
      </w:pPr>
    </w:p>
    <w:p w14:paraId="152062F1" w14:textId="77777777" w:rsidR="00CC193F" w:rsidRPr="004B7DC9" w:rsidRDefault="00CC193F" w:rsidP="00CC193F">
      <w:pPr>
        <w:rPr>
          <w:rFonts w:ascii="Arial" w:hAnsi="Arial" w:cs="Arial"/>
        </w:rPr>
      </w:pPr>
      <w:r w:rsidRPr="004B7DC9">
        <w:rPr>
          <w:rFonts w:ascii="Arial" w:hAnsi="Arial" w:cs="Arial"/>
        </w:rPr>
        <w:t>NOTE: Authority cited:  Sections 38510, 38560, 38562, 38570, 38571, 38580, 39600 and 39601, Health and Safety Code.</w:t>
      </w:r>
    </w:p>
    <w:p w14:paraId="4B2598C1" w14:textId="16806C87" w:rsidR="00CC193F" w:rsidRPr="00B61FF1" w:rsidRDefault="00CC193F" w:rsidP="00CC193F">
      <w:pPr>
        <w:rPr>
          <w:rFonts w:ascii="Arial" w:hAnsi="Arial" w:cs="Arial"/>
        </w:rPr>
      </w:pPr>
      <w:r w:rsidRPr="004B7DC9">
        <w:rPr>
          <w:rFonts w:ascii="Arial" w:hAnsi="Arial" w:cs="Arial"/>
        </w:rPr>
        <w:t>Reference:   Sections 38530, 38560.5, 38564, 38565, 38570 and 39600, Health and Safety Code.</w:t>
      </w:r>
    </w:p>
    <w:p w14:paraId="5043D53A" w14:textId="77777777" w:rsidR="00CC193F" w:rsidRDefault="00CC193F" w:rsidP="00CC193F">
      <w:pPr>
        <w:pStyle w:val="Heading1"/>
      </w:pPr>
      <w:bookmarkStart w:id="744" w:name="_Toc299095002"/>
      <w:bookmarkStart w:id="745" w:name="_Toc302746856"/>
      <w:bookmarkStart w:id="746" w:name="_Toc352146307"/>
      <w:bookmarkStart w:id="747" w:name="_Toc361659912"/>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br w:type="page"/>
      </w:r>
    </w:p>
    <w:p w14:paraId="1C60B9A1" w14:textId="0BAB9370" w:rsidR="00FE6B15" w:rsidRPr="00B61FF1" w:rsidRDefault="00FE6B15" w:rsidP="00CC193F">
      <w:pPr>
        <w:pStyle w:val="Heading1"/>
      </w:pPr>
      <w:r w:rsidRPr="00B61FF1">
        <w:t>Subarticle 15: Enforcement and Penalties</w:t>
      </w:r>
      <w:bookmarkEnd w:id="744"/>
      <w:bookmarkEnd w:id="745"/>
      <w:bookmarkEnd w:id="746"/>
      <w:bookmarkEnd w:id="747"/>
    </w:p>
    <w:p w14:paraId="45BE1840" w14:textId="77777777" w:rsidR="00FE6B15" w:rsidRPr="00B61FF1" w:rsidRDefault="00FE6B15" w:rsidP="004E3B67">
      <w:pPr>
        <w:pStyle w:val="Heading2"/>
        <w:keepNext w:val="0"/>
        <w:rPr>
          <w:i/>
          <w:szCs w:val="24"/>
        </w:rPr>
      </w:pPr>
      <w:bookmarkStart w:id="748" w:name="_Toc269798123"/>
      <w:bookmarkStart w:id="749" w:name="_Toc299095003"/>
      <w:bookmarkStart w:id="750" w:name="_Toc302746857"/>
      <w:bookmarkStart w:id="751" w:name="_Toc352146308"/>
      <w:bookmarkStart w:id="752" w:name="_Toc361659913"/>
      <w:r w:rsidRPr="00B61FF1">
        <w:rPr>
          <w:szCs w:val="24"/>
        </w:rPr>
        <w:t>§ 96010.  Jurisdiction</w:t>
      </w:r>
      <w:bookmarkEnd w:id="748"/>
      <w:r w:rsidR="00A26C38" w:rsidRPr="00B61FF1">
        <w:rPr>
          <w:szCs w:val="24"/>
        </w:rPr>
        <w:t>.</w:t>
      </w:r>
      <w:bookmarkEnd w:id="749"/>
      <w:bookmarkEnd w:id="750"/>
      <w:bookmarkEnd w:id="751"/>
      <w:bookmarkEnd w:id="752"/>
    </w:p>
    <w:p w14:paraId="28B52306" w14:textId="77777777" w:rsidR="00FE6B15" w:rsidRPr="00B61FF1" w:rsidRDefault="00FE6B15" w:rsidP="004E3B67">
      <w:pPr>
        <w:spacing w:line="360" w:lineRule="auto"/>
        <w:rPr>
          <w:rFonts w:ascii="Arial" w:hAnsi="Arial" w:cs="Arial"/>
          <w:sz w:val="24"/>
          <w:szCs w:val="24"/>
        </w:rPr>
      </w:pPr>
      <w:bookmarkStart w:id="753" w:name="_Toc246679812"/>
      <w:r w:rsidRPr="00B61FF1">
        <w:rPr>
          <w:rFonts w:ascii="Arial" w:hAnsi="Arial" w:cs="Arial"/>
          <w:sz w:val="24"/>
          <w:szCs w:val="24"/>
        </w:rPr>
        <w:t>Any of the following actions shall conclusively establish a person’s consent to be subject to the jurisdiction of the State of California, including the administrative authority of ARB and the jurisdiction of the Superior Courts of the State of California:</w:t>
      </w:r>
      <w:bookmarkEnd w:id="753"/>
    </w:p>
    <w:p w14:paraId="480D5381" w14:textId="77777777" w:rsidR="00FE6B15" w:rsidRPr="00B61FF1" w:rsidRDefault="00FE6B15" w:rsidP="00FE6A4C">
      <w:pPr>
        <w:numPr>
          <w:ilvl w:val="0"/>
          <w:numId w:val="12"/>
        </w:numPr>
        <w:tabs>
          <w:tab w:val="clear" w:pos="360"/>
          <w:tab w:val="num" w:pos="-1440"/>
        </w:tabs>
        <w:spacing w:line="360" w:lineRule="auto"/>
        <w:ind w:left="720" w:hanging="720"/>
        <w:rPr>
          <w:rFonts w:ascii="Arial" w:hAnsi="Arial" w:cs="Arial"/>
          <w:sz w:val="24"/>
          <w:szCs w:val="24"/>
        </w:rPr>
      </w:pPr>
      <w:bookmarkStart w:id="754" w:name="_Toc245446935"/>
      <w:r w:rsidRPr="00B61FF1">
        <w:rPr>
          <w:rFonts w:ascii="Arial" w:hAnsi="Arial" w:cs="Arial"/>
          <w:sz w:val="24"/>
          <w:szCs w:val="24"/>
        </w:rPr>
        <w:t>Registration with ARB pursuant to subarticle 5;</w:t>
      </w:r>
    </w:p>
    <w:p w14:paraId="424949CA" w14:textId="77777777" w:rsidR="00FE6B15" w:rsidRPr="00B61FF1" w:rsidRDefault="00FE6B15" w:rsidP="00FE6A4C">
      <w:pPr>
        <w:numPr>
          <w:ilvl w:val="0"/>
          <w:numId w:val="12"/>
        </w:numPr>
        <w:tabs>
          <w:tab w:val="clear" w:pos="360"/>
          <w:tab w:val="num" w:pos="-1440"/>
        </w:tabs>
        <w:spacing w:line="360" w:lineRule="auto"/>
        <w:ind w:left="720" w:hanging="720"/>
        <w:rPr>
          <w:rFonts w:ascii="Arial" w:hAnsi="Arial" w:cs="Arial"/>
          <w:sz w:val="24"/>
          <w:szCs w:val="24"/>
        </w:rPr>
      </w:pPr>
      <w:r w:rsidRPr="00B61FF1">
        <w:rPr>
          <w:rFonts w:ascii="Arial" w:hAnsi="Arial" w:cs="Arial"/>
          <w:sz w:val="24"/>
          <w:szCs w:val="24"/>
        </w:rPr>
        <w:t>The purchase or holding of a comp</w:t>
      </w:r>
      <w:r w:rsidR="00F43CE0" w:rsidRPr="00B61FF1">
        <w:rPr>
          <w:rFonts w:ascii="Arial" w:hAnsi="Arial" w:cs="Arial"/>
          <w:sz w:val="24"/>
          <w:szCs w:val="24"/>
        </w:rPr>
        <w:t>liance instrument issued by ARB, unless the entity holding the compliance instrument is registered in an approved External GHG ETS pursuant to subarticle 12;</w:t>
      </w:r>
    </w:p>
    <w:p w14:paraId="10A0A0A1" w14:textId="77777777" w:rsidR="00FE6B15" w:rsidRPr="00B61FF1" w:rsidRDefault="009B11BD" w:rsidP="00FE6A4C">
      <w:pPr>
        <w:numPr>
          <w:ilvl w:val="0"/>
          <w:numId w:val="12"/>
        </w:numPr>
        <w:tabs>
          <w:tab w:val="clear" w:pos="360"/>
          <w:tab w:val="num" w:pos="-1440"/>
        </w:tabs>
        <w:spacing w:line="360" w:lineRule="auto"/>
        <w:ind w:left="720" w:hanging="720"/>
        <w:rPr>
          <w:rFonts w:ascii="Arial" w:hAnsi="Arial" w:cs="Arial"/>
          <w:sz w:val="24"/>
          <w:szCs w:val="24"/>
        </w:rPr>
      </w:pPr>
      <w:r w:rsidRPr="00B61FF1">
        <w:rPr>
          <w:rFonts w:ascii="Arial" w:hAnsi="Arial" w:cs="Arial"/>
          <w:sz w:val="24"/>
          <w:szCs w:val="24"/>
        </w:rPr>
        <w:t>R</w:t>
      </w:r>
      <w:r w:rsidR="00FE6B15" w:rsidRPr="00B61FF1">
        <w:rPr>
          <w:rFonts w:ascii="Arial" w:hAnsi="Arial" w:cs="Arial"/>
          <w:sz w:val="24"/>
          <w:szCs w:val="24"/>
        </w:rPr>
        <w:t>eceipt of compensation of any kind, including sales proceeds and commissions, from any transfers of allowances or offset credits issued by ARB pursuant to subarticle 13 or recognized by ARB pursuant to subarticle 14; or</w:t>
      </w:r>
    </w:p>
    <w:p w14:paraId="7D3EF695" w14:textId="77777777" w:rsidR="00FE6B15" w:rsidRPr="00B61FF1" w:rsidRDefault="00FE6B15" w:rsidP="00FE6A4C">
      <w:pPr>
        <w:numPr>
          <w:ilvl w:val="0"/>
          <w:numId w:val="12"/>
        </w:numPr>
        <w:tabs>
          <w:tab w:val="clear" w:pos="360"/>
          <w:tab w:val="num" w:pos="720"/>
        </w:tabs>
        <w:spacing w:line="360" w:lineRule="auto"/>
        <w:ind w:left="720" w:hanging="720"/>
        <w:rPr>
          <w:rFonts w:ascii="Arial" w:hAnsi="Arial" w:cs="Arial"/>
          <w:sz w:val="24"/>
          <w:szCs w:val="24"/>
        </w:rPr>
      </w:pPr>
      <w:r w:rsidRPr="00B61FF1">
        <w:rPr>
          <w:rFonts w:ascii="Arial" w:hAnsi="Arial" w:cs="Arial"/>
          <w:sz w:val="24"/>
          <w:szCs w:val="24"/>
        </w:rPr>
        <w:t>Verification of an offset credit to be issued by ARB.</w:t>
      </w:r>
    </w:p>
    <w:p w14:paraId="7386B7E0" w14:textId="77777777" w:rsidR="00FE6B15" w:rsidRPr="00B61FF1" w:rsidRDefault="00FE6B15" w:rsidP="004E3B67">
      <w:pPr>
        <w:spacing w:line="360" w:lineRule="auto"/>
        <w:rPr>
          <w:rFonts w:ascii="Arial" w:hAnsi="Arial" w:cs="Arial"/>
          <w:sz w:val="24"/>
          <w:szCs w:val="24"/>
        </w:rPr>
      </w:pPr>
    </w:p>
    <w:p w14:paraId="1248EF0F"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6C3D147D" w14:textId="18C32729" w:rsidR="00BD6639" w:rsidRDefault="00FE6B15" w:rsidP="00EC7AFC">
      <w:pPr>
        <w:rPr>
          <w:rFonts w:ascii="Arial" w:hAnsi="Arial" w:cs="Arial"/>
        </w:rPr>
      </w:pPr>
      <w:r w:rsidRPr="00B61FF1">
        <w:rPr>
          <w:rFonts w:ascii="Arial" w:hAnsi="Arial" w:cs="Arial"/>
        </w:rPr>
        <w:t>Reference:  Sections 38530, 38560.5, 38564, 38565, 38570 and 39600, Health and Safety Code.</w:t>
      </w:r>
    </w:p>
    <w:p w14:paraId="11C20339" w14:textId="77777777" w:rsidR="0069726D" w:rsidRDefault="0069726D" w:rsidP="00EC7AFC">
      <w:pPr>
        <w:rPr>
          <w:rFonts w:ascii="Arial" w:hAnsi="Arial" w:cs="Arial"/>
        </w:rPr>
      </w:pPr>
    </w:p>
    <w:p w14:paraId="7E47F857" w14:textId="77777777" w:rsidR="00FE6B15" w:rsidRPr="00B61FF1" w:rsidRDefault="00FE6B15" w:rsidP="004E3B67">
      <w:pPr>
        <w:pStyle w:val="Heading2"/>
        <w:keepNext w:val="0"/>
        <w:rPr>
          <w:i/>
          <w:szCs w:val="24"/>
        </w:rPr>
      </w:pPr>
      <w:bookmarkStart w:id="755" w:name="_Toc269798124"/>
      <w:bookmarkStart w:id="756" w:name="_Toc299095004"/>
      <w:bookmarkStart w:id="757" w:name="_Toc302746858"/>
      <w:bookmarkStart w:id="758" w:name="_Toc352146309"/>
      <w:bookmarkStart w:id="759" w:name="_Toc361659914"/>
      <w:r w:rsidRPr="00B61FF1">
        <w:rPr>
          <w:szCs w:val="24"/>
        </w:rPr>
        <w:t>§ 96011.  Authority to Suspend, Revoke, or Modify</w:t>
      </w:r>
      <w:bookmarkEnd w:id="754"/>
      <w:bookmarkEnd w:id="755"/>
      <w:r w:rsidR="00A26C38" w:rsidRPr="00B61FF1">
        <w:rPr>
          <w:szCs w:val="24"/>
        </w:rPr>
        <w:t>.</w:t>
      </w:r>
      <w:bookmarkEnd w:id="756"/>
      <w:bookmarkEnd w:id="757"/>
      <w:bookmarkEnd w:id="758"/>
      <w:bookmarkEnd w:id="759"/>
    </w:p>
    <w:p w14:paraId="2A0F2867" w14:textId="77777777" w:rsidR="00FE6B15" w:rsidRPr="00B61FF1" w:rsidRDefault="00FE6B15" w:rsidP="00FE6A4C">
      <w:pPr>
        <w:numPr>
          <w:ilvl w:val="0"/>
          <w:numId w:val="13"/>
        </w:numPr>
        <w:tabs>
          <w:tab w:val="clear" w:pos="360"/>
          <w:tab w:val="num" w:pos="720"/>
        </w:tabs>
        <w:spacing w:line="360" w:lineRule="auto"/>
        <w:ind w:left="720" w:hanging="720"/>
        <w:rPr>
          <w:rFonts w:ascii="Arial" w:hAnsi="Arial" w:cs="Arial"/>
          <w:sz w:val="24"/>
          <w:szCs w:val="24"/>
        </w:rPr>
      </w:pPr>
      <w:r w:rsidRPr="00B61FF1">
        <w:rPr>
          <w:rFonts w:ascii="Arial" w:hAnsi="Arial" w:cs="Arial"/>
          <w:sz w:val="24"/>
          <w:szCs w:val="24"/>
        </w:rPr>
        <w:t xml:space="preserve">The Executive Officer may suspend, revoke, or place restrictions on the Holding Account of a voluntarily associated entity determined to be in violation of any provision of this article. </w:t>
      </w:r>
    </w:p>
    <w:p w14:paraId="228DC891" w14:textId="77777777" w:rsidR="00FE6B15" w:rsidRPr="00B61FF1" w:rsidRDefault="00FE6B15" w:rsidP="00FE6A4C">
      <w:pPr>
        <w:numPr>
          <w:ilvl w:val="0"/>
          <w:numId w:val="13"/>
        </w:numPr>
        <w:tabs>
          <w:tab w:val="clear" w:pos="360"/>
          <w:tab w:val="num" w:pos="720"/>
        </w:tabs>
        <w:spacing w:line="360" w:lineRule="auto"/>
        <w:ind w:left="720" w:hanging="720"/>
        <w:rPr>
          <w:rFonts w:ascii="Arial" w:hAnsi="Arial" w:cs="Arial"/>
          <w:sz w:val="24"/>
          <w:szCs w:val="24"/>
        </w:rPr>
      </w:pPr>
      <w:r w:rsidRPr="00B61FF1">
        <w:rPr>
          <w:rFonts w:ascii="Arial" w:hAnsi="Arial" w:cs="Arial"/>
          <w:sz w:val="24"/>
          <w:szCs w:val="24"/>
        </w:rPr>
        <w:t xml:space="preserve">The Executive Officer may place restrictions on a Holding Account of a covered entity or an opt-in covered entity determined to be in violation of any provision of this article or of article 2 of this subchapter.  </w:t>
      </w:r>
    </w:p>
    <w:p w14:paraId="345431A7" w14:textId="77777777" w:rsidR="00FE6B15" w:rsidRPr="00B61FF1" w:rsidRDefault="000B6806" w:rsidP="000B6806">
      <w:pPr>
        <w:spacing w:line="360" w:lineRule="auto"/>
        <w:ind w:left="720" w:hanging="720"/>
        <w:rPr>
          <w:rFonts w:ascii="Arial" w:hAnsi="Arial" w:cs="Arial"/>
          <w:sz w:val="24"/>
          <w:szCs w:val="24"/>
        </w:rPr>
      </w:pPr>
      <w:r w:rsidRPr="00B61FF1">
        <w:rPr>
          <w:rFonts w:ascii="Arial" w:hAnsi="Arial" w:cs="Arial"/>
          <w:sz w:val="24"/>
          <w:szCs w:val="24"/>
        </w:rPr>
        <w:t>(c)</w:t>
      </w:r>
      <w:r w:rsidRPr="00B61FF1">
        <w:rPr>
          <w:rFonts w:ascii="Arial" w:hAnsi="Arial" w:cs="Arial"/>
          <w:sz w:val="24"/>
          <w:szCs w:val="24"/>
        </w:rPr>
        <w:tab/>
      </w:r>
      <w:r w:rsidR="00FE6B15" w:rsidRPr="00B61FF1">
        <w:rPr>
          <w:rFonts w:ascii="Arial" w:hAnsi="Arial" w:cs="Arial"/>
          <w:sz w:val="24"/>
          <w:szCs w:val="24"/>
        </w:rPr>
        <w:t>The Executive Officer may suspend, revoke, or modify any Executive Order issued under this article or under article 2 of this subchapter, including an order accrediting a verifier, for a violation of any provision of this article.</w:t>
      </w:r>
    </w:p>
    <w:p w14:paraId="1D019861" w14:textId="77777777" w:rsidR="00FE6B15" w:rsidRPr="00B61FF1" w:rsidRDefault="00FE6B15" w:rsidP="004E3B67">
      <w:pPr>
        <w:spacing w:line="360" w:lineRule="auto"/>
        <w:rPr>
          <w:rFonts w:ascii="Arial" w:hAnsi="Arial" w:cs="Arial"/>
          <w:sz w:val="24"/>
          <w:szCs w:val="24"/>
        </w:rPr>
      </w:pPr>
    </w:p>
    <w:p w14:paraId="613F8A5E"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5DAC1CC7" w14:textId="77777777" w:rsidR="0083066B" w:rsidRPr="00B61FF1" w:rsidRDefault="00FE6B15" w:rsidP="00404D06">
      <w:pPr>
        <w:rPr>
          <w:rFonts w:ascii="Arial" w:hAnsi="Arial" w:cs="Arial"/>
        </w:rPr>
      </w:pPr>
      <w:r w:rsidRPr="00B61FF1">
        <w:rPr>
          <w:rFonts w:ascii="Arial" w:hAnsi="Arial" w:cs="Arial"/>
        </w:rPr>
        <w:t>Reference:  Sections 38530, 38560.5, 38564, 38565, 38570 and 39600, Health and Safety Code.</w:t>
      </w:r>
      <w:bookmarkStart w:id="760" w:name="_Toc269798125"/>
      <w:bookmarkStart w:id="761" w:name="_Toc299095005"/>
      <w:bookmarkStart w:id="762" w:name="_Toc302746859"/>
    </w:p>
    <w:p w14:paraId="2ED8D5F6" w14:textId="77777777" w:rsidR="00BD1FA4" w:rsidRPr="00B61FF1" w:rsidRDefault="00BD1FA4" w:rsidP="00404D06">
      <w:pPr>
        <w:rPr>
          <w:rFonts w:ascii="Arial" w:hAnsi="Arial" w:cs="Arial"/>
        </w:rPr>
      </w:pPr>
    </w:p>
    <w:p w14:paraId="4F9505C6" w14:textId="77777777" w:rsidR="00FE6B15" w:rsidRPr="00B61FF1" w:rsidRDefault="00FE6B15" w:rsidP="004E3B67">
      <w:pPr>
        <w:pStyle w:val="Heading2"/>
        <w:keepNext w:val="0"/>
        <w:rPr>
          <w:i/>
          <w:szCs w:val="24"/>
        </w:rPr>
      </w:pPr>
      <w:bookmarkStart w:id="763" w:name="_Toc352146310"/>
      <w:bookmarkStart w:id="764" w:name="_Toc361659915"/>
      <w:r w:rsidRPr="00B61FF1">
        <w:rPr>
          <w:szCs w:val="24"/>
        </w:rPr>
        <w:t>§ 96012.  Injunctions</w:t>
      </w:r>
      <w:bookmarkEnd w:id="760"/>
      <w:r w:rsidR="00A26C38" w:rsidRPr="00B61FF1">
        <w:rPr>
          <w:szCs w:val="24"/>
        </w:rPr>
        <w:t>.</w:t>
      </w:r>
      <w:bookmarkEnd w:id="761"/>
      <w:bookmarkEnd w:id="762"/>
      <w:bookmarkEnd w:id="763"/>
      <w:bookmarkEnd w:id="764"/>
    </w:p>
    <w:p w14:paraId="230B5ABE" w14:textId="77777777" w:rsidR="00FE6B15" w:rsidRPr="00B61FF1" w:rsidRDefault="00FE6B15" w:rsidP="004E3B67">
      <w:pPr>
        <w:pStyle w:val="default0"/>
        <w:autoSpaceDE w:val="0"/>
        <w:autoSpaceDN w:val="0"/>
        <w:adjustRightInd w:val="0"/>
        <w:spacing w:before="0" w:beforeAutospacing="0" w:after="0" w:afterAutospacing="0" w:line="360" w:lineRule="auto"/>
        <w:rPr>
          <w:rFonts w:ascii="Arial" w:hAnsi="Arial" w:cs="Arial"/>
        </w:rPr>
      </w:pPr>
      <w:r w:rsidRPr="00B61FF1">
        <w:rPr>
          <w:rFonts w:ascii="Arial" w:eastAsia="PMingLiU" w:hAnsi="Arial" w:cs="Arial"/>
        </w:rPr>
        <w:t>Any violation of this article may be enjoined pursuant to Health and Safety Code section 41513.</w:t>
      </w:r>
      <w:r w:rsidRPr="00B61FF1">
        <w:rPr>
          <w:rFonts w:ascii="Arial" w:hAnsi="Arial" w:cs="Arial"/>
        </w:rPr>
        <w:t xml:space="preserve"> </w:t>
      </w:r>
    </w:p>
    <w:p w14:paraId="05A4EE63" w14:textId="77777777" w:rsidR="00FE6B15" w:rsidRPr="00B61FF1" w:rsidRDefault="00FE6B15" w:rsidP="004E3B67">
      <w:pPr>
        <w:spacing w:line="360" w:lineRule="auto"/>
        <w:rPr>
          <w:rFonts w:ascii="Arial" w:hAnsi="Arial" w:cs="Arial"/>
          <w:sz w:val="24"/>
          <w:szCs w:val="24"/>
        </w:rPr>
      </w:pPr>
    </w:p>
    <w:p w14:paraId="235A0AC2"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505B7032" w14:textId="77777777" w:rsidR="00D25ED9" w:rsidRPr="00B61FF1" w:rsidRDefault="00FE6B15" w:rsidP="00F20D9E">
      <w:pPr>
        <w:rPr>
          <w:rFonts w:ascii="Arial" w:hAnsi="Arial" w:cs="Arial"/>
        </w:rPr>
      </w:pPr>
      <w:r w:rsidRPr="00B61FF1">
        <w:rPr>
          <w:rFonts w:ascii="Arial" w:hAnsi="Arial" w:cs="Arial"/>
        </w:rPr>
        <w:t>Reference:  Sections 38530, 38560.5, 38564, 38565, 38570 and 39600, Health and Safety Code.</w:t>
      </w:r>
      <w:bookmarkStart w:id="765" w:name="_Toc269798126"/>
    </w:p>
    <w:p w14:paraId="5EEBFF16" w14:textId="77777777" w:rsidR="00F20D9E" w:rsidRPr="00B61FF1" w:rsidRDefault="00F20D9E" w:rsidP="00F20D9E">
      <w:pPr>
        <w:rPr>
          <w:rFonts w:ascii="Arial" w:hAnsi="Arial" w:cs="Arial"/>
          <w:b/>
          <w:bCs/>
          <w:iCs/>
          <w:sz w:val="24"/>
          <w:szCs w:val="24"/>
        </w:rPr>
      </w:pPr>
    </w:p>
    <w:p w14:paraId="1EA5CF6D" w14:textId="77777777" w:rsidR="00FE6B15" w:rsidRPr="00B61FF1" w:rsidRDefault="00FE6B15" w:rsidP="004E3B67">
      <w:pPr>
        <w:pStyle w:val="Heading2"/>
        <w:keepNext w:val="0"/>
        <w:rPr>
          <w:i/>
          <w:szCs w:val="24"/>
        </w:rPr>
      </w:pPr>
      <w:bookmarkStart w:id="766" w:name="_Toc299095006"/>
      <w:bookmarkStart w:id="767" w:name="_Toc302746860"/>
      <w:bookmarkStart w:id="768" w:name="_Toc352146311"/>
      <w:bookmarkStart w:id="769" w:name="_Toc361659916"/>
      <w:r w:rsidRPr="00B61FF1">
        <w:rPr>
          <w:szCs w:val="24"/>
        </w:rPr>
        <w:t>§ 96013.  Penalties</w:t>
      </w:r>
      <w:bookmarkEnd w:id="765"/>
      <w:r w:rsidR="00A26C38" w:rsidRPr="00B61FF1">
        <w:rPr>
          <w:szCs w:val="24"/>
        </w:rPr>
        <w:t>.</w:t>
      </w:r>
      <w:bookmarkEnd w:id="766"/>
      <w:bookmarkEnd w:id="767"/>
      <w:bookmarkEnd w:id="768"/>
      <w:bookmarkEnd w:id="769"/>
    </w:p>
    <w:p w14:paraId="5A1359AB" w14:textId="77777777" w:rsidR="0077328C" w:rsidRPr="00B61FF1" w:rsidRDefault="0077328C" w:rsidP="0077328C">
      <w:pPr>
        <w:spacing w:line="360" w:lineRule="auto"/>
        <w:rPr>
          <w:rFonts w:ascii="Arial" w:hAnsi="Arial" w:cs="Arial"/>
          <w:sz w:val="24"/>
          <w:szCs w:val="24"/>
        </w:rPr>
      </w:pPr>
      <w:r w:rsidRPr="00B61FF1">
        <w:rPr>
          <w:rFonts w:ascii="Arial" w:hAnsi="Arial" w:cs="Arial"/>
          <w:sz w:val="24"/>
          <w:szCs w:val="24"/>
        </w:rPr>
        <w:t>Penalties may be assessed pursuant to Health and Safety Code section 38580 for any violation of this article</w:t>
      </w:r>
      <w:r w:rsidR="00107AE9" w:rsidRPr="00B61FF1">
        <w:rPr>
          <w:rFonts w:ascii="Arial" w:hAnsi="Arial" w:cs="Arial"/>
          <w:sz w:val="24"/>
          <w:szCs w:val="24"/>
        </w:rPr>
        <w:t xml:space="preserve"> as specified in section 96014</w:t>
      </w:r>
      <w:r w:rsidRPr="00B61FF1">
        <w:rPr>
          <w:rFonts w:ascii="Arial" w:hAnsi="Arial" w:cs="Arial"/>
          <w:sz w:val="24"/>
          <w:szCs w:val="24"/>
        </w:rPr>
        <w:t xml:space="preserve">.  </w:t>
      </w:r>
      <w:r w:rsidR="00107AE9" w:rsidRPr="00B61FF1">
        <w:rPr>
          <w:rFonts w:ascii="Arial" w:hAnsi="Arial" w:cs="Arial"/>
          <w:sz w:val="24"/>
          <w:szCs w:val="24"/>
        </w:rPr>
        <w:t>In determining any penalty amount, ARB shall consider all</w:t>
      </w:r>
      <w:r w:rsidRPr="00B61FF1">
        <w:rPr>
          <w:rFonts w:ascii="Arial" w:hAnsi="Arial" w:cs="Arial"/>
          <w:sz w:val="24"/>
          <w:szCs w:val="24"/>
        </w:rPr>
        <w:t xml:space="preserve"> relevant circumstances</w:t>
      </w:r>
      <w:r w:rsidR="00107AE9" w:rsidRPr="00B61FF1">
        <w:rPr>
          <w:rFonts w:ascii="Arial" w:hAnsi="Arial" w:cs="Arial"/>
          <w:sz w:val="24"/>
          <w:szCs w:val="24"/>
        </w:rPr>
        <w:t>,</w:t>
      </w:r>
      <w:r w:rsidRPr="00B61FF1">
        <w:rPr>
          <w:rFonts w:ascii="Arial" w:hAnsi="Arial" w:cs="Arial"/>
          <w:sz w:val="24"/>
          <w:szCs w:val="24"/>
        </w:rPr>
        <w:t xml:space="preserve"> </w:t>
      </w:r>
      <w:r w:rsidR="00A9581B" w:rsidRPr="00B61FF1">
        <w:rPr>
          <w:rFonts w:ascii="Arial" w:hAnsi="Arial" w:cs="Arial"/>
          <w:sz w:val="24"/>
          <w:szCs w:val="24"/>
        </w:rPr>
        <w:t>includ</w:t>
      </w:r>
      <w:r w:rsidR="00710E85" w:rsidRPr="00B61FF1">
        <w:rPr>
          <w:rFonts w:ascii="Arial" w:hAnsi="Arial" w:cs="Arial"/>
          <w:sz w:val="24"/>
          <w:szCs w:val="24"/>
        </w:rPr>
        <w:t>ing the criteria in Health and Sa</w:t>
      </w:r>
      <w:r w:rsidR="00A9581B" w:rsidRPr="00B61FF1">
        <w:rPr>
          <w:rFonts w:ascii="Arial" w:hAnsi="Arial" w:cs="Arial"/>
          <w:sz w:val="24"/>
          <w:szCs w:val="24"/>
        </w:rPr>
        <w:t>fety Code section 42403(b)</w:t>
      </w:r>
      <w:r w:rsidRPr="00B61FF1">
        <w:rPr>
          <w:rFonts w:ascii="Arial" w:hAnsi="Arial" w:cs="Arial"/>
          <w:sz w:val="24"/>
          <w:szCs w:val="24"/>
        </w:rPr>
        <w:t xml:space="preserve">.  </w:t>
      </w:r>
    </w:p>
    <w:p w14:paraId="3363E37E" w14:textId="77777777" w:rsidR="00FE6B15" w:rsidRPr="00B61FF1" w:rsidRDefault="00FE6B15" w:rsidP="004E3B67">
      <w:pPr>
        <w:spacing w:line="360" w:lineRule="auto"/>
        <w:rPr>
          <w:rFonts w:ascii="Arial" w:hAnsi="Arial" w:cs="Arial"/>
          <w:sz w:val="24"/>
          <w:szCs w:val="24"/>
        </w:rPr>
      </w:pPr>
    </w:p>
    <w:p w14:paraId="1A1B219B"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1DE50011"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75404DF6" w14:textId="77777777" w:rsidR="009D0034" w:rsidRPr="00B61FF1" w:rsidRDefault="009D0034">
      <w:pPr>
        <w:autoSpaceDE/>
        <w:autoSpaceDN/>
        <w:adjustRightInd/>
        <w:rPr>
          <w:rFonts w:ascii="Arial" w:hAnsi="Arial" w:cs="Arial"/>
          <w:b/>
          <w:bCs/>
          <w:iCs/>
          <w:sz w:val="24"/>
          <w:szCs w:val="24"/>
        </w:rPr>
      </w:pPr>
      <w:bookmarkStart w:id="770" w:name="_Toc299095007"/>
      <w:bookmarkStart w:id="771" w:name="_Toc302746861"/>
      <w:bookmarkStart w:id="772" w:name="_Toc352146312"/>
    </w:p>
    <w:p w14:paraId="3EFBC2A4" w14:textId="77777777" w:rsidR="007C7BD6" w:rsidRPr="00B61FF1" w:rsidRDefault="00FE6B15" w:rsidP="00107AE9">
      <w:pPr>
        <w:pStyle w:val="Heading2"/>
        <w:keepNext w:val="0"/>
        <w:rPr>
          <w:i/>
          <w:szCs w:val="24"/>
        </w:rPr>
      </w:pPr>
      <w:bookmarkStart w:id="773" w:name="_Toc361659917"/>
      <w:r w:rsidRPr="00B61FF1">
        <w:rPr>
          <w:szCs w:val="24"/>
        </w:rPr>
        <w:t>§ 96014.</w:t>
      </w:r>
      <w:r w:rsidR="007C7BD6" w:rsidRPr="00B61FF1">
        <w:rPr>
          <w:szCs w:val="24"/>
        </w:rPr>
        <w:t xml:space="preserve">  Violations</w:t>
      </w:r>
      <w:r w:rsidR="00A26C38" w:rsidRPr="00B61FF1">
        <w:rPr>
          <w:szCs w:val="24"/>
        </w:rPr>
        <w:t>.</w:t>
      </w:r>
      <w:bookmarkEnd w:id="770"/>
      <w:bookmarkEnd w:id="771"/>
      <w:bookmarkEnd w:id="772"/>
      <w:bookmarkEnd w:id="773"/>
    </w:p>
    <w:p w14:paraId="5B66D32F" w14:textId="77777777" w:rsidR="00FE6B15" w:rsidRPr="00B61FF1" w:rsidRDefault="009B11BD" w:rsidP="009B11BD">
      <w:pPr>
        <w:pStyle w:val="default0"/>
        <w:autoSpaceDE w:val="0"/>
        <w:autoSpaceDN w:val="0"/>
        <w:adjustRightInd w:val="0"/>
        <w:spacing w:before="0" w:beforeAutospacing="0" w:after="0" w:afterAutospacing="0" w:line="360" w:lineRule="auto"/>
        <w:ind w:left="720" w:hanging="720"/>
        <w:rPr>
          <w:rFonts w:ascii="Arial" w:eastAsia="PMingLiU" w:hAnsi="Arial" w:cs="Arial"/>
        </w:rPr>
      </w:pPr>
      <w:r w:rsidRPr="00B61FF1">
        <w:rPr>
          <w:rFonts w:ascii="Arial" w:eastAsia="PMingLiU" w:hAnsi="Arial" w:cs="Arial"/>
        </w:rPr>
        <w:t>(a)</w:t>
      </w:r>
      <w:r w:rsidRPr="00B61FF1">
        <w:rPr>
          <w:rFonts w:ascii="Arial" w:eastAsia="PMingLiU" w:hAnsi="Arial" w:cs="Arial"/>
        </w:rPr>
        <w:tab/>
      </w:r>
      <w:r w:rsidR="00FE6B15" w:rsidRPr="00B61FF1">
        <w:rPr>
          <w:rFonts w:ascii="Arial" w:eastAsia="PMingLiU" w:hAnsi="Arial" w:cs="Arial"/>
        </w:rPr>
        <w:t>If a</w:t>
      </w:r>
      <w:r w:rsidR="000B7DC2" w:rsidRPr="00B61FF1">
        <w:rPr>
          <w:rFonts w:ascii="Arial" w:eastAsia="PMingLiU" w:hAnsi="Arial" w:cs="Arial"/>
        </w:rPr>
        <w:t>n</w:t>
      </w:r>
      <w:r w:rsidR="00FE6B15" w:rsidRPr="00B61FF1">
        <w:rPr>
          <w:rFonts w:ascii="Arial" w:eastAsia="PMingLiU" w:hAnsi="Arial" w:cs="Arial"/>
        </w:rPr>
        <w:t xml:space="preserve"> entity fails to surrender a sufficient number of compliance instruments to meet its compliance obligation as spec</w:t>
      </w:r>
      <w:r w:rsidR="005D17D1" w:rsidRPr="00B61FF1">
        <w:rPr>
          <w:rFonts w:ascii="Arial" w:eastAsia="PMingLiU" w:hAnsi="Arial" w:cs="Arial"/>
        </w:rPr>
        <w:t>ified in sections 95856 or 95857, and the procedures in 95857(c) have been exhausted,</w:t>
      </w:r>
      <w:r w:rsidR="00FE6B15" w:rsidRPr="00B61FF1">
        <w:rPr>
          <w:rFonts w:ascii="Arial" w:eastAsia="PMingLiU" w:hAnsi="Arial" w:cs="Arial"/>
        </w:rPr>
        <w:t xml:space="preserve"> there is a separate violation of this </w:t>
      </w:r>
      <w:r w:rsidR="0077328C" w:rsidRPr="00B61FF1">
        <w:rPr>
          <w:rFonts w:ascii="Arial" w:eastAsia="PMingLiU" w:hAnsi="Arial" w:cs="Arial"/>
        </w:rPr>
        <w:t>a</w:t>
      </w:r>
      <w:r w:rsidR="00FE6B15" w:rsidRPr="00B61FF1">
        <w:rPr>
          <w:rFonts w:ascii="Arial" w:eastAsia="PMingLiU" w:hAnsi="Arial" w:cs="Arial"/>
        </w:rPr>
        <w:t>rticle for each required compliance instrument that has not been surrendered</w:t>
      </w:r>
      <w:r w:rsidR="005D17D1" w:rsidRPr="00B61FF1">
        <w:rPr>
          <w:rFonts w:ascii="Arial" w:eastAsia="PMingLiU" w:hAnsi="Arial" w:cs="Arial"/>
        </w:rPr>
        <w:t>, or otherwise obtained by the Executive Officer under 95857(c)</w:t>
      </w:r>
      <w:r w:rsidR="00FE6B15" w:rsidRPr="00B61FF1">
        <w:rPr>
          <w:rFonts w:ascii="Arial" w:eastAsia="PMingLiU" w:hAnsi="Arial" w:cs="Arial"/>
        </w:rPr>
        <w:t xml:space="preserve">.  </w:t>
      </w:r>
    </w:p>
    <w:p w14:paraId="12C0A877" w14:textId="77777777" w:rsidR="0077328C" w:rsidRPr="00B61FF1" w:rsidRDefault="009B11BD" w:rsidP="009B11BD">
      <w:pPr>
        <w:pStyle w:val="default0"/>
        <w:autoSpaceDE w:val="0"/>
        <w:autoSpaceDN w:val="0"/>
        <w:adjustRightInd w:val="0"/>
        <w:spacing w:before="0" w:beforeAutospacing="0" w:after="0" w:afterAutospacing="0" w:line="360" w:lineRule="auto"/>
        <w:ind w:left="720" w:hanging="720"/>
        <w:rPr>
          <w:rFonts w:ascii="Arial" w:eastAsia="PMingLiU" w:hAnsi="Arial" w:cs="Arial"/>
        </w:rPr>
      </w:pPr>
      <w:r w:rsidRPr="00B61FF1">
        <w:rPr>
          <w:rFonts w:ascii="Arial" w:eastAsia="PMingLiU" w:hAnsi="Arial" w:cs="Arial"/>
        </w:rPr>
        <w:t>(b)</w:t>
      </w:r>
      <w:r w:rsidRPr="00B61FF1">
        <w:rPr>
          <w:rFonts w:ascii="Arial" w:eastAsia="PMingLiU" w:hAnsi="Arial" w:cs="Arial"/>
        </w:rPr>
        <w:tab/>
      </w:r>
      <w:r w:rsidR="0020561F" w:rsidRPr="00B61FF1">
        <w:rPr>
          <w:rFonts w:ascii="Arial" w:eastAsia="PMingLiU" w:hAnsi="Arial" w:cs="Arial"/>
        </w:rPr>
        <w:t>A</w:t>
      </w:r>
      <w:r w:rsidR="007C70DC" w:rsidRPr="00B61FF1">
        <w:rPr>
          <w:rFonts w:ascii="Arial" w:eastAsia="PMingLiU" w:hAnsi="Arial" w:cs="Arial"/>
        </w:rPr>
        <w:t xml:space="preserve"> separate violation </w:t>
      </w:r>
      <w:r w:rsidR="0020561F" w:rsidRPr="00B61FF1">
        <w:rPr>
          <w:rFonts w:ascii="Arial" w:eastAsia="PMingLiU" w:hAnsi="Arial" w:cs="Arial"/>
        </w:rPr>
        <w:t xml:space="preserve">accrues every 45 days </w:t>
      </w:r>
      <w:r w:rsidR="007C70DC" w:rsidRPr="00B61FF1">
        <w:rPr>
          <w:rFonts w:ascii="Arial" w:eastAsia="PMingLiU" w:hAnsi="Arial" w:cs="Arial"/>
        </w:rPr>
        <w:t>after the end of the Untimely Surrender Period</w:t>
      </w:r>
      <w:r w:rsidR="0098235B" w:rsidRPr="00B61FF1">
        <w:rPr>
          <w:rFonts w:ascii="Arial" w:eastAsia="PMingLiU" w:hAnsi="Arial" w:cs="Arial"/>
        </w:rPr>
        <w:t xml:space="preserve"> pursuant to section 95857</w:t>
      </w:r>
      <w:r w:rsidR="007C70DC" w:rsidRPr="00B61FF1">
        <w:rPr>
          <w:rFonts w:ascii="Arial" w:eastAsia="PMingLiU" w:hAnsi="Arial" w:cs="Arial"/>
        </w:rPr>
        <w:t xml:space="preserve"> </w:t>
      </w:r>
      <w:r w:rsidR="0020561F" w:rsidRPr="00B61FF1">
        <w:rPr>
          <w:rFonts w:ascii="Arial" w:eastAsia="PMingLiU" w:hAnsi="Arial" w:cs="Arial"/>
        </w:rPr>
        <w:t xml:space="preserve">for </w:t>
      </w:r>
      <w:r w:rsidR="007C70DC" w:rsidRPr="00B61FF1">
        <w:rPr>
          <w:rFonts w:ascii="Arial" w:eastAsia="PMingLiU" w:hAnsi="Arial" w:cs="Arial"/>
        </w:rPr>
        <w:t xml:space="preserve">each required compliance instrument </w:t>
      </w:r>
      <w:r w:rsidR="0020561F" w:rsidRPr="00B61FF1">
        <w:rPr>
          <w:rFonts w:ascii="Arial" w:eastAsia="PMingLiU" w:hAnsi="Arial" w:cs="Arial"/>
        </w:rPr>
        <w:t xml:space="preserve">that </w:t>
      </w:r>
      <w:r w:rsidR="007C70DC" w:rsidRPr="00B61FF1">
        <w:rPr>
          <w:rFonts w:ascii="Arial" w:eastAsia="PMingLiU" w:hAnsi="Arial" w:cs="Arial"/>
        </w:rPr>
        <w:t>has not been surrendered.</w:t>
      </w:r>
    </w:p>
    <w:p w14:paraId="040B9069" w14:textId="77777777" w:rsidR="0077328C" w:rsidRPr="00B61FF1" w:rsidRDefault="007C7BD6" w:rsidP="007C7BD6">
      <w:pPr>
        <w:pStyle w:val="default0"/>
        <w:autoSpaceDE w:val="0"/>
        <w:autoSpaceDN w:val="0"/>
        <w:adjustRightInd w:val="0"/>
        <w:spacing w:before="0" w:beforeAutospacing="0" w:after="0" w:afterAutospacing="0" w:line="360" w:lineRule="auto"/>
        <w:ind w:left="720" w:hanging="720"/>
        <w:rPr>
          <w:rFonts w:ascii="Arial" w:eastAsia="PMingLiU" w:hAnsi="Arial" w:cs="Arial"/>
        </w:rPr>
      </w:pPr>
      <w:r w:rsidRPr="00B61FF1">
        <w:rPr>
          <w:rFonts w:ascii="Arial" w:eastAsia="PMingLiU" w:hAnsi="Arial" w:cs="Arial"/>
        </w:rPr>
        <w:t>(c)</w:t>
      </w:r>
      <w:r w:rsidRPr="00B61FF1">
        <w:rPr>
          <w:rFonts w:ascii="Arial" w:eastAsia="PMingLiU" w:hAnsi="Arial" w:cs="Arial"/>
        </w:rPr>
        <w:tab/>
      </w:r>
      <w:r w:rsidR="0077328C" w:rsidRPr="00B61FF1">
        <w:rPr>
          <w:rFonts w:ascii="Arial" w:eastAsia="PMingLiU" w:hAnsi="Arial" w:cs="Arial"/>
        </w:rPr>
        <w:t>It is a violation to submit any record, information or report required by this article that:</w:t>
      </w:r>
    </w:p>
    <w:p w14:paraId="4AAFC1F1" w14:textId="77777777" w:rsidR="0077328C" w:rsidRPr="00B61FF1" w:rsidRDefault="007C7BD6" w:rsidP="007C7BD6">
      <w:pPr>
        <w:pStyle w:val="default0"/>
        <w:autoSpaceDE w:val="0"/>
        <w:autoSpaceDN w:val="0"/>
        <w:adjustRightInd w:val="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t>(1)</w:t>
      </w:r>
      <w:r w:rsidRPr="00B61FF1">
        <w:rPr>
          <w:rFonts w:ascii="Arial" w:eastAsia="PMingLiU" w:hAnsi="Arial" w:cs="Arial"/>
        </w:rPr>
        <w:tab/>
      </w:r>
      <w:r w:rsidR="0077328C" w:rsidRPr="00B61FF1">
        <w:rPr>
          <w:rFonts w:ascii="Arial" w:eastAsia="PMingLiU" w:hAnsi="Arial" w:cs="Arial"/>
        </w:rPr>
        <w:t>Falsifies, conceals, or covers up by any trick, scheme or device a material fact;</w:t>
      </w:r>
    </w:p>
    <w:p w14:paraId="53B0246C" w14:textId="77777777" w:rsidR="0077328C" w:rsidRPr="00B61FF1" w:rsidRDefault="007C7BD6" w:rsidP="007C7BD6">
      <w:pPr>
        <w:pStyle w:val="default0"/>
        <w:autoSpaceDE w:val="0"/>
        <w:autoSpaceDN w:val="0"/>
        <w:adjustRightInd w:val="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t>(2)</w:t>
      </w:r>
      <w:r w:rsidRPr="00B61FF1">
        <w:rPr>
          <w:rFonts w:ascii="Arial" w:eastAsia="PMingLiU" w:hAnsi="Arial" w:cs="Arial"/>
        </w:rPr>
        <w:tab/>
      </w:r>
      <w:r w:rsidR="0077328C" w:rsidRPr="00B61FF1">
        <w:rPr>
          <w:rFonts w:ascii="Arial" w:eastAsia="PMingLiU" w:hAnsi="Arial" w:cs="Arial"/>
        </w:rPr>
        <w:t>Makes any false, fictitious or fraudulent statement or representation;</w:t>
      </w:r>
    </w:p>
    <w:p w14:paraId="27723653" w14:textId="77777777" w:rsidR="0077328C" w:rsidRPr="00B61FF1" w:rsidRDefault="007C7BD6" w:rsidP="007C7BD6">
      <w:pPr>
        <w:pStyle w:val="default0"/>
        <w:autoSpaceDE w:val="0"/>
        <w:autoSpaceDN w:val="0"/>
        <w:adjustRightInd w:val="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t>(3)</w:t>
      </w:r>
      <w:r w:rsidRPr="00B61FF1">
        <w:rPr>
          <w:rFonts w:ascii="Arial" w:eastAsia="PMingLiU" w:hAnsi="Arial" w:cs="Arial"/>
        </w:rPr>
        <w:tab/>
      </w:r>
      <w:r w:rsidR="0077328C" w:rsidRPr="00B61FF1">
        <w:rPr>
          <w:rFonts w:ascii="Arial" w:eastAsia="PMingLiU" w:hAnsi="Arial" w:cs="Arial"/>
        </w:rPr>
        <w:t>Makes or uses any false writing or document knowing the same to contain any false, fictitious or fraudulent statement or entry; or</w:t>
      </w:r>
    </w:p>
    <w:p w14:paraId="639AE7FD" w14:textId="77777777" w:rsidR="0077328C" w:rsidRPr="00B61FF1" w:rsidRDefault="007C7BD6" w:rsidP="007C7BD6">
      <w:pPr>
        <w:pStyle w:val="default0"/>
        <w:autoSpaceDE w:val="0"/>
        <w:autoSpaceDN w:val="0"/>
        <w:adjustRightInd w:val="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t>(4)</w:t>
      </w:r>
      <w:r w:rsidRPr="00B61FF1">
        <w:rPr>
          <w:rFonts w:ascii="Arial" w:eastAsia="PMingLiU" w:hAnsi="Arial" w:cs="Arial"/>
        </w:rPr>
        <w:tab/>
      </w:r>
      <w:r w:rsidR="0077328C" w:rsidRPr="00B61FF1">
        <w:rPr>
          <w:rFonts w:ascii="Arial" w:eastAsia="PMingLiU" w:hAnsi="Arial" w:cs="Arial"/>
        </w:rPr>
        <w:t>Omits material facts from a submittal or record.</w:t>
      </w:r>
    </w:p>
    <w:p w14:paraId="48C2CCF2" w14:textId="77777777" w:rsidR="000617AA" w:rsidRPr="00B61FF1" w:rsidRDefault="000617AA" w:rsidP="007C7BD6">
      <w:pPr>
        <w:pStyle w:val="default0"/>
        <w:autoSpaceDE w:val="0"/>
        <w:autoSpaceDN w:val="0"/>
        <w:adjustRightInd w:val="0"/>
        <w:spacing w:before="0" w:beforeAutospacing="0" w:after="0" w:afterAutospacing="0" w:line="360" w:lineRule="auto"/>
        <w:ind w:left="1080" w:hanging="720"/>
        <w:rPr>
          <w:rFonts w:ascii="Arial" w:eastAsia="PMingLiU" w:hAnsi="Arial" w:cs="Arial"/>
        </w:rPr>
      </w:pPr>
      <w:r w:rsidRPr="00B61FF1">
        <w:rPr>
          <w:rFonts w:ascii="Arial" w:eastAsia="PMingLiU" w:hAnsi="Arial" w:cs="Arial"/>
        </w:rPr>
        <w:t>(5)</w:t>
      </w:r>
      <w:r w:rsidRPr="00B61FF1">
        <w:rPr>
          <w:rFonts w:ascii="Arial" w:eastAsia="PMingLiU" w:hAnsi="Arial" w:cs="Arial"/>
        </w:rPr>
        <w:tab/>
        <w:t>A fact is material if it could probably influence a decision by the Executive Officer, the Board, or the Board’s staff.</w:t>
      </w:r>
    </w:p>
    <w:p w14:paraId="743D394D" w14:textId="77777777" w:rsidR="0077328C" w:rsidRPr="00B61FF1" w:rsidRDefault="007C7BD6" w:rsidP="007C7BD6">
      <w:pPr>
        <w:pStyle w:val="default0"/>
        <w:autoSpaceDE w:val="0"/>
        <w:autoSpaceDN w:val="0"/>
        <w:adjustRightInd w:val="0"/>
        <w:spacing w:before="0" w:beforeAutospacing="0" w:after="0" w:afterAutospacing="0" w:line="360" w:lineRule="auto"/>
        <w:ind w:left="720" w:hanging="720"/>
        <w:rPr>
          <w:rFonts w:ascii="Arial" w:eastAsia="PMingLiU" w:hAnsi="Arial" w:cs="Arial"/>
        </w:rPr>
      </w:pPr>
      <w:r w:rsidRPr="00B61FF1">
        <w:rPr>
          <w:rFonts w:ascii="Arial" w:eastAsia="PMingLiU" w:hAnsi="Arial" w:cs="Arial"/>
        </w:rPr>
        <w:t>(d)</w:t>
      </w:r>
      <w:r w:rsidRPr="00B61FF1">
        <w:rPr>
          <w:rFonts w:ascii="Arial" w:eastAsia="PMingLiU" w:hAnsi="Arial" w:cs="Arial"/>
        </w:rPr>
        <w:tab/>
      </w:r>
      <w:r w:rsidR="0077328C" w:rsidRPr="00B61FF1">
        <w:rPr>
          <w:rFonts w:ascii="Arial" w:eastAsia="PMingLiU" w:hAnsi="Arial" w:cs="Arial"/>
        </w:rPr>
        <w:t>The violations stated in section 96014(c) are addition</w:t>
      </w:r>
      <w:r w:rsidR="007C70DC" w:rsidRPr="00B61FF1">
        <w:rPr>
          <w:rFonts w:ascii="Arial" w:eastAsia="PMingLiU" w:hAnsi="Arial" w:cs="Arial"/>
        </w:rPr>
        <w:t>al</w:t>
      </w:r>
      <w:r w:rsidR="0077328C" w:rsidRPr="00B61FF1">
        <w:rPr>
          <w:rFonts w:ascii="Arial" w:eastAsia="PMingLiU" w:hAnsi="Arial" w:cs="Arial"/>
        </w:rPr>
        <w:t xml:space="preserve"> to </w:t>
      </w:r>
      <w:r w:rsidR="007C70DC" w:rsidRPr="00B61FF1">
        <w:rPr>
          <w:rFonts w:ascii="Arial" w:eastAsia="PMingLiU" w:hAnsi="Arial" w:cs="Arial"/>
        </w:rPr>
        <w:t xml:space="preserve">violations of </w:t>
      </w:r>
      <w:r w:rsidR="0077328C" w:rsidRPr="00B61FF1">
        <w:rPr>
          <w:rFonts w:ascii="Arial" w:eastAsia="PMingLiU" w:hAnsi="Arial" w:cs="Arial"/>
        </w:rPr>
        <w:t>an</w:t>
      </w:r>
      <w:r w:rsidR="007C70DC" w:rsidRPr="00B61FF1">
        <w:rPr>
          <w:rFonts w:ascii="Arial" w:eastAsia="PMingLiU" w:hAnsi="Arial" w:cs="Arial"/>
        </w:rPr>
        <w:t>y</w:t>
      </w:r>
      <w:r w:rsidR="0077328C" w:rsidRPr="00B61FF1">
        <w:rPr>
          <w:rFonts w:ascii="Arial" w:eastAsia="PMingLiU" w:hAnsi="Arial" w:cs="Arial"/>
        </w:rPr>
        <w:t xml:space="preserve"> obligations </w:t>
      </w:r>
      <w:r w:rsidR="007C70DC" w:rsidRPr="00B61FF1">
        <w:rPr>
          <w:rFonts w:ascii="Arial" w:eastAsia="PMingLiU" w:hAnsi="Arial" w:cs="Arial"/>
        </w:rPr>
        <w:t xml:space="preserve">of any entity subject to this regulation </w:t>
      </w:r>
      <w:r w:rsidR="0077328C" w:rsidRPr="00B61FF1">
        <w:rPr>
          <w:rFonts w:ascii="Arial" w:eastAsia="PMingLiU" w:hAnsi="Arial" w:cs="Arial"/>
        </w:rPr>
        <w:t>under other provisions of this article requiring submissions to ARB to be true, accurate and complete.</w:t>
      </w:r>
    </w:p>
    <w:p w14:paraId="6BCC338F" w14:textId="77777777" w:rsidR="00FE6B15" w:rsidRPr="00B61FF1" w:rsidRDefault="00FE6B15" w:rsidP="004E3B67">
      <w:pPr>
        <w:spacing w:line="360" w:lineRule="auto"/>
        <w:rPr>
          <w:rFonts w:ascii="Arial" w:hAnsi="Arial" w:cs="Arial"/>
          <w:sz w:val="24"/>
          <w:szCs w:val="24"/>
        </w:rPr>
      </w:pPr>
    </w:p>
    <w:p w14:paraId="13E2E711"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02C7433B"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316AEFEC" w14:textId="77777777" w:rsidR="00BD1FA4" w:rsidRPr="00B61FF1" w:rsidRDefault="00BD1FA4" w:rsidP="00EC7AFC">
      <w:pPr>
        <w:rPr>
          <w:rFonts w:ascii="Arial" w:hAnsi="Arial" w:cs="Arial"/>
        </w:rPr>
      </w:pPr>
    </w:p>
    <w:p w14:paraId="6E830122" w14:textId="77777777" w:rsidR="00FE6B15" w:rsidRPr="00B61FF1" w:rsidRDefault="00FE6B15" w:rsidP="00CC193F">
      <w:pPr>
        <w:pStyle w:val="Heading1"/>
      </w:pPr>
      <w:bookmarkStart w:id="774" w:name="_Toc299095008"/>
      <w:bookmarkStart w:id="775" w:name="_Toc302746862"/>
      <w:bookmarkStart w:id="776" w:name="_Toc352146313"/>
      <w:bookmarkStart w:id="777" w:name="_Toc361659918"/>
      <w:r w:rsidRPr="00B61FF1">
        <w:t>Subarticle 16: Other Provisions</w:t>
      </w:r>
      <w:bookmarkEnd w:id="774"/>
      <w:bookmarkEnd w:id="775"/>
      <w:bookmarkEnd w:id="776"/>
      <w:bookmarkEnd w:id="777"/>
    </w:p>
    <w:p w14:paraId="32CF6260" w14:textId="77777777" w:rsidR="00FE6B15" w:rsidRPr="00B61FF1" w:rsidRDefault="00FE6B15" w:rsidP="004E3B67">
      <w:pPr>
        <w:pStyle w:val="Heading2"/>
        <w:keepNext w:val="0"/>
        <w:rPr>
          <w:i/>
          <w:szCs w:val="24"/>
        </w:rPr>
      </w:pPr>
      <w:bookmarkStart w:id="778" w:name="_Toc299095009"/>
      <w:bookmarkStart w:id="779" w:name="_Toc302746863"/>
      <w:bookmarkStart w:id="780" w:name="_Toc352146314"/>
      <w:bookmarkStart w:id="781" w:name="_Toc361659919"/>
      <w:r w:rsidRPr="00B61FF1">
        <w:rPr>
          <w:szCs w:val="24"/>
        </w:rPr>
        <w:t>§ 96020.  Severability, Effect of Judicial Order</w:t>
      </w:r>
      <w:r w:rsidR="00A26C38" w:rsidRPr="00B61FF1">
        <w:rPr>
          <w:szCs w:val="24"/>
        </w:rPr>
        <w:t>.</w:t>
      </w:r>
      <w:bookmarkEnd w:id="778"/>
      <w:bookmarkEnd w:id="779"/>
      <w:bookmarkEnd w:id="780"/>
      <w:bookmarkEnd w:id="781"/>
    </w:p>
    <w:p w14:paraId="58FDBB70" w14:textId="77777777" w:rsidR="00FE6B15" w:rsidRPr="00B61FF1" w:rsidRDefault="00FE6B15" w:rsidP="004E3B67">
      <w:pPr>
        <w:spacing w:line="360" w:lineRule="auto"/>
        <w:rPr>
          <w:rFonts w:ascii="Arial" w:hAnsi="Arial" w:cs="Arial"/>
          <w:sz w:val="24"/>
          <w:szCs w:val="24"/>
        </w:rPr>
      </w:pPr>
      <w:r w:rsidRPr="00B61FF1">
        <w:rPr>
          <w:rFonts w:ascii="Arial" w:hAnsi="Arial" w:cs="Arial"/>
          <w:sz w:val="24"/>
          <w:szCs w:val="24"/>
        </w:rPr>
        <w:t xml:space="preserve">Each provision of this article shall be deemed severable, and in the event that any provision of this article is held to be invalid, the remainder of this article shall continue in full force and effect. </w:t>
      </w:r>
    </w:p>
    <w:p w14:paraId="190CAB3B" w14:textId="77777777" w:rsidR="00FE6B15" w:rsidRPr="00B61FF1" w:rsidRDefault="00FE6B15" w:rsidP="004E3B67">
      <w:pPr>
        <w:spacing w:line="360" w:lineRule="auto"/>
        <w:rPr>
          <w:rFonts w:ascii="Arial" w:hAnsi="Arial" w:cs="Arial"/>
          <w:sz w:val="24"/>
          <w:szCs w:val="24"/>
        </w:rPr>
      </w:pPr>
    </w:p>
    <w:p w14:paraId="1611AD5C"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3F345B5E"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56A200C9" w14:textId="77777777" w:rsidR="00D063AD" w:rsidRPr="00B61FF1" w:rsidRDefault="00D063AD" w:rsidP="009D0034">
      <w:bookmarkStart w:id="782" w:name="_Toc299095010"/>
      <w:bookmarkStart w:id="783" w:name="_Toc302746864"/>
    </w:p>
    <w:p w14:paraId="2004FE7B" w14:textId="77777777" w:rsidR="00FE6B15" w:rsidRPr="00B61FF1" w:rsidRDefault="00FE6B15" w:rsidP="004E3B67">
      <w:pPr>
        <w:pStyle w:val="Heading2"/>
        <w:keepNext w:val="0"/>
        <w:rPr>
          <w:i/>
          <w:szCs w:val="24"/>
        </w:rPr>
      </w:pPr>
      <w:bookmarkStart w:id="784" w:name="_Toc352146315"/>
      <w:bookmarkStart w:id="785" w:name="_Toc361659920"/>
      <w:r w:rsidRPr="00B61FF1">
        <w:rPr>
          <w:szCs w:val="24"/>
        </w:rPr>
        <w:t>§ 96021.  Confidentiality</w:t>
      </w:r>
      <w:r w:rsidR="00A26C38" w:rsidRPr="00B61FF1">
        <w:rPr>
          <w:szCs w:val="24"/>
        </w:rPr>
        <w:t>.</w:t>
      </w:r>
      <w:bookmarkEnd w:id="782"/>
      <w:bookmarkEnd w:id="783"/>
      <w:bookmarkEnd w:id="784"/>
      <w:bookmarkEnd w:id="785"/>
    </w:p>
    <w:p w14:paraId="7AA377E4" w14:textId="77777777" w:rsidR="00FE6B15" w:rsidRPr="00B61FF1" w:rsidRDefault="007C7BD6" w:rsidP="007C7BD6">
      <w:pPr>
        <w:pStyle w:val="default0"/>
        <w:autoSpaceDE w:val="0"/>
        <w:autoSpaceDN w:val="0"/>
        <w:adjustRightInd w:val="0"/>
        <w:spacing w:before="0" w:beforeAutospacing="0" w:after="0" w:afterAutospacing="0" w:line="360" w:lineRule="auto"/>
        <w:ind w:left="720" w:hanging="720"/>
        <w:rPr>
          <w:rFonts w:ascii="Arial" w:eastAsia="PMingLiU" w:hAnsi="Arial" w:cs="Arial"/>
        </w:rPr>
      </w:pPr>
      <w:r w:rsidRPr="00B61FF1">
        <w:rPr>
          <w:rFonts w:ascii="Arial" w:eastAsia="PMingLiU" w:hAnsi="Arial" w:cs="Arial"/>
        </w:rPr>
        <w:t>(a)</w:t>
      </w:r>
      <w:r w:rsidRPr="00B61FF1">
        <w:rPr>
          <w:rFonts w:ascii="Arial" w:eastAsia="PMingLiU" w:hAnsi="Arial" w:cs="Arial"/>
        </w:rPr>
        <w:tab/>
      </w:r>
      <w:r w:rsidR="00FE6B15" w:rsidRPr="00B61FF1">
        <w:rPr>
          <w:rFonts w:ascii="Arial" w:eastAsia="PMingLiU" w:hAnsi="Arial" w:cs="Arial"/>
        </w:rPr>
        <w:t xml:space="preserve">Emissions data submitted to ARB under this article is public information and shall not be designated as confidential. </w:t>
      </w:r>
    </w:p>
    <w:p w14:paraId="6C3B6368" w14:textId="77777777" w:rsidR="0077328C" w:rsidRPr="00B61FF1" w:rsidRDefault="007C7BD6" w:rsidP="007C7BD6">
      <w:pPr>
        <w:pStyle w:val="default0"/>
        <w:autoSpaceDE w:val="0"/>
        <w:autoSpaceDN w:val="0"/>
        <w:adjustRightInd w:val="0"/>
        <w:spacing w:before="0" w:beforeAutospacing="0" w:after="0" w:afterAutospacing="0" w:line="360" w:lineRule="auto"/>
        <w:ind w:left="720" w:hanging="720"/>
        <w:rPr>
          <w:rFonts w:ascii="Arial" w:eastAsia="PMingLiU" w:hAnsi="Arial" w:cs="Arial"/>
        </w:rPr>
      </w:pPr>
      <w:r w:rsidRPr="00B61FF1">
        <w:rPr>
          <w:rFonts w:ascii="Arial" w:eastAsia="PMingLiU" w:hAnsi="Arial" w:cs="Arial"/>
        </w:rPr>
        <w:t>(b)</w:t>
      </w:r>
      <w:r w:rsidRPr="00B61FF1">
        <w:rPr>
          <w:rFonts w:ascii="Arial" w:eastAsia="PMingLiU" w:hAnsi="Arial" w:cs="Arial"/>
        </w:rPr>
        <w:tab/>
      </w:r>
      <w:r w:rsidR="00FE6B15" w:rsidRPr="00B61FF1">
        <w:rPr>
          <w:rFonts w:ascii="Arial" w:eastAsia="PMingLiU" w:hAnsi="Arial" w:cs="Arial"/>
        </w:rPr>
        <w:t xml:space="preserve">Any entity submitting information to the Executive Officer pursuant to this subarticle may claim such information as “confidential” by clearly identifying such information as “confidential.”  Any claim of confidentiality by an entity submitting information must be based on the entity’s belief that the information marked as confidential is either trade secret or otherwise exempt from public disclosure under the California Public Record Act (Government Code, section 6250 et seq.).  All such requests for confidentiality shall be handled in accordance with the procedures specified in California Code of Regulations, title 17, sections 91000 to 91022. </w:t>
      </w:r>
    </w:p>
    <w:p w14:paraId="3D61771B" w14:textId="77777777" w:rsidR="00FE6B15" w:rsidRPr="00B61FF1" w:rsidRDefault="00FE6B15" w:rsidP="004E3B67">
      <w:pPr>
        <w:spacing w:line="360" w:lineRule="auto"/>
        <w:rPr>
          <w:rFonts w:ascii="Arial" w:hAnsi="Arial" w:cs="Arial"/>
          <w:sz w:val="24"/>
          <w:szCs w:val="24"/>
        </w:rPr>
      </w:pPr>
    </w:p>
    <w:p w14:paraId="5F23170E" w14:textId="77777777" w:rsidR="00FE6B15" w:rsidRPr="00B61FF1" w:rsidRDefault="00FE6B15" w:rsidP="00EC7AFC">
      <w:pPr>
        <w:rPr>
          <w:rFonts w:ascii="Arial" w:hAnsi="Arial" w:cs="Arial"/>
        </w:rPr>
      </w:pPr>
      <w:r w:rsidRPr="00B61FF1">
        <w:rPr>
          <w:rFonts w:ascii="Arial" w:hAnsi="Arial" w:cs="Arial"/>
        </w:rPr>
        <w:t>NOTE:  Authority cited:  Sections 38510, 38560, 38562, 38570, 38571, 38580, 39600 and 39601, Health and Safety Code.</w:t>
      </w:r>
    </w:p>
    <w:p w14:paraId="60386287" w14:textId="77777777" w:rsidR="00FE6B15" w:rsidRPr="00B61FF1" w:rsidRDefault="00FE6B15" w:rsidP="00EC7AFC">
      <w:pPr>
        <w:rPr>
          <w:rFonts w:ascii="Arial" w:hAnsi="Arial" w:cs="Arial"/>
        </w:rPr>
      </w:pPr>
      <w:r w:rsidRPr="00B61FF1">
        <w:rPr>
          <w:rFonts w:ascii="Arial" w:hAnsi="Arial" w:cs="Arial"/>
        </w:rPr>
        <w:t>Reference:  Sections 38530, 38560.5, 38564, 38565, 38570 and 39600, Health and Safety Code.</w:t>
      </w:r>
    </w:p>
    <w:p w14:paraId="6E28CB34" w14:textId="77777777" w:rsidR="00BD1FA4" w:rsidRPr="00B61FF1" w:rsidRDefault="00BD1FA4" w:rsidP="00EC7AFC">
      <w:pPr>
        <w:rPr>
          <w:rFonts w:ascii="Arial" w:hAnsi="Arial" w:cs="Arial"/>
        </w:rPr>
      </w:pPr>
    </w:p>
    <w:p w14:paraId="2E0874E4" w14:textId="77777777" w:rsidR="00FE6B15" w:rsidRPr="00B61FF1" w:rsidRDefault="00FE6B15" w:rsidP="004E3B67">
      <w:pPr>
        <w:pStyle w:val="Heading2"/>
        <w:keepNext w:val="0"/>
        <w:rPr>
          <w:i/>
          <w:szCs w:val="24"/>
        </w:rPr>
      </w:pPr>
      <w:bookmarkStart w:id="786" w:name="_Toc299095011"/>
      <w:bookmarkStart w:id="787" w:name="_Toc302746865"/>
      <w:bookmarkStart w:id="788" w:name="_Toc352146316"/>
      <w:bookmarkStart w:id="789" w:name="_Toc361659921"/>
      <w:r w:rsidRPr="00B61FF1">
        <w:rPr>
          <w:szCs w:val="24"/>
        </w:rPr>
        <w:t xml:space="preserve">§ 96022.  </w:t>
      </w:r>
      <w:r w:rsidR="00477369" w:rsidRPr="00B61FF1">
        <w:rPr>
          <w:szCs w:val="24"/>
        </w:rPr>
        <w:t>Jurisdiction of California</w:t>
      </w:r>
      <w:r w:rsidR="006F50F4" w:rsidRPr="00B61FF1">
        <w:rPr>
          <w:szCs w:val="24"/>
        </w:rPr>
        <w:t>.</w:t>
      </w:r>
      <w:bookmarkEnd w:id="786"/>
      <w:bookmarkEnd w:id="787"/>
      <w:bookmarkEnd w:id="788"/>
      <w:bookmarkEnd w:id="789"/>
    </w:p>
    <w:p w14:paraId="157910FE" w14:textId="570A088D" w:rsidR="00477369" w:rsidRPr="00B61FF1" w:rsidRDefault="00A722D1" w:rsidP="00A722D1">
      <w:pPr>
        <w:spacing w:line="360" w:lineRule="auto"/>
        <w:ind w:left="720" w:hanging="720"/>
        <w:rPr>
          <w:rFonts w:ascii="Arial" w:hAnsi="Arial" w:cs="Arial"/>
          <w:sz w:val="24"/>
          <w:szCs w:val="24"/>
          <w:u w:val="single"/>
        </w:rPr>
      </w:pPr>
      <w:r w:rsidRPr="00B61FF1">
        <w:rPr>
          <w:rFonts w:ascii="Arial" w:hAnsi="Arial" w:cs="Arial"/>
          <w:sz w:val="24"/>
          <w:szCs w:val="24"/>
          <w:u w:val="single"/>
        </w:rPr>
        <w:t>(a)</w:t>
      </w:r>
      <w:r w:rsidRPr="00B61FF1">
        <w:rPr>
          <w:rFonts w:ascii="Arial" w:hAnsi="Arial" w:cs="Arial"/>
          <w:sz w:val="24"/>
          <w:szCs w:val="24"/>
        </w:rPr>
        <w:tab/>
      </w:r>
      <w:r w:rsidR="00477369" w:rsidRPr="00B61FF1">
        <w:rPr>
          <w:rFonts w:ascii="Arial" w:hAnsi="Arial" w:cs="Arial"/>
          <w:sz w:val="24"/>
          <w:szCs w:val="24"/>
        </w:rPr>
        <w:t xml:space="preserve">Any party </w:t>
      </w:r>
      <w:r w:rsidR="00424C7C" w:rsidRPr="00B61FF1">
        <w:rPr>
          <w:rFonts w:ascii="Arial" w:hAnsi="Arial" w:cs="Arial"/>
          <w:sz w:val="24"/>
          <w:szCs w:val="24"/>
        </w:rPr>
        <w:t>that par</w:t>
      </w:r>
      <w:r w:rsidR="005F60BF" w:rsidRPr="00B61FF1">
        <w:rPr>
          <w:rFonts w:ascii="Arial" w:hAnsi="Arial" w:cs="Arial"/>
          <w:sz w:val="24"/>
          <w:szCs w:val="24"/>
        </w:rPr>
        <w:t xml:space="preserve">ticipates in the </w:t>
      </w:r>
      <w:r w:rsidR="00B15764" w:rsidRPr="00B61FF1">
        <w:rPr>
          <w:rFonts w:ascii="Arial" w:hAnsi="Arial" w:cs="Arial"/>
          <w:sz w:val="24"/>
          <w:szCs w:val="24"/>
        </w:rPr>
        <w:t>C</w:t>
      </w:r>
      <w:r w:rsidR="005F60BF" w:rsidRPr="00B61FF1">
        <w:rPr>
          <w:rFonts w:ascii="Arial" w:hAnsi="Arial" w:cs="Arial"/>
          <w:sz w:val="24"/>
          <w:szCs w:val="24"/>
        </w:rPr>
        <w:t>ap-and-</w:t>
      </w:r>
      <w:r w:rsidR="00B15764" w:rsidRPr="00B61FF1">
        <w:rPr>
          <w:rFonts w:ascii="Arial" w:hAnsi="Arial" w:cs="Arial"/>
          <w:sz w:val="24"/>
          <w:szCs w:val="24"/>
        </w:rPr>
        <w:t>T</w:t>
      </w:r>
      <w:r w:rsidR="005F60BF" w:rsidRPr="00B61FF1">
        <w:rPr>
          <w:rFonts w:ascii="Arial" w:hAnsi="Arial" w:cs="Arial"/>
          <w:sz w:val="24"/>
          <w:szCs w:val="24"/>
        </w:rPr>
        <w:t>rade</w:t>
      </w:r>
      <w:r w:rsidR="00B15764" w:rsidRPr="00B61FF1">
        <w:rPr>
          <w:rFonts w:ascii="Arial" w:hAnsi="Arial" w:cs="Arial"/>
          <w:sz w:val="24"/>
          <w:szCs w:val="24"/>
        </w:rPr>
        <w:t xml:space="preserve"> P</w:t>
      </w:r>
      <w:r w:rsidR="00477369" w:rsidRPr="00B61FF1">
        <w:rPr>
          <w:rFonts w:ascii="Arial" w:hAnsi="Arial" w:cs="Arial"/>
          <w:sz w:val="24"/>
          <w:szCs w:val="24"/>
        </w:rPr>
        <w:t>rogram is subject to the jurisdiction of the State of C</w:t>
      </w:r>
      <w:r w:rsidR="008B4F9E" w:rsidRPr="00B61FF1">
        <w:rPr>
          <w:rFonts w:ascii="Arial" w:hAnsi="Arial" w:cs="Arial"/>
          <w:sz w:val="24"/>
          <w:szCs w:val="24"/>
        </w:rPr>
        <w:t>alifornia</w:t>
      </w:r>
      <w:r w:rsidR="00477369" w:rsidRPr="00B61FF1">
        <w:rPr>
          <w:rFonts w:ascii="Arial" w:hAnsi="Arial" w:cs="Arial"/>
          <w:sz w:val="24"/>
          <w:szCs w:val="24"/>
        </w:rPr>
        <w:t xml:space="preserve"> </w:t>
      </w:r>
      <w:r w:rsidR="008B4F9E" w:rsidRPr="00B61FF1">
        <w:rPr>
          <w:rFonts w:ascii="Arial" w:hAnsi="Arial" w:cs="Arial"/>
          <w:sz w:val="24"/>
          <w:szCs w:val="24"/>
        </w:rPr>
        <w:t>unless the party is subject to the jurisdiction of an External GHG ETS to which California has linked its Cap-and-Trade Program pursuant to section 95830(h) and subarticle 12.</w:t>
      </w:r>
      <w:r w:rsidR="000F2675" w:rsidRPr="00B61FF1">
        <w:rPr>
          <w:rFonts w:ascii="Arial" w:hAnsi="Arial" w:cs="Arial"/>
          <w:sz w:val="24"/>
          <w:szCs w:val="24"/>
        </w:rPr>
        <w:t xml:space="preserve"> </w:t>
      </w:r>
    </w:p>
    <w:p w14:paraId="2846168F" w14:textId="454C6539" w:rsidR="00A722D1" w:rsidRPr="00B61FF1" w:rsidRDefault="00A722D1" w:rsidP="00A722D1">
      <w:pPr>
        <w:spacing w:line="360" w:lineRule="auto"/>
        <w:ind w:left="720" w:hanging="720"/>
        <w:rPr>
          <w:rFonts w:ascii="Arial" w:hAnsi="Arial" w:cs="Arial"/>
          <w:sz w:val="24"/>
          <w:szCs w:val="24"/>
          <w:u w:val="single"/>
        </w:rPr>
      </w:pPr>
      <w:r w:rsidRPr="00B61FF1">
        <w:rPr>
          <w:rFonts w:ascii="Arial" w:hAnsi="Arial" w:cs="Arial"/>
          <w:sz w:val="24"/>
          <w:szCs w:val="24"/>
          <w:u w:val="single"/>
        </w:rPr>
        <w:t>(b)</w:t>
      </w:r>
      <w:r w:rsidRPr="00B61FF1">
        <w:rPr>
          <w:rFonts w:ascii="Arial" w:hAnsi="Arial" w:cs="Arial"/>
          <w:sz w:val="24"/>
          <w:szCs w:val="24"/>
        </w:rPr>
        <w:tab/>
      </w:r>
      <w:r w:rsidRPr="00B61FF1">
        <w:rPr>
          <w:rFonts w:ascii="Arial" w:hAnsi="Arial" w:cs="Arial"/>
          <w:sz w:val="24"/>
          <w:szCs w:val="24"/>
          <w:u w:val="single"/>
        </w:rPr>
        <w:t>Notwithstanding section 96010, subsection 96022(a) or any other jurisdictional provision in this article, this article shall not be construed to abridge the rights and protections afforded foreign sovereigns, including the right of removal to federal court, pursuant to the Foreign Sovereign Immunities Act, Public Law 94-583, as amended and codified at 28 U.S.C. sections 1330, 1332, 1391(f), 1441(d), and 1602-1611.</w:t>
      </w:r>
    </w:p>
    <w:p w14:paraId="52527DD3" w14:textId="4EA35D32" w:rsidR="00A722D1" w:rsidRPr="00B61FF1" w:rsidRDefault="00A722D1" w:rsidP="00A722D1">
      <w:pPr>
        <w:spacing w:line="360" w:lineRule="auto"/>
        <w:ind w:left="720" w:hanging="720"/>
        <w:rPr>
          <w:rFonts w:ascii="Arial" w:hAnsi="Arial" w:cs="Arial"/>
          <w:sz w:val="24"/>
          <w:szCs w:val="24"/>
          <w:u w:val="single"/>
        </w:rPr>
      </w:pPr>
      <w:r w:rsidRPr="00B61FF1">
        <w:rPr>
          <w:rFonts w:ascii="Arial" w:hAnsi="Arial" w:cs="Arial"/>
          <w:sz w:val="24"/>
          <w:szCs w:val="24"/>
          <w:u w:val="single"/>
        </w:rPr>
        <w:t>(c)</w:t>
      </w:r>
      <w:r w:rsidRPr="00B61FF1">
        <w:rPr>
          <w:rFonts w:ascii="Arial" w:hAnsi="Arial" w:cs="Arial"/>
          <w:sz w:val="24"/>
          <w:szCs w:val="24"/>
        </w:rPr>
        <w:tab/>
      </w:r>
      <w:r w:rsidRPr="00B61FF1">
        <w:rPr>
          <w:rFonts w:ascii="Arial" w:hAnsi="Arial" w:cs="Arial"/>
          <w:sz w:val="24"/>
          <w:szCs w:val="24"/>
          <w:u w:val="single"/>
        </w:rPr>
        <w:t>A party that has rights and protections under the Foreign Sovereign Immunities Act consents to civil enforcement of the laws, rules and regulations pertaining to this article in California’s courts, subject to the rights and protections afforded to entities subject to the Foreign Sovereign Immunities Act, including removal to federal court.</w:t>
      </w:r>
    </w:p>
    <w:p w14:paraId="608DA2A9" w14:textId="77777777" w:rsidR="00477369" w:rsidRPr="00B61FF1" w:rsidRDefault="00477369" w:rsidP="00477369">
      <w:pPr>
        <w:rPr>
          <w:rFonts w:ascii="Arial" w:hAnsi="Arial" w:cs="Arial"/>
          <w:sz w:val="24"/>
          <w:szCs w:val="24"/>
          <w:u w:val="single"/>
        </w:rPr>
      </w:pPr>
    </w:p>
    <w:p w14:paraId="34A604B0" w14:textId="77777777" w:rsidR="00477369" w:rsidRPr="00B61FF1" w:rsidRDefault="00477369" w:rsidP="00477369">
      <w:pPr>
        <w:rPr>
          <w:rFonts w:ascii="Arial" w:hAnsi="Arial" w:cs="Arial"/>
        </w:rPr>
      </w:pPr>
      <w:r w:rsidRPr="00B61FF1">
        <w:rPr>
          <w:rFonts w:ascii="Arial" w:hAnsi="Arial" w:cs="Arial"/>
        </w:rPr>
        <w:t>NOTE:  Authority cited:  Sections 38510, 38560, 38562, 38570, 38571, 38580, 39600 and 39601, Health and Safety Code.</w:t>
      </w:r>
    </w:p>
    <w:p w14:paraId="600E9EDD" w14:textId="77777777" w:rsidR="008249FC" w:rsidRPr="00B61FF1" w:rsidRDefault="00477369" w:rsidP="00A26C38">
      <w:pPr>
        <w:rPr>
          <w:rFonts w:ascii="Arial" w:hAnsi="Arial" w:cs="Arial"/>
        </w:rPr>
      </w:pPr>
      <w:r w:rsidRPr="00B61FF1">
        <w:rPr>
          <w:rFonts w:ascii="Arial" w:hAnsi="Arial" w:cs="Arial"/>
        </w:rPr>
        <w:t>Reference:  Sections 38530, 38560.5, 38564, 38565, 38570 and 39600, Health and Safety Code.</w:t>
      </w:r>
    </w:p>
    <w:p w14:paraId="2BF176B4" w14:textId="77777777" w:rsidR="00986B4A" w:rsidRPr="00B61FF1" w:rsidRDefault="00986B4A">
      <w:pPr>
        <w:autoSpaceDE/>
        <w:autoSpaceDN/>
        <w:adjustRightInd/>
        <w:rPr>
          <w:rFonts w:ascii="Arial" w:hAnsi="Arial" w:cs="Arial"/>
          <w:b/>
          <w:sz w:val="24"/>
          <w:szCs w:val="24"/>
        </w:rPr>
      </w:pPr>
      <w:r w:rsidRPr="00B61FF1">
        <w:rPr>
          <w:rFonts w:ascii="Arial" w:hAnsi="Arial" w:cs="Arial"/>
          <w:b/>
          <w:sz w:val="24"/>
          <w:szCs w:val="24"/>
        </w:rPr>
        <w:br w:type="page"/>
      </w:r>
    </w:p>
    <w:p w14:paraId="696398E0" w14:textId="77777777" w:rsidR="00D062EE" w:rsidRPr="00B61FF1" w:rsidRDefault="00D062EE" w:rsidP="00A26C38">
      <w:pPr>
        <w:rPr>
          <w:rFonts w:ascii="Arial" w:hAnsi="Arial" w:cs="Arial"/>
          <w:sz w:val="24"/>
          <w:szCs w:val="24"/>
        </w:rPr>
      </w:pPr>
      <w:r w:rsidRPr="00B61FF1">
        <w:rPr>
          <w:rFonts w:ascii="Arial" w:hAnsi="Arial" w:cs="Arial"/>
          <w:b/>
          <w:sz w:val="24"/>
          <w:szCs w:val="24"/>
        </w:rPr>
        <w:t>Appendix A</w:t>
      </w:r>
    </w:p>
    <w:p w14:paraId="2CECC023" w14:textId="77777777" w:rsidR="00D062EE" w:rsidRPr="00B61FF1" w:rsidRDefault="00D062EE" w:rsidP="00A26C38">
      <w:pPr>
        <w:rPr>
          <w:rFonts w:ascii="Arial" w:hAnsi="Arial" w:cs="Arial"/>
          <w:b/>
          <w:bCs/>
          <w:iCs/>
          <w:sz w:val="24"/>
          <w:szCs w:val="24"/>
          <w:u w:val="single"/>
        </w:rPr>
      </w:pPr>
    </w:p>
    <w:tbl>
      <w:tblPr>
        <w:tblStyle w:val="TableGrid"/>
        <w:tblW w:w="0" w:type="auto"/>
        <w:tblLook w:val="04A0" w:firstRow="1" w:lastRow="0" w:firstColumn="1" w:lastColumn="0" w:noHBand="0" w:noVBand="1"/>
      </w:tblPr>
      <w:tblGrid>
        <w:gridCol w:w="7745"/>
      </w:tblGrid>
      <w:tr w:rsidR="00D062EE" w:rsidRPr="00B61FF1" w14:paraId="6F54F7DA" w14:textId="77777777" w:rsidTr="00881CB9">
        <w:trPr>
          <w:trHeight w:hRule="exact" w:val="334"/>
        </w:trPr>
        <w:tc>
          <w:tcPr>
            <w:tcW w:w="7745" w:type="dxa"/>
            <w:shd w:val="clear" w:color="auto" w:fill="D9D9D9" w:themeFill="background1" w:themeFillShade="D9"/>
            <w:vAlign w:val="center"/>
          </w:tcPr>
          <w:p w14:paraId="1193D4BC" w14:textId="77777777" w:rsidR="00D062EE" w:rsidRPr="00B61FF1" w:rsidRDefault="00D062EE" w:rsidP="00B653A3">
            <w:pPr>
              <w:rPr>
                <w:rFonts w:ascii="Arial" w:hAnsi="Arial" w:cs="Arial"/>
                <w:sz w:val="24"/>
                <w:szCs w:val="24"/>
              </w:rPr>
            </w:pPr>
            <w:r w:rsidRPr="00B61FF1">
              <w:rPr>
                <w:rFonts w:ascii="Arial" w:hAnsi="Arial" w:cs="Arial"/>
                <w:sz w:val="24"/>
                <w:szCs w:val="24"/>
              </w:rPr>
              <w:t>Entity Information</w:t>
            </w:r>
          </w:p>
        </w:tc>
      </w:tr>
      <w:tr w:rsidR="00D062EE" w:rsidRPr="00B61FF1" w14:paraId="2C156C2F" w14:textId="77777777" w:rsidTr="00881CB9">
        <w:trPr>
          <w:trHeight w:hRule="exact" w:val="334"/>
        </w:trPr>
        <w:tc>
          <w:tcPr>
            <w:tcW w:w="7745" w:type="dxa"/>
            <w:vAlign w:val="center"/>
          </w:tcPr>
          <w:p w14:paraId="29B551F2" w14:textId="77777777" w:rsidR="00D062EE" w:rsidRPr="00B61FF1" w:rsidRDefault="00D062EE" w:rsidP="00B653A3">
            <w:pPr>
              <w:rPr>
                <w:rFonts w:ascii="Arial" w:hAnsi="Arial" w:cs="Arial"/>
                <w:sz w:val="24"/>
                <w:szCs w:val="24"/>
              </w:rPr>
            </w:pPr>
            <w:r w:rsidRPr="00B61FF1">
              <w:rPr>
                <w:rFonts w:ascii="Arial" w:hAnsi="Arial" w:cs="Arial"/>
                <w:sz w:val="24"/>
                <w:szCs w:val="24"/>
              </w:rPr>
              <w:t>Legal Name</w:t>
            </w:r>
          </w:p>
        </w:tc>
      </w:tr>
      <w:tr w:rsidR="00D062EE" w:rsidRPr="00B61FF1" w14:paraId="64F53804" w14:textId="77777777" w:rsidTr="00881CB9">
        <w:trPr>
          <w:trHeight w:hRule="exact" w:val="334"/>
        </w:trPr>
        <w:tc>
          <w:tcPr>
            <w:tcW w:w="7745" w:type="dxa"/>
            <w:vAlign w:val="center"/>
          </w:tcPr>
          <w:p w14:paraId="4CE4148D" w14:textId="77777777" w:rsidR="00D062EE" w:rsidRPr="00B61FF1" w:rsidRDefault="00D062EE" w:rsidP="00B653A3">
            <w:pPr>
              <w:rPr>
                <w:rFonts w:ascii="Arial" w:hAnsi="Arial" w:cs="Arial"/>
                <w:sz w:val="24"/>
                <w:szCs w:val="24"/>
              </w:rPr>
            </w:pPr>
            <w:r w:rsidRPr="00B61FF1">
              <w:rPr>
                <w:rFonts w:ascii="Arial" w:hAnsi="Arial" w:cs="Arial"/>
                <w:sz w:val="24"/>
                <w:szCs w:val="24"/>
              </w:rPr>
              <w:t>Operating Name</w:t>
            </w:r>
          </w:p>
        </w:tc>
      </w:tr>
      <w:tr w:rsidR="00D062EE" w:rsidRPr="00B61FF1" w14:paraId="0906FEB8" w14:textId="77777777" w:rsidTr="00881CB9">
        <w:trPr>
          <w:trHeight w:hRule="exact" w:val="334"/>
        </w:trPr>
        <w:tc>
          <w:tcPr>
            <w:tcW w:w="7745" w:type="dxa"/>
            <w:vAlign w:val="center"/>
          </w:tcPr>
          <w:p w14:paraId="2E72E6A4" w14:textId="77777777" w:rsidR="00D062EE" w:rsidRPr="00B61FF1" w:rsidRDefault="00D062EE" w:rsidP="00B653A3">
            <w:pPr>
              <w:rPr>
                <w:rFonts w:ascii="Arial" w:hAnsi="Arial" w:cs="Arial"/>
                <w:sz w:val="24"/>
                <w:szCs w:val="24"/>
              </w:rPr>
            </w:pPr>
            <w:r w:rsidRPr="00B61FF1">
              <w:rPr>
                <w:rFonts w:ascii="Arial" w:hAnsi="Arial" w:cs="Arial"/>
                <w:sz w:val="24"/>
                <w:szCs w:val="24"/>
              </w:rPr>
              <w:t>U.S. Federal Tax Employer Identification Number</w:t>
            </w:r>
          </w:p>
        </w:tc>
      </w:tr>
      <w:tr w:rsidR="00D062EE" w:rsidRPr="00B61FF1" w14:paraId="33DD2613" w14:textId="77777777" w:rsidTr="00881CB9">
        <w:trPr>
          <w:trHeight w:hRule="exact" w:val="334"/>
        </w:trPr>
        <w:tc>
          <w:tcPr>
            <w:tcW w:w="7745" w:type="dxa"/>
            <w:vAlign w:val="center"/>
          </w:tcPr>
          <w:p w14:paraId="6C6683DA" w14:textId="77777777" w:rsidR="00D062EE" w:rsidRPr="00B61FF1" w:rsidRDefault="00D062EE" w:rsidP="00B653A3">
            <w:pPr>
              <w:rPr>
                <w:rFonts w:ascii="Arial" w:hAnsi="Arial" w:cs="Arial"/>
                <w:sz w:val="24"/>
                <w:szCs w:val="24"/>
              </w:rPr>
            </w:pPr>
            <w:r w:rsidRPr="00B61FF1">
              <w:rPr>
                <w:rFonts w:ascii="Arial" w:hAnsi="Arial" w:cs="Arial"/>
                <w:sz w:val="24"/>
                <w:szCs w:val="24"/>
              </w:rPr>
              <w:t>Value Added Tax Identification Number</w:t>
            </w:r>
          </w:p>
        </w:tc>
      </w:tr>
      <w:tr w:rsidR="00D062EE" w:rsidRPr="00B61FF1" w14:paraId="1CB7822A" w14:textId="77777777" w:rsidTr="00881CB9">
        <w:trPr>
          <w:trHeight w:hRule="exact" w:val="334"/>
        </w:trPr>
        <w:tc>
          <w:tcPr>
            <w:tcW w:w="7745" w:type="dxa"/>
            <w:vAlign w:val="center"/>
          </w:tcPr>
          <w:p w14:paraId="460A85B0" w14:textId="77777777" w:rsidR="00D062EE" w:rsidRPr="00B61FF1" w:rsidRDefault="00D062EE" w:rsidP="00B653A3">
            <w:pPr>
              <w:rPr>
                <w:rFonts w:ascii="Arial" w:hAnsi="Arial" w:cs="Arial"/>
                <w:sz w:val="24"/>
                <w:szCs w:val="24"/>
              </w:rPr>
            </w:pPr>
            <w:r w:rsidRPr="00B61FF1">
              <w:rPr>
                <w:rFonts w:ascii="Arial" w:hAnsi="Arial" w:cs="Arial"/>
                <w:sz w:val="24"/>
                <w:szCs w:val="24"/>
              </w:rPr>
              <w:t>Data Universal Numbering System Number</w:t>
            </w:r>
          </w:p>
        </w:tc>
      </w:tr>
      <w:tr w:rsidR="00D062EE" w:rsidRPr="00B61FF1" w14:paraId="473CDCB2" w14:textId="77777777" w:rsidTr="00881CB9">
        <w:trPr>
          <w:trHeight w:hRule="exact" w:val="334"/>
        </w:trPr>
        <w:tc>
          <w:tcPr>
            <w:tcW w:w="7745" w:type="dxa"/>
            <w:vAlign w:val="center"/>
          </w:tcPr>
          <w:p w14:paraId="470934D6" w14:textId="77777777" w:rsidR="00D062EE" w:rsidRPr="00B61FF1" w:rsidRDefault="00BE52EF" w:rsidP="00B653A3">
            <w:pPr>
              <w:rPr>
                <w:rFonts w:ascii="Arial" w:hAnsi="Arial" w:cs="Arial"/>
                <w:sz w:val="24"/>
                <w:szCs w:val="24"/>
              </w:rPr>
            </w:pPr>
            <w:r w:rsidRPr="00B61FF1">
              <w:rPr>
                <w:rFonts w:ascii="Arial" w:hAnsi="Arial" w:cs="Arial"/>
                <w:sz w:val="24"/>
                <w:szCs w:val="24"/>
              </w:rPr>
              <w:t>Date of i</w:t>
            </w:r>
            <w:r w:rsidR="00D062EE" w:rsidRPr="00B61FF1">
              <w:rPr>
                <w:rFonts w:ascii="Arial" w:hAnsi="Arial" w:cs="Arial"/>
                <w:sz w:val="24"/>
                <w:szCs w:val="24"/>
              </w:rPr>
              <w:t>ncorporation</w:t>
            </w:r>
          </w:p>
        </w:tc>
      </w:tr>
      <w:tr w:rsidR="00D062EE" w:rsidRPr="00B61FF1" w14:paraId="5521ECBA" w14:textId="77777777" w:rsidTr="00881CB9">
        <w:trPr>
          <w:trHeight w:hRule="exact" w:val="334"/>
        </w:trPr>
        <w:tc>
          <w:tcPr>
            <w:tcW w:w="7745" w:type="dxa"/>
            <w:vAlign w:val="center"/>
          </w:tcPr>
          <w:p w14:paraId="04EB622C" w14:textId="77777777" w:rsidR="00D062EE" w:rsidRPr="00B61FF1" w:rsidRDefault="00D062EE" w:rsidP="00B653A3">
            <w:pPr>
              <w:rPr>
                <w:rFonts w:ascii="Arial" w:hAnsi="Arial" w:cs="Arial"/>
                <w:sz w:val="24"/>
                <w:szCs w:val="24"/>
              </w:rPr>
            </w:pPr>
            <w:r w:rsidRPr="00B61FF1">
              <w:rPr>
                <w:rFonts w:ascii="Arial" w:hAnsi="Arial" w:cs="Arial"/>
                <w:sz w:val="24"/>
                <w:szCs w:val="24"/>
              </w:rPr>
              <w:t>Place of Incorporation</w:t>
            </w:r>
          </w:p>
        </w:tc>
      </w:tr>
      <w:tr w:rsidR="00D062EE" w:rsidRPr="00B61FF1" w14:paraId="7D91F3EA" w14:textId="77777777" w:rsidTr="00881CB9">
        <w:trPr>
          <w:trHeight w:hRule="exact" w:val="334"/>
        </w:trPr>
        <w:tc>
          <w:tcPr>
            <w:tcW w:w="7745" w:type="dxa"/>
            <w:vAlign w:val="center"/>
          </w:tcPr>
          <w:p w14:paraId="118384FF" w14:textId="77777777" w:rsidR="00D062EE" w:rsidRPr="00B61FF1" w:rsidRDefault="00D062EE" w:rsidP="00B653A3">
            <w:pPr>
              <w:rPr>
                <w:rFonts w:ascii="Arial" w:hAnsi="Arial" w:cs="Arial"/>
                <w:sz w:val="24"/>
                <w:szCs w:val="24"/>
              </w:rPr>
            </w:pPr>
            <w:r w:rsidRPr="00B61FF1">
              <w:rPr>
                <w:rFonts w:ascii="Arial" w:hAnsi="Arial" w:cs="Arial"/>
                <w:sz w:val="24"/>
                <w:szCs w:val="24"/>
              </w:rPr>
              <w:t>Country of Incorporation</w:t>
            </w:r>
          </w:p>
        </w:tc>
      </w:tr>
      <w:tr w:rsidR="00D062EE" w:rsidRPr="00B61FF1" w14:paraId="4104B8E7" w14:textId="77777777" w:rsidTr="00881CB9">
        <w:trPr>
          <w:trHeight w:hRule="exact" w:val="334"/>
        </w:trPr>
        <w:tc>
          <w:tcPr>
            <w:tcW w:w="7745" w:type="dxa"/>
            <w:vAlign w:val="center"/>
          </w:tcPr>
          <w:p w14:paraId="63474A92" w14:textId="77777777" w:rsidR="00D062EE" w:rsidRPr="00B61FF1" w:rsidRDefault="00D062EE" w:rsidP="00B653A3">
            <w:pPr>
              <w:rPr>
                <w:rFonts w:ascii="Arial" w:hAnsi="Arial" w:cs="Arial"/>
                <w:sz w:val="24"/>
                <w:szCs w:val="24"/>
              </w:rPr>
            </w:pPr>
            <w:r w:rsidRPr="00B61FF1">
              <w:rPr>
                <w:rFonts w:ascii="Arial" w:hAnsi="Arial" w:cs="Arial"/>
                <w:sz w:val="24"/>
                <w:szCs w:val="24"/>
              </w:rPr>
              <w:t>Business Number (Assigned by California Agency)</w:t>
            </w:r>
          </w:p>
        </w:tc>
      </w:tr>
      <w:tr w:rsidR="00D062EE" w:rsidRPr="00B61FF1" w14:paraId="560389A4" w14:textId="77777777" w:rsidTr="00881CB9">
        <w:trPr>
          <w:trHeight w:hRule="exact" w:val="334"/>
        </w:trPr>
        <w:tc>
          <w:tcPr>
            <w:tcW w:w="7745" w:type="dxa"/>
            <w:vAlign w:val="center"/>
          </w:tcPr>
          <w:p w14:paraId="6D36450A" w14:textId="77777777" w:rsidR="00D062EE" w:rsidRPr="00B61FF1" w:rsidRDefault="00BE52EF" w:rsidP="00B653A3">
            <w:pPr>
              <w:rPr>
                <w:rFonts w:ascii="Arial" w:hAnsi="Arial" w:cs="Arial"/>
                <w:sz w:val="24"/>
                <w:szCs w:val="24"/>
              </w:rPr>
            </w:pPr>
            <w:r w:rsidRPr="00B61FF1">
              <w:rPr>
                <w:rFonts w:ascii="Arial" w:hAnsi="Arial" w:cs="Arial"/>
                <w:sz w:val="24"/>
                <w:szCs w:val="24"/>
              </w:rPr>
              <w:t>Physical Address (City, State, p</w:t>
            </w:r>
            <w:r w:rsidR="00D062EE" w:rsidRPr="00B61FF1">
              <w:rPr>
                <w:rFonts w:ascii="Arial" w:hAnsi="Arial" w:cs="Arial"/>
                <w:sz w:val="24"/>
                <w:szCs w:val="24"/>
              </w:rPr>
              <w:t>ostal Code)</w:t>
            </w:r>
          </w:p>
        </w:tc>
      </w:tr>
      <w:tr w:rsidR="00D062EE" w:rsidRPr="00B61FF1" w14:paraId="63D46D43" w14:textId="77777777" w:rsidTr="00881CB9">
        <w:trPr>
          <w:trHeight w:hRule="exact" w:val="334"/>
        </w:trPr>
        <w:tc>
          <w:tcPr>
            <w:tcW w:w="7745" w:type="dxa"/>
            <w:vAlign w:val="center"/>
          </w:tcPr>
          <w:p w14:paraId="60C43FE7" w14:textId="77777777" w:rsidR="00D062EE" w:rsidRPr="00B61FF1" w:rsidRDefault="00BE52EF" w:rsidP="00B653A3">
            <w:pPr>
              <w:rPr>
                <w:rFonts w:ascii="Arial" w:hAnsi="Arial" w:cs="Arial"/>
                <w:sz w:val="24"/>
                <w:szCs w:val="24"/>
              </w:rPr>
            </w:pPr>
            <w:r w:rsidRPr="00B61FF1">
              <w:rPr>
                <w:rFonts w:ascii="Arial" w:hAnsi="Arial" w:cs="Arial"/>
                <w:sz w:val="24"/>
                <w:szCs w:val="24"/>
              </w:rPr>
              <w:t>Mailing Address (City, State, p</w:t>
            </w:r>
            <w:r w:rsidR="00D062EE" w:rsidRPr="00B61FF1">
              <w:rPr>
                <w:rFonts w:ascii="Arial" w:hAnsi="Arial" w:cs="Arial"/>
                <w:sz w:val="24"/>
                <w:szCs w:val="24"/>
              </w:rPr>
              <w:t>ostal Code)</w:t>
            </w:r>
          </w:p>
        </w:tc>
      </w:tr>
      <w:tr w:rsidR="00D062EE" w:rsidRPr="00B61FF1" w14:paraId="653F3430" w14:textId="77777777" w:rsidTr="00881CB9">
        <w:trPr>
          <w:trHeight w:hRule="exact" w:val="334"/>
        </w:trPr>
        <w:tc>
          <w:tcPr>
            <w:tcW w:w="7745" w:type="dxa"/>
            <w:vAlign w:val="center"/>
          </w:tcPr>
          <w:p w14:paraId="67709634" w14:textId="77777777" w:rsidR="00D062EE" w:rsidRPr="00B61FF1" w:rsidRDefault="00D062EE" w:rsidP="00B653A3">
            <w:pPr>
              <w:rPr>
                <w:rFonts w:ascii="Arial" w:hAnsi="Arial" w:cs="Arial"/>
                <w:sz w:val="24"/>
                <w:szCs w:val="24"/>
              </w:rPr>
            </w:pPr>
            <w:r w:rsidRPr="00B61FF1">
              <w:rPr>
                <w:rFonts w:ascii="Arial" w:hAnsi="Arial" w:cs="Arial"/>
                <w:sz w:val="24"/>
                <w:szCs w:val="24"/>
              </w:rPr>
              <w:t>Country</w:t>
            </w:r>
          </w:p>
        </w:tc>
      </w:tr>
      <w:tr w:rsidR="00D062EE" w:rsidRPr="00B61FF1" w14:paraId="5FA64139" w14:textId="77777777" w:rsidTr="00881CB9">
        <w:trPr>
          <w:trHeight w:hRule="exact" w:val="334"/>
        </w:trPr>
        <w:tc>
          <w:tcPr>
            <w:tcW w:w="7745" w:type="dxa"/>
            <w:vAlign w:val="center"/>
          </w:tcPr>
          <w:p w14:paraId="44C1F379" w14:textId="77777777" w:rsidR="00D062EE" w:rsidRPr="00B61FF1" w:rsidRDefault="00BE52EF" w:rsidP="00BE52EF">
            <w:pPr>
              <w:rPr>
                <w:rFonts w:ascii="Arial" w:hAnsi="Arial" w:cs="Arial"/>
                <w:sz w:val="24"/>
                <w:szCs w:val="24"/>
              </w:rPr>
            </w:pPr>
            <w:r w:rsidRPr="00B61FF1">
              <w:rPr>
                <w:rFonts w:ascii="Arial" w:hAnsi="Arial" w:cs="Arial"/>
                <w:sz w:val="24"/>
                <w:szCs w:val="24"/>
              </w:rPr>
              <w:t>Contact Information (Name, a</w:t>
            </w:r>
            <w:r w:rsidR="00D062EE" w:rsidRPr="00B61FF1">
              <w:rPr>
                <w:rFonts w:ascii="Arial" w:hAnsi="Arial" w:cs="Arial"/>
                <w:sz w:val="24"/>
                <w:szCs w:val="24"/>
              </w:rPr>
              <w:t xml:space="preserve">ddress, </w:t>
            </w:r>
            <w:r w:rsidRPr="00B61FF1">
              <w:rPr>
                <w:rFonts w:ascii="Arial" w:hAnsi="Arial" w:cs="Arial"/>
                <w:sz w:val="24"/>
                <w:szCs w:val="24"/>
              </w:rPr>
              <w:t>phone, e</w:t>
            </w:r>
            <w:r w:rsidR="00D062EE" w:rsidRPr="00B61FF1">
              <w:rPr>
                <w:rFonts w:ascii="Arial" w:hAnsi="Arial" w:cs="Arial"/>
                <w:sz w:val="24"/>
                <w:szCs w:val="24"/>
              </w:rPr>
              <w:t>mail)</w:t>
            </w:r>
          </w:p>
        </w:tc>
      </w:tr>
      <w:tr w:rsidR="00D062EE" w:rsidRPr="00B61FF1" w14:paraId="751CEB57" w14:textId="77777777" w:rsidTr="00881CB9">
        <w:trPr>
          <w:trHeight w:hRule="exact" w:val="334"/>
        </w:trPr>
        <w:tc>
          <w:tcPr>
            <w:tcW w:w="7745" w:type="dxa"/>
            <w:vAlign w:val="center"/>
          </w:tcPr>
          <w:p w14:paraId="08210080" w14:textId="77777777" w:rsidR="00D062EE" w:rsidRPr="00B61FF1" w:rsidRDefault="00D062EE" w:rsidP="00B653A3">
            <w:pPr>
              <w:rPr>
                <w:rFonts w:ascii="Arial" w:hAnsi="Arial" w:cs="Arial"/>
                <w:sz w:val="24"/>
                <w:szCs w:val="24"/>
              </w:rPr>
            </w:pPr>
            <w:r w:rsidRPr="00B61FF1">
              <w:rPr>
                <w:rFonts w:ascii="Arial" w:hAnsi="Arial" w:cs="Arial"/>
                <w:sz w:val="24"/>
                <w:szCs w:val="24"/>
              </w:rPr>
              <w:t>Website Address</w:t>
            </w:r>
          </w:p>
        </w:tc>
      </w:tr>
      <w:tr w:rsidR="00D062EE" w:rsidRPr="00B61FF1" w14:paraId="703F4091" w14:textId="77777777" w:rsidTr="00881CB9">
        <w:trPr>
          <w:trHeight w:hRule="exact" w:val="334"/>
        </w:trPr>
        <w:tc>
          <w:tcPr>
            <w:tcW w:w="7745" w:type="dxa"/>
            <w:vAlign w:val="center"/>
          </w:tcPr>
          <w:p w14:paraId="717D5553" w14:textId="77777777" w:rsidR="00D062EE" w:rsidRPr="00B61FF1" w:rsidRDefault="00D062EE" w:rsidP="00B653A3">
            <w:pPr>
              <w:rPr>
                <w:rFonts w:ascii="Arial" w:hAnsi="Arial" w:cs="Arial"/>
                <w:sz w:val="24"/>
                <w:szCs w:val="24"/>
              </w:rPr>
            </w:pPr>
            <w:r w:rsidRPr="00B61FF1">
              <w:rPr>
                <w:rFonts w:ascii="Arial" w:hAnsi="Arial" w:cs="Arial"/>
                <w:sz w:val="24"/>
                <w:szCs w:val="24"/>
              </w:rPr>
              <w:t>Type of Organization</w:t>
            </w:r>
          </w:p>
        </w:tc>
      </w:tr>
    </w:tbl>
    <w:p w14:paraId="459CFEC6" w14:textId="77777777" w:rsidR="00FE6B15" w:rsidRPr="00B61FF1" w:rsidRDefault="00FE6B15" w:rsidP="004C1B60">
      <w:pPr>
        <w:rPr>
          <w:rFonts w:ascii="Arial" w:hAnsi="Arial" w:cs="Arial"/>
        </w:rPr>
      </w:pPr>
    </w:p>
    <w:tbl>
      <w:tblPr>
        <w:tblStyle w:val="TableGrid"/>
        <w:tblW w:w="0" w:type="auto"/>
        <w:tblLook w:val="04A0" w:firstRow="1" w:lastRow="0" w:firstColumn="1" w:lastColumn="0" w:noHBand="0" w:noVBand="1"/>
      </w:tblPr>
      <w:tblGrid>
        <w:gridCol w:w="7806"/>
      </w:tblGrid>
      <w:tr w:rsidR="00B653A3" w:rsidRPr="00B61FF1" w14:paraId="5C7D06B8" w14:textId="77777777" w:rsidTr="00881CB9">
        <w:trPr>
          <w:trHeight w:hRule="exact" w:val="308"/>
        </w:trPr>
        <w:tc>
          <w:tcPr>
            <w:tcW w:w="7806" w:type="dxa"/>
            <w:shd w:val="clear" w:color="auto" w:fill="D9D9D9" w:themeFill="background1" w:themeFillShade="D9"/>
            <w:vAlign w:val="center"/>
          </w:tcPr>
          <w:p w14:paraId="32E6D4C3" w14:textId="77777777" w:rsidR="00B653A3" w:rsidRPr="00B61FF1" w:rsidRDefault="00B653A3" w:rsidP="00A329A4">
            <w:pPr>
              <w:rPr>
                <w:rFonts w:ascii="Arial" w:hAnsi="Arial" w:cs="Arial"/>
                <w:sz w:val="24"/>
                <w:szCs w:val="24"/>
              </w:rPr>
            </w:pPr>
            <w:r w:rsidRPr="00B61FF1">
              <w:rPr>
                <w:rFonts w:ascii="Arial" w:hAnsi="Arial" w:cs="Arial"/>
                <w:sz w:val="24"/>
                <w:szCs w:val="24"/>
              </w:rPr>
              <w:t>Individual Information</w:t>
            </w:r>
          </w:p>
        </w:tc>
      </w:tr>
      <w:tr w:rsidR="00B653A3" w:rsidRPr="00B61FF1" w14:paraId="5F05B6C7" w14:textId="77777777" w:rsidTr="00881CB9">
        <w:trPr>
          <w:trHeight w:hRule="exact" w:val="308"/>
        </w:trPr>
        <w:tc>
          <w:tcPr>
            <w:tcW w:w="7806" w:type="dxa"/>
            <w:vAlign w:val="center"/>
          </w:tcPr>
          <w:p w14:paraId="43779E6E" w14:textId="77777777" w:rsidR="00B653A3" w:rsidRPr="00B61FF1" w:rsidRDefault="00B653A3" w:rsidP="00A329A4">
            <w:pPr>
              <w:rPr>
                <w:rFonts w:ascii="Arial" w:hAnsi="Arial" w:cs="Arial"/>
                <w:sz w:val="24"/>
                <w:szCs w:val="24"/>
              </w:rPr>
            </w:pPr>
            <w:r w:rsidRPr="00B61FF1">
              <w:rPr>
                <w:rFonts w:ascii="Arial" w:hAnsi="Arial" w:cs="Arial"/>
                <w:sz w:val="24"/>
                <w:szCs w:val="24"/>
              </w:rPr>
              <w:t>First Name</w:t>
            </w:r>
          </w:p>
        </w:tc>
      </w:tr>
      <w:tr w:rsidR="00B653A3" w:rsidRPr="00B61FF1" w14:paraId="6F80A327" w14:textId="77777777" w:rsidTr="00881CB9">
        <w:trPr>
          <w:trHeight w:hRule="exact" w:val="308"/>
        </w:trPr>
        <w:tc>
          <w:tcPr>
            <w:tcW w:w="7806" w:type="dxa"/>
            <w:vAlign w:val="center"/>
          </w:tcPr>
          <w:p w14:paraId="7941E1CE" w14:textId="77777777" w:rsidR="00B653A3" w:rsidRPr="00B61FF1" w:rsidRDefault="00B653A3" w:rsidP="00A329A4">
            <w:pPr>
              <w:rPr>
                <w:rFonts w:ascii="Arial" w:hAnsi="Arial" w:cs="Arial"/>
                <w:sz w:val="24"/>
                <w:szCs w:val="24"/>
              </w:rPr>
            </w:pPr>
            <w:r w:rsidRPr="00B61FF1">
              <w:rPr>
                <w:rFonts w:ascii="Arial" w:hAnsi="Arial" w:cs="Arial"/>
                <w:sz w:val="24"/>
                <w:szCs w:val="24"/>
              </w:rPr>
              <w:t>Middle Name</w:t>
            </w:r>
          </w:p>
        </w:tc>
      </w:tr>
      <w:tr w:rsidR="00B653A3" w:rsidRPr="00B61FF1" w14:paraId="5E9F7E27" w14:textId="77777777" w:rsidTr="00881CB9">
        <w:trPr>
          <w:trHeight w:hRule="exact" w:val="308"/>
        </w:trPr>
        <w:tc>
          <w:tcPr>
            <w:tcW w:w="7806" w:type="dxa"/>
            <w:vAlign w:val="center"/>
          </w:tcPr>
          <w:p w14:paraId="3500112B" w14:textId="77777777" w:rsidR="00B653A3" w:rsidRPr="00B61FF1" w:rsidRDefault="00B653A3" w:rsidP="00A329A4">
            <w:pPr>
              <w:rPr>
                <w:rFonts w:ascii="Arial" w:hAnsi="Arial" w:cs="Arial"/>
                <w:sz w:val="24"/>
                <w:szCs w:val="24"/>
              </w:rPr>
            </w:pPr>
            <w:r w:rsidRPr="00B61FF1">
              <w:rPr>
                <w:rFonts w:ascii="Arial" w:hAnsi="Arial" w:cs="Arial"/>
                <w:sz w:val="24"/>
                <w:szCs w:val="24"/>
              </w:rPr>
              <w:t>Last Name</w:t>
            </w:r>
          </w:p>
        </w:tc>
      </w:tr>
      <w:tr w:rsidR="00B653A3" w:rsidRPr="00B61FF1" w14:paraId="47EAAF36" w14:textId="77777777" w:rsidTr="00881CB9">
        <w:trPr>
          <w:trHeight w:hRule="exact" w:val="308"/>
        </w:trPr>
        <w:tc>
          <w:tcPr>
            <w:tcW w:w="7806" w:type="dxa"/>
            <w:vAlign w:val="center"/>
          </w:tcPr>
          <w:p w14:paraId="27B78EB6" w14:textId="77777777" w:rsidR="00B653A3" w:rsidRPr="00B61FF1" w:rsidRDefault="00B653A3" w:rsidP="00A329A4">
            <w:pPr>
              <w:rPr>
                <w:rFonts w:ascii="Arial" w:hAnsi="Arial" w:cs="Arial"/>
                <w:sz w:val="24"/>
                <w:szCs w:val="24"/>
              </w:rPr>
            </w:pPr>
            <w:r w:rsidRPr="00B61FF1">
              <w:rPr>
                <w:rFonts w:ascii="Arial" w:hAnsi="Arial" w:cs="Arial"/>
                <w:sz w:val="24"/>
                <w:szCs w:val="24"/>
              </w:rPr>
              <w:t>Personal Residence Address</w:t>
            </w:r>
          </w:p>
        </w:tc>
      </w:tr>
      <w:tr w:rsidR="00B653A3" w:rsidRPr="00B61FF1" w14:paraId="5B7D1113" w14:textId="77777777" w:rsidTr="00881CB9">
        <w:trPr>
          <w:trHeight w:hRule="exact" w:val="308"/>
        </w:trPr>
        <w:tc>
          <w:tcPr>
            <w:tcW w:w="7806" w:type="dxa"/>
            <w:vAlign w:val="center"/>
          </w:tcPr>
          <w:p w14:paraId="11509551" w14:textId="77777777" w:rsidR="00B653A3" w:rsidRPr="00B61FF1" w:rsidRDefault="00BE52EF" w:rsidP="00A329A4">
            <w:pPr>
              <w:rPr>
                <w:rFonts w:ascii="Arial" w:hAnsi="Arial" w:cs="Arial"/>
                <w:sz w:val="24"/>
                <w:szCs w:val="24"/>
              </w:rPr>
            </w:pPr>
            <w:r w:rsidRPr="00B61FF1">
              <w:rPr>
                <w:rFonts w:ascii="Arial" w:hAnsi="Arial" w:cs="Arial"/>
                <w:sz w:val="24"/>
                <w:szCs w:val="24"/>
              </w:rPr>
              <w:t>Phone n</w:t>
            </w:r>
            <w:r w:rsidR="00B653A3" w:rsidRPr="00B61FF1">
              <w:rPr>
                <w:rFonts w:ascii="Arial" w:hAnsi="Arial" w:cs="Arial"/>
                <w:sz w:val="24"/>
                <w:szCs w:val="24"/>
              </w:rPr>
              <w:t>umber</w:t>
            </w:r>
          </w:p>
        </w:tc>
      </w:tr>
      <w:tr w:rsidR="00B653A3" w:rsidRPr="00B61FF1" w14:paraId="22BCB783" w14:textId="77777777" w:rsidTr="00881CB9">
        <w:trPr>
          <w:trHeight w:hRule="exact" w:val="308"/>
        </w:trPr>
        <w:tc>
          <w:tcPr>
            <w:tcW w:w="7806" w:type="dxa"/>
            <w:vAlign w:val="center"/>
          </w:tcPr>
          <w:p w14:paraId="6804FF22" w14:textId="77777777" w:rsidR="00B653A3" w:rsidRPr="00B61FF1" w:rsidRDefault="00B653A3" w:rsidP="00A329A4">
            <w:pPr>
              <w:rPr>
                <w:rFonts w:ascii="Arial" w:hAnsi="Arial" w:cs="Arial"/>
                <w:sz w:val="24"/>
                <w:szCs w:val="24"/>
              </w:rPr>
            </w:pPr>
            <w:r w:rsidRPr="00B61FF1">
              <w:rPr>
                <w:rFonts w:ascii="Arial" w:hAnsi="Arial" w:cs="Arial"/>
                <w:sz w:val="24"/>
                <w:szCs w:val="24"/>
              </w:rPr>
              <w:t>Email</w:t>
            </w:r>
          </w:p>
        </w:tc>
      </w:tr>
      <w:tr w:rsidR="00B653A3" w:rsidRPr="00B61FF1" w14:paraId="64934F45" w14:textId="77777777" w:rsidTr="00881CB9">
        <w:trPr>
          <w:trHeight w:hRule="exact" w:val="308"/>
        </w:trPr>
        <w:tc>
          <w:tcPr>
            <w:tcW w:w="7806" w:type="dxa"/>
            <w:vAlign w:val="center"/>
          </w:tcPr>
          <w:p w14:paraId="3CD8CF3E" w14:textId="77777777" w:rsidR="00B653A3" w:rsidRPr="00B61FF1" w:rsidRDefault="00B653A3" w:rsidP="00A329A4">
            <w:pPr>
              <w:rPr>
                <w:rFonts w:ascii="Arial" w:hAnsi="Arial" w:cs="Arial"/>
                <w:sz w:val="24"/>
                <w:szCs w:val="24"/>
              </w:rPr>
            </w:pPr>
            <w:r w:rsidRPr="00B61FF1">
              <w:rPr>
                <w:rFonts w:ascii="Arial" w:hAnsi="Arial" w:cs="Arial"/>
                <w:sz w:val="24"/>
                <w:szCs w:val="24"/>
              </w:rPr>
              <w:t>Social Security Number</w:t>
            </w:r>
          </w:p>
        </w:tc>
      </w:tr>
      <w:tr w:rsidR="00B653A3" w:rsidRPr="00B61FF1" w14:paraId="0EB221B4" w14:textId="77777777" w:rsidTr="00881CB9">
        <w:trPr>
          <w:trHeight w:hRule="exact" w:val="308"/>
        </w:trPr>
        <w:tc>
          <w:tcPr>
            <w:tcW w:w="7806" w:type="dxa"/>
            <w:vAlign w:val="center"/>
          </w:tcPr>
          <w:p w14:paraId="0254EA6E" w14:textId="77777777" w:rsidR="00B653A3" w:rsidRPr="00B61FF1" w:rsidRDefault="00B653A3" w:rsidP="00A329A4">
            <w:pPr>
              <w:rPr>
                <w:rFonts w:ascii="Arial" w:hAnsi="Arial" w:cs="Arial"/>
                <w:sz w:val="24"/>
                <w:szCs w:val="24"/>
              </w:rPr>
            </w:pPr>
            <w:r w:rsidRPr="00B61FF1">
              <w:rPr>
                <w:rFonts w:ascii="Arial" w:hAnsi="Arial" w:cs="Arial"/>
                <w:sz w:val="24"/>
                <w:szCs w:val="24"/>
              </w:rPr>
              <w:t>Date of Birth</w:t>
            </w:r>
          </w:p>
        </w:tc>
      </w:tr>
      <w:tr w:rsidR="00B653A3" w:rsidRPr="00B61FF1" w14:paraId="0B0A47C7" w14:textId="77777777" w:rsidTr="00881CB9">
        <w:trPr>
          <w:trHeight w:hRule="exact" w:val="308"/>
        </w:trPr>
        <w:tc>
          <w:tcPr>
            <w:tcW w:w="7806" w:type="dxa"/>
            <w:vAlign w:val="center"/>
          </w:tcPr>
          <w:p w14:paraId="62C3C285" w14:textId="77777777" w:rsidR="00B653A3" w:rsidRPr="00B61FF1" w:rsidRDefault="00B653A3" w:rsidP="00A329A4">
            <w:pPr>
              <w:rPr>
                <w:rFonts w:ascii="Arial" w:hAnsi="Arial" w:cs="Arial"/>
                <w:sz w:val="24"/>
                <w:szCs w:val="24"/>
              </w:rPr>
            </w:pPr>
            <w:r w:rsidRPr="00B61FF1">
              <w:rPr>
                <w:rFonts w:ascii="Arial" w:hAnsi="Arial" w:cs="Arial"/>
                <w:sz w:val="24"/>
                <w:szCs w:val="24"/>
              </w:rPr>
              <w:t>Citizenship</w:t>
            </w:r>
          </w:p>
        </w:tc>
      </w:tr>
      <w:tr w:rsidR="00B653A3" w:rsidRPr="00B61FF1" w14:paraId="06330C15" w14:textId="77777777" w:rsidTr="00881CB9">
        <w:trPr>
          <w:trHeight w:hRule="exact" w:val="308"/>
        </w:trPr>
        <w:tc>
          <w:tcPr>
            <w:tcW w:w="7806" w:type="dxa"/>
            <w:vAlign w:val="center"/>
          </w:tcPr>
          <w:p w14:paraId="24706081" w14:textId="77777777" w:rsidR="00B653A3" w:rsidRPr="00B61FF1" w:rsidRDefault="00B653A3" w:rsidP="00A329A4">
            <w:pPr>
              <w:rPr>
                <w:rFonts w:ascii="Arial" w:hAnsi="Arial" w:cs="Arial"/>
                <w:sz w:val="24"/>
                <w:szCs w:val="24"/>
              </w:rPr>
            </w:pPr>
            <w:r w:rsidRPr="00B61FF1">
              <w:rPr>
                <w:rFonts w:ascii="Arial" w:hAnsi="Arial" w:cs="Arial"/>
                <w:sz w:val="24"/>
                <w:szCs w:val="24"/>
              </w:rPr>
              <w:t>Employer Name</w:t>
            </w:r>
          </w:p>
        </w:tc>
      </w:tr>
      <w:tr w:rsidR="00B653A3" w:rsidRPr="00B61FF1" w14:paraId="4E718207" w14:textId="77777777" w:rsidTr="00881CB9">
        <w:trPr>
          <w:trHeight w:hRule="exact" w:val="308"/>
        </w:trPr>
        <w:tc>
          <w:tcPr>
            <w:tcW w:w="7806" w:type="dxa"/>
            <w:vAlign w:val="center"/>
          </w:tcPr>
          <w:p w14:paraId="6F634596" w14:textId="77777777" w:rsidR="00B653A3" w:rsidRPr="00B61FF1" w:rsidRDefault="00B653A3" w:rsidP="00A329A4">
            <w:pPr>
              <w:rPr>
                <w:rFonts w:ascii="Arial" w:hAnsi="Arial" w:cs="Arial"/>
                <w:sz w:val="24"/>
                <w:szCs w:val="24"/>
              </w:rPr>
            </w:pPr>
            <w:r w:rsidRPr="00B61FF1">
              <w:rPr>
                <w:rFonts w:ascii="Arial" w:hAnsi="Arial" w:cs="Arial"/>
                <w:sz w:val="24"/>
                <w:szCs w:val="24"/>
              </w:rPr>
              <w:t>Employer Address</w:t>
            </w:r>
          </w:p>
        </w:tc>
      </w:tr>
      <w:tr w:rsidR="00B653A3" w:rsidRPr="00B61FF1" w14:paraId="6376097A" w14:textId="77777777" w:rsidTr="00BE52EF">
        <w:trPr>
          <w:trHeight w:hRule="exact" w:val="577"/>
        </w:trPr>
        <w:tc>
          <w:tcPr>
            <w:tcW w:w="7806" w:type="dxa"/>
            <w:vAlign w:val="center"/>
          </w:tcPr>
          <w:p w14:paraId="73962E2A" w14:textId="77777777" w:rsidR="00B653A3" w:rsidRPr="00B61FF1" w:rsidRDefault="00B653A3" w:rsidP="00B653A3">
            <w:pPr>
              <w:rPr>
                <w:rFonts w:ascii="Arial" w:hAnsi="Arial" w:cs="Arial"/>
                <w:sz w:val="24"/>
                <w:szCs w:val="24"/>
              </w:rPr>
            </w:pPr>
            <w:r w:rsidRPr="00B61FF1">
              <w:rPr>
                <w:rFonts w:ascii="Arial" w:hAnsi="Arial" w:cs="Arial"/>
                <w:sz w:val="24"/>
                <w:szCs w:val="24"/>
              </w:rPr>
              <w:t>Copy of a valid identity card issued by a state or province with an expiration date</w:t>
            </w:r>
          </w:p>
        </w:tc>
      </w:tr>
      <w:tr w:rsidR="00B653A3" w:rsidRPr="00B61FF1" w14:paraId="090DD291" w14:textId="77777777" w:rsidTr="00881CB9">
        <w:trPr>
          <w:trHeight w:hRule="exact" w:val="308"/>
        </w:trPr>
        <w:tc>
          <w:tcPr>
            <w:tcW w:w="7806" w:type="dxa"/>
            <w:vAlign w:val="center"/>
          </w:tcPr>
          <w:p w14:paraId="42566FDA" w14:textId="77777777" w:rsidR="00B653A3" w:rsidRPr="00B61FF1" w:rsidRDefault="00B653A3" w:rsidP="00B653A3">
            <w:pPr>
              <w:rPr>
                <w:rFonts w:ascii="Arial" w:hAnsi="Arial" w:cs="Arial"/>
                <w:sz w:val="24"/>
                <w:szCs w:val="24"/>
              </w:rPr>
            </w:pPr>
            <w:r w:rsidRPr="00B61FF1">
              <w:rPr>
                <w:rFonts w:ascii="Arial" w:hAnsi="Arial" w:cs="Arial"/>
                <w:sz w:val="24"/>
                <w:szCs w:val="24"/>
              </w:rPr>
              <w:t>Copy of a government-issued identity document</w:t>
            </w:r>
          </w:p>
        </w:tc>
      </w:tr>
      <w:tr w:rsidR="00B653A3" w:rsidRPr="00B61FF1" w14:paraId="13D49EED" w14:textId="77777777" w:rsidTr="00881CB9">
        <w:trPr>
          <w:trHeight w:hRule="exact" w:val="308"/>
        </w:trPr>
        <w:tc>
          <w:tcPr>
            <w:tcW w:w="7806" w:type="dxa"/>
            <w:vAlign w:val="center"/>
          </w:tcPr>
          <w:p w14:paraId="7253CC61" w14:textId="77777777" w:rsidR="00B653A3" w:rsidRPr="00B61FF1" w:rsidRDefault="00B653A3" w:rsidP="00A329A4">
            <w:pPr>
              <w:rPr>
                <w:rFonts w:ascii="Arial" w:hAnsi="Arial" w:cs="Arial"/>
                <w:sz w:val="24"/>
                <w:szCs w:val="24"/>
              </w:rPr>
            </w:pPr>
            <w:r w:rsidRPr="00B61FF1">
              <w:rPr>
                <w:rFonts w:ascii="Arial" w:hAnsi="Arial" w:cs="Arial"/>
                <w:sz w:val="24"/>
                <w:szCs w:val="24"/>
              </w:rPr>
              <w:t>Copy of a Passport</w:t>
            </w:r>
          </w:p>
        </w:tc>
      </w:tr>
      <w:tr w:rsidR="00B653A3" w:rsidRPr="00B61FF1" w14:paraId="104FE31D" w14:textId="77777777" w:rsidTr="00881CB9">
        <w:trPr>
          <w:trHeight w:hRule="exact" w:val="308"/>
        </w:trPr>
        <w:tc>
          <w:tcPr>
            <w:tcW w:w="7806" w:type="dxa"/>
            <w:vAlign w:val="center"/>
          </w:tcPr>
          <w:p w14:paraId="5EE19CF9" w14:textId="77777777" w:rsidR="00B653A3" w:rsidRPr="00B61FF1" w:rsidRDefault="00B653A3" w:rsidP="00A329A4">
            <w:pPr>
              <w:rPr>
                <w:rFonts w:ascii="Arial" w:hAnsi="Arial" w:cs="Arial"/>
                <w:sz w:val="24"/>
                <w:szCs w:val="24"/>
              </w:rPr>
            </w:pPr>
            <w:r w:rsidRPr="00B61FF1">
              <w:rPr>
                <w:rFonts w:ascii="Arial" w:hAnsi="Arial" w:cs="Arial"/>
                <w:sz w:val="24"/>
                <w:szCs w:val="24"/>
              </w:rPr>
              <w:t>Documentation of an open bank account</w:t>
            </w:r>
          </w:p>
        </w:tc>
      </w:tr>
      <w:tr w:rsidR="00BE52EF" w:rsidRPr="00B61FF1" w14:paraId="1D76A5DA" w14:textId="77777777" w:rsidTr="00881CB9">
        <w:trPr>
          <w:trHeight w:hRule="exact" w:val="308"/>
        </w:trPr>
        <w:tc>
          <w:tcPr>
            <w:tcW w:w="7806" w:type="dxa"/>
            <w:vAlign w:val="center"/>
          </w:tcPr>
          <w:p w14:paraId="63C87D2A" w14:textId="77777777" w:rsidR="00BE52EF" w:rsidRPr="00B61FF1" w:rsidRDefault="00BE52EF" w:rsidP="00A329A4">
            <w:pPr>
              <w:rPr>
                <w:rFonts w:ascii="Arial" w:hAnsi="Arial" w:cs="Arial"/>
                <w:sz w:val="24"/>
                <w:szCs w:val="24"/>
              </w:rPr>
            </w:pPr>
            <w:r w:rsidRPr="00B61FF1">
              <w:rPr>
                <w:rFonts w:ascii="Arial" w:hAnsi="Arial" w:cs="Arial"/>
                <w:sz w:val="24"/>
                <w:szCs w:val="24"/>
              </w:rPr>
              <w:t>Documentation of any felony convictions during the previous five years</w:t>
            </w:r>
          </w:p>
        </w:tc>
      </w:tr>
    </w:tbl>
    <w:p w14:paraId="6BC55DC1" w14:textId="77777777" w:rsidR="00B653A3" w:rsidRPr="00B61FF1" w:rsidRDefault="00B653A3" w:rsidP="004C1B60">
      <w:pPr>
        <w:rPr>
          <w:rFonts w:ascii="Arial" w:hAnsi="Arial" w:cs="Arial"/>
        </w:rPr>
      </w:pPr>
    </w:p>
    <w:p w14:paraId="0DAAB2D9" w14:textId="77777777" w:rsidR="00FD7515" w:rsidRPr="00B61FF1" w:rsidRDefault="00FD7515">
      <w:r w:rsidRPr="00B61FF1">
        <w:br w:type="page"/>
      </w:r>
    </w:p>
    <w:tbl>
      <w:tblPr>
        <w:tblW w:w="9526" w:type="dxa"/>
        <w:tblInd w:w="93" w:type="dxa"/>
        <w:tblLook w:val="04A0" w:firstRow="1" w:lastRow="0" w:firstColumn="1" w:lastColumn="0" w:noHBand="0" w:noVBand="1"/>
      </w:tblPr>
      <w:tblGrid>
        <w:gridCol w:w="5472"/>
        <w:gridCol w:w="222"/>
        <w:gridCol w:w="1916"/>
        <w:gridCol w:w="1916"/>
      </w:tblGrid>
      <w:tr w:rsidR="00BA6081" w:rsidRPr="00B61FF1" w14:paraId="67AE5BD1" w14:textId="77777777" w:rsidTr="00FD7515">
        <w:trPr>
          <w:trHeight w:val="315"/>
        </w:trPr>
        <w:tc>
          <w:tcPr>
            <w:tcW w:w="5694" w:type="dxa"/>
            <w:gridSpan w:val="2"/>
            <w:tcBorders>
              <w:top w:val="nil"/>
              <w:left w:val="nil"/>
              <w:bottom w:val="nil"/>
              <w:right w:val="nil"/>
            </w:tcBorders>
            <w:shd w:val="clear" w:color="auto" w:fill="auto"/>
            <w:noWrap/>
            <w:vAlign w:val="center"/>
            <w:hideMark/>
          </w:tcPr>
          <w:p w14:paraId="689BDA83" w14:textId="77777777" w:rsidR="00FD7515" w:rsidRPr="00B61FF1" w:rsidRDefault="00FD7515" w:rsidP="00BF5756">
            <w:pPr>
              <w:autoSpaceDE/>
              <w:autoSpaceDN/>
              <w:adjustRightInd/>
              <w:rPr>
                <w:rFonts w:ascii="Arial" w:eastAsia="Times New Roman" w:hAnsi="Arial" w:cs="Arial"/>
                <w:b/>
                <w:bCs/>
                <w:color w:val="000000"/>
                <w:sz w:val="24"/>
                <w:szCs w:val="24"/>
                <w:u w:val="single"/>
              </w:rPr>
            </w:pPr>
          </w:p>
          <w:p w14:paraId="3E1ACFD2" w14:textId="5A2C0A97" w:rsidR="00BA6081" w:rsidRPr="00B61FF1" w:rsidRDefault="00BA6081" w:rsidP="00BF5756">
            <w:pPr>
              <w:autoSpaceDE/>
              <w:autoSpaceDN/>
              <w:adjustRightInd/>
              <w:rPr>
                <w:rFonts w:ascii="Arial" w:eastAsia="Times New Roman" w:hAnsi="Arial" w:cs="Arial"/>
                <w:b/>
                <w:bCs/>
                <w:color w:val="000000"/>
                <w:sz w:val="24"/>
                <w:szCs w:val="24"/>
                <w:u w:val="single"/>
              </w:rPr>
            </w:pPr>
            <w:r w:rsidRPr="00B61FF1">
              <w:rPr>
                <w:rFonts w:ascii="Arial" w:eastAsia="Times New Roman" w:hAnsi="Arial" w:cs="Arial"/>
                <w:b/>
                <w:bCs/>
                <w:color w:val="000000"/>
                <w:sz w:val="24"/>
                <w:szCs w:val="24"/>
                <w:u w:val="single"/>
              </w:rPr>
              <w:t xml:space="preserve">Appendix </w:t>
            </w:r>
            <w:r w:rsidR="00203780" w:rsidRPr="00B61FF1">
              <w:rPr>
                <w:rFonts w:ascii="Arial" w:eastAsia="Times New Roman" w:hAnsi="Arial" w:cs="Arial"/>
                <w:b/>
                <w:bCs/>
                <w:color w:val="000000"/>
                <w:sz w:val="24"/>
                <w:szCs w:val="24"/>
                <w:u w:val="single"/>
              </w:rPr>
              <w:t>B</w:t>
            </w:r>
            <w:r w:rsidRPr="00B61FF1">
              <w:rPr>
                <w:rFonts w:ascii="Arial" w:eastAsia="Times New Roman" w:hAnsi="Arial" w:cs="Arial"/>
                <w:b/>
                <w:bCs/>
                <w:color w:val="000000"/>
                <w:sz w:val="24"/>
                <w:szCs w:val="24"/>
                <w:u w:val="single"/>
              </w:rPr>
              <w:t xml:space="preserve"> </w:t>
            </w:r>
          </w:p>
        </w:tc>
        <w:tc>
          <w:tcPr>
            <w:tcW w:w="1916" w:type="dxa"/>
            <w:tcBorders>
              <w:top w:val="nil"/>
              <w:left w:val="nil"/>
              <w:bottom w:val="nil"/>
              <w:right w:val="nil"/>
            </w:tcBorders>
            <w:shd w:val="clear" w:color="auto" w:fill="auto"/>
            <w:noWrap/>
            <w:vAlign w:val="bottom"/>
            <w:hideMark/>
          </w:tcPr>
          <w:p w14:paraId="25A38B4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E22CA0F"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AF4ABCF" w14:textId="77777777" w:rsidTr="00FD7515">
        <w:trPr>
          <w:trHeight w:val="315"/>
        </w:trPr>
        <w:tc>
          <w:tcPr>
            <w:tcW w:w="5472" w:type="dxa"/>
            <w:tcBorders>
              <w:top w:val="nil"/>
              <w:left w:val="nil"/>
              <w:bottom w:val="nil"/>
              <w:right w:val="nil"/>
            </w:tcBorders>
            <w:shd w:val="clear" w:color="auto" w:fill="auto"/>
            <w:noWrap/>
            <w:vAlign w:val="center"/>
            <w:hideMark/>
          </w:tcPr>
          <w:p w14:paraId="27054DE0" w14:textId="77777777" w:rsidR="00BA6081" w:rsidRPr="00B61FF1" w:rsidRDefault="00BA6081" w:rsidP="00BF5756">
            <w:pPr>
              <w:autoSpaceDE/>
              <w:autoSpaceDN/>
              <w:adjustRightInd/>
              <w:rPr>
                <w:rFonts w:ascii="Arial" w:eastAsia="Times New Roman" w:hAnsi="Arial" w:cs="Arial"/>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118941E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9B1DEE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7C06523"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0C946CC7"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276FF19A" w14:textId="3150F3CC" w:rsidR="00BA6081" w:rsidRPr="00B61FF1" w:rsidRDefault="00BA6081" w:rsidP="0069726D">
            <w:pPr>
              <w:autoSpaceDE/>
              <w:autoSpaceDN/>
              <w:adjustRightInd/>
              <w:rPr>
                <w:rFonts w:ascii="Arial" w:eastAsia="Times New Roman" w:hAnsi="Arial" w:cs="Arial"/>
                <w:b/>
                <w:bCs/>
                <w:color w:val="000000"/>
                <w:sz w:val="24"/>
                <w:szCs w:val="24"/>
                <w:u w:val="single"/>
              </w:rPr>
            </w:pPr>
            <w:r w:rsidRPr="00B61FF1">
              <w:rPr>
                <w:rFonts w:ascii="Arial" w:eastAsia="Times New Roman" w:hAnsi="Arial" w:cs="Arial"/>
                <w:b/>
                <w:bCs/>
                <w:color w:val="000000"/>
                <w:sz w:val="24"/>
                <w:szCs w:val="24"/>
                <w:u w:val="single"/>
              </w:rPr>
              <w:t>CI</w:t>
            </w:r>
            <w:r w:rsidR="0069726D">
              <w:rPr>
                <w:rFonts w:ascii="Arial" w:eastAsia="Times New Roman" w:hAnsi="Arial" w:cs="Arial"/>
                <w:b/>
                <w:bCs/>
                <w:color w:val="000000"/>
                <w:sz w:val="24"/>
                <w:szCs w:val="24"/>
                <w:u w:val="single"/>
              </w:rPr>
              <w:t xml:space="preserve">TSS User Terms and Conditions </w:t>
            </w:r>
          </w:p>
        </w:tc>
      </w:tr>
      <w:tr w:rsidR="00BA6081" w:rsidRPr="00B61FF1" w14:paraId="27E85D96" w14:textId="77777777" w:rsidTr="00FD7515">
        <w:trPr>
          <w:trHeight w:val="315"/>
        </w:trPr>
        <w:tc>
          <w:tcPr>
            <w:tcW w:w="5472" w:type="dxa"/>
            <w:tcBorders>
              <w:top w:val="nil"/>
              <w:left w:val="nil"/>
              <w:bottom w:val="nil"/>
              <w:right w:val="nil"/>
            </w:tcBorders>
            <w:shd w:val="clear" w:color="auto" w:fill="auto"/>
            <w:noWrap/>
            <w:vAlign w:val="center"/>
            <w:hideMark/>
          </w:tcPr>
          <w:p w14:paraId="351DBAE0"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50970023"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BED139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11619CB"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750EF645"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185AF8FE"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ACCESS AGREEMENT AND TERMS OF USE FOR THE CITSS</w:t>
            </w:r>
          </w:p>
        </w:tc>
      </w:tr>
      <w:tr w:rsidR="00BA6081" w:rsidRPr="00B61FF1" w14:paraId="685A43EB"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5A0AB8A4"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SIGN THE BOTTOM OF THE PAGE TO INDICATE YOUR ACCEPTANCE OF THIS AGREEMENT.</w:t>
            </w:r>
          </w:p>
        </w:tc>
      </w:tr>
      <w:tr w:rsidR="00BA6081" w:rsidRPr="00B61FF1" w14:paraId="75A592EE" w14:textId="77777777" w:rsidTr="00FD7515">
        <w:trPr>
          <w:trHeight w:val="315"/>
        </w:trPr>
        <w:tc>
          <w:tcPr>
            <w:tcW w:w="5472" w:type="dxa"/>
            <w:tcBorders>
              <w:top w:val="nil"/>
              <w:left w:val="nil"/>
              <w:bottom w:val="nil"/>
              <w:right w:val="nil"/>
            </w:tcBorders>
            <w:shd w:val="clear" w:color="auto" w:fill="auto"/>
            <w:noWrap/>
            <w:vAlign w:val="center"/>
            <w:hideMark/>
          </w:tcPr>
          <w:p w14:paraId="69EC6E21"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2E49C713"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F66EAA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A4434A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00A61CC"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6C02BC9A"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Access to the Compliance Instrument Tracking System Service (CITSS) is subject to the terms and conditions set forth in this Access Agreement and Terms of Use (Agreement). You must accept this Agreement in order to access the CITSS application. Violation of this agreement may result in loss of access to CITSS and, if warranted, civil or criminal prosecution under state, provincial, or federal law.</w:t>
            </w:r>
          </w:p>
        </w:tc>
      </w:tr>
      <w:tr w:rsidR="00BA6081" w:rsidRPr="00B61FF1" w14:paraId="04D177A6" w14:textId="77777777" w:rsidTr="00FD7515">
        <w:trPr>
          <w:trHeight w:val="315"/>
        </w:trPr>
        <w:tc>
          <w:tcPr>
            <w:tcW w:w="5472" w:type="dxa"/>
            <w:tcBorders>
              <w:top w:val="nil"/>
              <w:left w:val="nil"/>
              <w:bottom w:val="nil"/>
              <w:right w:val="nil"/>
            </w:tcBorders>
            <w:shd w:val="clear" w:color="auto" w:fill="auto"/>
            <w:noWrap/>
            <w:vAlign w:val="center"/>
            <w:hideMark/>
          </w:tcPr>
          <w:p w14:paraId="6956A0B4"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3B60122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FA61AB1"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25AEA0B"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2703AC4"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2E7D200"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This Agreement is between the State of California, Air Resources Board (ARB) and each registered California user of Compliance Instrument Tracking System Service (User). The Agreement sets forth the terms of use of CITSS. ARB provides User with access to the CITSS software application, for registering entities and holding compliance instrument. User understands and agrees that CITSS is provided "AS IS" and without any warranty, as set forth below in greater detail.</w:t>
            </w:r>
          </w:p>
        </w:tc>
      </w:tr>
      <w:tr w:rsidR="00BA6081" w:rsidRPr="00B61FF1" w14:paraId="3D7DD7CA" w14:textId="77777777" w:rsidTr="00FD7515">
        <w:trPr>
          <w:trHeight w:val="315"/>
        </w:trPr>
        <w:tc>
          <w:tcPr>
            <w:tcW w:w="5472" w:type="dxa"/>
            <w:tcBorders>
              <w:top w:val="nil"/>
              <w:left w:val="nil"/>
              <w:bottom w:val="nil"/>
              <w:right w:val="nil"/>
            </w:tcBorders>
            <w:shd w:val="clear" w:color="auto" w:fill="auto"/>
            <w:noWrap/>
            <w:vAlign w:val="center"/>
            <w:hideMark/>
          </w:tcPr>
          <w:p w14:paraId="668B5947"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0AECDE19"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3C112EB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7A3AD15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77081C34" w14:textId="77777777" w:rsidTr="00FD7515">
        <w:trPr>
          <w:trHeight w:val="315"/>
        </w:trPr>
        <w:tc>
          <w:tcPr>
            <w:tcW w:w="5694" w:type="dxa"/>
            <w:gridSpan w:val="2"/>
            <w:tcBorders>
              <w:top w:val="nil"/>
              <w:left w:val="nil"/>
              <w:bottom w:val="nil"/>
              <w:right w:val="nil"/>
            </w:tcBorders>
            <w:shd w:val="clear" w:color="auto" w:fill="auto"/>
            <w:noWrap/>
            <w:vAlign w:val="center"/>
            <w:hideMark/>
          </w:tcPr>
          <w:p w14:paraId="1FCC2A7D"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 CITSS Use</w:t>
            </w:r>
          </w:p>
        </w:tc>
        <w:tc>
          <w:tcPr>
            <w:tcW w:w="1916" w:type="dxa"/>
            <w:tcBorders>
              <w:top w:val="nil"/>
              <w:left w:val="nil"/>
              <w:bottom w:val="nil"/>
              <w:right w:val="nil"/>
            </w:tcBorders>
            <w:shd w:val="clear" w:color="auto" w:fill="auto"/>
            <w:noWrap/>
            <w:vAlign w:val="bottom"/>
            <w:hideMark/>
          </w:tcPr>
          <w:p w14:paraId="7686C989"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2BEE7B9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3636DC1E" w14:textId="77777777" w:rsidTr="00FD7515">
        <w:trPr>
          <w:trHeight w:val="315"/>
        </w:trPr>
        <w:tc>
          <w:tcPr>
            <w:tcW w:w="5472" w:type="dxa"/>
            <w:tcBorders>
              <w:top w:val="nil"/>
              <w:left w:val="nil"/>
              <w:bottom w:val="nil"/>
              <w:right w:val="nil"/>
            </w:tcBorders>
            <w:shd w:val="clear" w:color="auto" w:fill="auto"/>
            <w:noWrap/>
            <w:vAlign w:val="center"/>
            <w:hideMark/>
          </w:tcPr>
          <w:p w14:paraId="0D2EFA9E"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5E513F7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DFC7751"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97A5C6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3586E08E"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1A72D6F"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1.1 ARB and WCI, Inc. hereby grant to User, and User hereby accepts, subject to the terms and conditions set forth in this Agreement, a non-exclusive and non-transferable right to access CITSS via the world-wide-web or the internet at times when the software and servers are available and operating.</w:t>
            </w:r>
          </w:p>
        </w:tc>
      </w:tr>
      <w:tr w:rsidR="00BA6081" w:rsidRPr="00B61FF1" w14:paraId="7F9EB608" w14:textId="77777777" w:rsidTr="00FD7515">
        <w:trPr>
          <w:trHeight w:val="315"/>
        </w:trPr>
        <w:tc>
          <w:tcPr>
            <w:tcW w:w="5472" w:type="dxa"/>
            <w:tcBorders>
              <w:top w:val="nil"/>
              <w:left w:val="nil"/>
              <w:bottom w:val="nil"/>
              <w:right w:val="nil"/>
            </w:tcBorders>
            <w:shd w:val="clear" w:color="auto" w:fill="auto"/>
            <w:noWrap/>
            <w:vAlign w:val="center"/>
            <w:hideMark/>
          </w:tcPr>
          <w:p w14:paraId="12616A5A"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3E39AC1A"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58C3E2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30386C4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352B0C7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6BA53BC"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1.2 User further acknowledges that it is not authorized to and may not possess or distribute any or all parts of the CITSS software, including its source codes and program components. User is not authorized to install, run or operate CITSS on User's or third-party computers or servers.</w:t>
            </w:r>
          </w:p>
        </w:tc>
      </w:tr>
      <w:tr w:rsidR="00BA6081" w:rsidRPr="00B61FF1" w14:paraId="0E1A8AAB" w14:textId="77777777" w:rsidTr="00FD7515">
        <w:trPr>
          <w:trHeight w:val="315"/>
        </w:trPr>
        <w:tc>
          <w:tcPr>
            <w:tcW w:w="5472" w:type="dxa"/>
            <w:tcBorders>
              <w:top w:val="nil"/>
              <w:left w:val="nil"/>
              <w:bottom w:val="nil"/>
              <w:right w:val="nil"/>
            </w:tcBorders>
            <w:shd w:val="clear" w:color="auto" w:fill="auto"/>
            <w:noWrap/>
            <w:vAlign w:val="center"/>
            <w:hideMark/>
          </w:tcPr>
          <w:p w14:paraId="4F8A21C6"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013E7C08"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528DCE0"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BAE706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74B7513"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2B466989"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1.3 User is solely responsible for ensuring that all information, data, text, or other materials that User provides to ARB or WCI, Inc. through use of CITSS (Content) are true, accurate, and complete and comply with ARB's requirements for the compliance with the cap-and-trade program under the California Cap on Greenhouse Gas Emission and Market-Based Compliance Mechanisms (Regulation) (Title 17, California Code of Regulations (CCR), Sections 98000 et sq.).</w:t>
            </w:r>
          </w:p>
        </w:tc>
      </w:tr>
      <w:tr w:rsidR="00BA6081" w:rsidRPr="00B61FF1" w14:paraId="41B0FB65" w14:textId="77777777" w:rsidTr="00FD7515">
        <w:trPr>
          <w:trHeight w:val="315"/>
        </w:trPr>
        <w:tc>
          <w:tcPr>
            <w:tcW w:w="5472" w:type="dxa"/>
            <w:tcBorders>
              <w:top w:val="nil"/>
              <w:left w:val="nil"/>
              <w:bottom w:val="nil"/>
              <w:right w:val="nil"/>
            </w:tcBorders>
            <w:shd w:val="clear" w:color="auto" w:fill="auto"/>
            <w:noWrap/>
            <w:vAlign w:val="center"/>
            <w:hideMark/>
          </w:tcPr>
          <w:p w14:paraId="34D73E9B"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40899EF1"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7AA36D3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AA11BB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1D9EB617"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3DA92935"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1.4 User understands that ARB will retain and use the Content consistent with the applicable Regulation(s) and may disclose Content to the public to the extent the disclosure is required by California law or legal process, or to the extent that disclosure is not prohibited by California law.</w:t>
            </w:r>
          </w:p>
        </w:tc>
      </w:tr>
      <w:tr w:rsidR="00BA6081" w:rsidRPr="00B61FF1" w14:paraId="2921EDA2" w14:textId="77777777" w:rsidTr="00FD7515">
        <w:trPr>
          <w:trHeight w:val="315"/>
        </w:trPr>
        <w:tc>
          <w:tcPr>
            <w:tcW w:w="5472" w:type="dxa"/>
            <w:tcBorders>
              <w:top w:val="nil"/>
              <w:left w:val="nil"/>
              <w:bottom w:val="nil"/>
              <w:right w:val="nil"/>
            </w:tcBorders>
            <w:shd w:val="clear" w:color="auto" w:fill="auto"/>
            <w:noWrap/>
            <w:vAlign w:val="center"/>
            <w:hideMark/>
          </w:tcPr>
          <w:p w14:paraId="6CBC500B"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0F579EF9"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2F7A7C5E"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901E7B0"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1FD2E89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15A61727"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1.5 ARB has included (as part of CITSS) security features including password protection to prevent a person other than the User from obtaining access through CITSS to User's Content. User understands that these security features depend on User protecting its password from disclosure to unauthorized persons. User also understands and acknowledges that despite security measures to prohibit unauthorized access to the Content through CITSS, unauthorized access could occur and in the event it does, ARB or WCI, Inc. may not be held liable for the unauthorized release of information, data, text or other materials that have been submitted to ARB using CITSS.</w:t>
            </w:r>
          </w:p>
        </w:tc>
      </w:tr>
      <w:tr w:rsidR="00BA6081" w:rsidRPr="00B61FF1" w14:paraId="26CBDD38" w14:textId="77777777" w:rsidTr="00FD7515">
        <w:trPr>
          <w:trHeight w:val="315"/>
        </w:trPr>
        <w:tc>
          <w:tcPr>
            <w:tcW w:w="5472" w:type="dxa"/>
            <w:tcBorders>
              <w:top w:val="nil"/>
              <w:left w:val="nil"/>
              <w:bottom w:val="nil"/>
              <w:right w:val="nil"/>
            </w:tcBorders>
            <w:shd w:val="clear" w:color="auto" w:fill="auto"/>
            <w:noWrap/>
            <w:vAlign w:val="center"/>
            <w:hideMark/>
          </w:tcPr>
          <w:p w14:paraId="7931D63F"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07F5369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53BCA2B"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1C7BDDF"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71226B4F"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5F27293"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1.6 ARB does not endorse or provide support for software or web-based interfaces offered by third parties for purposes of submitting data to ARB. Use of a third-party interface or software product in order to access CITSS does not relieve the user of the need to ensure that information required by the applicable Regulation has been properly submitted to ARB and received by the applicable deadline and that all certifications required for use of CITSS have been submitted.</w:t>
            </w:r>
          </w:p>
        </w:tc>
      </w:tr>
      <w:tr w:rsidR="00BA6081" w:rsidRPr="00B61FF1" w14:paraId="406628EF" w14:textId="77777777" w:rsidTr="00FD7515">
        <w:trPr>
          <w:trHeight w:val="315"/>
        </w:trPr>
        <w:tc>
          <w:tcPr>
            <w:tcW w:w="5472" w:type="dxa"/>
            <w:tcBorders>
              <w:top w:val="nil"/>
              <w:left w:val="nil"/>
              <w:bottom w:val="nil"/>
              <w:right w:val="nil"/>
            </w:tcBorders>
            <w:shd w:val="clear" w:color="auto" w:fill="auto"/>
            <w:noWrap/>
            <w:vAlign w:val="center"/>
            <w:hideMark/>
          </w:tcPr>
          <w:p w14:paraId="507BA3EB"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324C4FB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349A845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26D47A5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05A899A5"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2A3D1DAF"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1.7 User is responsible for maintaining a copy of all data submitted to CITSS. The loss of electronic information, data, text, or other materials during use of CITSS or the unavailability of the CITSS system does not excuse User from the requirements in the applicable Regulation.</w:t>
            </w:r>
          </w:p>
        </w:tc>
      </w:tr>
      <w:tr w:rsidR="00BA6081" w:rsidRPr="00B61FF1" w14:paraId="3096EF9A" w14:textId="77777777" w:rsidTr="00FD7515">
        <w:trPr>
          <w:trHeight w:val="315"/>
        </w:trPr>
        <w:tc>
          <w:tcPr>
            <w:tcW w:w="5472" w:type="dxa"/>
            <w:tcBorders>
              <w:top w:val="nil"/>
              <w:left w:val="nil"/>
              <w:bottom w:val="nil"/>
              <w:right w:val="nil"/>
            </w:tcBorders>
            <w:shd w:val="clear" w:color="auto" w:fill="auto"/>
            <w:noWrap/>
            <w:vAlign w:val="center"/>
            <w:hideMark/>
          </w:tcPr>
          <w:p w14:paraId="301B04F7"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179A502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601822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2EB869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727B5C91" w14:textId="77777777" w:rsidTr="00FD7515">
        <w:trPr>
          <w:trHeight w:val="315"/>
        </w:trPr>
        <w:tc>
          <w:tcPr>
            <w:tcW w:w="7610" w:type="dxa"/>
            <w:gridSpan w:val="3"/>
            <w:tcBorders>
              <w:top w:val="nil"/>
              <w:left w:val="nil"/>
              <w:bottom w:val="nil"/>
              <w:right w:val="nil"/>
            </w:tcBorders>
            <w:shd w:val="clear" w:color="auto" w:fill="auto"/>
            <w:noWrap/>
            <w:vAlign w:val="center"/>
            <w:hideMark/>
          </w:tcPr>
          <w:p w14:paraId="2972A8E2"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2. CITSS User Agreement </w:t>
            </w:r>
          </w:p>
        </w:tc>
        <w:tc>
          <w:tcPr>
            <w:tcW w:w="1916" w:type="dxa"/>
            <w:tcBorders>
              <w:top w:val="nil"/>
              <w:left w:val="nil"/>
              <w:bottom w:val="nil"/>
              <w:right w:val="nil"/>
            </w:tcBorders>
            <w:shd w:val="clear" w:color="auto" w:fill="auto"/>
            <w:noWrap/>
            <w:vAlign w:val="bottom"/>
            <w:hideMark/>
          </w:tcPr>
          <w:p w14:paraId="2EC5B9F3"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35C83329"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19B16D9"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The permission granted in Section 1 above is expressly made subject to and limited by the following restrictions, in addition to the limitations and restrictions set forth in other sections of the Agreement: </w:t>
            </w:r>
          </w:p>
        </w:tc>
      </w:tr>
      <w:tr w:rsidR="00BA6081" w:rsidRPr="00B61FF1" w14:paraId="401F3518" w14:textId="77777777" w:rsidTr="00FD7515">
        <w:trPr>
          <w:trHeight w:val="315"/>
        </w:trPr>
        <w:tc>
          <w:tcPr>
            <w:tcW w:w="5472" w:type="dxa"/>
            <w:tcBorders>
              <w:top w:val="nil"/>
              <w:left w:val="nil"/>
              <w:bottom w:val="nil"/>
              <w:right w:val="nil"/>
            </w:tcBorders>
            <w:shd w:val="clear" w:color="auto" w:fill="auto"/>
            <w:noWrap/>
            <w:vAlign w:val="center"/>
            <w:hideMark/>
          </w:tcPr>
          <w:p w14:paraId="5C5F8BCD"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58832FF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3BD3A6D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1B461F8"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F2AA0CD"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844B6EF"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2.1 User agrees not to access CITSS by any means other than using internet browsers. </w:t>
            </w:r>
          </w:p>
        </w:tc>
      </w:tr>
      <w:tr w:rsidR="00BA6081" w:rsidRPr="00B61FF1" w14:paraId="2C5D882A" w14:textId="77777777" w:rsidTr="00FD7515">
        <w:trPr>
          <w:trHeight w:val="315"/>
        </w:trPr>
        <w:tc>
          <w:tcPr>
            <w:tcW w:w="5472" w:type="dxa"/>
            <w:tcBorders>
              <w:top w:val="nil"/>
              <w:left w:val="nil"/>
              <w:bottom w:val="nil"/>
              <w:right w:val="nil"/>
            </w:tcBorders>
            <w:shd w:val="clear" w:color="auto" w:fill="auto"/>
            <w:noWrap/>
            <w:vAlign w:val="center"/>
            <w:hideMark/>
          </w:tcPr>
          <w:p w14:paraId="3167B83B"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73138E8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04F4B0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CFEF72F"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1ECBBE43"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1B3D6EAE"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2.2 User further agrees that it shall NOT: </w:t>
            </w:r>
          </w:p>
        </w:tc>
      </w:tr>
      <w:tr w:rsidR="00BA6081" w:rsidRPr="00B61FF1" w14:paraId="313052C4"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94EDAE6"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a. Deliberately attempt to access any data, documents, email correspondence, or programs contained on systems for which User does not have authorization; </w:t>
            </w:r>
          </w:p>
        </w:tc>
      </w:tr>
      <w:tr w:rsidR="00BA6081" w:rsidRPr="00B61FF1" w14:paraId="36C5D523"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25E3FF4C"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b. Engage in activity that may harass, threaten or abuse others, or intentionally access, create, store or transmit material which may be deemed offensive, indecent or obscene, or that is illegal according to local, state, provincial, or federal law; </w:t>
            </w:r>
          </w:p>
        </w:tc>
      </w:tr>
      <w:tr w:rsidR="00BA6081" w:rsidRPr="00B61FF1" w14:paraId="172B38AE"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5E8E60F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c. Engage in activity that may degrade the performance of CITSS; </w:t>
            </w:r>
          </w:p>
        </w:tc>
      </w:tr>
      <w:tr w:rsidR="00BA6081" w:rsidRPr="00B61FF1" w14:paraId="1C2FC8DE"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02A273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d. Deprive an authorized user access to CITSS; </w:t>
            </w:r>
          </w:p>
        </w:tc>
      </w:tr>
      <w:tr w:rsidR="00BA6081" w:rsidRPr="00B61FF1" w14:paraId="72050C26"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039BC98"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e. Obtain extra resources or login privileges beyond those authorized; </w:t>
            </w:r>
          </w:p>
        </w:tc>
      </w:tr>
      <w:tr w:rsidR="00BA6081" w:rsidRPr="00B61FF1" w14:paraId="6C132917"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46B0149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f. Circumvent CITSS security measures; </w:t>
            </w:r>
          </w:p>
        </w:tc>
      </w:tr>
      <w:tr w:rsidR="00BA6081" w:rsidRPr="00B61FF1" w14:paraId="76B70D85"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361C4CB2"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g. Violate copyright law of copyrighted material; </w:t>
            </w:r>
          </w:p>
        </w:tc>
      </w:tr>
      <w:tr w:rsidR="00BA6081" w:rsidRPr="00B61FF1" w14:paraId="66530FEC"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678EA4BF"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h. Attempt to disassemble, decompile or reverse engineer CITSS; </w:t>
            </w:r>
          </w:p>
        </w:tc>
      </w:tr>
      <w:tr w:rsidR="00BA6081" w:rsidRPr="00B61FF1" w14:paraId="7FFAA579"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1B96B717"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i. Attempt to create derivative works based on CITSS; </w:t>
            </w:r>
          </w:p>
        </w:tc>
      </w:tr>
      <w:tr w:rsidR="00BA6081" w:rsidRPr="00B61FF1" w14:paraId="3752BA56"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4DAB1508"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j. Attempt to copy, reproduce, distribute or transfer CITSS; </w:t>
            </w:r>
          </w:p>
        </w:tc>
      </w:tr>
      <w:tr w:rsidR="00BA6081" w:rsidRPr="00B61FF1" w14:paraId="0ABB7879"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BC33454"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k. Provide access to CITSS to any third parties for any improper purpose; </w:t>
            </w:r>
          </w:p>
        </w:tc>
      </w:tr>
      <w:tr w:rsidR="00BA6081" w:rsidRPr="00B61FF1" w14:paraId="67AC367E"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55097A78"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l. Obtain for personal benefit, or engage in political activity, unsolicited advertising, unauthorized fund raising, or solicit performance of any activity that is prohibited by any local, state, or federal law. </w:t>
            </w:r>
          </w:p>
        </w:tc>
      </w:tr>
      <w:tr w:rsidR="00BA6081" w:rsidRPr="00B61FF1" w14:paraId="196E8E77" w14:textId="77777777" w:rsidTr="00FD7515">
        <w:trPr>
          <w:trHeight w:val="315"/>
        </w:trPr>
        <w:tc>
          <w:tcPr>
            <w:tcW w:w="5472" w:type="dxa"/>
            <w:tcBorders>
              <w:top w:val="nil"/>
              <w:left w:val="nil"/>
              <w:bottom w:val="nil"/>
              <w:right w:val="nil"/>
            </w:tcBorders>
            <w:shd w:val="clear" w:color="auto" w:fill="auto"/>
            <w:noWrap/>
            <w:vAlign w:val="center"/>
            <w:hideMark/>
          </w:tcPr>
          <w:p w14:paraId="54B36500"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01369A0E"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26C0B18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967427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08435E36"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415C2D51"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2.3 User's right to access CITSS automatically terminates upon User's violation of any provisions of this Agreement. </w:t>
            </w:r>
          </w:p>
        </w:tc>
      </w:tr>
      <w:tr w:rsidR="00BA6081" w:rsidRPr="00B61FF1" w14:paraId="579C760A" w14:textId="77777777" w:rsidTr="00FD7515">
        <w:trPr>
          <w:trHeight w:val="315"/>
        </w:trPr>
        <w:tc>
          <w:tcPr>
            <w:tcW w:w="5472" w:type="dxa"/>
            <w:tcBorders>
              <w:top w:val="nil"/>
              <w:left w:val="nil"/>
              <w:bottom w:val="nil"/>
              <w:right w:val="nil"/>
            </w:tcBorders>
            <w:shd w:val="clear" w:color="auto" w:fill="auto"/>
            <w:noWrap/>
            <w:vAlign w:val="center"/>
            <w:hideMark/>
          </w:tcPr>
          <w:p w14:paraId="1B81F2AB"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634754A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288406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01C455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6992E53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28694543"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2.4 User further agrees that it will immediately inform ARB or the CITSS administrator by emailing help@wci-citss.org or calling at 1-866-682-7561 if any of the following occurs: </w:t>
            </w:r>
          </w:p>
        </w:tc>
      </w:tr>
      <w:tr w:rsidR="00BA6081" w:rsidRPr="00B61FF1" w14:paraId="4BF5E94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437072EE"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a. User observes any unauthorized access or misuse of CITSS; </w:t>
            </w:r>
          </w:p>
        </w:tc>
      </w:tr>
      <w:tr w:rsidR="00BA6081" w:rsidRPr="00B61FF1" w14:paraId="7AE0C9A7"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34033A4F"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b. User has any reason to believe that the security of their User ID, password, or security question(s) has been compromised; </w:t>
            </w:r>
          </w:p>
        </w:tc>
      </w:tr>
      <w:tr w:rsidR="00BA6081" w:rsidRPr="00B61FF1" w14:paraId="030478EB"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1CA50D85"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c. User has any reason to believe that weaknesses in computer security, including unexpected software or system behavior, may result in unintentional disclosure of information or exposure to security threats. </w:t>
            </w:r>
          </w:p>
        </w:tc>
      </w:tr>
      <w:tr w:rsidR="00BA6081" w:rsidRPr="00B61FF1" w14:paraId="0B1123C4" w14:textId="77777777" w:rsidTr="00FD7515">
        <w:trPr>
          <w:trHeight w:val="315"/>
        </w:trPr>
        <w:tc>
          <w:tcPr>
            <w:tcW w:w="5472" w:type="dxa"/>
            <w:tcBorders>
              <w:top w:val="nil"/>
              <w:left w:val="nil"/>
              <w:bottom w:val="nil"/>
              <w:right w:val="nil"/>
            </w:tcBorders>
            <w:shd w:val="clear" w:color="auto" w:fill="auto"/>
            <w:noWrap/>
            <w:vAlign w:val="center"/>
            <w:hideMark/>
          </w:tcPr>
          <w:p w14:paraId="5D9F7B6D"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4A4EFD4F"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358A21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A4EC611"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3A793D19" w14:textId="77777777" w:rsidTr="00FD7515">
        <w:trPr>
          <w:trHeight w:val="315"/>
        </w:trPr>
        <w:tc>
          <w:tcPr>
            <w:tcW w:w="7610" w:type="dxa"/>
            <w:gridSpan w:val="3"/>
            <w:tcBorders>
              <w:top w:val="nil"/>
              <w:left w:val="nil"/>
              <w:bottom w:val="nil"/>
              <w:right w:val="nil"/>
            </w:tcBorders>
            <w:shd w:val="clear" w:color="auto" w:fill="auto"/>
            <w:noWrap/>
            <w:vAlign w:val="center"/>
            <w:hideMark/>
          </w:tcPr>
          <w:p w14:paraId="2B95C26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2.5 User further agrees that: </w:t>
            </w:r>
          </w:p>
        </w:tc>
        <w:tc>
          <w:tcPr>
            <w:tcW w:w="1916" w:type="dxa"/>
            <w:tcBorders>
              <w:top w:val="nil"/>
              <w:left w:val="nil"/>
              <w:bottom w:val="nil"/>
              <w:right w:val="nil"/>
            </w:tcBorders>
            <w:shd w:val="clear" w:color="auto" w:fill="auto"/>
            <w:noWrap/>
            <w:vAlign w:val="bottom"/>
            <w:hideMark/>
          </w:tcPr>
          <w:p w14:paraId="2B50166E"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53915CF6"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5829B854"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a. User will maintain the security of their CITSS User ID, password, and security questions for use of the CITSS; </w:t>
            </w:r>
          </w:p>
        </w:tc>
      </w:tr>
      <w:tr w:rsidR="00BA6081" w:rsidRPr="00B61FF1" w14:paraId="6DDA4B41"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AA8192B"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b. User will not disclose their CITSS User ID, password, and security questions information to anyone; </w:t>
            </w:r>
          </w:p>
        </w:tc>
      </w:tr>
      <w:tr w:rsidR="00BA6081" w:rsidRPr="00B61FF1" w14:paraId="2DB4588A"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6A85E523"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c. User will maintain an active email account listed in the CITSS at which User can receive important notifications of changes related to User's personal information or transfers involving any general account or compliance account that User represents as a Primary Account Representative, Alternate Account Representative, Account Viewing Agent, or other CITSS User; </w:t>
            </w:r>
          </w:p>
        </w:tc>
      </w:tr>
      <w:tr w:rsidR="00BA6081" w:rsidRPr="00B61FF1" w14:paraId="20A4DD80"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AB58464"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d. Any submission User makes using the CITSS has and will have the same legal effect as if it were made in hardcopy form certified by User's handwritten signature. </w:t>
            </w:r>
          </w:p>
        </w:tc>
      </w:tr>
      <w:tr w:rsidR="00BA6081" w:rsidRPr="00B61FF1" w14:paraId="6C4FD7EA" w14:textId="77777777" w:rsidTr="00FD7515">
        <w:trPr>
          <w:trHeight w:val="315"/>
        </w:trPr>
        <w:tc>
          <w:tcPr>
            <w:tcW w:w="5472" w:type="dxa"/>
            <w:tcBorders>
              <w:top w:val="nil"/>
              <w:left w:val="nil"/>
              <w:bottom w:val="nil"/>
              <w:right w:val="nil"/>
            </w:tcBorders>
            <w:shd w:val="clear" w:color="auto" w:fill="auto"/>
            <w:noWrap/>
            <w:vAlign w:val="center"/>
            <w:hideMark/>
          </w:tcPr>
          <w:p w14:paraId="6FD24400"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70879F4B"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DF704A6"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287A0649"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7E855E86"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4E1B0B17"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2.6 If, at any time, User determines it is no longer able or willing to abide by the terms of this Agreement, User shall immediately cease all use of the CITSS and promptly notify ARB or the CITSS administrator in writing of its determination so that ARB or the CITSS administrator may formally suspend or revoke the User's access to the CITSS.</w:t>
            </w:r>
          </w:p>
        </w:tc>
      </w:tr>
      <w:tr w:rsidR="00BA6081" w:rsidRPr="00B61FF1" w14:paraId="2706B828" w14:textId="77777777" w:rsidTr="00FD7515">
        <w:trPr>
          <w:trHeight w:val="315"/>
        </w:trPr>
        <w:tc>
          <w:tcPr>
            <w:tcW w:w="5472" w:type="dxa"/>
            <w:tcBorders>
              <w:top w:val="nil"/>
              <w:left w:val="nil"/>
              <w:bottom w:val="nil"/>
              <w:right w:val="nil"/>
            </w:tcBorders>
            <w:shd w:val="clear" w:color="auto" w:fill="auto"/>
            <w:noWrap/>
            <w:vAlign w:val="center"/>
            <w:hideMark/>
          </w:tcPr>
          <w:p w14:paraId="5D882D78"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4C4538E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6A597E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9C0DDB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3752D6B6" w14:textId="77777777" w:rsidTr="00FD7515">
        <w:trPr>
          <w:trHeight w:val="315"/>
        </w:trPr>
        <w:tc>
          <w:tcPr>
            <w:tcW w:w="7610" w:type="dxa"/>
            <w:gridSpan w:val="3"/>
            <w:tcBorders>
              <w:top w:val="nil"/>
              <w:left w:val="nil"/>
              <w:bottom w:val="nil"/>
              <w:right w:val="nil"/>
            </w:tcBorders>
            <w:shd w:val="clear" w:color="auto" w:fill="auto"/>
            <w:noWrap/>
            <w:vAlign w:val="center"/>
            <w:hideMark/>
          </w:tcPr>
          <w:p w14:paraId="47D3A7F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3. Disclaimer of Warranties </w:t>
            </w:r>
          </w:p>
        </w:tc>
        <w:tc>
          <w:tcPr>
            <w:tcW w:w="1916" w:type="dxa"/>
            <w:tcBorders>
              <w:top w:val="nil"/>
              <w:left w:val="nil"/>
              <w:bottom w:val="nil"/>
              <w:right w:val="nil"/>
            </w:tcBorders>
            <w:shd w:val="clear" w:color="auto" w:fill="auto"/>
            <w:noWrap/>
            <w:vAlign w:val="bottom"/>
            <w:hideMark/>
          </w:tcPr>
          <w:p w14:paraId="1DE00CA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2D1F4BEE"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003CEC0"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EXCEPT AS REQUIRED BY APPLICABLE LAW, THIS SERVICE IS MADE AVAILABLE ON AN "AS IS" BASIS, WITHOUT WARRANTIES OF ANY KIND. ARB SPECIFICALLY DISCLAIMS ALL WARRANTIES, EXPRESS OR IMPLIED, INCLUDING, BUT NOT LIMITED TO, ANY IMPLIED WARRANTY OF MERCHANTABILITY OR FITNESS FOR A PARTICULAR PURPOSE WITH RESPECT TO THE SOFTWARE, OR ANY WARRANTIES REGARDING THE CONTENTS OR ACCURACY OF THE SOFTWARE. </w:t>
            </w:r>
          </w:p>
        </w:tc>
      </w:tr>
      <w:tr w:rsidR="00BA6081" w:rsidRPr="00B61FF1" w14:paraId="63DF333A" w14:textId="77777777" w:rsidTr="00FD7515">
        <w:trPr>
          <w:trHeight w:val="315"/>
        </w:trPr>
        <w:tc>
          <w:tcPr>
            <w:tcW w:w="5472" w:type="dxa"/>
            <w:tcBorders>
              <w:top w:val="nil"/>
              <w:left w:val="nil"/>
              <w:bottom w:val="nil"/>
              <w:right w:val="nil"/>
            </w:tcBorders>
            <w:shd w:val="clear" w:color="auto" w:fill="auto"/>
            <w:noWrap/>
            <w:vAlign w:val="center"/>
            <w:hideMark/>
          </w:tcPr>
          <w:p w14:paraId="24B0BB70"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2B136E0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2371A6F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A1E9FA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065EBA3E" w14:textId="77777777" w:rsidTr="00FD7515">
        <w:trPr>
          <w:trHeight w:val="315"/>
        </w:trPr>
        <w:tc>
          <w:tcPr>
            <w:tcW w:w="7610" w:type="dxa"/>
            <w:gridSpan w:val="3"/>
            <w:tcBorders>
              <w:top w:val="nil"/>
              <w:left w:val="nil"/>
              <w:bottom w:val="nil"/>
              <w:right w:val="nil"/>
            </w:tcBorders>
            <w:shd w:val="clear" w:color="auto" w:fill="auto"/>
            <w:noWrap/>
            <w:vAlign w:val="center"/>
            <w:hideMark/>
          </w:tcPr>
          <w:p w14:paraId="04BD15BC"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4. Limitation on Liability </w:t>
            </w:r>
          </w:p>
        </w:tc>
        <w:tc>
          <w:tcPr>
            <w:tcW w:w="1916" w:type="dxa"/>
            <w:tcBorders>
              <w:top w:val="nil"/>
              <w:left w:val="nil"/>
              <w:bottom w:val="nil"/>
              <w:right w:val="nil"/>
            </w:tcBorders>
            <w:shd w:val="clear" w:color="auto" w:fill="auto"/>
            <w:noWrap/>
            <w:vAlign w:val="bottom"/>
            <w:hideMark/>
          </w:tcPr>
          <w:p w14:paraId="64F782B8"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2C28B340" w14:textId="77777777" w:rsidTr="00FD7515">
        <w:trPr>
          <w:trHeight w:val="315"/>
        </w:trPr>
        <w:tc>
          <w:tcPr>
            <w:tcW w:w="5472" w:type="dxa"/>
            <w:tcBorders>
              <w:top w:val="nil"/>
              <w:left w:val="nil"/>
              <w:bottom w:val="nil"/>
              <w:right w:val="nil"/>
            </w:tcBorders>
            <w:shd w:val="clear" w:color="auto" w:fill="auto"/>
            <w:noWrap/>
            <w:vAlign w:val="center"/>
            <w:hideMark/>
          </w:tcPr>
          <w:p w14:paraId="7B1B977D"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6C8F94B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B49FA1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00C1FB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0B2D26A3"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307171F2"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4.1 Except to the extent required by applicable law, in no event is ARB or WCI, Inc. liable to User on any legal theory for damages of any kind arising from the use of or the inability to use the CITSS, even if ARB or WCI, Inc. has been advised of the possibility of such damages. The unavailability of, or problems with the use of CITSS, does not excuse User from the reporting and compliance deadlines in the applicable Regulation. </w:t>
            </w:r>
          </w:p>
        </w:tc>
      </w:tr>
      <w:tr w:rsidR="00BA6081" w:rsidRPr="00B61FF1" w14:paraId="63CAC5C5" w14:textId="77777777" w:rsidTr="00FD7515">
        <w:trPr>
          <w:trHeight w:val="315"/>
        </w:trPr>
        <w:tc>
          <w:tcPr>
            <w:tcW w:w="5472" w:type="dxa"/>
            <w:tcBorders>
              <w:top w:val="nil"/>
              <w:left w:val="nil"/>
              <w:bottom w:val="nil"/>
              <w:right w:val="nil"/>
            </w:tcBorders>
            <w:shd w:val="clear" w:color="auto" w:fill="auto"/>
            <w:noWrap/>
            <w:vAlign w:val="center"/>
            <w:hideMark/>
          </w:tcPr>
          <w:p w14:paraId="5E2FE6E6"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6EB9DB6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B239E3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079980B"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F8AD18F"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512065B"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5. Copyright and Proprietary Information </w:t>
            </w:r>
          </w:p>
        </w:tc>
      </w:tr>
      <w:tr w:rsidR="00BA6081" w:rsidRPr="00B61FF1" w14:paraId="5953A6F9" w14:textId="77777777" w:rsidTr="00FD7515">
        <w:trPr>
          <w:trHeight w:val="315"/>
        </w:trPr>
        <w:tc>
          <w:tcPr>
            <w:tcW w:w="5472" w:type="dxa"/>
            <w:tcBorders>
              <w:top w:val="nil"/>
              <w:left w:val="nil"/>
              <w:bottom w:val="nil"/>
              <w:right w:val="nil"/>
            </w:tcBorders>
            <w:shd w:val="clear" w:color="auto" w:fill="auto"/>
            <w:noWrap/>
            <w:vAlign w:val="center"/>
            <w:hideMark/>
          </w:tcPr>
          <w:p w14:paraId="1B964892"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6F6AD8E9"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7110549C"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A8AC92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2C4D32D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9397512"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5.1 User shall not permit any person who is not registered as a User to access the CITSS and shall not copy, reproduce or distribute, or allow any other person to copy, reproduce or distribute, the CITSS, in whole or in part, without ARB's prior written consent. </w:t>
            </w:r>
          </w:p>
        </w:tc>
      </w:tr>
      <w:tr w:rsidR="00BA6081" w:rsidRPr="00B61FF1" w14:paraId="1DCE1866" w14:textId="77777777" w:rsidTr="00FD7515">
        <w:trPr>
          <w:trHeight w:val="315"/>
        </w:trPr>
        <w:tc>
          <w:tcPr>
            <w:tcW w:w="5472" w:type="dxa"/>
            <w:tcBorders>
              <w:top w:val="nil"/>
              <w:left w:val="nil"/>
              <w:bottom w:val="nil"/>
              <w:right w:val="nil"/>
            </w:tcBorders>
            <w:shd w:val="clear" w:color="auto" w:fill="auto"/>
            <w:noWrap/>
            <w:vAlign w:val="center"/>
            <w:hideMark/>
          </w:tcPr>
          <w:p w14:paraId="28A45353"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431D5C3D"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86855C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35AF3697"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28AE7E2B" w14:textId="77777777" w:rsidTr="00FD7515">
        <w:trPr>
          <w:trHeight w:val="315"/>
        </w:trPr>
        <w:tc>
          <w:tcPr>
            <w:tcW w:w="5472" w:type="dxa"/>
            <w:tcBorders>
              <w:top w:val="nil"/>
              <w:left w:val="nil"/>
              <w:bottom w:val="nil"/>
              <w:right w:val="nil"/>
            </w:tcBorders>
            <w:shd w:val="clear" w:color="auto" w:fill="auto"/>
            <w:noWrap/>
            <w:vAlign w:val="center"/>
            <w:hideMark/>
          </w:tcPr>
          <w:p w14:paraId="068AB6DB"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6. Term </w:t>
            </w:r>
          </w:p>
        </w:tc>
        <w:tc>
          <w:tcPr>
            <w:tcW w:w="222" w:type="dxa"/>
            <w:tcBorders>
              <w:top w:val="nil"/>
              <w:left w:val="nil"/>
              <w:bottom w:val="nil"/>
              <w:right w:val="nil"/>
            </w:tcBorders>
            <w:shd w:val="clear" w:color="auto" w:fill="auto"/>
            <w:noWrap/>
            <w:vAlign w:val="bottom"/>
            <w:hideMark/>
          </w:tcPr>
          <w:p w14:paraId="1295B312"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1403864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6642B88A"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14386E51"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492B1103"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This Agreement commences upon User's acceptance of this Agreement and access to the CITSS for the first time. The Agreement shall terminate upon User's written notification to ARB under Section 2.5 of this Agreement or upon other termination or discontinuation of User's access to the CITSS, except that Sections 3, 4 and 5 survive any termination of this Agreement. ARB reserves the right to terminate this Agreement at any time, subject to the exception that Sections 3, 4 and 5 survive any termination of this Agreement. </w:t>
            </w:r>
          </w:p>
        </w:tc>
      </w:tr>
      <w:tr w:rsidR="00BA6081" w:rsidRPr="00B61FF1" w14:paraId="07091BD9" w14:textId="77777777" w:rsidTr="00FD7515">
        <w:trPr>
          <w:trHeight w:val="315"/>
        </w:trPr>
        <w:tc>
          <w:tcPr>
            <w:tcW w:w="5472" w:type="dxa"/>
            <w:tcBorders>
              <w:top w:val="nil"/>
              <w:left w:val="nil"/>
              <w:bottom w:val="nil"/>
              <w:right w:val="nil"/>
            </w:tcBorders>
            <w:shd w:val="clear" w:color="auto" w:fill="auto"/>
            <w:noWrap/>
            <w:vAlign w:val="center"/>
            <w:hideMark/>
          </w:tcPr>
          <w:p w14:paraId="53ECE52D" w14:textId="77777777" w:rsidR="00BA6081" w:rsidRPr="00B61FF1" w:rsidRDefault="00BA6081" w:rsidP="00BF5756">
            <w:pPr>
              <w:autoSpaceDE/>
              <w:autoSpaceDN/>
              <w:adjustRightInd/>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4220E1B0"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27EFDD3"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CDC35CF"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4E113CA3"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6B91A91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7. Governing Law and General Provisions </w:t>
            </w:r>
          </w:p>
        </w:tc>
      </w:tr>
      <w:tr w:rsidR="00BA6081" w:rsidRPr="00B61FF1" w14:paraId="47EF5DA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06500C2A" w14:textId="77777777" w:rsidR="00BA6081" w:rsidRPr="00B61FF1" w:rsidRDefault="00BA6081" w:rsidP="00BF5756">
            <w:pPr>
              <w:autoSpaceDE/>
              <w:autoSpaceDN/>
              <w:adjustRightInd/>
              <w:rPr>
                <w:rFonts w:ascii="Arial" w:eastAsia="Times New Roman" w:hAnsi="Arial" w:cs="Arial"/>
                <w:sz w:val="24"/>
                <w:szCs w:val="24"/>
                <w:u w:val="single"/>
              </w:rPr>
            </w:pPr>
            <w:r w:rsidRPr="00B61FF1">
              <w:rPr>
                <w:rFonts w:ascii="Arial" w:eastAsia="Times New Roman" w:hAnsi="Arial" w:cs="Arial"/>
                <w:sz w:val="24"/>
                <w:szCs w:val="24"/>
                <w:u w:val="single"/>
              </w:rPr>
              <w:t xml:space="preserve">This Agreement shall be governed by and construed in accordance with the laws of the State of California. The failure of ARB to exercise or enforce any right or provision of this Agreement shall not constitute a waiver of such right or provision. If any provision of this Agreement is found by a court of competent jurisdiction to be invalid, the parties agree that the court should endeavor to give effect to the parties' intentions as reflected in the provisions, and the other provisions of the Agreement remain in full force and effect. </w:t>
            </w:r>
          </w:p>
        </w:tc>
      </w:tr>
      <w:tr w:rsidR="00BA6081" w:rsidRPr="00B61FF1" w14:paraId="2BF13667" w14:textId="77777777" w:rsidTr="00FD7515">
        <w:trPr>
          <w:trHeight w:val="315"/>
        </w:trPr>
        <w:tc>
          <w:tcPr>
            <w:tcW w:w="5472" w:type="dxa"/>
            <w:tcBorders>
              <w:top w:val="nil"/>
              <w:left w:val="nil"/>
              <w:bottom w:val="nil"/>
              <w:right w:val="nil"/>
            </w:tcBorders>
            <w:shd w:val="clear" w:color="auto" w:fill="auto"/>
            <w:noWrap/>
            <w:vAlign w:val="center"/>
            <w:hideMark/>
          </w:tcPr>
          <w:p w14:paraId="44E8CAED" w14:textId="77777777" w:rsidR="00BA6081" w:rsidRPr="00B61FF1" w:rsidRDefault="00BA6081" w:rsidP="00BF5756">
            <w:pPr>
              <w:autoSpaceDE/>
              <w:autoSpaceDN/>
              <w:adjustRightInd/>
              <w:ind w:firstLineChars="1200" w:firstLine="2880"/>
              <w:rPr>
                <w:rFonts w:ascii="Arial" w:eastAsia="Times New Roman" w:hAnsi="Arial" w:cs="Arial"/>
                <w:sz w:val="24"/>
                <w:szCs w:val="24"/>
                <w:u w:val="single"/>
              </w:rPr>
            </w:pPr>
          </w:p>
        </w:tc>
        <w:tc>
          <w:tcPr>
            <w:tcW w:w="222" w:type="dxa"/>
            <w:tcBorders>
              <w:top w:val="nil"/>
              <w:left w:val="nil"/>
              <w:bottom w:val="nil"/>
              <w:right w:val="nil"/>
            </w:tcBorders>
            <w:shd w:val="clear" w:color="auto" w:fill="auto"/>
            <w:noWrap/>
            <w:vAlign w:val="bottom"/>
            <w:hideMark/>
          </w:tcPr>
          <w:p w14:paraId="31BDB838"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651192E"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003FD594"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06F60938"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5FC0EAA1"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This Agreement is not intended to modify and cannot modify any provision in the applicable Regulation, including the California Cap on Greenhouse Gas Emission and Market-Based Compliance Mechanisms. If any part of this Agreement is found to conflict with any provision(s) in the applicable Regulation(s), the applicable Regulation(s) shall control.</w:t>
            </w:r>
          </w:p>
        </w:tc>
      </w:tr>
      <w:tr w:rsidR="00BA6081" w:rsidRPr="00B61FF1" w14:paraId="6E3132AD" w14:textId="77777777" w:rsidTr="00FD7515">
        <w:trPr>
          <w:trHeight w:val="315"/>
        </w:trPr>
        <w:tc>
          <w:tcPr>
            <w:tcW w:w="5472" w:type="dxa"/>
            <w:tcBorders>
              <w:top w:val="nil"/>
              <w:left w:val="nil"/>
              <w:bottom w:val="nil"/>
              <w:right w:val="nil"/>
            </w:tcBorders>
            <w:shd w:val="clear" w:color="auto" w:fill="auto"/>
            <w:noWrap/>
            <w:vAlign w:val="center"/>
            <w:hideMark/>
          </w:tcPr>
          <w:p w14:paraId="27CC5DF2"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663CD40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469EAC1E"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03DCEBE"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6183FB25"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70720703"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This Agreement constitutes the entire agreement between User and ARB with respect to use of the CITSS. There are no understandings, agreements or representations with respect to the software program that are not specified in this Agreement.</w:t>
            </w:r>
          </w:p>
        </w:tc>
      </w:tr>
      <w:tr w:rsidR="00BA6081" w:rsidRPr="00B61FF1" w14:paraId="1B24319C" w14:textId="77777777" w:rsidTr="00FD7515">
        <w:trPr>
          <w:trHeight w:val="315"/>
        </w:trPr>
        <w:tc>
          <w:tcPr>
            <w:tcW w:w="5472" w:type="dxa"/>
            <w:tcBorders>
              <w:top w:val="nil"/>
              <w:left w:val="nil"/>
              <w:bottom w:val="nil"/>
              <w:right w:val="nil"/>
            </w:tcBorders>
            <w:shd w:val="clear" w:color="auto" w:fill="auto"/>
            <w:noWrap/>
            <w:vAlign w:val="center"/>
            <w:hideMark/>
          </w:tcPr>
          <w:p w14:paraId="1F469A6D" w14:textId="77777777" w:rsidR="00BA6081" w:rsidRPr="00B61FF1" w:rsidRDefault="00BA6081" w:rsidP="00BF5756">
            <w:pPr>
              <w:autoSpaceDE/>
              <w:autoSpaceDN/>
              <w:adjustRightInd/>
              <w:rPr>
                <w:rFonts w:ascii="Arial" w:eastAsia="Times New Roman" w:hAnsi="Arial" w:cs="Arial"/>
                <w:color w:val="000000"/>
                <w:sz w:val="24"/>
                <w:szCs w:val="24"/>
                <w:u w:val="single"/>
              </w:rPr>
            </w:pPr>
          </w:p>
        </w:tc>
        <w:tc>
          <w:tcPr>
            <w:tcW w:w="222" w:type="dxa"/>
            <w:tcBorders>
              <w:top w:val="nil"/>
              <w:left w:val="nil"/>
              <w:bottom w:val="nil"/>
              <w:right w:val="nil"/>
            </w:tcBorders>
            <w:shd w:val="clear" w:color="auto" w:fill="auto"/>
            <w:noWrap/>
            <w:vAlign w:val="bottom"/>
            <w:hideMark/>
          </w:tcPr>
          <w:p w14:paraId="729F1538"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5BFE0C70"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c>
          <w:tcPr>
            <w:tcW w:w="1916" w:type="dxa"/>
            <w:tcBorders>
              <w:top w:val="nil"/>
              <w:left w:val="nil"/>
              <w:bottom w:val="nil"/>
              <w:right w:val="nil"/>
            </w:tcBorders>
            <w:shd w:val="clear" w:color="auto" w:fill="auto"/>
            <w:noWrap/>
            <w:vAlign w:val="bottom"/>
            <w:hideMark/>
          </w:tcPr>
          <w:p w14:paraId="3C3011B5" w14:textId="77777777" w:rsidR="00BA6081" w:rsidRPr="00B61FF1" w:rsidRDefault="00BA6081" w:rsidP="00BF5756">
            <w:pPr>
              <w:autoSpaceDE/>
              <w:autoSpaceDN/>
              <w:adjustRightInd/>
              <w:rPr>
                <w:rFonts w:ascii="Calibri" w:eastAsia="Times New Roman" w:hAnsi="Calibri" w:cs="Calibri"/>
                <w:color w:val="000000"/>
                <w:sz w:val="24"/>
                <w:szCs w:val="24"/>
                <w:u w:val="single"/>
              </w:rPr>
            </w:pPr>
          </w:p>
        </w:tc>
      </w:tr>
      <w:tr w:rsidR="00BA6081" w:rsidRPr="00B61FF1" w14:paraId="6B8BE025" w14:textId="77777777" w:rsidTr="00FD7515">
        <w:trPr>
          <w:trHeight w:val="315"/>
        </w:trPr>
        <w:tc>
          <w:tcPr>
            <w:tcW w:w="9526" w:type="dxa"/>
            <w:gridSpan w:val="4"/>
            <w:tcBorders>
              <w:top w:val="nil"/>
              <w:left w:val="nil"/>
              <w:bottom w:val="nil"/>
              <w:right w:val="nil"/>
            </w:tcBorders>
            <w:shd w:val="clear" w:color="auto" w:fill="auto"/>
            <w:noWrap/>
            <w:vAlign w:val="center"/>
            <w:hideMark/>
          </w:tcPr>
          <w:p w14:paraId="568FF3E1" w14:textId="77777777" w:rsidR="00BA6081" w:rsidRPr="00B61FF1" w:rsidRDefault="00BA6081" w:rsidP="00BF5756">
            <w:pPr>
              <w:autoSpaceDE/>
              <w:autoSpaceDN/>
              <w:adjustRightInd/>
              <w:rPr>
                <w:rFonts w:ascii="Arial" w:eastAsia="Times New Roman" w:hAnsi="Arial" w:cs="Arial"/>
                <w:color w:val="000000"/>
                <w:sz w:val="24"/>
                <w:szCs w:val="24"/>
                <w:u w:val="single"/>
              </w:rPr>
            </w:pPr>
            <w:r w:rsidRPr="00B61FF1">
              <w:rPr>
                <w:rFonts w:ascii="Arial" w:eastAsia="Times New Roman" w:hAnsi="Arial" w:cs="Arial"/>
                <w:color w:val="000000"/>
                <w:sz w:val="24"/>
                <w:szCs w:val="24"/>
                <w:u w:val="single"/>
              </w:rPr>
              <w:t>This Agreement may only be modified in a writing signed by User and the Executive Officer of the ARB.</w:t>
            </w:r>
          </w:p>
        </w:tc>
      </w:tr>
    </w:tbl>
    <w:p w14:paraId="01BAA41D" w14:textId="3D3DF6EB" w:rsidR="00986B4A" w:rsidRPr="00B61FF1" w:rsidRDefault="00986B4A">
      <w:pPr>
        <w:autoSpaceDE/>
        <w:autoSpaceDN/>
        <w:adjustRightInd/>
        <w:rPr>
          <w:rFonts w:ascii="Arial" w:hAnsi="Arial" w:cs="Arial"/>
        </w:rPr>
      </w:pPr>
    </w:p>
    <w:p w14:paraId="70369AEA" w14:textId="77777777" w:rsidR="00986B4A" w:rsidRPr="00B61FF1" w:rsidRDefault="00986B4A" w:rsidP="00986B4A">
      <w:pPr>
        <w:rPr>
          <w:rFonts w:ascii="Arial" w:hAnsi="Arial" w:cs="Arial"/>
          <w:b/>
          <w:sz w:val="24"/>
          <w:szCs w:val="24"/>
          <w:u w:val="single"/>
        </w:rPr>
      </w:pPr>
      <w:r w:rsidRPr="00B61FF1">
        <w:rPr>
          <w:rFonts w:ascii="Arial" w:hAnsi="Arial" w:cs="Arial"/>
          <w:b/>
          <w:sz w:val="24"/>
          <w:szCs w:val="24"/>
          <w:u w:val="single"/>
        </w:rPr>
        <w:t>Appendix C:  Quarterly Auction and Reserve Sale Dates</w:t>
      </w:r>
    </w:p>
    <w:p w14:paraId="79E1ED8E" w14:textId="77777777" w:rsidR="00986B4A" w:rsidRPr="00B61FF1" w:rsidRDefault="00986B4A" w:rsidP="00986B4A">
      <w:pPr>
        <w:rPr>
          <w:rFonts w:ascii="Arial" w:hAnsi="Arial" w:cs="Arial"/>
          <w:b/>
          <w:sz w:val="24"/>
          <w:szCs w:val="24"/>
          <w:u w:val="single"/>
        </w:rPr>
      </w:pPr>
    </w:p>
    <w:tbl>
      <w:tblPr>
        <w:tblStyle w:val="TableGrid"/>
        <w:tblW w:w="11088" w:type="dxa"/>
        <w:tblInd w:w="-900" w:type="dxa"/>
        <w:tblLook w:val="04A0" w:firstRow="1" w:lastRow="0" w:firstColumn="1" w:lastColumn="0" w:noHBand="0" w:noVBand="1"/>
      </w:tblPr>
      <w:tblGrid>
        <w:gridCol w:w="1458"/>
        <w:gridCol w:w="1620"/>
        <w:gridCol w:w="1530"/>
        <w:gridCol w:w="1710"/>
        <w:gridCol w:w="1710"/>
        <w:gridCol w:w="1620"/>
        <w:gridCol w:w="1440"/>
      </w:tblGrid>
      <w:tr w:rsidR="00986B4A" w:rsidRPr="00B61FF1" w14:paraId="0121FD32" w14:textId="77777777" w:rsidTr="00F942D8">
        <w:trPr>
          <w:trHeight w:val="313"/>
        </w:trPr>
        <w:tc>
          <w:tcPr>
            <w:tcW w:w="1458" w:type="dxa"/>
          </w:tcPr>
          <w:p w14:paraId="6B635CBD" w14:textId="77777777" w:rsidR="00986B4A" w:rsidRPr="00B61FF1" w:rsidRDefault="00986B4A" w:rsidP="00F942D8">
            <w:pPr>
              <w:rPr>
                <w:u w:val="single"/>
              </w:rPr>
            </w:pPr>
          </w:p>
        </w:tc>
        <w:tc>
          <w:tcPr>
            <w:tcW w:w="1620" w:type="dxa"/>
          </w:tcPr>
          <w:p w14:paraId="5DE9BE1D" w14:textId="77777777" w:rsidR="00986B4A" w:rsidRPr="00B61FF1" w:rsidRDefault="00986B4A" w:rsidP="00F942D8">
            <w:pPr>
              <w:rPr>
                <w:b/>
                <w:u w:val="single"/>
              </w:rPr>
            </w:pPr>
            <w:r w:rsidRPr="00B61FF1">
              <w:rPr>
                <w:b/>
                <w:u w:val="single"/>
              </w:rPr>
              <w:t>2015</w:t>
            </w:r>
          </w:p>
        </w:tc>
        <w:tc>
          <w:tcPr>
            <w:tcW w:w="1530" w:type="dxa"/>
          </w:tcPr>
          <w:p w14:paraId="6B2F3753" w14:textId="77777777" w:rsidR="00986B4A" w:rsidRPr="00B61FF1" w:rsidRDefault="00986B4A" w:rsidP="00F942D8">
            <w:pPr>
              <w:rPr>
                <w:b/>
                <w:u w:val="single"/>
              </w:rPr>
            </w:pPr>
            <w:r w:rsidRPr="00B61FF1">
              <w:rPr>
                <w:b/>
                <w:u w:val="single"/>
              </w:rPr>
              <w:t>2016</w:t>
            </w:r>
          </w:p>
        </w:tc>
        <w:tc>
          <w:tcPr>
            <w:tcW w:w="1710" w:type="dxa"/>
          </w:tcPr>
          <w:p w14:paraId="0D6A4E5C" w14:textId="77777777" w:rsidR="00986B4A" w:rsidRPr="00B61FF1" w:rsidRDefault="00986B4A" w:rsidP="00F942D8">
            <w:pPr>
              <w:rPr>
                <w:b/>
                <w:u w:val="single"/>
              </w:rPr>
            </w:pPr>
            <w:r w:rsidRPr="00B61FF1">
              <w:rPr>
                <w:b/>
                <w:u w:val="single"/>
              </w:rPr>
              <w:t>2017</w:t>
            </w:r>
          </w:p>
        </w:tc>
        <w:tc>
          <w:tcPr>
            <w:tcW w:w="1710" w:type="dxa"/>
          </w:tcPr>
          <w:p w14:paraId="424CE5C8" w14:textId="77777777" w:rsidR="00986B4A" w:rsidRPr="00B61FF1" w:rsidRDefault="00986B4A" w:rsidP="00F942D8">
            <w:pPr>
              <w:rPr>
                <w:b/>
                <w:u w:val="single"/>
              </w:rPr>
            </w:pPr>
            <w:r w:rsidRPr="00B61FF1">
              <w:rPr>
                <w:b/>
                <w:u w:val="single"/>
              </w:rPr>
              <w:t>2018</w:t>
            </w:r>
          </w:p>
        </w:tc>
        <w:tc>
          <w:tcPr>
            <w:tcW w:w="1620" w:type="dxa"/>
          </w:tcPr>
          <w:p w14:paraId="1B17F2A4" w14:textId="77777777" w:rsidR="00986B4A" w:rsidRPr="00B61FF1" w:rsidRDefault="00986B4A" w:rsidP="00F942D8">
            <w:pPr>
              <w:rPr>
                <w:b/>
                <w:u w:val="single"/>
              </w:rPr>
            </w:pPr>
            <w:r w:rsidRPr="00B61FF1">
              <w:rPr>
                <w:b/>
                <w:u w:val="single"/>
              </w:rPr>
              <w:t>2019</w:t>
            </w:r>
          </w:p>
        </w:tc>
        <w:tc>
          <w:tcPr>
            <w:tcW w:w="1440" w:type="dxa"/>
          </w:tcPr>
          <w:p w14:paraId="00C42DE9" w14:textId="77777777" w:rsidR="00986B4A" w:rsidRPr="00B61FF1" w:rsidRDefault="00986B4A" w:rsidP="00F942D8">
            <w:pPr>
              <w:rPr>
                <w:b/>
                <w:u w:val="single"/>
              </w:rPr>
            </w:pPr>
            <w:r w:rsidRPr="00B61FF1">
              <w:rPr>
                <w:b/>
                <w:u w:val="single"/>
              </w:rPr>
              <w:t>2020</w:t>
            </w:r>
          </w:p>
        </w:tc>
      </w:tr>
      <w:tr w:rsidR="00986B4A" w:rsidRPr="00B61FF1" w14:paraId="39DD052C" w14:textId="77777777" w:rsidTr="00F942D8">
        <w:trPr>
          <w:trHeight w:val="296"/>
        </w:trPr>
        <w:tc>
          <w:tcPr>
            <w:tcW w:w="1458" w:type="dxa"/>
          </w:tcPr>
          <w:p w14:paraId="0FFB0776" w14:textId="77777777" w:rsidR="00986B4A" w:rsidRPr="00B61FF1" w:rsidRDefault="00986B4A" w:rsidP="00F942D8">
            <w:pPr>
              <w:rPr>
                <w:u w:val="single"/>
              </w:rPr>
            </w:pPr>
            <w:r w:rsidRPr="00B61FF1">
              <w:rPr>
                <w:u w:val="single"/>
              </w:rPr>
              <w:t>Q1 Auction</w:t>
            </w:r>
          </w:p>
        </w:tc>
        <w:tc>
          <w:tcPr>
            <w:tcW w:w="1620" w:type="dxa"/>
          </w:tcPr>
          <w:p w14:paraId="2C5A03DC" w14:textId="77777777" w:rsidR="00986B4A" w:rsidRPr="00B61FF1" w:rsidRDefault="00986B4A" w:rsidP="00F942D8">
            <w:pPr>
              <w:rPr>
                <w:u w:val="single"/>
              </w:rPr>
            </w:pPr>
            <w:r w:rsidRPr="00B61FF1">
              <w:rPr>
                <w:u w:val="single"/>
              </w:rPr>
              <w:t>Wednesday, February 18</w:t>
            </w:r>
          </w:p>
        </w:tc>
        <w:tc>
          <w:tcPr>
            <w:tcW w:w="1530" w:type="dxa"/>
          </w:tcPr>
          <w:p w14:paraId="1452CCC7" w14:textId="77777777" w:rsidR="00986B4A" w:rsidRPr="00B61FF1" w:rsidRDefault="00986B4A" w:rsidP="00F942D8">
            <w:pPr>
              <w:rPr>
                <w:u w:val="single"/>
              </w:rPr>
            </w:pPr>
            <w:r w:rsidRPr="00B61FF1">
              <w:rPr>
                <w:u w:val="single"/>
              </w:rPr>
              <w:t xml:space="preserve">Wednesday, </w:t>
            </w:r>
          </w:p>
          <w:p w14:paraId="4786B2D1" w14:textId="77777777" w:rsidR="00986B4A" w:rsidRPr="00B61FF1" w:rsidRDefault="00986B4A" w:rsidP="00F942D8">
            <w:pPr>
              <w:rPr>
                <w:u w:val="single"/>
              </w:rPr>
            </w:pPr>
            <w:r w:rsidRPr="00B61FF1">
              <w:rPr>
                <w:u w:val="single"/>
              </w:rPr>
              <w:t>February 17</w:t>
            </w:r>
          </w:p>
        </w:tc>
        <w:tc>
          <w:tcPr>
            <w:tcW w:w="1710" w:type="dxa"/>
          </w:tcPr>
          <w:p w14:paraId="1586C6D2" w14:textId="77777777" w:rsidR="00986B4A" w:rsidRPr="00B61FF1" w:rsidRDefault="00986B4A" w:rsidP="00F942D8">
            <w:pPr>
              <w:rPr>
                <w:u w:val="single"/>
              </w:rPr>
            </w:pPr>
            <w:r w:rsidRPr="00B61FF1">
              <w:rPr>
                <w:u w:val="single"/>
              </w:rPr>
              <w:t xml:space="preserve">Wednesday, </w:t>
            </w:r>
          </w:p>
          <w:p w14:paraId="6E861BA3" w14:textId="77777777" w:rsidR="00986B4A" w:rsidRPr="00B61FF1" w:rsidRDefault="00986B4A" w:rsidP="00F942D8">
            <w:pPr>
              <w:rPr>
                <w:u w:val="single"/>
              </w:rPr>
            </w:pPr>
            <w:r w:rsidRPr="00B61FF1">
              <w:rPr>
                <w:u w:val="single"/>
              </w:rPr>
              <w:t>February 22</w:t>
            </w:r>
          </w:p>
        </w:tc>
        <w:tc>
          <w:tcPr>
            <w:tcW w:w="1710" w:type="dxa"/>
          </w:tcPr>
          <w:p w14:paraId="29DF22A5" w14:textId="77777777" w:rsidR="00986B4A" w:rsidRPr="00B61FF1" w:rsidRDefault="00986B4A" w:rsidP="00F942D8">
            <w:pPr>
              <w:rPr>
                <w:u w:val="single"/>
              </w:rPr>
            </w:pPr>
            <w:r w:rsidRPr="00B61FF1">
              <w:rPr>
                <w:u w:val="single"/>
              </w:rPr>
              <w:t>Wednesday,</w:t>
            </w:r>
          </w:p>
          <w:p w14:paraId="7040D31A" w14:textId="77777777" w:rsidR="00986B4A" w:rsidRPr="00B61FF1" w:rsidRDefault="00986B4A" w:rsidP="00F942D8">
            <w:pPr>
              <w:rPr>
                <w:u w:val="single"/>
              </w:rPr>
            </w:pPr>
            <w:r w:rsidRPr="00B61FF1">
              <w:rPr>
                <w:u w:val="single"/>
              </w:rPr>
              <w:t>February 21</w:t>
            </w:r>
          </w:p>
        </w:tc>
        <w:tc>
          <w:tcPr>
            <w:tcW w:w="1620" w:type="dxa"/>
          </w:tcPr>
          <w:p w14:paraId="01EF915F" w14:textId="77777777" w:rsidR="00986B4A" w:rsidRPr="00B61FF1" w:rsidRDefault="00986B4A" w:rsidP="00F942D8">
            <w:pPr>
              <w:rPr>
                <w:u w:val="single"/>
              </w:rPr>
            </w:pPr>
            <w:r w:rsidRPr="00B61FF1">
              <w:rPr>
                <w:u w:val="single"/>
              </w:rPr>
              <w:t xml:space="preserve">Wednesday, </w:t>
            </w:r>
          </w:p>
          <w:p w14:paraId="5EA8A5FA" w14:textId="77777777" w:rsidR="00986B4A" w:rsidRPr="00B61FF1" w:rsidRDefault="00986B4A" w:rsidP="00F942D8">
            <w:pPr>
              <w:rPr>
                <w:u w:val="single"/>
              </w:rPr>
            </w:pPr>
            <w:r w:rsidRPr="00B61FF1">
              <w:rPr>
                <w:u w:val="single"/>
              </w:rPr>
              <w:t>February 20</w:t>
            </w:r>
          </w:p>
        </w:tc>
        <w:tc>
          <w:tcPr>
            <w:tcW w:w="1440" w:type="dxa"/>
          </w:tcPr>
          <w:p w14:paraId="06F45812" w14:textId="77777777" w:rsidR="00986B4A" w:rsidRPr="00B61FF1" w:rsidRDefault="00986B4A" w:rsidP="00F942D8">
            <w:pPr>
              <w:rPr>
                <w:u w:val="single"/>
              </w:rPr>
            </w:pPr>
            <w:r w:rsidRPr="00B61FF1">
              <w:rPr>
                <w:u w:val="single"/>
              </w:rPr>
              <w:t>Wednesday,</w:t>
            </w:r>
          </w:p>
          <w:p w14:paraId="66E35266" w14:textId="77777777" w:rsidR="00986B4A" w:rsidRPr="00B61FF1" w:rsidRDefault="00986B4A" w:rsidP="00F942D8">
            <w:pPr>
              <w:rPr>
                <w:u w:val="single"/>
              </w:rPr>
            </w:pPr>
            <w:r w:rsidRPr="00B61FF1">
              <w:rPr>
                <w:u w:val="single"/>
              </w:rPr>
              <w:t>February 19</w:t>
            </w:r>
          </w:p>
        </w:tc>
      </w:tr>
      <w:tr w:rsidR="00986B4A" w:rsidRPr="00B61FF1" w14:paraId="13DFE60C" w14:textId="77777777" w:rsidTr="00F942D8">
        <w:trPr>
          <w:trHeight w:val="313"/>
        </w:trPr>
        <w:tc>
          <w:tcPr>
            <w:tcW w:w="1458" w:type="dxa"/>
          </w:tcPr>
          <w:p w14:paraId="6F1C34F6" w14:textId="77777777" w:rsidR="00986B4A" w:rsidRPr="00B61FF1" w:rsidRDefault="00986B4A" w:rsidP="00F942D8">
            <w:pPr>
              <w:rPr>
                <w:u w:val="single"/>
              </w:rPr>
            </w:pPr>
            <w:r w:rsidRPr="00B61FF1">
              <w:rPr>
                <w:u w:val="single"/>
              </w:rPr>
              <w:t>Q1 Reserve Sale</w:t>
            </w:r>
          </w:p>
        </w:tc>
        <w:tc>
          <w:tcPr>
            <w:tcW w:w="1620" w:type="dxa"/>
          </w:tcPr>
          <w:p w14:paraId="735C71CF" w14:textId="77777777" w:rsidR="006F49D8" w:rsidRPr="00B61FF1" w:rsidRDefault="006F49D8" w:rsidP="00F942D8">
            <w:pPr>
              <w:rPr>
                <w:u w:val="single"/>
              </w:rPr>
            </w:pPr>
            <w:r w:rsidRPr="00B61FF1">
              <w:rPr>
                <w:u w:val="single"/>
              </w:rPr>
              <w:t xml:space="preserve">Wednesday, </w:t>
            </w:r>
          </w:p>
          <w:p w14:paraId="2828A240" w14:textId="3C86FABA" w:rsidR="00986B4A" w:rsidRPr="00B61FF1" w:rsidRDefault="006F49D8" w:rsidP="00F942D8">
            <w:pPr>
              <w:rPr>
                <w:u w:val="single"/>
              </w:rPr>
            </w:pPr>
            <w:r w:rsidRPr="00B61FF1">
              <w:rPr>
                <w:u w:val="single"/>
              </w:rPr>
              <w:t>April 1</w:t>
            </w:r>
          </w:p>
        </w:tc>
        <w:tc>
          <w:tcPr>
            <w:tcW w:w="1530" w:type="dxa"/>
          </w:tcPr>
          <w:p w14:paraId="39E545D8" w14:textId="77777777" w:rsidR="00986B4A" w:rsidRPr="00B61FF1" w:rsidRDefault="00986B4A" w:rsidP="00F942D8">
            <w:pPr>
              <w:rPr>
                <w:u w:val="single"/>
              </w:rPr>
            </w:pPr>
            <w:r w:rsidRPr="00B61FF1">
              <w:rPr>
                <w:u w:val="single"/>
              </w:rPr>
              <w:t xml:space="preserve">Tuesday, </w:t>
            </w:r>
          </w:p>
          <w:p w14:paraId="2BB54C15" w14:textId="77777777" w:rsidR="00986B4A" w:rsidRPr="00B61FF1" w:rsidRDefault="00986B4A" w:rsidP="00F942D8">
            <w:pPr>
              <w:rPr>
                <w:u w:val="single"/>
              </w:rPr>
            </w:pPr>
            <w:r w:rsidRPr="00B61FF1">
              <w:rPr>
                <w:u w:val="single"/>
              </w:rPr>
              <w:t>March 29</w:t>
            </w:r>
          </w:p>
        </w:tc>
        <w:tc>
          <w:tcPr>
            <w:tcW w:w="1710" w:type="dxa"/>
          </w:tcPr>
          <w:p w14:paraId="65348896" w14:textId="77777777" w:rsidR="00986B4A" w:rsidRPr="00B61FF1" w:rsidRDefault="00986B4A" w:rsidP="00F942D8">
            <w:pPr>
              <w:rPr>
                <w:u w:val="single"/>
              </w:rPr>
            </w:pPr>
            <w:r w:rsidRPr="00B61FF1">
              <w:rPr>
                <w:u w:val="single"/>
              </w:rPr>
              <w:t xml:space="preserve">Tuesday, </w:t>
            </w:r>
          </w:p>
          <w:p w14:paraId="2B68BCDB" w14:textId="77777777" w:rsidR="00986B4A" w:rsidRPr="00B61FF1" w:rsidRDefault="00986B4A" w:rsidP="00F942D8">
            <w:pPr>
              <w:rPr>
                <w:u w:val="single"/>
              </w:rPr>
            </w:pPr>
            <w:r w:rsidRPr="00B61FF1">
              <w:rPr>
                <w:u w:val="single"/>
              </w:rPr>
              <w:t>April 4</w:t>
            </w:r>
          </w:p>
        </w:tc>
        <w:tc>
          <w:tcPr>
            <w:tcW w:w="1710" w:type="dxa"/>
          </w:tcPr>
          <w:p w14:paraId="6C21F9A5" w14:textId="77777777" w:rsidR="00986B4A" w:rsidRPr="00B61FF1" w:rsidRDefault="00986B4A" w:rsidP="00F942D8">
            <w:pPr>
              <w:rPr>
                <w:u w:val="single"/>
              </w:rPr>
            </w:pPr>
            <w:r w:rsidRPr="00B61FF1">
              <w:rPr>
                <w:u w:val="single"/>
              </w:rPr>
              <w:t xml:space="preserve">Tuesday, </w:t>
            </w:r>
          </w:p>
          <w:p w14:paraId="6E7311D8" w14:textId="77777777" w:rsidR="00986B4A" w:rsidRPr="00B61FF1" w:rsidRDefault="00986B4A" w:rsidP="00F942D8">
            <w:pPr>
              <w:rPr>
                <w:u w:val="single"/>
              </w:rPr>
            </w:pPr>
            <w:r w:rsidRPr="00B61FF1">
              <w:rPr>
                <w:u w:val="single"/>
              </w:rPr>
              <w:t>April 3</w:t>
            </w:r>
          </w:p>
        </w:tc>
        <w:tc>
          <w:tcPr>
            <w:tcW w:w="1620" w:type="dxa"/>
          </w:tcPr>
          <w:p w14:paraId="4F8082AE" w14:textId="77777777" w:rsidR="00986B4A" w:rsidRPr="00B61FF1" w:rsidRDefault="00986B4A" w:rsidP="00F942D8">
            <w:pPr>
              <w:rPr>
                <w:u w:val="single"/>
              </w:rPr>
            </w:pPr>
            <w:r w:rsidRPr="00B61FF1">
              <w:rPr>
                <w:u w:val="single"/>
              </w:rPr>
              <w:t xml:space="preserve">Tuesday, </w:t>
            </w:r>
          </w:p>
          <w:p w14:paraId="102226C1" w14:textId="77777777" w:rsidR="00986B4A" w:rsidRPr="00B61FF1" w:rsidRDefault="00986B4A" w:rsidP="00F942D8">
            <w:pPr>
              <w:rPr>
                <w:u w:val="single"/>
              </w:rPr>
            </w:pPr>
            <w:r w:rsidRPr="00B61FF1">
              <w:rPr>
                <w:u w:val="single"/>
              </w:rPr>
              <w:t>April 2</w:t>
            </w:r>
          </w:p>
        </w:tc>
        <w:tc>
          <w:tcPr>
            <w:tcW w:w="1440" w:type="dxa"/>
          </w:tcPr>
          <w:p w14:paraId="214D7409" w14:textId="77777777" w:rsidR="006F49D8" w:rsidRPr="00B61FF1" w:rsidRDefault="006F49D8" w:rsidP="00F942D8">
            <w:pPr>
              <w:rPr>
                <w:u w:val="single"/>
              </w:rPr>
            </w:pPr>
            <w:r w:rsidRPr="00B61FF1">
              <w:rPr>
                <w:u w:val="single"/>
              </w:rPr>
              <w:t xml:space="preserve">Wednesday, </w:t>
            </w:r>
          </w:p>
          <w:p w14:paraId="62132784" w14:textId="3369352B" w:rsidR="00986B4A" w:rsidRPr="00B61FF1" w:rsidRDefault="006F49D8" w:rsidP="00F942D8">
            <w:pPr>
              <w:rPr>
                <w:u w:val="single"/>
              </w:rPr>
            </w:pPr>
            <w:r w:rsidRPr="00B61FF1">
              <w:rPr>
                <w:u w:val="single"/>
              </w:rPr>
              <w:t>April 1</w:t>
            </w:r>
          </w:p>
        </w:tc>
      </w:tr>
      <w:tr w:rsidR="00986B4A" w:rsidRPr="00B61FF1" w14:paraId="6E288B4F" w14:textId="77777777" w:rsidTr="00F942D8">
        <w:trPr>
          <w:trHeight w:val="296"/>
        </w:trPr>
        <w:tc>
          <w:tcPr>
            <w:tcW w:w="1458" w:type="dxa"/>
          </w:tcPr>
          <w:p w14:paraId="0F890DD7" w14:textId="77777777" w:rsidR="00986B4A" w:rsidRPr="00B61FF1" w:rsidRDefault="00986B4A" w:rsidP="00F942D8">
            <w:pPr>
              <w:rPr>
                <w:u w:val="single"/>
              </w:rPr>
            </w:pPr>
            <w:r w:rsidRPr="00B61FF1">
              <w:rPr>
                <w:u w:val="single"/>
              </w:rPr>
              <w:t>Q2 Auction</w:t>
            </w:r>
          </w:p>
        </w:tc>
        <w:tc>
          <w:tcPr>
            <w:tcW w:w="1620" w:type="dxa"/>
          </w:tcPr>
          <w:p w14:paraId="17E49C6B" w14:textId="77777777" w:rsidR="00986B4A" w:rsidRPr="00B61FF1" w:rsidRDefault="00986B4A" w:rsidP="00F942D8">
            <w:pPr>
              <w:rPr>
                <w:u w:val="single"/>
              </w:rPr>
            </w:pPr>
            <w:r w:rsidRPr="00B61FF1">
              <w:rPr>
                <w:u w:val="single"/>
              </w:rPr>
              <w:t xml:space="preserve">Tuesday, </w:t>
            </w:r>
          </w:p>
          <w:p w14:paraId="385167E6" w14:textId="77777777" w:rsidR="00986B4A" w:rsidRPr="00B61FF1" w:rsidRDefault="00986B4A" w:rsidP="00F942D8">
            <w:pPr>
              <w:rPr>
                <w:u w:val="single"/>
              </w:rPr>
            </w:pPr>
            <w:r w:rsidRPr="00B61FF1">
              <w:rPr>
                <w:u w:val="single"/>
              </w:rPr>
              <w:t>May 19</w:t>
            </w:r>
          </w:p>
        </w:tc>
        <w:tc>
          <w:tcPr>
            <w:tcW w:w="1530" w:type="dxa"/>
          </w:tcPr>
          <w:p w14:paraId="260BB0C8" w14:textId="77777777" w:rsidR="00986B4A" w:rsidRPr="00B61FF1" w:rsidRDefault="00986B4A" w:rsidP="00F942D8">
            <w:pPr>
              <w:rPr>
                <w:u w:val="single"/>
              </w:rPr>
            </w:pPr>
            <w:r w:rsidRPr="00B61FF1">
              <w:rPr>
                <w:u w:val="single"/>
              </w:rPr>
              <w:t xml:space="preserve">Tuesday, </w:t>
            </w:r>
          </w:p>
          <w:p w14:paraId="2989B469" w14:textId="77777777" w:rsidR="00986B4A" w:rsidRPr="00B61FF1" w:rsidRDefault="00986B4A" w:rsidP="00F942D8">
            <w:pPr>
              <w:rPr>
                <w:u w:val="single"/>
              </w:rPr>
            </w:pPr>
            <w:r w:rsidRPr="00B61FF1">
              <w:rPr>
                <w:u w:val="single"/>
              </w:rPr>
              <w:t>May 17</w:t>
            </w:r>
          </w:p>
        </w:tc>
        <w:tc>
          <w:tcPr>
            <w:tcW w:w="1710" w:type="dxa"/>
          </w:tcPr>
          <w:p w14:paraId="22DAEC20" w14:textId="77777777" w:rsidR="00986B4A" w:rsidRPr="00B61FF1" w:rsidRDefault="00986B4A" w:rsidP="00F942D8">
            <w:pPr>
              <w:rPr>
                <w:u w:val="single"/>
              </w:rPr>
            </w:pPr>
            <w:r w:rsidRPr="00B61FF1">
              <w:rPr>
                <w:u w:val="single"/>
              </w:rPr>
              <w:t xml:space="preserve">Tuesday, </w:t>
            </w:r>
          </w:p>
          <w:p w14:paraId="43A14225" w14:textId="77777777" w:rsidR="00986B4A" w:rsidRPr="00B61FF1" w:rsidRDefault="00986B4A" w:rsidP="00F942D8">
            <w:pPr>
              <w:rPr>
                <w:u w:val="single"/>
              </w:rPr>
            </w:pPr>
            <w:r w:rsidRPr="00B61FF1">
              <w:rPr>
                <w:u w:val="single"/>
              </w:rPr>
              <w:t>May 16</w:t>
            </w:r>
          </w:p>
        </w:tc>
        <w:tc>
          <w:tcPr>
            <w:tcW w:w="1710" w:type="dxa"/>
          </w:tcPr>
          <w:p w14:paraId="1C7359F7" w14:textId="77777777" w:rsidR="00986B4A" w:rsidRPr="00B61FF1" w:rsidRDefault="00986B4A" w:rsidP="00F942D8">
            <w:pPr>
              <w:rPr>
                <w:u w:val="single"/>
              </w:rPr>
            </w:pPr>
            <w:r w:rsidRPr="00B61FF1">
              <w:rPr>
                <w:u w:val="single"/>
              </w:rPr>
              <w:t xml:space="preserve">Tuesday, </w:t>
            </w:r>
          </w:p>
          <w:p w14:paraId="104F0803" w14:textId="77777777" w:rsidR="00986B4A" w:rsidRPr="00B61FF1" w:rsidRDefault="00986B4A" w:rsidP="00F942D8">
            <w:pPr>
              <w:rPr>
                <w:u w:val="single"/>
              </w:rPr>
            </w:pPr>
            <w:r w:rsidRPr="00B61FF1">
              <w:rPr>
                <w:u w:val="single"/>
              </w:rPr>
              <w:t>May 15</w:t>
            </w:r>
          </w:p>
        </w:tc>
        <w:tc>
          <w:tcPr>
            <w:tcW w:w="1620" w:type="dxa"/>
          </w:tcPr>
          <w:p w14:paraId="42F3262B" w14:textId="77777777" w:rsidR="00986B4A" w:rsidRPr="00B61FF1" w:rsidRDefault="00986B4A" w:rsidP="00F942D8">
            <w:pPr>
              <w:rPr>
                <w:u w:val="single"/>
              </w:rPr>
            </w:pPr>
            <w:r w:rsidRPr="00B61FF1">
              <w:rPr>
                <w:u w:val="single"/>
              </w:rPr>
              <w:t xml:space="preserve">Tuesday, </w:t>
            </w:r>
          </w:p>
          <w:p w14:paraId="050C199D" w14:textId="77777777" w:rsidR="00986B4A" w:rsidRPr="00B61FF1" w:rsidRDefault="00986B4A" w:rsidP="00F942D8">
            <w:pPr>
              <w:rPr>
                <w:u w:val="single"/>
              </w:rPr>
            </w:pPr>
            <w:r w:rsidRPr="00B61FF1">
              <w:rPr>
                <w:u w:val="single"/>
              </w:rPr>
              <w:t>May 14</w:t>
            </w:r>
          </w:p>
        </w:tc>
        <w:tc>
          <w:tcPr>
            <w:tcW w:w="1440" w:type="dxa"/>
          </w:tcPr>
          <w:p w14:paraId="3C3F5548" w14:textId="77777777" w:rsidR="00986B4A" w:rsidRPr="00B61FF1" w:rsidRDefault="00986B4A" w:rsidP="00F942D8">
            <w:pPr>
              <w:rPr>
                <w:u w:val="single"/>
              </w:rPr>
            </w:pPr>
            <w:r w:rsidRPr="00B61FF1">
              <w:rPr>
                <w:u w:val="single"/>
              </w:rPr>
              <w:t xml:space="preserve">Tuesday,  </w:t>
            </w:r>
          </w:p>
          <w:p w14:paraId="64B77C4D" w14:textId="77777777" w:rsidR="00986B4A" w:rsidRPr="00B61FF1" w:rsidRDefault="00986B4A" w:rsidP="00F942D8">
            <w:pPr>
              <w:rPr>
                <w:u w:val="single"/>
              </w:rPr>
            </w:pPr>
            <w:r w:rsidRPr="00B61FF1">
              <w:rPr>
                <w:u w:val="single"/>
              </w:rPr>
              <w:t>May 19</w:t>
            </w:r>
          </w:p>
        </w:tc>
      </w:tr>
      <w:tr w:rsidR="00986B4A" w:rsidRPr="00B61FF1" w14:paraId="5B7D1788" w14:textId="77777777" w:rsidTr="00F942D8">
        <w:trPr>
          <w:trHeight w:val="313"/>
        </w:trPr>
        <w:tc>
          <w:tcPr>
            <w:tcW w:w="1458" w:type="dxa"/>
          </w:tcPr>
          <w:p w14:paraId="247540C6" w14:textId="77777777" w:rsidR="00986B4A" w:rsidRPr="00B61FF1" w:rsidRDefault="00986B4A" w:rsidP="00F942D8">
            <w:pPr>
              <w:rPr>
                <w:u w:val="single"/>
              </w:rPr>
            </w:pPr>
            <w:r w:rsidRPr="00B61FF1">
              <w:rPr>
                <w:u w:val="single"/>
              </w:rPr>
              <w:t>Q2 Reserve Sale</w:t>
            </w:r>
          </w:p>
        </w:tc>
        <w:tc>
          <w:tcPr>
            <w:tcW w:w="1620" w:type="dxa"/>
          </w:tcPr>
          <w:p w14:paraId="4142B523" w14:textId="77777777" w:rsidR="00986B4A" w:rsidRPr="00B61FF1" w:rsidRDefault="00986B4A" w:rsidP="00F942D8">
            <w:pPr>
              <w:rPr>
                <w:u w:val="single"/>
              </w:rPr>
            </w:pPr>
            <w:r w:rsidRPr="00B61FF1">
              <w:rPr>
                <w:u w:val="single"/>
              </w:rPr>
              <w:t xml:space="preserve">Tuesday, </w:t>
            </w:r>
          </w:p>
          <w:p w14:paraId="372BC4F3" w14:textId="77777777" w:rsidR="00986B4A" w:rsidRPr="00B61FF1" w:rsidRDefault="00986B4A" w:rsidP="00F942D8">
            <w:pPr>
              <w:rPr>
                <w:u w:val="single"/>
              </w:rPr>
            </w:pPr>
            <w:r w:rsidRPr="00B61FF1">
              <w:rPr>
                <w:u w:val="single"/>
              </w:rPr>
              <w:t>June 30</w:t>
            </w:r>
          </w:p>
        </w:tc>
        <w:tc>
          <w:tcPr>
            <w:tcW w:w="1530" w:type="dxa"/>
          </w:tcPr>
          <w:p w14:paraId="252F71D3" w14:textId="77777777" w:rsidR="00986B4A" w:rsidRPr="00B61FF1" w:rsidRDefault="00986B4A" w:rsidP="00F942D8">
            <w:pPr>
              <w:rPr>
                <w:u w:val="single"/>
              </w:rPr>
            </w:pPr>
            <w:r w:rsidRPr="00B61FF1">
              <w:rPr>
                <w:u w:val="single"/>
              </w:rPr>
              <w:t xml:space="preserve">Tuesday, </w:t>
            </w:r>
          </w:p>
          <w:p w14:paraId="282E736F" w14:textId="77777777" w:rsidR="00986B4A" w:rsidRPr="00B61FF1" w:rsidRDefault="00986B4A" w:rsidP="00F942D8">
            <w:pPr>
              <w:rPr>
                <w:u w:val="single"/>
              </w:rPr>
            </w:pPr>
            <w:r w:rsidRPr="00B61FF1">
              <w:rPr>
                <w:u w:val="single"/>
              </w:rPr>
              <w:t>June 28</w:t>
            </w:r>
          </w:p>
        </w:tc>
        <w:tc>
          <w:tcPr>
            <w:tcW w:w="1710" w:type="dxa"/>
          </w:tcPr>
          <w:p w14:paraId="190F439E" w14:textId="77777777" w:rsidR="00986B4A" w:rsidRPr="00B61FF1" w:rsidRDefault="00986B4A" w:rsidP="00F942D8">
            <w:pPr>
              <w:rPr>
                <w:u w:val="single"/>
              </w:rPr>
            </w:pPr>
            <w:r w:rsidRPr="00B61FF1">
              <w:rPr>
                <w:u w:val="single"/>
              </w:rPr>
              <w:t xml:space="preserve">Tuesday, </w:t>
            </w:r>
          </w:p>
          <w:p w14:paraId="79A1B327" w14:textId="77777777" w:rsidR="00986B4A" w:rsidRPr="00B61FF1" w:rsidRDefault="00986B4A" w:rsidP="00F942D8">
            <w:pPr>
              <w:rPr>
                <w:u w:val="single"/>
              </w:rPr>
            </w:pPr>
            <w:r w:rsidRPr="00B61FF1">
              <w:rPr>
                <w:u w:val="single"/>
              </w:rPr>
              <w:t>June 27</w:t>
            </w:r>
          </w:p>
        </w:tc>
        <w:tc>
          <w:tcPr>
            <w:tcW w:w="1710" w:type="dxa"/>
          </w:tcPr>
          <w:p w14:paraId="4B62C632" w14:textId="77777777" w:rsidR="00986B4A" w:rsidRPr="00B61FF1" w:rsidRDefault="00986B4A" w:rsidP="00F942D8">
            <w:pPr>
              <w:rPr>
                <w:u w:val="single"/>
              </w:rPr>
            </w:pPr>
            <w:r w:rsidRPr="00B61FF1">
              <w:rPr>
                <w:u w:val="single"/>
              </w:rPr>
              <w:t xml:space="preserve">Tuesday, </w:t>
            </w:r>
          </w:p>
          <w:p w14:paraId="275A3CB7" w14:textId="77777777" w:rsidR="00986B4A" w:rsidRPr="00B61FF1" w:rsidRDefault="00986B4A" w:rsidP="00F942D8">
            <w:pPr>
              <w:rPr>
                <w:u w:val="single"/>
              </w:rPr>
            </w:pPr>
            <w:r w:rsidRPr="00B61FF1">
              <w:rPr>
                <w:u w:val="single"/>
              </w:rPr>
              <w:t>June 26</w:t>
            </w:r>
          </w:p>
        </w:tc>
        <w:tc>
          <w:tcPr>
            <w:tcW w:w="1620" w:type="dxa"/>
          </w:tcPr>
          <w:p w14:paraId="4BD7F612" w14:textId="77777777" w:rsidR="00986B4A" w:rsidRPr="00B61FF1" w:rsidRDefault="00986B4A" w:rsidP="00F942D8">
            <w:pPr>
              <w:rPr>
                <w:u w:val="single"/>
              </w:rPr>
            </w:pPr>
            <w:r w:rsidRPr="00B61FF1">
              <w:rPr>
                <w:u w:val="single"/>
              </w:rPr>
              <w:t xml:space="preserve">Tuesday, </w:t>
            </w:r>
          </w:p>
          <w:p w14:paraId="3707F638" w14:textId="77777777" w:rsidR="00986B4A" w:rsidRPr="00B61FF1" w:rsidRDefault="00986B4A" w:rsidP="00F942D8">
            <w:pPr>
              <w:rPr>
                <w:u w:val="single"/>
              </w:rPr>
            </w:pPr>
            <w:r w:rsidRPr="00B61FF1">
              <w:rPr>
                <w:u w:val="single"/>
              </w:rPr>
              <w:t>June 25</w:t>
            </w:r>
          </w:p>
        </w:tc>
        <w:tc>
          <w:tcPr>
            <w:tcW w:w="1440" w:type="dxa"/>
          </w:tcPr>
          <w:p w14:paraId="477D887A" w14:textId="77777777" w:rsidR="00986B4A" w:rsidRPr="00B61FF1" w:rsidRDefault="00986B4A" w:rsidP="00F942D8">
            <w:pPr>
              <w:rPr>
                <w:u w:val="single"/>
              </w:rPr>
            </w:pPr>
            <w:r w:rsidRPr="00B61FF1">
              <w:rPr>
                <w:u w:val="single"/>
              </w:rPr>
              <w:t xml:space="preserve">Tuesday, </w:t>
            </w:r>
          </w:p>
          <w:p w14:paraId="35E98AC2" w14:textId="77777777" w:rsidR="00986B4A" w:rsidRPr="00B61FF1" w:rsidRDefault="00986B4A" w:rsidP="00F942D8">
            <w:pPr>
              <w:rPr>
                <w:u w:val="single"/>
              </w:rPr>
            </w:pPr>
            <w:r w:rsidRPr="00B61FF1">
              <w:rPr>
                <w:u w:val="single"/>
              </w:rPr>
              <w:t>June 30</w:t>
            </w:r>
          </w:p>
        </w:tc>
      </w:tr>
      <w:tr w:rsidR="00986B4A" w:rsidRPr="00B61FF1" w14:paraId="698428F4" w14:textId="77777777" w:rsidTr="00F942D8">
        <w:trPr>
          <w:trHeight w:val="296"/>
        </w:trPr>
        <w:tc>
          <w:tcPr>
            <w:tcW w:w="1458" w:type="dxa"/>
          </w:tcPr>
          <w:p w14:paraId="68FC9B30" w14:textId="77777777" w:rsidR="00986B4A" w:rsidRPr="00B61FF1" w:rsidRDefault="00986B4A" w:rsidP="00F942D8">
            <w:pPr>
              <w:rPr>
                <w:u w:val="single"/>
              </w:rPr>
            </w:pPr>
            <w:r w:rsidRPr="00B61FF1">
              <w:rPr>
                <w:u w:val="single"/>
              </w:rPr>
              <w:t>Q3 Auction</w:t>
            </w:r>
          </w:p>
        </w:tc>
        <w:tc>
          <w:tcPr>
            <w:tcW w:w="1620" w:type="dxa"/>
          </w:tcPr>
          <w:p w14:paraId="3DDA7806" w14:textId="77777777" w:rsidR="00986B4A" w:rsidRPr="00B61FF1" w:rsidRDefault="00986B4A" w:rsidP="00F942D8">
            <w:pPr>
              <w:rPr>
                <w:u w:val="single"/>
              </w:rPr>
            </w:pPr>
            <w:r w:rsidRPr="00B61FF1">
              <w:rPr>
                <w:u w:val="single"/>
              </w:rPr>
              <w:t>Tuesday,</w:t>
            </w:r>
          </w:p>
          <w:p w14:paraId="013B5420" w14:textId="77777777" w:rsidR="00986B4A" w:rsidRPr="00B61FF1" w:rsidRDefault="00986B4A" w:rsidP="00F942D8">
            <w:pPr>
              <w:rPr>
                <w:u w:val="single"/>
              </w:rPr>
            </w:pPr>
            <w:r w:rsidRPr="00B61FF1">
              <w:rPr>
                <w:u w:val="single"/>
              </w:rPr>
              <w:t>August 18</w:t>
            </w:r>
          </w:p>
        </w:tc>
        <w:tc>
          <w:tcPr>
            <w:tcW w:w="1530" w:type="dxa"/>
          </w:tcPr>
          <w:p w14:paraId="5C171036" w14:textId="77777777" w:rsidR="00986B4A" w:rsidRPr="00B61FF1" w:rsidRDefault="00986B4A" w:rsidP="00F942D8">
            <w:pPr>
              <w:rPr>
                <w:u w:val="single"/>
              </w:rPr>
            </w:pPr>
            <w:r w:rsidRPr="00B61FF1">
              <w:rPr>
                <w:u w:val="single"/>
              </w:rPr>
              <w:t>Tuesday,</w:t>
            </w:r>
          </w:p>
          <w:p w14:paraId="7BD5D77C" w14:textId="77777777" w:rsidR="00986B4A" w:rsidRPr="00B61FF1" w:rsidRDefault="00986B4A" w:rsidP="00F942D8">
            <w:pPr>
              <w:rPr>
                <w:u w:val="single"/>
              </w:rPr>
            </w:pPr>
            <w:r w:rsidRPr="00B61FF1">
              <w:rPr>
                <w:u w:val="single"/>
              </w:rPr>
              <w:t>August 16</w:t>
            </w:r>
          </w:p>
        </w:tc>
        <w:tc>
          <w:tcPr>
            <w:tcW w:w="1710" w:type="dxa"/>
          </w:tcPr>
          <w:p w14:paraId="55B89C9E" w14:textId="77777777" w:rsidR="00986B4A" w:rsidRPr="00B61FF1" w:rsidRDefault="00986B4A" w:rsidP="00F942D8">
            <w:pPr>
              <w:rPr>
                <w:u w:val="single"/>
              </w:rPr>
            </w:pPr>
            <w:r w:rsidRPr="00B61FF1">
              <w:rPr>
                <w:u w:val="single"/>
              </w:rPr>
              <w:t xml:space="preserve">Tuesday, </w:t>
            </w:r>
          </w:p>
          <w:p w14:paraId="265D3AE2" w14:textId="77777777" w:rsidR="00986B4A" w:rsidRPr="00B61FF1" w:rsidRDefault="00986B4A" w:rsidP="00F942D8">
            <w:pPr>
              <w:rPr>
                <w:u w:val="single"/>
              </w:rPr>
            </w:pPr>
            <w:r w:rsidRPr="00B61FF1">
              <w:rPr>
                <w:u w:val="single"/>
              </w:rPr>
              <w:t>August 15</w:t>
            </w:r>
          </w:p>
        </w:tc>
        <w:tc>
          <w:tcPr>
            <w:tcW w:w="1710" w:type="dxa"/>
          </w:tcPr>
          <w:p w14:paraId="61A8AFA4" w14:textId="77777777" w:rsidR="00986B4A" w:rsidRPr="00B61FF1" w:rsidRDefault="00986B4A" w:rsidP="00F942D8">
            <w:pPr>
              <w:rPr>
                <w:u w:val="single"/>
              </w:rPr>
            </w:pPr>
            <w:r w:rsidRPr="00B61FF1">
              <w:rPr>
                <w:u w:val="single"/>
              </w:rPr>
              <w:t xml:space="preserve">Tuesday, </w:t>
            </w:r>
          </w:p>
          <w:p w14:paraId="1F67019E" w14:textId="77777777" w:rsidR="00986B4A" w:rsidRPr="00B61FF1" w:rsidRDefault="00986B4A" w:rsidP="00F942D8">
            <w:pPr>
              <w:rPr>
                <w:u w:val="single"/>
              </w:rPr>
            </w:pPr>
            <w:r w:rsidRPr="00B61FF1">
              <w:rPr>
                <w:u w:val="single"/>
              </w:rPr>
              <w:t>August 14</w:t>
            </w:r>
          </w:p>
        </w:tc>
        <w:tc>
          <w:tcPr>
            <w:tcW w:w="1620" w:type="dxa"/>
          </w:tcPr>
          <w:p w14:paraId="4DB5D879" w14:textId="77777777" w:rsidR="00986B4A" w:rsidRPr="00B61FF1" w:rsidRDefault="00986B4A" w:rsidP="00F942D8">
            <w:pPr>
              <w:rPr>
                <w:u w:val="single"/>
              </w:rPr>
            </w:pPr>
            <w:r w:rsidRPr="00B61FF1">
              <w:rPr>
                <w:u w:val="single"/>
              </w:rPr>
              <w:t>Tuesday, August 20</w:t>
            </w:r>
          </w:p>
        </w:tc>
        <w:tc>
          <w:tcPr>
            <w:tcW w:w="1440" w:type="dxa"/>
          </w:tcPr>
          <w:p w14:paraId="543E7E23" w14:textId="77777777" w:rsidR="00986B4A" w:rsidRPr="00B61FF1" w:rsidRDefault="00986B4A" w:rsidP="00F942D8">
            <w:pPr>
              <w:rPr>
                <w:u w:val="single"/>
              </w:rPr>
            </w:pPr>
            <w:r w:rsidRPr="00B61FF1">
              <w:rPr>
                <w:u w:val="single"/>
              </w:rPr>
              <w:t xml:space="preserve">Tuesday, </w:t>
            </w:r>
          </w:p>
          <w:p w14:paraId="7C79D8EE" w14:textId="77777777" w:rsidR="00986B4A" w:rsidRPr="00B61FF1" w:rsidRDefault="00986B4A" w:rsidP="00F942D8">
            <w:pPr>
              <w:rPr>
                <w:u w:val="single"/>
              </w:rPr>
            </w:pPr>
            <w:r w:rsidRPr="00B61FF1">
              <w:rPr>
                <w:u w:val="single"/>
              </w:rPr>
              <w:t>August 18</w:t>
            </w:r>
          </w:p>
        </w:tc>
      </w:tr>
      <w:tr w:rsidR="00986B4A" w:rsidRPr="00B61FF1" w14:paraId="0BDFB9C2" w14:textId="77777777" w:rsidTr="00F942D8">
        <w:trPr>
          <w:trHeight w:val="313"/>
        </w:trPr>
        <w:tc>
          <w:tcPr>
            <w:tcW w:w="1458" w:type="dxa"/>
          </w:tcPr>
          <w:p w14:paraId="0E241AA5" w14:textId="77777777" w:rsidR="00986B4A" w:rsidRPr="00B61FF1" w:rsidRDefault="00986B4A" w:rsidP="00F942D8">
            <w:pPr>
              <w:rPr>
                <w:u w:val="single"/>
              </w:rPr>
            </w:pPr>
            <w:r w:rsidRPr="00B61FF1">
              <w:rPr>
                <w:u w:val="single"/>
              </w:rPr>
              <w:t>Q3 Reserve Sale</w:t>
            </w:r>
          </w:p>
        </w:tc>
        <w:tc>
          <w:tcPr>
            <w:tcW w:w="1620" w:type="dxa"/>
          </w:tcPr>
          <w:p w14:paraId="1A1EE50A" w14:textId="77777777" w:rsidR="00986B4A" w:rsidRPr="00B61FF1" w:rsidRDefault="00986B4A" w:rsidP="00F942D8">
            <w:pPr>
              <w:rPr>
                <w:u w:val="single"/>
              </w:rPr>
            </w:pPr>
            <w:r w:rsidRPr="00B61FF1">
              <w:rPr>
                <w:u w:val="single"/>
              </w:rPr>
              <w:t xml:space="preserve">Tuesday, </w:t>
            </w:r>
          </w:p>
          <w:p w14:paraId="2E4573D8" w14:textId="77777777" w:rsidR="00986B4A" w:rsidRPr="00B61FF1" w:rsidRDefault="00986B4A" w:rsidP="00F942D8">
            <w:pPr>
              <w:rPr>
                <w:u w:val="single"/>
              </w:rPr>
            </w:pPr>
            <w:r w:rsidRPr="00B61FF1">
              <w:rPr>
                <w:u w:val="single"/>
              </w:rPr>
              <w:t>September 22</w:t>
            </w:r>
          </w:p>
        </w:tc>
        <w:tc>
          <w:tcPr>
            <w:tcW w:w="1530" w:type="dxa"/>
          </w:tcPr>
          <w:p w14:paraId="3979FCB0" w14:textId="77777777" w:rsidR="00986B4A" w:rsidRPr="00B61FF1" w:rsidRDefault="00986B4A" w:rsidP="00F942D8">
            <w:pPr>
              <w:rPr>
                <w:u w:val="single"/>
              </w:rPr>
            </w:pPr>
            <w:r w:rsidRPr="00B61FF1">
              <w:rPr>
                <w:u w:val="single"/>
              </w:rPr>
              <w:t>Tuesday,</w:t>
            </w:r>
          </w:p>
          <w:p w14:paraId="17DFAFE6" w14:textId="77777777" w:rsidR="00986B4A" w:rsidRPr="00B61FF1" w:rsidRDefault="00986B4A" w:rsidP="00F942D8">
            <w:pPr>
              <w:rPr>
                <w:u w:val="single"/>
              </w:rPr>
            </w:pPr>
            <w:r w:rsidRPr="00B61FF1">
              <w:rPr>
                <w:u w:val="single"/>
              </w:rPr>
              <w:t>September 20</w:t>
            </w:r>
          </w:p>
        </w:tc>
        <w:tc>
          <w:tcPr>
            <w:tcW w:w="1710" w:type="dxa"/>
          </w:tcPr>
          <w:p w14:paraId="7B6BDABA" w14:textId="77777777" w:rsidR="00986B4A" w:rsidRPr="00B61FF1" w:rsidRDefault="00986B4A" w:rsidP="00F942D8">
            <w:pPr>
              <w:rPr>
                <w:u w:val="single"/>
              </w:rPr>
            </w:pPr>
            <w:r w:rsidRPr="00B61FF1">
              <w:rPr>
                <w:u w:val="single"/>
              </w:rPr>
              <w:t>Tuesday, September 19</w:t>
            </w:r>
          </w:p>
        </w:tc>
        <w:tc>
          <w:tcPr>
            <w:tcW w:w="1710" w:type="dxa"/>
          </w:tcPr>
          <w:p w14:paraId="73B2F90B" w14:textId="77777777" w:rsidR="00986B4A" w:rsidRPr="00B61FF1" w:rsidRDefault="00986B4A" w:rsidP="00F942D8">
            <w:pPr>
              <w:rPr>
                <w:u w:val="single"/>
              </w:rPr>
            </w:pPr>
            <w:r w:rsidRPr="00B61FF1">
              <w:rPr>
                <w:u w:val="single"/>
              </w:rPr>
              <w:t xml:space="preserve">Tuesday, </w:t>
            </w:r>
          </w:p>
          <w:p w14:paraId="3409155B" w14:textId="77777777" w:rsidR="00986B4A" w:rsidRPr="00B61FF1" w:rsidRDefault="00986B4A" w:rsidP="00F942D8">
            <w:pPr>
              <w:rPr>
                <w:u w:val="single"/>
              </w:rPr>
            </w:pPr>
            <w:r w:rsidRPr="00B61FF1">
              <w:rPr>
                <w:u w:val="single"/>
              </w:rPr>
              <w:t>September 18</w:t>
            </w:r>
          </w:p>
        </w:tc>
        <w:tc>
          <w:tcPr>
            <w:tcW w:w="1620" w:type="dxa"/>
          </w:tcPr>
          <w:p w14:paraId="5B850F5C" w14:textId="77777777" w:rsidR="00986B4A" w:rsidRPr="00B61FF1" w:rsidRDefault="00986B4A" w:rsidP="00F942D8">
            <w:pPr>
              <w:rPr>
                <w:u w:val="single"/>
              </w:rPr>
            </w:pPr>
            <w:r w:rsidRPr="00B61FF1">
              <w:rPr>
                <w:u w:val="single"/>
              </w:rPr>
              <w:t>Tuesday, September 24</w:t>
            </w:r>
          </w:p>
        </w:tc>
        <w:tc>
          <w:tcPr>
            <w:tcW w:w="1440" w:type="dxa"/>
          </w:tcPr>
          <w:p w14:paraId="1AAB2B51" w14:textId="77777777" w:rsidR="00986B4A" w:rsidRPr="00B61FF1" w:rsidRDefault="00986B4A" w:rsidP="00F942D8">
            <w:pPr>
              <w:rPr>
                <w:u w:val="single"/>
              </w:rPr>
            </w:pPr>
            <w:r w:rsidRPr="00B61FF1">
              <w:rPr>
                <w:u w:val="single"/>
              </w:rPr>
              <w:t xml:space="preserve">Tuesday, </w:t>
            </w:r>
          </w:p>
          <w:p w14:paraId="33A995AC" w14:textId="77777777" w:rsidR="00986B4A" w:rsidRPr="00B61FF1" w:rsidRDefault="00986B4A" w:rsidP="00F942D8">
            <w:pPr>
              <w:rPr>
                <w:u w:val="single"/>
              </w:rPr>
            </w:pPr>
            <w:r w:rsidRPr="00B61FF1">
              <w:rPr>
                <w:u w:val="single"/>
              </w:rPr>
              <w:t>September 22</w:t>
            </w:r>
          </w:p>
        </w:tc>
      </w:tr>
      <w:tr w:rsidR="00986B4A" w:rsidRPr="00B61FF1" w14:paraId="12C29C4B" w14:textId="77777777" w:rsidTr="00F942D8">
        <w:trPr>
          <w:trHeight w:val="313"/>
        </w:trPr>
        <w:tc>
          <w:tcPr>
            <w:tcW w:w="1458" w:type="dxa"/>
          </w:tcPr>
          <w:p w14:paraId="20E60BE3" w14:textId="77777777" w:rsidR="00986B4A" w:rsidRPr="00B61FF1" w:rsidRDefault="00986B4A" w:rsidP="00F942D8">
            <w:pPr>
              <w:rPr>
                <w:u w:val="single"/>
              </w:rPr>
            </w:pPr>
            <w:r w:rsidRPr="00B61FF1">
              <w:rPr>
                <w:u w:val="single"/>
              </w:rPr>
              <w:t>Q4 Auction</w:t>
            </w:r>
          </w:p>
        </w:tc>
        <w:tc>
          <w:tcPr>
            <w:tcW w:w="1620" w:type="dxa"/>
          </w:tcPr>
          <w:p w14:paraId="3462D716" w14:textId="77777777" w:rsidR="00986B4A" w:rsidRPr="00B61FF1" w:rsidRDefault="00986B4A" w:rsidP="00F942D8">
            <w:pPr>
              <w:rPr>
                <w:u w:val="single"/>
              </w:rPr>
            </w:pPr>
            <w:r w:rsidRPr="00B61FF1">
              <w:rPr>
                <w:u w:val="single"/>
              </w:rPr>
              <w:t xml:space="preserve">Tuesday, </w:t>
            </w:r>
          </w:p>
          <w:p w14:paraId="4EE235BE" w14:textId="77777777" w:rsidR="00986B4A" w:rsidRPr="00B61FF1" w:rsidRDefault="00986B4A" w:rsidP="00F942D8">
            <w:pPr>
              <w:rPr>
                <w:u w:val="single"/>
              </w:rPr>
            </w:pPr>
            <w:r w:rsidRPr="00B61FF1">
              <w:rPr>
                <w:u w:val="single"/>
              </w:rPr>
              <w:t>November 17</w:t>
            </w:r>
          </w:p>
        </w:tc>
        <w:tc>
          <w:tcPr>
            <w:tcW w:w="1530" w:type="dxa"/>
          </w:tcPr>
          <w:p w14:paraId="57349031" w14:textId="77777777" w:rsidR="00986B4A" w:rsidRPr="00B61FF1" w:rsidRDefault="00986B4A" w:rsidP="00F942D8">
            <w:pPr>
              <w:rPr>
                <w:u w:val="single"/>
              </w:rPr>
            </w:pPr>
            <w:r w:rsidRPr="00B61FF1">
              <w:rPr>
                <w:u w:val="single"/>
              </w:rPr>
              <w:t>Tuesday,</w:t>
            </w:r>
          </w:p>
          <w:p w14:paraId="168C7D4C" w14:textId="77777777" w:rsidR="00986B4A" w:rsidRPr="00B61FF1" w:rsidRDefault="00986B4A" w:rsidP="00F942D8">
            <w:pPr>
              <w:rPr>
                <w:u w:val="single"/>
              </w:rPr>
            </w:pPr>
            <w:r w:rsidRPr="00B61FF1">
              <w:rPr>
                <w:u w:val="single"/>
              </w:rPr>
              <w:t>November 15</w:t>
            </w:r>
          </w:p>
        </w:tc>
        <w:tc>
          <w:tcPr>
            <w:tcW w:w="1710" w:type="dxa"/>
          </w:tcPr>
          <w:p w14:paraId="26AF89C1" w14:textId="77777777" w:rsidR="00986B4A" w:rsidRPr="00B61FF1" w:rsidRDefault="00986B4A" w:rsidP="00F942D8">
            <w:pPr>
              <w:rPr>
                <w:u w:val="single"/>
              </w:rPr>
            </w:pPr>
            <w:r w:rsidRPr="00B61FF1">
              <w:rPr>
                <w:u w:val="single"/>
              </w:rPr>
              <w:t xml:space="preserve">Tuesday, </w:t>
            </w:r>
          </w:p>
          <w:p w14:paraId="37446CFB" w14:textId="77777777" w:rsidR="00986B4A" w:rsidRPr="00B61FF1" w:rsidRDefault="00986B4A" w:rsidP="00F942D8">
            <w:pPr>
              <w:rPr>
                <w:u w:val="single"/>
              </w:rPr>
            </w:pPr>
            <w:r w:rsidRPr="00B61FF1">
              <w:rPr>
                <w:u w:val="single"/>
              </w:rPr>
              <w:t>November 14</w:t>
            </w:r>
          </w:p>
        </w:tc>
        <w:tc>
          <w:tcPr>
            <w:tcW w:w="1710" w:type="dxa"/>
          </w:tcPr>
          <w:p w14:paraId="5715B80B" w14:textId="77777777" w:rsidR="00986B4A" w:rsidRPr="00B61FF1" w:rsidRDefault="00986B4A" w:rsidP="00F942D8">
            <w:pPr>
              <w:rPr>
                <w:u w:val="single"/>
              </w:rPr>
            </w:pPr>
            <w:r w:rsidRPr="00B61FF1">
              <w:rPr>
                <w:u w:val="single"/>
              </w:rPr>
              <w:t xml:space="preserve">Wednesday, </w:t>
            </w:r>
          </w:p>
          <w:p w14:paraId="7742562F" w14:textId="77777777" w:rsidR="00986B4A" w:rsidRPr="00B61FF1" w:rsidRDefault="00986B4A" w:rsidP="00F942D8">
            <w:pPr>
              <w:rPr>
                <w:u w:val="single"/>
              </w:rPr>
            </w:pPr>
            <w:r w:rsidRPr="00B61FF1">
              <w:rPr>
                <w:u w:val="single"/>
              </w:rPr>
              <w:t>November 14</w:t>
            </w:r>
          </w:p>
        </w:tc>
        <w:tc>
          <w:tcPr>
            <w:tcW w:w="1620" w:type="dxa"/>
          </w:tcPr>
          <w:p w14:paraId="46F14142" w14:textId="77777777" w:rsidR="00986B4A" w:rsidRPr="00B61FF1" w:rsidRDefault="00986B4A" w:rsidP="00F942D8">
            <w:pPr>
              <w:rPr>
                <w:u w:val="single"/>
              </w:rPr>
            </w:pPr>
            <w:r w:rsidRPr="00B61FF1">
              <w:rPr>
                <w:u w:val="single"/>
              </w:rPr>
              <w:t>Tuesday, November 19</w:t>
            </w:r>
          </w:p>
        </w:tc>
        <w:tc>
          <w:tcPr>
            <w:tcW w:w="1440" w:type="dxa"/>
          </w:tcPr>
          <w:p w14:paraId="3061684E" w14:textId="77777777" w:rsidR="00986B4A" w:rsidRPr="00B61FF1" w:rsidRDefault="00986B4A" w:rsidP="00F942D8">
            <w:pPr>
              <w:rPr>
                <w:u w:val="single"/>
              </w:rPr>
            </w:pPr>
            <w:r w:rsidRPr="00B61FF1">
              <w:rPr>
                <w:u w:val="single"/>
              </w:rPr>
              <w:t xml:space="preserve">Tuesday, </w:t>
            </w:r>
          </w:p>
          <w:p w14:paraId="23EB3E52" w14:textId="77777777" w:rsidR="00986B4A" w:rsidRPr="00B61FF1" w:rsidRDefault="00986B4A" w:rsidP="00F942D8">
            <w:pPr>
              <w:rPr>
                <w:u w:val="single"/>
              </w:rPr>
            </w:pPr>
            <w:r w:rsidRPr="00B61FF1">
              <w:rPr>
                <w:u w:val="single"/>
              </w:rPr>
              <w:t>November 17</w:t>
            </w:r>
          </w:p>
        </w:tc>
      </w:tr>
      <w:tr w:rsidR="00986B4A" w:rsidRPr="00986B4A" w14:paraId="6AE8E279" w14:textId="77777777" w:rsidTr="00F942D8">
        <w:trPr>
          <w:trHeight w:val="313"/>
        </w:trPr>
        <w:tc>
          <w:tcPr>
            <w:tcW w:w="1458" w:type="dxa"/>
          </w:tcPr>
          <w:p w14:paraId="4EF2AE2E" w14:textId="77777777" w:rsidR="00986B4A" w:rsidRPr="00B61FF1" w:rsidRDefault="00986B4A" w:rsidP="00F942D8">
            <w:pPr>
              <w:rPr>
                <w:u w:val="single"/>
              </w:rPr>
            </w:pPr>
            <w:r w:rsidRPr="00B61FF1">
              <w:rPr>
                <w:u w:val="single"/>
              </w:rPr>
              <w:t>Q4 Reserve Sale</w:t>
            </w:r>
          </w:p>
        </w:tc>
        <w:tc>
          <w:tcPr>
            <w:tcW w:w="1620" w:type="dxa"/>
          </w:tcPr>
          <w:p w14:paraId="4F10F8BF" w14:textId="77777777" w:rsidR="00986B4A" w:rsidRPr="00B61FF1" w:rsidRDefault="00986B4A" w:rsidP="00F942D8">
            <w:pPr>
              <w:rPr>
                <w:u w:val="single"/>
              </w:rPr>
            </w:pPr>
            <w:r w:rsidRPr="00B61FF1">
              <w:rPr>
                <w:u w:val="single"/>
              </w:rPr>
              <w:t xml:space="preserve">Tuesday, </w:t>
            </w:r>
          </w:p>
          <w:p w14:paraId="59238FA7" w14:textId="77777777" w:rsidR="00986B4A" w:rsidRPr="00B61FF1" w:rsidRDefault="00986B4A" w:rsidP="00F942D8">
            <w:pPr>
              <w:rPr>
                <w:u w:val="single"/>
              </w:rPr>
            </w:pPr>
            <w:r w:rsidRPr="00B61FF1">
              <w:rPr>
                <w:u w:val="single"/>
              </w:rPr>
              <w:t>December 29</w:t>
            </w:r>
          </w:p>
        </w:tc>
        <w:tc>
          <w:tcPr>
            <w:tcW w:w="1530" w:type="dxa"/>
          </w:tcPr>
          <w:p w14:paraId="444AD275" w14:textId="77777777" w:rsidR="00986B4A" w:rsidRPr="00B61FF1" w:rsidRDefault="00986B4A" w:rsidP="00F942D8">
            <w:pPr>
              <w:rPr>
                <w:u w:val="single"/>
              </w:rPr>
            </w:pPr>
            <w:r w:rsidRPr="00B61FF1">
              <w:rPr>
                <w:u w:val="single"/>
              </w:rPr>
              <w:t xml:space="preserve">Friday, </w:t>
            </w:r>
          </w:p>
          <w:p w14:paraId="0578B5B6" w14:textId="77777777" w:rsidR="00986B4A" w:rsidRPr="00B61FF1" w:rsidRDefault="00986B4A" w:rsidP="00F942D8">
            <w:pPr>
              <w:rPr>
                <w:u w:val="single"/>
              </w:rPr>
            </w:pPr>
            <w:r w:rsidRPr="00B61FF1">
              <w:rPr>
                <w:u w:val="single"/>
              </w:rPr>
              <w:t>December 30</w:t>
            </w:r>
          </w:p>
        </w:tc>
        <w:tc>
          <w:tcPr>
            <w:tcW w:w="1710" w:type="dxa"/>
          </w:tcPr>
          <w:p w14:paraId="02DFCD7B" w14:textId="77777777" w:rsidR="00986B4A" w:rsidRPr="00B61FF1" w:rsidRDefault="00986B4A" w:rsidP="00F942D8">
            <w:pPr>
              <w:rPr>
                <w:u w:val="single"/>
              </w:rPr>
            </w:pPr>
            <w:r w:rsidRPr="00B61FF1">
              <w:rPr>
                <w:u w:val="single"/>
              </w:rPr>
              <w:t>Friday, December 29</w:t>
            </w:r>
          </w:p>
        </w:tc>
        <w:tc>
          <w:tcPr>
            <w:tcW w:w="1710" w:type="dxa"/>
          </w:tcPr>
          <w:p w14:paraId="5EDA8A4D" w14:textId="77777777" w:rsidR="00986B4A" w:rsidRPr="00B61FF1" w:rsidRDefault="00986B4A" w:rsidP="00F942D8">
            <w:pPr>
              <w:rPr>
                <w:u w:val="single"/>
              </w:rPr>
            </w:pPr>
            <w:r w:rsidRPr="00B61FF1">
              <w:rPr>
                <w:u w:val="single"/>
              </w:rPr>
              <w:t xml:space="preserve">Friday, </w:t>
            </w:r>
          </w:p>
          <w:p w14:paraId="00F882AC" w14:textId="77777777" w:rsidR="00986B4A" w:rsidRPr="00B61FF1" w:rsidRDefault="00986B4A" w:rsidP="00F942D8">
            <w:pPr>
              <w:rPr>
                <w:u w:val="single"/>
              </w:rPr>
            </w:pPr>
            <w:r w:rsidRPr="00B61FF1">
              <w:rPr>
                <w:u w:val="single"/>
              </w:rPr>
              <w:t>December 28</w:t>
            </w:r>
          </w:p>
        </w:tc>
        <w:tc>
          <w:tcPr>
            <w:tcW w:w="1620" w:type="dxa"/>
          </w:tcPr>
          <w:p w14:paraId="58B9AAAB" w14:textId="77777777" w:rsidR="00986B4A" w:rsidRPr="00B61FF1" w:rsidRDefault="00986B4A" w:rsidP="00F942D8">
            <w:pPr>
              <w:rPr>
                <w:u w:val="single"/>
              </w:rPr>
            </w:pPr>
            <w:r w:rsidRPr="00B61FF1">
              <w:rPr>
                <w:u w:val="single"/>
              </w:rPr>
              <w:t>Tuesday, December 31</w:t>
            </w:r>
          </w:p>
        </w:tc>
        <w:tc>
          <w:tcPr>
            <w:tcW w:w="1440" w:type="dxa"/>
          </w:tcPr>
          <w:p w14:paraId="65D54613" w14:textId="77777777" w:rsidR="00986B4A" w:rsidRPr="00B61FF1" w:rsidRDefault="00986B4A" w:rsidP="00F942D8">
            <w:pPr>
              <w:rPr>
                <w:u w:val="single"/>
              </w:rPr>
            </w:pPr>
            <w:r w:rsidRPr="00B61FF1">
              <w:rPr>
                <w:u w:val="single"/>
              </w:rPr>
              <w:t xml:space="preserve">Tuesday, </w:t>
            </w:r>
          </w:p>
          <w:p w14:paraId="41EE380B" w14:textId="77777777" w:rsidR="00986B4A" w:rsidRPr="00986B4A" w:rsidRDefault="00986B4A" w:rsidP="00F942D8">
            <w:pPr>
              <w:rPr>
                <w:u w:val="single"/>
              </w:rPr>
            </w:pPr>
            <w:r w:rsidRPr="00B61FF1">
              <w:rPr>
                <w:u w:val="single"/>
              </w:rPr>
              <w:t>December 29</w:t>
            </w:r>
          </w:p>
        </w:tc>
      </w:tr>
    </w:tbl>
    <w:p w14:paraId="03452C0E" w14:textId="77777777" w:rsidR="00986B4A" w:rsidRDefault="00986B4A" w:rsidP="00986B4A"/>
    <w:p w14:paraId="0FB7BE60" w14:textId="77777777" w:rsidR="00BA6081" w:rsidRPr="00147FBA" w:rsidRDefault="00BA6081" w:rsidP="004C1B60">
      <w:pPr>
        <w:rPr>
          <w:rFonts w:ascii="Arial" w:hAnsi="Arial" w:cs="Arial"/>
        </w:rPr>
      </w:pPr>
    </w:p>
    <w:sectPr w:rsidR="00BA6081" w:rsidRPr="00147FBA" w:rsidSect="00C109A5">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A192C" w14:textId="77777777" w:rsidR="00661852" w:rsidRDefault="00661852">
      <w:r>
        <w:separator/>
      </w:r>
    </w:p>
  </w:endnote>
  <w:endnote w:type="continuationSeparator" w:id="0">
    <w:p w14:paraId="59E1BDD2" w14:textId="77777777" w:rsidR="00661852" w:rsidRDefault="0066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HHLIH M+ Melio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C2D7" w14:textId="77777777" w:rsidR="00B328A2" w:rsidRDefault="00B328A2" w:rsidP="00192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FA486" w14:textId="77777777" w:rsidR="00B328A2" w:rsidRDefault="00B328A2" w:rsidP="00185C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75083"/>
      <w:docPartObj>
        <w:docPartGallery w:val="Page Numbers (Bottom of Page)"/>
        <w:docPartUnique/>
      </w:docPartObj>
    </w:sdtPr>
    <w:sdtEndPr>
      <w:rPr>
        <w:rFonts w:ascii="Arial" w:hAnsi="Arial" w:cs="Arial"/>
        <w:noProof/>
      </w:rPr>
    </w:sdtEndPr>
    <w:sdtContent>
      <w:p w14:paraId="12F0C406" w14:textId="41A1765E" w:rsidR="00B328A2" w:rsidRPr="00C109A5" w:rsidRDefault="00B328A2">
        <w:pPr>
          <w:pStyle w:val="Footer"/>
          <w:jc w:val="center"/>
          <w:rPr>
            <w:rFonts w:ascii="Arial" w:hAnsi="Arial" w:cs="Arial"/>
          </w:rPr>
        </w:pPr>
        <w:r>
          <w:t xml:space="preserve">Discussion Draft    -      </w:t>
        </w:r>
        <w:r w:rsidRPr="005D5961">
          <w:rPr>
            <w:rFonts w:ascii="Arial" w:hAnsi="Arial" w:cs="Arial"/>
          </w:rPr>
          <w:fldChar w:fldCharType="begin"/>
        </w:r>
        <w:r w:rsidRPr="005D5961">
          <w:rPr>
            <w:rFonts w:ascii="Arial" w:hAnsi="Arial" w:cs="Arial"/>
          </w:rPr>
          <w:instrText xml:space="preserve"> PAGE   \* MERGEFORMAT </w:instrText>
        </w:r>
        <w:r w:rsidRPr="005D5961">
          <w:rPr>
            <w:rFonts w:ascii="Arial" w:hAnsi="Arial" w:cs="Arial"/>
          </w:rPr>
          <w:fldChar w:fldCharType="separate"/>
        </w:r>
        <w:r w:rsidR="009267D5">
          <w:rPr>
            <w:rFonts w:ascii="Arial" w:hAnsi="Arial" w:cs="Arial"/>
            <w:noProof/>
          </w:rPr>
          <w:t>184</w:t>
        </w:r>
        <w:r w:rsidRPr="005D5961">
          <w:rPr>
            <w:rFonts w:ascii="Arial" w:hAnsi="Arial" w:cs="Arial"/>
            <w:noProof/>
          </w:rPr>
          <w:fldChar w:fldCharType="end"/>
        </w:r>
      </w:p>
    </w:sdtContent>
  </w:sdt>
  <w:p w14:paraId="399CC9D6" w14:textId="77777777" w:rsidR="00B328A2" w:rsidRDefault="00B328A2">
    <w:pPr>
      <w:pStyle w:val="Footer"/>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C0EA3" w14:textId="77777777" w:rsidR="00661852" w:rsidRDefault="00661852">
      <w:r>
        <w:separator/>
      </w:r>
    </w:p>
  </w:footnote>
  <w:footnote w:type="continuationSeparator" w:id="0">
    <w:p w14:paraId="09B3B4BD" w14:textId="77777777" w:rsidR="00661852" w:rsidRDefault="00661852">
      <w:r>
        <w:continuationSeparator/>
      </w:r>
    </w:p>
  </w:footnote>
  <w:footnote w:id="1">
    <w:p w14:paraId="5940F586" w14:textId="77777777" w:rsidR="00B328A2" w:rsidRPr="002807B7" w:rsidRDefault="00B328A2" w:rsidP="000155BC">
      <w:pPr>
        <w:pStyle w:val="FootnoteText"/>
        <w:rPr>
          <w:u w:val="single"/>
        </w:rPr>
      </w:pPr>
      <w:r w:rsidRPr="002807B7">
        <w:rPr>
          <w:rStyle w:val="FootnoteReference"/>
          <w:u w:val="single"/>
        </w:rPr>
        <w:footnoteRef/>
      </w:r>
      <w:r w:rsidRPr="002807B7">
        <w:rPr>
          <w:u w:val="single"/>
        </w:rPr>
        <w:t xml:space="preserve"> Benchmark value is being reviewed based on newly available data. </w:t>
      </w:r>
    </w:p>
  </w:footnote>
  <w:footnote w:id="2">
    <w:p w14:paraId="2C18016E" w14:textId="77777777" w:rsidR="00B328A2" w:rsidRDefault="00B328A2" w:rsidP="000155BC">
      <w:pPr>
        <w:pStyle w:val="FootnoteText"/>
      </w:pPr>
      <w:r w:rsidRPr="002807B7">
        <w:rPr>
          <w:rStyle w:val="FootnoteReference"/>
          <w:u w:val="single"/>
        </w:rPr>
        <w:footnoteRef/>
      </w:r>
      <w:r w:rsidRPr="002807B7">
        <w:rPr>
          <w:u w:val="single"/>
        </w:rPr>
        <w:t xml:space="preserve"> Benchmark value is being revised including biomass emission.</w:t>
      </w:r>
    </w:p>
  </w:footnote>
  <w:footnote w:id="3">
    <w:p w14:paraId="61572192" w14:textId="77777777" w:rsidR="00B328A2" w:rsidRPr="000155BC" w:rsidRDefault="00B328A2" w:rsidP="000155BC">
      <w:pPr>
        <w:pStyle w:val="FootnoteText"/>
        <w:rPr>
          <w:u w:val="single"/>
        </w:rPr>
      </w:pPr>
      <w:r w:rsidRPr="002807B7">
        <w:rPr>
          <w:rStyle w:val="FootnoteReference"/>
          <w:u w:val="single"/>
        </w:rPr>
        <w:footnoteRef/>
      </w:r>
      <w:r w:rsidRPr="002807B7">
        <w:rPr>
          <w:u w:val="single"/>
        </w:rPr>
        <w:t xml:space="preserve"> Cold rolling benchmark values (may affect pickled steel sheet production, cold rolled and annealed sheet production, galvanized steel sheet production and tin steel plate production) are being reviewed based on newly available data.</w:t>
      </w:r>
      <w:r w:rsidRPr="000155BC">
        <w:rPr>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A0E0" w14:textId="77777777" w:rsidR="00B328A2" w:rsidRDefault="00B328A2" w:rsidP="009B30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F902A" w14:textId="77777777" w:rsidR="00B328A2" w:rsidRDefault="00B328A2" w:rsidP="00897A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F55C" w14:textId="003A8A75" w:rsidR="00B328A2" w:rsidRDefault="00B328A2">
    <w:pPr>
      <w:pStyle w:val="Header"/>
    </w:pPr>
    <w:r w:rsidRPr="00A97737">
      <w:t xml:space="preserve">California Air Resources Board - Discussion 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8"/>
    <w:lvl w:ilvl="0">
      <w:start w:val="1"/>
      <w:numFmt w:val="lowerLetter"/>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720"/>
      </w:pPr>
      <w:rPr>
        <w:rFonts w:cs="Times New Roman"/>
      </w:rPr>
    </w:lvl>
    <w:lvl w:ilvl="2">
      <w:start w:val="1"/>
      <w:numFmt w:val="upperLetter"/>
      <w:lvlText w:val="(%3)"/>
      <w:lvlJc w:val="left"/>
      <w:pPr>
        <w:tabs>
          <w:tab w:val="num" w:pos="1800"/>
        </w:tabs>
        <w:ind w:left="180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lowerLetter"/>
      <w:lvlText w:val="%5."/>
      <w:lvlJc w:val="left"/>
      <w:pPr>
        <w:tabs>
          <w:tab w:val="num" w:pos="2520"/>
        </w:tabs>
        <w:ind w:left="2520" w:hanging="720"/>
      </w:pPr>
      <w:rPr>
        <w:rFonts w:cs="Times New Roman"/>
      </w:rPr>
    </w:lvl>
    <w:lvl w:ilvl="5">
      <w:start w:val="1"/>
      <w:numFmt w:val="lowerRoman"/>
      <w:lvlText w:val="(%6)"/>
      <w:lvlJc w:val="left"/>
      <w:pPr>
        <w:tabs>
          <w:tab w:val="num" w:pos="2160"/>
        </w:tabs>
        <w:ind w:left="21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8"/>
    <w:multiLevelType w:val="multilevel"/>
    <w:tmpl w:val="00000008"/>
    <w:name w:val="WW8Num19"/>
    <w:lvl w:ilvl="0">
      <w:start w:val="1"/>
      <w:numFmt w:val="lowerLetter"/>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720"/>
      </w:pPr>
      <w:rPr>
        <w:rFonts w:cs="Times New Roman"/>
      </w:rPr>
    </w:lvl>
    <w:lvl w:ilvl="2">
      <w:start w:val="1"/>
      <w:numFmt w:val="upperLetter"/>
      <w:lvlText w:val="(%3)"/>
      <w:lvlJc w:val="left"/>
      <w:pPr>
        <w:tabs>
          <w:tab w:val="num" w:pos="1800"/>
        </w:tabs>
        <w:ind w:left="180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lowerLetter"/>
      <w:lvlText w:val="%5."/>
      <w:lvlJc w:val="left"/>
      <w:pPr>
        <w:tabs>
          <w:tab w:val="num" w:pos="2520"/>
        </w:tabs>
        <w:ind w:left="2520" w:hanging="720"/>
      </w:pPr>
      <w:rPr>
        <w:rFonts w:cs="Times New Roman"/>
      </w:rPr>
    </w:lvl>
    <w:lvl w:ilvl="5">
      <w:start w:val="1"/>
      <w:numFmt w:val="lowerRoman"/>
      <w:lvlText w:val="(%6)"/>
      <w:lvlJc w:val="left"/>
      <w:pPr>
        <w:tabs>
          <w:tab w:val="num" w:pos="2160"/>
        </w:tabs>
        <w:ind w:left="21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6428F7"/>
    <w:multiLevelType w:val="hybridMultilevel"/>
    <w:tmpl w:val="5EBCE2D6"/>
    <w:lvl w:ilvl="0" w:tplc="A77493CC">
      <w:start w:val="1"/>
      <w:numFmt w:val="decimal"/>
      <w:lvlText w:val="(%1)"/>
      <w:lvlJc w:val="left"/>
      <w:pPr>
        <w:ind w:left="1080" w:hanging="360"/>
      </w:pPr>
      <w:rPr>
        <w:rFonts w:ascii="Arial" w:hAnsi="Arial" w:cs="Arial" w:hint="default"/>
        <w:color w:val="auto"/>
        <w:spacing w:val="0"/>
        <w:sz w:val="24"/>
        <w:szCs w:val="24"/>
        <w:u w:val="singl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09F0125"/>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5EF5FA4"/>
    <w:multiLevelType w:val="hybridMultilevel"/>
    <w:tmpl w:val="E9424492"/>
    <w:lvl w:ilvl="0" w:tplc="D28491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4E1B87"/>
    <w:multiLevelType w:val="multilevel"/>
    <w:tmpl w:val="737CB6BA"/>
    <w:lvl w:ilvl="0">
      <w:start w:val="2"/>
      <w:numFmt w:val="lowerLetter"/>
      <w:lvlText w:val="(%1)"/>
      <w:lvlJc w:val="left"/>
      <w:pPr>
        <w:tabs>
          <w:tab w:val="num" w:pos="720"/>
        </w:tabs>
        <w:ind w:left="720" w:hanging="720"/>
      </w:pPr>
      <w:rPr>
        <w:rFonts w:hint="default"/>
        <w:sz w:val="24"/>
      </w:rPr>
    </w:lvl>
    <w:lvl w:ilvl="1">
      <w:start w:val="1"/>
      <w:numFmt w:val="decimal"/>
      <w:lvlText w:val="(%2)"/>
      <w:lvlJc w:val="left"/>
      <w:pPr>
        <w:tabs>
          <w:tab w:val="num" w:pos="1080"/>
        </w:tabs>
        <w:ind w:left="1080" w:hanging="720"/>
      </w:pPr>
      <w:rPr>
        <w:rFonts w:hint="default"/>
        <w:u w:val="none"/>
      </w:rPr>
    </w:lvl>
    <w:lvl w:ilvl="2">
      <w:start w:val="1"/>
      <w:numFmt w:val="upperLetter"/>
      <w:lvlText w:val="(%3)"/>
      <w:lvlJc w:val="left"/>
      <w:pPr>
        <w:tabs>
          <w:tab w:val="num" w:pos="1800"/>
        </w:tabs>
        <w:ind w:left="1800" w:hanging="720"/>
      </w:pPr>
      <w:rPr>
        <w:rFonts w:hint="default"/>
        <w:b w:val="0"/>
        <w:u w:val="none"/>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8308A6"/>
    <w:multiLevelType w:val="hybridMultilevel"/>
    <w:tmpl w:val="26D299BC"/>
    <w:lvl w:ilvl="0" w:tplc="B4E67766">
      <w:start w:val="1"/>
      <w:numFmt w:val="decimal"/>
      <w:pStyle w:val="AutoNumbered"/>
      <w:lvlText w:val="(%1)"/>
      <w:lvlJc w:val="left"/>
      <w:pPr>
        <w:tabs>
          <w:tab w:val="num" w:pos="1296"/>
        </w:tabs>
        <w:ind w:left="1296" w:hanging="864"/>
      </w:pPr>
      <w:rPr>
        <w:rFonts w:cs="Times New Roman" w:hint="default"/>
      </w:rPr>
    </w:lvl>
    <w:lvl w:ilvl="1" w:tplc="436E2128">
      <w:start w:val="1"/>
      <w:numFmt w:val="upperLetter"/>
      <w:lvlText w:val="(%2)"/>
      <w:lvlJc w:val="left"/>
      <w:pPr>
        <w:tabs>
          <w:tab w:val="num" w:pos="360"/>
        </w:tabs>
        <w:ind w:left="360" w:hanging="360"/>
      </w:pPr>
      <w:rPr>
        <w:rFonts w:ascii="Arial" w:eastAsia="PMingLiU" w:hAnsi="Arial" w:cs="Arial"/>
      </w:rPr>
    </w:lvl>
    <w:lvl w:ilvl="2" w:tplc="0409001B">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7">
    <w:nsid w:val="0A173424"/>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ADC43BB"/>
    <w:multiLevelType w:val="hybridMultilevel"/>
    <w:tmpl w:val="2C3445AE"/>
    <w:lvl w:ilvl="0" w:tplc="331898DC">
      <w:start w:val="1"/>
      <w:numFmt w:val="upperLetter"/>
      <w:lvlText w:val="(%1)"/>
      <w:lvlJc w:val="left"/>
      <w:pPr>
        <w:ind w:left="1080" w:hanging="360"/>
      </w:pPr>
      <w:rPr>
        <w:rFonts w:ascii="Arial" w:hAnsi="Arial" w:cs="Arial"/>
        <w:dstrike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B41765"/>
    <w:multiLevelType w:val="multilevel"/>
    <w:tmpl w:val="1C1E2C04"/>
    <w:lvl w:ilvl="0">
      <w:start w:val="2"/>
      <w:numFmt w:val="lowerLetter"/>
      <w:lvlText w:val="(%1)"/>
      <w:lvlJc w:val="left"/>
      <w:pPr>
        <w:tabs>
          <w:tab w:val="num" w:pos="720"/>
        </w:tabs>
        <w:ind w:left="720" w:hanging="720"/>
      </w:pPr>
      <w:rPr>
        <w:rFonts w:ascii="Arial" w:hAnsi="Arial" w:cs="Arial" w:hint="default"/>
        <w:u w:val="single"/>
      </w:rPr>
    </w:lvl>
    <w:lvl w:ilvl="1">
      <w:start w:val="1"/>
      <w:numFmt w:val="decimal"/>
      <w:lvlText w:val="(%2)"/>
      <w:lvlJc w:val="left"/>
      <w:pPr>
        <w:tabs>
          <w:tab w:val="num" w:pos="1080"/>
        </w:tabs>
        <w:ind w:left="1080" w:hanging="720"/>
      </w:pPr>
      <w:rPr>
        <w:rFonts w:cs="Times New Roman" w:hint="default"/>
        <w:i w:val="0"/>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D59415C"/>
    <w:multiLevelType w:val="multilevel"/>
    <w:tmpl w:val="F08A67F0"/>
    <w:lvl w:ilvl="0">
      <w:start w:val="1"/>
      <w:numFmt w:val="lowerLetter"/>
      <w:lvlText w:val="(%1)"/>
      <w:lvlJc w:val="left"/>
      <w:pPr>
        <w:tabs>
          <w:tab w:val="num" w:pos="720"/>
        </w:tabs>
        <w:ind w:left="720" w:hanging="720"/>
      </w:pPr>
      <w:rPr>
        <w:rFonts w:cs="Times New Roman" w:hint="default"/>
        <w:i w:val="0"/>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DCF7777"/>
    <w:multiLevelType w:val="hybridMultilevel"/>
    <w:tmpl w:val="D43EDBD0"/>
    <w:lvl w:ilvl="0" w:tplc="6218C6F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494392"/>
    <w:multiLevelType w:val="multilevel"/>
    <w:tmpl w:val="0ED21196"/>
    <w:lvl w:ilvl="0">
      <w:start w:val="2"/>
      <w:numFmt w:val="lowerLetter"/>
      <w:lvlText w:val="(%1)"/>
      <w:lvlJc w:val="left"/>
      <w:pPr>
        <w:tabs>
          <w:tab w:val="num" w:pos="720"/>
        </w:tabs>
        <w:ind w:left="720" w:hanging="720"/>
      </w:pPr>
      <w:rPr>
        <w:rFonts w:hint="default"/>
        <w:sz w:val="24"/>
      </w:rPr>
    </w:lvl>
    <w:lvl w:ilvl="1">
      <w:start w:val="3"/>
      <w:numFmt w:val="decimal"/>
      <w:lvlText w:val="(%2)"/>
      <w:lvlJc w:val="left"/>
      <w:pPr>
        <w:tabs>
          <w:tab w:val="num" w:pos="1080"/>
        </w:tabs>
        <w:ind w:left="1080" w:hanging="720"/>
      </w:pPr>
      <w:rPr>
        <w:rFonts w:hint="default"/>
        <w:u w:val="none"/>
      </w:rPr>
    </w:lvl>
    <w:lvl w:ilvl="2">
      <w:start w:val="1"/>
      <w:numFmt w:val="upperLetter"/>
      <w:lvlText w:val="(%3)"/>
      <w:lvlJc w:val="left"/>
      <w:pPr>
        <w:tabs>
          <w:tab w:val="num" w:pos="1800"/>
        </w:tabs>
        <w:ind w:left="1800" w:hanging="720"/>
      </w:pPr>
      <w:rPr>
        <w:rFonts w:hint="default"/>
        <w:b w:val="0"/>
        <w:u w:val="none"/>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0EA0C45"/>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23C40D5"/>
    <w:multiLevelType w:val="multilevel"/>
    <w:tmpl w:val="74124E9A"/>
    <w:lvl w:ilvl="0">
      <w:start w:val="1"/>
      <w:numFmt w:val="lowerLetter"/>
      <w:lvlText w:val="(%1)"/>
      <w:lvlJc w:val="left"/>
      <w:pPr>
        <w:tabs>
          <w:tab w:val="num" w:pos="720"/>
        </w:tabs>
        <w:ind w:left="720" w:hanging="720"/>
      </w:pPr>
      <w:rPr>
        <w:rFonts w:cs="Times New Roman" w:hint="default"/>
        <w:color w:val="auto"/>
        <w:sz w:val="24"/>
        <w:szCs w:val="24"/>
      </w:rPr>
    </w:lvl>
    <w:lvl w:ilvl="1">
      <w:start w:val="1"/>
      <w:numFmt w:val="decimal"/>
      <w:lvlText w:val="(%2)"/>
      <w:lvlJc w:val="left"/>
      <w:pPr>
        <w:tabs>
          <w:tab w:val="num" w:pos="720"/>
        </w:tabs>
        <w:ind w:left="720" w:hanging="720"/>
      </w:pPr>
      <w:rPr>
        <w:rFonts w:cs="Times New Roman" w:hint="default"/>
        <w:i w:val="0"/>
        <w:color w:val="auto"/>
        <w:sz w:val="24"/>
      </w:rPr>
    </w:lvl>
    <w:lvl w:ilvl="2">
      <w:start w:val="1"/>
      <w:numFmt w:val="upperLetter"/>
      <w:lvlText w:val="(%3)"/>
      <w:lvlJc w:val="left"/>
      <w:pPr>
        <w:tabs>
          <w:tab w:val="num" w:pos="1440"/>
        </w:tabs>
        <w:ind w:left="1800" w:hanging="720"/>
      </w:pPr>
      <w:rPr>
        <w:rFonts w:cs="Times New Roman" w:hint="default"/>
        <w:sz w:val="24"/>
      </w:rPr>
    </w:lvl>
    <w:lvl w:ilvl="3">
      <w:start w:val="1"/>
      <w:numFmt w:val="lowerRoman"/>
      <w:lvlText w:val="(%4)"/>
      <w:lvlJc w:val="left"/>
      <w:pPr>
        <w:tabs>
          <w:tab w:val="num" w:pos="1800"/>
        </w:tabs>
        <w:ind w:left="2160" w:hanging="720"/>
      </w:pPr>
      <w:rPr>
        <w:rFonts w:cs="Times New Roman" w:hint="default"/>
        <w:sz w:val="24"/>
      </w:rPr>
    </w:lvl>
    <w:lvl w:ilvl="4">
      <w:start w:val="1"/>
      <w:numFmt w:val="lowerLetter"/>
      <w:lvlText w:val="%5."/>
      <w:lvlJc w:val="left"/>
      <w:pPr>
        <w:tabs>
          <w:tab w:val="num" w:pos="2160"/>
        </w:tabs>
        <w:ind w:left="2520" w:hanging="720"/>
      </w:pPr>
      <w:rPr>
        <w:rFonts w:cs="Times New Roman" w:hint="default"/>
        <w:sz w:val="24"/>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23E7DDC"/>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2796C2A"/>
    <w:multiLevelType w:val="hybridMultilevel"/>
    <w:tmpl w:val="8B20E8FE"/>
    <w:lvl w:ilvl="0" w:tplc="331898DC">
      <w:start w:val="1"/>
      <w:numFmt w:val="upperLetter"/>
      <w:lvlText w:val="(%1)"/>
      <w:lvlJc w:val="left"/>
      <w:pPr>
        <w:ind w:left="1800" w:hanging="360"/>
      </w:pPr>
      <w:rPr>
        <w:rFonts w:ascii="Arial" w:hAnsi="Arial" w:cs="Arial"/>
        <w:dstrike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3A84401"/>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71E0BA2"/>
    <w:multiLevelType w:val="hybridMultilevel"/>
    <w:tmpl w:val="EBFA838A"/>
    <w:lvl w:ilvl="0" w:tplc="3DE0446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A0020C"/>
    <w:multiLevelType w:val="multilevel"/>
    <w:tmpl w:val="5284FF96"/>
    <w:lvl w:ilvl="0">
      <w:start w:val="7"/>
      <w:numFmt w:val="lowerLetter"/>
      <w:lvlText w:val="(%1)"/>
      <w:lvlJc w:val="left"/>
      <w:pPr>
        <w:tabs>
          <w:tab w:val="num" w:pos="720"/>
        </w:tabs>
        <w:ind w:left="720" w:hanging="720"/>
      </w:pPr>
      <w:rPr>
        <w:rFonts w:hint="default"/>
        <w:sz w:val="24"/>
      </w:rPr>
    </w:lvl>
    <w:lvl w:ilvl="1">
      <w:start w:val="1"/>
      <w:numFmt w:val="decimal"/>
      <w:lvlText w:val="(%2)"/>
      <w:lvlJc w:val="left"/>
      <w:pPr>
        <w:tabs>
          <w:tab w:val="num" w:pos="1080"/>
        </w:tabs>
        <w:ind w:left="1080" w:hanging="720"/>
      </w:pPr>
      <w:rPr>
        <w:rFonts w:hint="default"/>
        <w:u w:val="none"/>
      </w:rPr>
    </w:lvl>
    <w:lvl w:ilvl="2">
      <w:start w:val="1"/>
      <w:numFmt w:val="upperLetter"/>
      <w:lvlText w:val="(%3)"/>
      <w:lvlJc w:val="left"/>
      <w:pPr>
        <w:tabs>
          <w:tab w:val="num" w:pos="1800"/>
        </w:tabs>
        <w:ind w:left="1800" w:hanging="720"/>
      </w:pPr>
      <w:rPr>
        <w:rFonts w:hint="default"/>
        <w:b w:val="0"/>
        <w:u w:val="double"/>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C982260"/>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E420871"/>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10500C1"/>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23083143"/>
    <w:multiLevelType w:val="hybridMultilevel"/>
    <w:tmpl w:val="ABC4093A"/>
    <w:lvl w:ilvl="0" w:tplc="1236E73A">
      <w:start w:val="3"/>
      <w:numFmt w:val="decimal"/>
      <w:lvlText w:val="(%1)"/>
      <w:lvlJc w:val="left"/>
      <w:pPr>
        <w:ind w:left="810" w:hanging="360"/>
      </w:pPr>
      <w:rPr>
        <w:rFonts w:cs="Arial" w:hint="default"/>
      </w:rPr>
    </w:lvl>
    <w:lvl w:ilvl="1" w:tplc="331898DC">
      <w:start w:val="1"/>
      <w:numFmt w:val="upperLetter"/>
      <w:lvlText w:val="(%2)"/>
      <w:lvlJc w:val="left"/>
      <w:pPr>
        <w:ind w:left="1440" w:hanging="360"/>
      </w:pPr>
      <w:rPr>
        <w:rFonts w:ascii="Arial" w:hAnsi="Arial" w:cs="Arial"/>
        <w:dstrike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9462F"/>
    <w:multiLevelType w:val="multilevel"/>
    <w:tmpl w:val="AE82611A"/>
    <w:lvl w:ilvl="0">
      <w:start w:val="1"/>
      <w:numFmt w:val="lowerLetter"/>
      <w:lvlText w:val="(%1)"/>
      <w:lvlJc w:val="left"/>
      <w:pPr>
        <w:tabs>
          <w:tab w:val="num" w:pos="720"/>
        </w:tabs>
        <w:ind w:left="720" w:hanging="720"/>
      </w:pPr>
      <w:rPr>
        <w:rFonts w:cs="Times New Roman" w:hint="default"/>
        <w:b w:val="0"/>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65F31A1"/>
    <w:multiLevelType w:val="hybridMultilevel"/>
    <w:tmpl w:val="99CC9B2A"/>
    <w:lvl w:ilvl="0" w:tplc="D2849130">
      <w:start w:val="1"/>
      <w:numFmt w:val="decimal"/>
      <w:lvlText w:val="(%1)"/>
      <w:lvlJc w:val="left"/>
      <w:pPr>
        <w:ind w:left="720" w:hanging="360"/>
      </w:pPr>
      <w:rPr>
        <w:rFonts w:cs="Arial" w:hint="default"/>
      </w:rPr>
    </w:lvl>
    <w:lvl w:ilvl="1" w:tplc="331898DC">
      <w:start w:val="1"/>
      <w:numFmt w:val="upperLetter"/>
      <w:lvlText w:val="(%2)"/>
      <w:lvlJc w:val="left"/>
      <w:pPr>
        <w:ind w:left="1440" w:hanging="360"/>
      </w:pPr>
      <w:rPr>
        <w:rFonts w:ascii="Arial" w:hAnsi="Arial" w:cs="Arial"/>
        <w:dstrike w:val="0"/>
        <w:color w:val="auto"/>
        <w:sz w:val="24"/>
        <w:szCs w:val="24"/>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FDE251E"/>
    <w:multiLevelType w:val="hybridMultilevel"/>
    <w:tmpl w:val="5E068118"/>
    <w:lvl w:ilvl="0" w:tplc="331898DC">
      <w:start w:val="1"/>
      <w:numFmt w:val="upperLetter"/>
      <w:lvlText w:val="(%1)"/>
      <w:lvlJc w:val="left"/>
      <w:pPr>
        <w:ind w:left="1800" w:hanging="360"/>
      </w:pPr>
      <w:rPr>
        <w:rFonts w:ascii="Arial" w:hAnsi="Arial" w:cs="Arial"/>
        <w:dstrike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0043373"/>
    <w:multiLevelType w:val="hybridMultilevel"/>
    <w:tmpl w:val="6FA23118"/>
    <w:lvl w:ilvl="0" w:tplc="BB7AB08A">
      <w:start w:val="1"/>
      <w:numFmt w:val="decimal"/>
      <w:lvlText w:val="(%1)"/>
      <w:lvlJc w:val="left"/>
      <w:pPr>
        <w:ind w:left="1080" w:hanging="360"/>
      </w:pPr>
      <w:rPr>
        <w:rFonts w:ascii="Arial" w:hAnsi="Arial" w:cs="Arial" w:hint="default"/>
        <w:sz w:val="24"/>
        <w:szCs w:val="24"/>
      </w:rPr>
    </w:lvl>
    <w:lvl w:ilvl="1" w:tplc="331898DC">
      <w:start w:val="1"/>
      <w:numFmt w:val="upperLetter"/>
      <w:lvlText w:val="(%2)"/>
      <w:lvlJc w:val="left"/>
      <w:pPr>
        <w:ind w:left="1800" w:hanging="360"/>
      </w:pPr>
      <w:rPr>
        <w:rFonts w:ascii="Arial" w:hAnsi="Arial" w:cs="Arial"/>
        <w:dstrike w:val="0"/>
        <w:color w:val="auto"/>
        <w:sz w:val="24"/>
        <w:szCs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5CC0296"/>
    <w:multiLevelType w:val="hybridMultilevel"/>
    <w:tmpl w:val="CFEE761A"/>
    <w:lvl w:ilvl="0" w:tplc="331898DC">
      <w:start w:val="1"/>
      <w:numFmt w:val="upperLetter"/>
      <w:lvlText w:val="(%1)"/>
      <w:lvlJc w:val="left"/>
      <w:pPr>
        <w:ind w:left="1080" w:hanging="360"/>
      </w:pPr>
      <w:rPr>
        <w:rFonts w:ascii="Arial" w:hAnsi="Arial" w:cs="Arial"/>
        <w:dstrike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416048"/>
    <w:multiLevelType w:val="multilevel"/>
    <w:tmpl w:val="2A126B96"/>
    <w:lvl w:ilvl="0">
      <w:start w:val="1"/>
      <w:numFmt w:val="lowerLetter"/>
      <w:lvlText w:val="(%1)"/>
      <w:lvlJc w:val="left"/>
      <w:pPr>
        <w:tabs>
          <w:tab w:val="num" w:pos="720"/>
        </w:tabs>
        <w:ind w:left="720" w:hanging="720"/>
      </w:pPr>
      <w:rPr>
        <w:rFonts w:ascii="Arial" w:hAnsi="Arial" w:cs="Tahoma"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39D84BB8"/>
    <w:multiLevelType w:val="multilevel"/>
    <w:tmpl w:val="570E47BA"/>
    <w:lvl w:ilvl="0">
      <w:start w:val="6"/>
      <w:numFmt w:val="lowerLetter"/>
      <w:lvlText w:val="(%1)"/>
      <w:lvlJc w:val="left"/>
      <w:pPr>
        <w:tabs>
          <w:tab w:val="num" w:pos="720"/>
        </w:tabs>
        <w:ind w:left="720" w:hanging="720"/>
      </w:pPr>
      <w:rPr>
        <w:rFonts w:cs="Times New Roman" w:hint="default"/>
        <w:b w:val="0"/>
        <w:u w:val="none"/>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3B321E49"/>
    <w:multiLevelType w:val="multilevel"/>
    <w:tmpl w:val="38568EC4"/>
    <w:lvl w:ilvl="0">
      <w:start w:val="1"/>
      <w:numFmt w:val="lowerLetter"/>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pPr>
      <w:rPr>
        <w:rFonts w:ascii="Arial" w:hAnsi="Arial" w:cs="Tahoma" w:hint="default"/>
        <w:b w:val="0"/>
        <w:i w:val="0"/>
        <w:sz w:val="24"/>
        <w:szCs w:val="24"/>
      </w:rPr>
    </w:lvl>
    <w:lvl w:ilvl="2">
      <w:start w:val="1"/>
      <w:numFmt w:val="upperLetter"/>
      <w:lvlText w:val="(%3)"/>
      <w:lvlJc w:val="left"/>
      <w:pPr>
        <w:tabs>
          <w:tab w:val="num" w:pos="1080"/>
        </w:tabs>
        <w:ind w:left="1080" w:firstLine="360"/>
      </w:pPr>
      <w:rPr>
        <w:rFonts w:cs="Times New Roman" w:hint="default"/>
        <w:sz w:val="24"/>
      </w:rPr>
    </w:lvl>
    <w:lvl w:ilvl="3">
      <w:start w:val="1"/>
      <w:numFmt w:val="lowerRoman"/>
      <w:lvlText w:val="(%4)"/>
      <w:lvlJc w:val="left"/>
      <w:pPr>
        <w:tabs>
          <w:tab w:val="num" w:pos="1440"/>
        </w:tabs>
        <w:ind w:left="1440" w:firstLine="360"/>
      </w:pPr>
      <w:rPr>
        <w:rFonts w:cs="Times New Roman" w:hint="default"/>
        <w:sz w:val="24"/>
      </w:rPr>
    </w:lvl>
    <w:lvl w:ilvl="4">
      <w:start w:val="1"/>
      <w:numFmt w:val="lowerLetter"/>
      <w:lvlText w:val="%5."/>
      <w:lvlJc w:val="left"/>
      <w:pPr>
        <w:tabs>
          <w:tab w:val="num" w:pos="1800"/>
        </w:tabs>
        <w:ind w:left="2160"/>
      </w:pPr>
      <w:rPr>
        <w:rFonts w:cs="Times New Roman" w:hint="default"/>
        <w:sz w:val="24"/>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B4B787E"/>
    <w:multiLevelType w:val="multilevel"/>
    <w:tmpl w:val="F3521998"/>
    <w:lvl w:ilvl="0">
      <w:start w:val="1"/>
      <w:numFmt w:val="lowerLetter"/>
      <w:lvlText w:val="(%1)"/>
      <w:lvlJc w:val="left"/>
      <w:pPr>
        <w:tabs>
          <w:tab w:val="num" w:pos="720"/>
        </w:tabs>
        <w:ind w:left="720" w:hanging="720"/>
      </w:pPr>
      <w:rPr>
        <w:rFonts w:hint="default"/>
        <w:sz w:val="24"/>
      </w:rPr>
    </w:lvl>
    <w:lvl w:ilvl="1">
      <w:start w:val="1"/>
      <w:numFmt w:val="decimal"/>
      <w:lvlText w:val="(%2)"/>
      <w:lvlJc w:val="left"/>
      <w:pPr>
        <w:tabs>
          <w:tab w:val="num" w:pos="1080"/>
        </w:tabs>
        <w:ind w:left="1080" w:hanging="720"/>
      </w:pPr>
      <w:rPr>
        <w:rFonts w:hint="default"/>
        <w:dstrike w:val="0"/>
        <w:color w:val="auto"/>
        <w:u w:val="none"/>
      </w:rPr>
    </w:lvl>
    <w:lvl w:ilvl="2">
      <w:start w:val="1"/>
      <w:numFmt w:val="upperLetter"/>
      <w:lvlText w:val="(%3)"/>
      <w:lvlJc w:val="left"/>
      <w:pPr>
        <w:tabs>
          <w:tab w:val="num" w:pos="1800"/>
        </w:tabs>
        <w:ind w:left="1800" w:hanging="720"/>
      </w:pPr>
      <w:rPr>
        <w:rFonts w:hint="default"/>
        <w:b w:val="0"/>
        <w:dstrike w:val="0"/>
        <w:color w:val="auto"/>
        <w:u w:val="single"/>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CE26B00"/>
    <w:multiLevelType w:val="multilevel"/>
    <w:tmpl w:val="24E864AC"/>
    <w:lvl w:ilvl="0">
      <w:start w:val="2"/>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ascii="Arial" w:hAnsi="Arial" w:cs="Arial" w:hint="default"/>
        <w:sz w:val="24"/>
        <w:szCs w:val="24"/>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CE27860"/>
    <w:multiLevelType w:val="hybridMultilevel"/>
    <w:tmpl w:val="F42AA0F4"/>
    <w:lvl w:ilvl="0" w:tplc="17E8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040BB6"/>
    <w:multiLevelType w:val="multilevel"/>
    <w:tmpl w:val="911692FA"/>
    <w:lvl w:ilvl="0">
      <w:start w:val="1"/>
      <w:numFmt w:val="decimal"/>
      <w:lvlText w:val="(%1)"/>
      <w:lvlJc w:val="left"/>
      <w:pPr>
        <w:tabs>
          <w:tab w:val="num" w:pos="720"/>
        </w:tabs>
        <w:ind w:left="720" w:hanging="720"/>
      </w:pPr>
      <w:rPr>
        <w:rFonts w:ascii="Arial" w:hAnsi="Arial" w:cs="Arial" w:hint="default"/>
        <w:i w:val="0"/>
        <w:sz w:val="24"/>
        <w:szCs w:val="24"/>
      </w:rPr>
    </w:lvl>
    <w:lvl w:ilvl="1">
      <w:start w:val="2"/>
      <w:numFmt w:val="decimal"/>
      <w:lvlText w:val="(%2)"/>
      <w:lvlJc w:val="left"/>
      <w:pPr>
        <w:tabs>
          <w:tab w:val="num" w:pos="1080"/>
        </w:tabs>
        <w:ind w:left="1080" w:hanging="720"/>
      </w:pPr>
      <w:rPr>
        <w:rFonts w:cs="Times New Roman" w:hint="default"/>
        <w:strike w:val="0"/>
      </w:rPr>
    </w:lvl>
    <w:lvl w:ilvl="2">
      <w:start w:val="1"/>
      <w:numFmt w:val="upperLetter"/>
      <w:lvlText w:val="(%3)"/>
      <w:lvlJc w:val="left"/>
      <w:pPr>
        <w:tabs>
          <w:tab w:val="num" w:pos="1800"/>
        </w:tabs>
        <w:ind w:left="1800" w:hanging="720"/>
      </w:pPr>
      <w:rPr>
        <w:rFonts w:cs="Times New Roman" w:hint="default"/>
      </w:rPr>
    </w:lvl>
    <w:lvl w:ilvl="3">
      <w:start w:val="2"/>
      <w:numFmt w:val="lowerRoman"/>
      <w:lvlText w:val="(%4)"/>
      <w:lvlJc w:val="left"/>
      <w:pPr>
        <w:tabs>
          <w:tab w:val="num" w:pos="2160"/>
        </w:tabs>
        <w:ind w:left="2160" w:hanging="720"/>
      </w:pPr>
      <w:rPr>
        <w:rFonts w:cs="Times New Roman" w:hint="default"/>
        <w:strike/>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D121CE5"/>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DFD4E38"/>
    <w:multiLevelType w:val="multilevel"/>
    <w:tmpl w:val="A47A8398"/>
    <w:lvl w:ilvl="0">
      <w:start w:val="1"/>
      <w:numFmt w:val="lowerLetter"/>
      <w:lvlText w:val="(%1)"/>
      <w:lvlJc w:val="left"/>
      <w:pPr>
        <w:tabs>
          <w:tab w:val="num" w:pos="720"/>
        </w:tabs>
        <w:ind w:left="720" w:hanging="720"/>
      </w:pPr>
      <w:rPr>
        <w:rFonts w:cs="Times New Roman" w:hint="default"/>
        <w:i w:val="0"/>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D63D38"/>
    <w:multiLevelType w:val="multilevel"/>
    <w:tmpl w:val="50F65398"/>
    <w:lvl w:ilvl="0">
      <w:start w:val="1"/>
      <w:numFmt w:val="lowerLetter"/>
      <w:lvlText w:val="(%1)"/>
      <w:lvlJc w:val="left"/>
      <w:pPr>
        <w:tabs>
          <w:tab w:val="num" w:pos="720"/>
        </w:tabs>
        <w:ind w:left="720" w:hanging="720"/>
      </w:pPr>
      <w:rPr>
        <w:rFonts w:hint="default"/>
        <w:i w:val="0"/>
      </w:rPr>
    </w:lvl>
    <w:lvl w:ilvl="1">
      <w:start w:val="1"/>
      <w:numFmt w:val="decimal"/>
      <w:lvlText w:val="(%2)"/>
      <w:lvlJc w:val="left"/>
      <w:pPr>
        <w:tabs>
          <w:tab w:val="num" w:pos="1080"/>
        </w:tabs>
        <w:ind w:left="1080" w:hanging="720"/>
      </w:pPr>
      <w:rPr>
        <w:rFonts w:hint="default"/>
        <w:u w:val="none"/>
      </w:rPr>
    </w:lvl>
    <w:lvl w:ilvl="2">
      <w:start w:val="1"/>
      <w:numFmt w:val="upperLetter"/>
      <w:lvlText w:val="(%3)"/>
      <w:lvlJc w:val="left"/>
      <w:pPr>
        <w:tabs>
          <w:tab w:val="num" w:pos="1800"/>
        </w:tabs>
        <w:ind w:left="180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00D7A46"/>
    <w:multiLevelType w:val="multilevel"/>
    <w:tmpl w:val="AE82611A"/>
    <w:lvl w:ilvl="0">
      <w:start w:val="1"/>
      <w:numFmt w:val="lowerLetter"/>
      <w:lvlText w:val="(%1)"/>
      <w:lvlJc w:val="left"/>
      <w:pPr>
        <w:tabs>
          <w:tab w:val="num" w:pos="720"/>
        </w:tabs>
        <w:ind w:left="720" w:hanging="720"/>
      </w:pPr>
      <w:rPr>
        <w:rFonts w:cs="Times New Roman" w:hint="default"/>
        <w:b w:val="0"/>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B341BC"/>
    <w:multiLevelType w:val="multilevel"/>
    <w:tmpl w:val="30885070"/>
    <w:lvl w:ilvl="0">
      <w:start w:val="1"/>
      <w:numFmt w:val="lowerLetter"/>
      <w:lvlText w:val="(%1)"/>
      <w:lvlJc w:val="left"/>
      <w:pPr>
        <w:tabs>
          <w:tab w:val="num" w:pos="720"/>
        </w:tabs>
        <w:ind w:left="720" w:hanging="720"/>
      </w:pPr>
      <w:rPr>
        <w:rFonts w:cs="Times New Roman" w:hint="default"/>
        <w:i w:val="0"/>
      </w:rPr>
    </w:lvl>
    <w:lvl w:ilvl="1">
      <w:start w:val="1"/>
      <w:numFmt w:val="decimal"/>
      <w:lvlText w:val="(%2)"/>
      <w:lvlJc w:val="left"/>
      <w:pPr>
        <w:tabs>
          <w:tab w:val="num" w:pos="1080"/>
        </w:tabs>
        <w:ind w:left="1080" w:hanging="720"/>
      </w:pPr>
      <w:rPr>
        <w:rFonts w:cs="Times New Roman" w:hint="default"/>
        <w:strike w:val="0"/>
        <w:dstrike w:val="0"/>
        <w:color w:val="auto"/>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49F52CD"/>
    <w:multiLevelType w:val="hybridMultilevel"/>
    <w:tmpl w:val="A5181812"/>
    <w:lvl w:ilvl="0" w:tplc="82381060">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5FC1631"/>
    <w:multiLevelType w:val="multilevel"/>
    <w:tmpl w:val="911692FA"/>
    <w:lvl w:ilvl="0">
      <w:start w:val="1"/>
      <w:numFmt w:val="decimal"/>
      <w:lvlText w:val="(%1)"/>
      <w:lvlJc w:val="left"/>
      <w:pPr>
        <w:tabs>
          <w:tab w:val="num" w:pos="720"/>
        </w:tabs>
        <w:ind w:left="720" w:hanging="720"/>
      </w:pPr>
      <w:rPr>
        <w:rFonts w:ascii="Arial" w:hAnsi="Arial" w:cs="Arial" w:hint="default"/>
        <w:i w:val="0"/>
        <w:sz w:val="24"/>
        <w:szCs w:val="24"/>
      </w:rPr>
    </w:lvl>
    <w:lvl w:ilvl="1">
      <w:start w:val="2"/>
      <w:numFmt w:val="decimal"/>
      <w:lvlText w:val="(%2)"/>
      <w:lvlJc w:val="left"/>
      <w:pPr>
        <w:tabs>
          <w:tab w:val="num" w:pos="1080"/>
        </w:tabs>
        <w:ind w:left="1080" w:hanging="720"/>
      </w:pPr>
      <w:rPr>
        <w:rFonts w:cs="Times New Roman" w:hint="default"/>
        <w:strike w:val="0"/>
      </w:rPr>
    </w:lvl>
    <w:lvl w:ilvl="2">
      <w:start w:val="1"/>
      <w:numFmt w:val="upperLetter"/>
      <w:lvlText w:val="(%3)"/>
      <w:lvlJc w:val="left"/>
      <w:pPr>
        <w:tabs>
          <w:tab w:val="num" w:pos="1800"/>
        </w:tabs>
        <w:ind w:left="1800" w:hanging="720"/>
      </w:pPr>
      <w:rPr>
        <w:rFonts w:cs="Times New Roman" w:hint="default"/>
      </w:rPr>
    </w:lvl>
    <w:lvl w:ilvl="3">
      <w:start w:val="2"/>
      <w:numFmt w:val="lowerRoman"/>
      <w:lvlText w:val="(%4)"/>
      <w:lvlJc w:val="left"/>
      <w:pPr>
        <w:tabs>
          <w:tab w:val="num" w:pos="2160"/>
        </w:tabs>
        <w:ind w:left="2160" w:hanging="720"/>
      </w:pPr>
      <w:rPr>
        <w:rFonts w:cs="Times New Roman" w:hint="default"/>
        <w:strike/>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AAA1792"/>
    <w:multiLevelType w:val="multilevel"/>
    <w:tmpl w:val="1F3A34AA"/>
    <w:lvl w:ilvl="0">
      <w:start w:val="1"/>
      <w:numFmt w:val="lowerLetter"/>
      <w:lvlText w:val="(%1)"/>
      <w:lvlJc w:val="left"/>
      <w:pPr>
        <w:tabs>
          <w:tab w:val="num" w:pos="720"/>
        </w:tabs>
        <w:ind w:left="720" w:hanging="720"/>
      </w:pPr>
      <w:rPr>
        <w:rFonts w:cs="Times New Roman" w:hint="default"/>
        <w:dstrike w:val="0"/>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DA15949"/>
    <w:multiLevelType w:val="multilevel"/>
    <w:tmpl w:val="0E04F904"/>
    <w:lvl w:ilvl="0">
      <w:start w:val="9"/>
      <w:numFmt w:val="lowerLetter"/>
      <w:lvlText w:val="(%1)"/>
      <w:lvlJc w:val="left"/>
      <w:pPr>
        <w:tabs>
          <w:tab w:val="num" w:pos="720"/>
        </w:tabs>
        <w:ind w:left="720" w:hanging="720"/>
      </w:pPr>
      <w:rPr>
        <w:rFonts w:cs="Times New Roman" w:hint="default"/>
        <w:i w:val="0"/>
      </w:rPr>
    </w:lvl>
    <w:lvl w:ilvl="1">
      <w:start w:val="1"/>
      <w:numFmt w:val="decimal"/>
      <w:lvlText w:val="(%2)"/>
      <w:lvlJc w:val="left"/>
      <w:pPr>
        <w:tabs>
          <w:tab w:val="num" w:pos="1080"/>
        </w:tabs>
        <w:ind w:left="1080" w:hanging="720"/>
      </w:pPr>
      <w:rPr>
        <w:rFonts w:cs="Times New Roman" w:hint="default"/>
      </w:rPr>
    </w:lvl>
    <w:lvl w:ilvl="2">
      <w:start w:val="4"/>
      <w:numFmt w:val="upperLetter"/>
      <w:lvlText w:val="(%3)"/>
      <w:lvlJc w:val="left"/>
      <w:pPr>
        <w:tabs>
          <w:tab w:val="num" w:pos="1800"/>
        </w:tabs>
        <w:ind w:left="1800" w:hanging="720"/>
      </w:pPr>
      <w:rPr>
        <w:rFonts w:cs="Times New Roman" w:hint="default"/>
      </w:rPr>
    </w:lvl>
    <w:lvl w:ilvl="3">
      <w:start w:val="2"/>
      <w:numFmt w:val="lowerRoman"/>
      <w:lvlText w:val="(%4)"/>
      <w:lvlJc w:val="left"/>
      <w:pPr>
        <w:tabs>
          <w:tab w:val="num" w:pos="2160"/>
        </w:tabs>
        <w:ind w:left="2160" w:hanging="720"/>
      </w:pPr>
      <w:rPr>
        <w:rFonts w:cs="Times New Roman" w:hint="default"/>
        <w:strike/>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E0E2F64"/>
    <w:multiLevelType w:val="hybridMultilevel"/>
    <w:tmpl w:val="BA861EB2"/>
    <w:lvl w:ilvl="0" w:tplc="D2849130">
      <w:start w:val="1"/>
      <w:numFmt w:val="decimal"/>
      <w:lvlText w:val="(%1)"/>
      <w:lvlJc w:val="left"/>
      <w:pPr>
        <w:ind w:left="1080" w:hanging="360"/>
      </w:pPr>
      <w:rPr>
        <w:rFonts w:cs="Arial" w:hint="default"/>
      </w:rPr>
    </w:lvl>
    <w:lvl w:ilvl="1" w:tplc="D2849130">
      <w:start w:val="1"/>
      <w:numFmt w:val="decimal"/>
      <w:lvlText w:val="(%2)"/>
      <w:lvlJc w:val="left"/>
      <w:pPr>
        <w:ind w:left="810" w:hanging="360"/>
      </w:pPr>
      <w:rPr>
        <w:rFonts w:cs="Arial" w:hint="default"/>
      </w:rPr>
    </w:lvl>
    <w:lvl w:ilvl="2" w:tplc="331898DC">
      <w:start w:val="1"/>
      <w:numFmt w:val="upperLetter"/>
      <w:lvlText w:val="(%3)"/>
      <w:lvlJc w:val="left"/>
      <w:pPr>
        <w:ind w:left="2520" w:hanging="180"/>
      </w:pPr>
      <w:rPr>
        <w:rFonts w:ascii="Arial" w:hAnsi="Arial" w:cs="Arial"/>
        <w:dstrike w:val="0"/>
        <w:color w:val="auto"/>
        <w:sz w:val="24"/>
        <w:szCs w:val="24"/>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E0F486A"/>
    <w:multiLevelType w:val="multilevel"/>
    <w:tmpl w:val="55BEB34E"/>
    <w:lvl w:ilvl="0">
      <w:start w:val="2"/>
      <w:numFmt w:val="lowerLetter"/>
      <w:lvlText w:val="(%1)"/>
      <w:lvlJc w:val="left"/>
      <w:pPr>
        <w:tabs>
          <w:tab w:val="num" w:pos="720"/>
        </w:tabs>
        <w:ind w:left="720" w:hanging="720"/>
      </w:pPr>
      <w:rPr>
        <w:rFonts w:cs="Times New Roman" w:hint="default"/>
        <w:i w:val="0"/>
        <w:strike w:val="0"/>
        <w:u w:val="none"/>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decimal"/>
      <w:lvlText w:val="%4."/>
      <w:lvlJc w:val="left"/>
      <w:pPr>
        <w:tabs>
          <w:tab w:val="num" w:pos="2160"/>
        </w:tabs>
        <w:ind w:left="2160" w:hanging="720"/>
      </w:pPr>
      <w:rPr>
        <w:rFonts w:ascii="Arial" w:eastAsia="PMingLiU" w:hAnsi="Arial" w:cs="Arial" w:hint="default"/>
        <w:u w:val="single"/>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1A6A7D"/>
    <w:multiLevelType w:val="multilevel"/>
    <w:tmpl w:val="AE82611A"/>
    <w:lvl w:ilvl="0">
      <w:start w:val="1"/>
      <w:numFmt w:val="lowerLetter"/>
      <w:lvlText w:val="(%1)"/>
      <w:lvlJc w:val="left"/>
      <w:pPr>
        <w:tabs>
          <w:tab w:val="num" w:pos="720"/>
        </w:tabs>
        <w:ind w:left="720" w:hanging="720"/>
      </w:pPr>
      <w:rPr>
        <w:rFonts w:cs="Times New Roman" w:hint="default"/>
        <w:b w:val="0"/>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29B52A8"/>
    <w:multiLevelType w:val="multilevel"/>
    <w:tmpl w:val="D6B8F6D2"/>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strike w:val="0"/>
        <w:u w:val="none"/>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5335563A"/>
    <w:multiLevelType w:val="multilevel"/>
    <w:tmpl w:val="D918E944"/>
    <w:lvl w:ilvl="0">
      <w:start w:val="2"/>
      <w:numFmt w:val="lowerLetter"/>
      <w:lvlText w:val="(%1)"/>
      <w:lvlJc w:val="left"/>
      <w:pPr>
        <w:tabs>
          <w:tab w:val="num" w:pos="720"/>
        </w:tabs>
        <w:ind w:left="720" w:hanging="720"/>
      </w:pPr>
      <w:rPr>
        <w:rFonts w:ascii="Arial" w:hAnsi="Arial" w:cs="Arial" w:hint="default"/>
        <w:u w:val="single"/>
      </w:rPr>
    </w:lvl>
    <w:lvl w:ilvl="1">
      <w:start w:val="3"/>
      <w:numFmt w:val="decimal"/>
      <w:lvlText w:val="(%2)"/>
      <w:lvlJc w:val="left"/>
      <w:pPr>
        <w:tabs>
          <w:tab w:val="num" w:pos="1080"/>
        </w:tabs>
        <w:ind w:left="1080" w:hanging="720"/>
      </w:pPr>
      <w:rPr>
        <w:rFonts w:cs="Times New Roman" w:hint="default"/>
        <w:i w:val="0"/>
        <w:u w:val="none"/>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53FC2E80"/>
    <w:multiLevelType w:val="multilevel"/>
    <w:tmpl w:val="3050FAE0"/>
    <w:lvl w:ilvl="0">
      <w:start w:val="1"/>
      <w:numFmt w:val="lowerLetter"/>
      <w:lvlText w:val="(%1)"/>
      <w:lvlJc w:val="left"/>
      <w:pPr>
        <w:tabs>
          <w:tab w:val="num" w:pos="720"/>
        </w:tabs>
        <w:ind w:left="720" w:hanging="720"/>
      </w:pPr>
      <w:rPr>
        <w:rFonts w:hint="default"/>
        <w:strike w:val="0"/>
        <w:sz w:val="24"/>
        <w:u w:val="none"/>
      </w:rPr>
    </w:lvl>
    <w:lvl w:ilvl="1">
      <w:start w:val="2"/>
      <w:numFmt w:val="decimal"/>
      <w:lvlText w:val="(%2)"/>
      <w:lvlJc w:val="left"/>
      <w:pPr>
        <w:tabs>
          <w:tab w:val="num" w:pos="1080"/>
        </w:tabs>
        <w:ind w:left="1080" w:hanging="720"/>
      </w:pPr>
      <w:rPr>
        <w:rFonts w:hint="default"/>
        <w:strike w:val="0"/>
        <w:color w:val="auto"/>
        <w:u w:val="none"/>
      </w:rPr>
    </w:lvl>
    <w:lvl w:ilvl="2">
      <w:start w:val="1"/>
      <w:numFmt w:val="upperLetter"/>
      <w:lvlText w:val="(%3)"/>
      <w:lvlJc w:val="left"/>
      <w:pPr>
        <w:tabs>
          <w:tab w:val="num" w:pos="1800"/>
        </w:tabs>
        <w:ind w:left="1800" w:hanging="720"/>
      </w:pPr>
      <w:rPr>
        <w:rFonts w:hint="default"/>
        <w:b w:val="0"/>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8E1025A"/>
    <w:multiLevelType w:val="multilevel"/>
    <w:tmpl w:val="EB56F328"/>
    <w:lvl w:ilvl="0">
      <w:start w:val="2"/>
      <w:numFmt w:val="lowerLetter"/>
      <w:lvlText w:val="(%1)"/>
      <w:lvlJc w:val="left"/>
      <w:pPr>
        <w:tabs>
          <w:tab w:val="num" w:pos="720"/>
        </w:tabs>
        <w:ind w:left="720" w:hanging="720"/>
      </w:pPr>
      <w:rPr>
        <w:rFonts w:cs="Times New Roman" w:hint="default"/>
        <w:i w:val="0"/>
        <w:color w:val="FF0000"/>
        <w:u w:val="single"/>
      </w:rPr>
    </w:lvl>
    <w:lvl w:ilvl="1">
      <w:start w:val="6"/>
      <w:numFmt w:val="decimal"/>
      <w:lvlText w:val="(%2)"/>
      <w:lvlJc w:val="left"/>
      <w:pPr>
        <w:tabs>
          <w:tab w:val="num" w:pos="1080"/>
        </w:tabs>
        <w:ind w:left="1080" w:hanging="720"/>
      </w:pPr>
      <w:rPr>
        <w:rFonts w:cs="Times New Roman" w:hint="default"/>
        <w:strike w:val="0"/>
        <w:dstrike w:val="0"/>
        <w:u w:val="none"/>
        <w:effect w:val="none"/>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59F376A6"/>
    <w:multiLevelType w:val="hybridMultilevel"/>
    <w:tmpl w:val="2766BF02"/>
    <w:lvl w:ilvl="0" w:tplc="331898DC">
      <w:start w:val="1"/>
      <w:numFmt w:val="upperLetter"/>
      <w:lvlText w:val="(%1)"/>
      <w:lvlJc w:val="left"/>
      <w:pPr>
        <w:ind w:left="1800" w:hanging="360"/>
      </w:pPr>
      <w:rPr>
        <w:rFonts w:ascii="Arial" w:hAnsi="Arial" w:cs="Arial"/>
        <w:dstrike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BEF1B1E"/>
    <w:multiLevelType w:val="multilevel"/>
    <w:tmpl w:val="9716B166"/>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C0F719E"/>
    <w:multiLevelType w:val="hybridMultilevel"/>
    <w:tmpl w:val="F578946E"/>
    <w:lvl w:ilvl="0" w:tplc="BB7AB08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47571C"/>
    <w:multiLevelType w:val="multilevel"/>
    <w:tmpl w:val="E7CC08B8"/>
    <w:lvl w:ilvl="0">
      <w:start w:val="8"/>
      <w:numFmt w:val="lowerLetter"/>
      <w:lvlText w:val="(%1)"/>
      <w:lvlJc w:val="left"/>
      <w:pPr>
        <w:tabs>
          <w:tab w:val="num" w:pos="720"/>
        </w:tabs>
        <w:ind w:left="720" w:hanging="720"/>
      </w:pPr>
      <w:rPr>
        <w:rFonts w:cs="Times New Roman" w:hint="default"/>
        <w:i w:val="0"/>
      </w:rPr>
    </w:lvl>
    <w:lvl w:ilvl="1">
      <w:start w:val="3"/>
      <w:numFmt w:val="decimal"/>
      <w:lvlText w:val="(%2)"/>
      <w:lvlJc w:val="left"/>
      <w:pPr>
        <w:tabs>
          <w:tab w:val="num" w:pos="1080"/>
        </w:tabs>
        <w:ind w:left="1080" w:hanging="720"/>
      </w:pPr>
      <w:rPr>
        <w:rFonts w:cs="Times New Roman" w:hint="default"/>
      </w:rPr>
    </w:lvl>
    <w:lvl w:ilvl="2">
      <w:start w:val="4"/>
      <w:numFmt w:val="upperLetter"/>
      <w:lvlText w:val="(%3)"/>
      <w:lvlJc w:val="left"/>
      <w:pPr>
        <w:tabs>
          <w:tab w:val="num" w:pos="1800"/>
        </w:tabs>
        <w:ind w:left="1800" w:hanging="720"/>
      </w:pPr>
      <w:rPr>
        <w:rFonts w:cs="Times New Roman" w:hint="default"/>
      </w:rPr>
    </w:lvl>
    <w:lvl w:ilvl="3">
      <w:start w:val="2"/>
      <w:numFmt w:val="lowerRoman"/>
      <w:lvlText w:val="(%4)"/>
      <w:lvlJc w:val="left"/>
      <w:pPr>
        <w:tabs>
          <w:tab w:val="num" w:pos="2160"/>
        </w:tabs>
        <w:ind w:left="2160" w:hanging="720"/>
      </w:pPr>
      <w:rPr>
        <w:rFonts w:cs="Times New Roman" w:hint="default"/>
        <w:strike/>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630922EB"/>
    <w:multiLevelType w:val="multilevel"/>
    <w:tmpl w:val="840AD87C"/>
    <w:lvl w:ilvl="0">
      <w:start w:val="7"/>
      <w:numFmt w:val="lowerLetter"/>
      <w:lvlText w:val="(%1)"/>
      <w:lvlJc w:val="left"/>
      <w:pPr>
        <w:tabs>
          <w:tab w:val="num" w:pos="720"/>
        </w:tabs>
        <w:ind w:left="720" w:hanging="720"/>
      </w:pPr>
      <w:rPr>
        <w:rFonts w:hint="default"/>
        <w:sz w:val="24"/>
        <w:u w:val="none"/>
      </w:rPr>
    </w:lvl>
    <w:lvl w:ilvl="1">
      <w:start w:val="1"/>
      <w:numFmt w:val="decimal"/>
      <w:lvlText w:val="(%2)"/>
      <w:lvlJc w:val="left"/>
      <w:pPr>
        <w:tabs>
          <w:tab w:val="num" w:pos="1080"/>
        </w:tabs>
        <w:ind w:left="1080" w:hanging="720"/>
      </w:pPr>
      <w:rPr>
        <w:rFonts w:hint="default"/>
        <w:strike w:val="0"/>
        <w:u w:val="none"/>
      </w:rPr>
    </w:lvl>
    <w:lvl w:ilvl="2">
      <w:start w:val="1"/>
      <w:numFmt w:val="upperLetter"/>
      <w:lvlText w:val="(%3)"/>
      <w:lvlJc w:val="left"/>
      <w:pPr>
        <w:tabs>
          <w:tab w:val="num" w:pos="1800"/>
        </w:tabs>
        <w:ind w:left="1800" w:hanging="720"/>
      </w:pPr>
      <w:rPr>
        <w:rFonts w:hint="default"/>
        <w:b w:val="0"/>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841492"/>
    <w:multiLevelType w:val="hybridMultilevel"/>
    <w:tmpl w:val="CEC2A4A0"/>
    <w:lvl w:ilvl="0" w:tplc="331898DC">
      <w:start w:val="1"/>
      <w:numFmt w:val="upperLetter"/>
      <w:lvlText w:val="(%1)"/>
      <w:lvlJc w:val="left"/>
      <w:pPr>
        <w:ind w:left="1800" w:hanging="360"/>
      </w:pPr>
      <w:rPr>
        <w:rFonts w:ascii="Arial" w:hAnsi="Arial" w:cs="Arial"/>
        <w:dstrike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4444D99"/>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657E7033"/>
    <w:multiLevelType w:val="multilevel"/>
    <w:tmpl w:val="1B5E24B6"/>
    <w:lvl w:ilvl="0">
      <w:start w:val="1"/>
      <w:numFmt w:val="lowerLetter"/>
      <w:lvlText w:val="(%1)"/>
      <w:lvlJc w:val="left"/>
      <w:pPr>
        <w:tabs>
          <w:tab w:val="num" w:pos="720"/>
        </w:tabs>
        <w:ind w:left="720" w:hanging="720"/>
      </w:pPr>
      <w:rPr>
        <w:rFonts w:hint="default"/>
        <w:u w:val="single"/>
      </w:rPr>
    </w:lvl>
    <w:lvl w:ilvl="1">
      <w:start w:val="1"/>
      <w:numFmt w:val="decimal"/>
      <w:lvlText w:val="(%2)"/>
      <w:lvlJc w:val="left"/>
      <w:pPr>
        <w:tabs>
          <w:tab w:val="num" w:pos="1080"/>
        </w:tabs>
        <w:ind w:left="1080" w:hanging="720"/>
      </w:pPr>
      <w:rPr>
        <w:rFonts w:hint="default"/>
      </w:rPr>
    </w:lvl>
    <w:lvl w:ilvl="2">
      <w:start w:val="1"/>
      <w:numFmt w:val="upperLetter"/>
      <w:lvlText w:val="(%3)"/>
      <w:lvlJc w:val="left"/>
      <w:pPr>
        <w:tabs>
          <w:tab w:val="num" w:pos="1800"/>
        </w:tabs>
        <w:ind w:left="1800" w:hanging="720"/>
      </w:pPr>
      <w:rPr>
        <w:rFonts w:hint="default"/>
        <w:strike w:val="0"/>
        <w:u w:val="none"/>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72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73B07D50"/>
    <w:multiLevelType w:val="hybridMultilevel"/>
    <w:tmpl w:val="B8C25890"/>
    <w:lvl w:ilvl="0" w:tplc="B04CDAC8">
      <w:start w:val="6"/>
      <w:numFmt w:val="bullet"/>
      <w:lvlText w:val="-"/>
      <w:lvlJc w:val="left"/>
      <w:pPr>
        <w:ind w:left="720" w:hanging="360"/>
      </w:pPr>
      <w:rPr>
        <w:rFonts w:ascii="Courier 10cpi" w:eastAsia="PMingLiU"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911CDE"/>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762B2017"/>
    <w:multiLevelType w:val="hybridMultilevel"/>
    <w:tmpl w:val="79D8B448"/>
    <w:lvl w:ilvl="0" w:tplc="D0EED282">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896438"/>
    <w:multiLevelType w:val="multilevel"/>
    <w:tmpl w:val="38568EC4"/>
    <w:lvl w:ilvl="0">
      <w:start w:val="1"/>
      <w:numFmt w:val="lowerLetter"/>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pPr>
      <w:rPr>
        <w:rFonts w:ascii="Arial" w:hAnsi="Arial" w:cs="Tahoma" w:hint="default"/>
        <w:b w:val="0"/>
        <w:i w:val="0"/>
        <w:sz w:val="24"/>
        <w:szCs w:val="24"/>
      </w:rPr>
    </w:lvl>
    <w:lvl w:ilvl="2">
      <w:start w:val="1"/>
      <w:numFmt w:val="upperLetter"/>
      <w:lvlText w:val="(%3)"/>
      <w:lvlJc w:val="left"/>
      <w:pPr>
        <w:tabs>
          <w:tab w:val="num" w:pos="1080"/>
        </w:tabs>
        <w:ind w:left="1080" w:firstLine="360"/>
      </w:pPr>
      <w:rPr>
        <w:rFonts w:cs="Times New Roman" w:hint="default"/>
        <w:sz w:val="24"/>
      </w:rPr>
    </w:lvl>
    <w:lvl w:ilvl="3">
      <w:start w:val="1"/>
      <w:numFmt w:val="lowerRoman"/>
      <w:lvlText w:val="(%4)"/>
      <w:lvlJc w:val="left"/>
      <w:pPr>
        <w:tabs>
          <w:tab w:val="num" w:pos="1440"/>
        </w:tabs>
        <w:ind w:left="1440" w:firstLine="360"/>
      </w:pPr>
      <w:rPr>
        <w:rFonts w:cs="Times New Roman" w:hint="default"/>
        <w:sz w:val="24"/>
      </w:rPr>
    </w:lvl>
    <w:lvl w:ilvl="4">
      <w:start w:val="1"/>
      <w:numFmt w:val="lowerLetter"/>
      <w:lvlText w:val="%5."/>
      <w:lvlJc w:val="left"/>
      <w:pPr>
        <w:tabs>
          <w:tab w:val="num" w:pos="1800"/>
        </w:tabs>
        <w:ind w:left="2160"/>
      </w:pPr>
      <w:rPr>
        <w:rFonts w:cs="Times New Roman" w:hint="default"/>
        <w:sz w:val="24"/>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0876D6"/>
    <w:multiLevelType w:val="hybridMultilevel"/>
    <w:tmpl w:val="48F2F0DC"/>
    <w:lvl w:ilvl="0" w:tplc="D2849130">
      <w:start w:val="1"/>
      <w:numFmt w:val="decimal"/>
      <w:lvlText w:val="(%1)"/>
      <w:lvlJc w:val="left"/>
      <w:pPr>
        <w:ind w:left="720" w:hanging="360"/>
      </w:pPr>
      <w:rPr>
        <w:rFonts w:cs="Arial" w:hint="default"/>
      </w:rPr>
    </w:lvl>
    <w:lvl w:ilvl="1" w:tplc="AB72E492">
      <w:start w:val="1"/>
      <w:numFmt w:val="upperLetter"/>
      <w:lvlText w:val="(%2)"/>
      <w:lvlJc w:val="left"/>
      <w:pPr>
        <w:ind w:left="1440" w:hanging="360"/>
      </w:pPr>
      <w:rPr>
        <w:rFonts w:ascii="Arial" w:hAnsi="Arial" w:cs="Arial" w:hint="default"/>
        <w:dstrike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545F4B"/>
    <w:multiLevelType w:val="multilevel"/>
    <w:tmpl w:val="DF14B060"/>
    <w:lvl w:ilvl="0">
      <w:start w:val="2"/>
      <w:numFmt w:val="lowerLetter"/>
      <w:lvlText w:val="(%1)"/>
      <w:lvlJc w:val="left"/>
      <w:pPr>
        <w:tabs>
          <w:tab w:val="num" w:pos="720"/>
        </w:tabs>
        <w:ind w:left="720" w:hanging="720"/>
      </w:pPr>
      <w:rPr>
        <w:rFonts w:cs="Times New Roman" w:hint="default"/>
        <w:i w:val="0"/>
      </w:rPr>
    </w:lvl>
    <w:lvl w:ilvl="1">
      <w:start w:val="1"/>
      <w:numFmt w:val="decimal"/>
      <w:lvlText w:val="(%2)"/>
      <w:lvlJc w:val="left"/>
      <w:pPr>
        <w:tabs>
          <w:tab w:val="num" w:pos="1080"/>
        </w:tabs>
        <w:ind w:left="1080" w:hanging="720"/>
      </w:pPr>
      <w:rPr>
        <w:rFonts w:cs="Times New Roman" w:hint="default"/>
        <w:strike w:val="0"/>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firstLine="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F412329"/>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8"/>
  </w:num>
  <w:num w:numId="2">
    <w:abstractNumId w:val="53"/>
  </w:num>
  <w:num w:numId="3">
    <w:abstractNumId w:val="13"/>
  </w:num>
  <w:num w:numId="4">
    <w:abstractNumId w:val="61"/>
  </w:num>
  <w:num w:numId="5">
    <w:abstractNumId w:val="15"/>
  </w:num>
  <w:num w:numId="6">
    <w:abstractNumId w:val="7"/>
  </w:num>
  <w:num w:numId="7">
    <w:abstractNumId w:val="33"/>
  </w:num>
  <w:num w:numId="8">
    <w:abstractNumId w:val="22"/>
  </w:num>
  <w:num w:numId="9">
    <w:abstractNumId w:val="36"/>
  </w:num>
  <w:num w:numId="10">
    <w:abstractNumId w:val="20"/>
  </w:num>
  <w:num w:numId="11">
    <w:abstractNumId w:val="37"/>
  </w:num>
  <w:num w:numId="12">
    <w:abstractNumId w:val="63"/>
  </w:num>
  <w:num w:numId="13">
    <w:abstractNumId w:val="31"/>
  </w:num>
  <w:num w:numId="14">
    <w:abstractNumId w:val="29"/>
  </w:num>
  <w:num w:numId="15">
    <w:abstractNumId w:val="66"/>
  </w:num>
  <w:num w:numId="16">
    <w:abstractNumId w:val="48"/>
  </w:num>
  <w:num w:numId="17">
    <w:abstractNumId w:val="41"/>
  </w:num>
  <w:num w:numId="18">
    <w:abstractNumId w:val="46"/>
  </w:num>
  <w:num w:numId="19">
    <w:abstractNumId w:val="40"/>
  </w:num>
  <w:num w:numId="20">
    <w:abstractNumId w:val="3"/>
  </w:num>
  <w:num w:numId="21">
    <w:abstractNumId w:val="14"/>
  </w:num>
  <w:num w:numId="22">
    <w:abstractNumId w:val="17"/>
  </w:num>
  <w:num w:numId="23">
    <w:abstractNumId w:val="21"/>
  </w:num>
  <w:num w:numId="24">
    <w:abstractNumId w:val="10"/>
  </w:num>
  <w:num w:numId="25">
    <w:abstractNumId w:val="43"/>
  </w:num>
  <w:num w:numId="26">
    <w:abstractNumId w:val="39"/>
  </w:num>
  <w:num w:numId="27">
    <w:abstractNumId w:val="6"/>
  </w:num>
  <w:num w:numId="28">
    <w:abstractNumId w:val="55"/>
  </w:num>
  <w:num w:numId="29">
    <w:abstractNumId w:val="9"/>
  </w:num>
  <w:num w:numId="30">
    <w:abstractNumId w:val="49"/>
  </w:num>
  <w:num w:numId="31">
    <w:abstractNumId w:val="30"/>
  </w:num>
  <w:num w:numId="32">
    <w:abstractNumId w:val="51"/>
  </w:num>
  <w:num w:numId="33">
    <w:abstractNumId w:val="65"/>
  </w:num>
  <w:num w:numId="34">
    <w:abstractNumId w:val="38"/>
  </w:num>
  <w:num w:numId="35">
    <w:abstractNumId w:val="50"/>
  </w:num>
  <w:num w:numId="36">
    <w:abstractNumId w:val="59"/>
  </w:num>
  <w:num w:numId="37">
    <w:abstractNumId w:val="56"/>
  </w:num>
  <w:num w:numId="38">
    <w:abstractNumId w:val="5"/>
  </w:num>
  <w:num w:numId="39">
    <w:abstractNumId w:val="32"/>
  </w:num>
  <w:num w:numId="40">
    <w:abstractNumId w:val="19"/>
  </w:num>
  <w:num w:numId="41">
    <w:abstractNumId w:val="25"/>
  </w:num>
  <w:num w:numId="42">
    <w:abstractNumId w:val="26"/>
  </w:num>
  <w:num w:numId="43">
    <w:abstractNumId w:val="64"/>
  </w:num>
  <w:num w:numId="44">
    <w:abstractNumId w:val="27"/>
  </w:num>
  <w:num w:numId="45">
    <w:abstractNumId w:val="52"/>
  </w:num>
  <w:num w:numId="46">
    <w:abstractNumId w:val="4"/>
  </w:num>
  <w:num w:numId="47">
    <w:abstractNumId w:val="45"/>
  </w:num>
  <w:num w:numId="48">
    <w:abstractNumId w:val="8"/>
  </w:num>
  <w:num w:numId="49">
    <w:abstractNumId w:val="28"/>
  </w:num>
  <w:num w:numId="50">
    <w:abstractNumId w:val="44"/>
  </w:num>
  <w:num w:numId="51">
    <w:abstractNumId w:val="35"/>
  </w:num>
  <w:num w:numId="52">
    <w:abstractNumId w:val="57"/>
  </w:num>
  <w:num w:numId="53">
    <w:abstractNumId w:val="16"/>
  </w:num>
  <w:num w:numId="54">
    <w:abstractNumId w:val="54"/>
  </w:num>
  <w:num w:numId="55">
    <w:abstractNumId w:val="23"/>
  </w:num>
  <w:num w:numId="56">
    <w:abstractNumId w:val="12"/>
  </w:num>
  <w:num w:numId="57">
    <w:abstractNumId w:val="42"/>
  </w:num>
  <w:num w:numId="58">
    <w:abstractNumId w:val="60"/>
  </w:num>
  <w:num w:numId="59">
    <w:abstractNumId w:val="62"/>
  </w:num>
  <w:num w:numId="60">
    <w:abstractNumId w:val="2"/>
  </w:num>
  <w:num w:numId="61">
    <w:abstractNumId w:val="11"/>
  </w:num>
  <w:num w:numId="62">
    <w:abstractNumId w:val="18"/>
  </w:num>
  <w:num w:numId="63">
    <w:abstractNumId w:val="34"/>
  </w:num>
  <w:num w:numId="64">
    <w:abstractNumId w:val="47"/>
  </w:num>
  <w:num w:numId="65">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08"/>
    <w:rsid w:val="0000003F"/>
    <w:rsid w:val="00000FFC"/>
    <w:rsid w:val="0000141F"/>
    <w:rsid w:val="00001572"/>
    <w:rsid w:val="000025D2"/>
    <w:rsid w:val="00002F1E"/>
    <w:rsid w:val="00003951"/>
    <w:rsid w:val="00004DBE"/>
    <w:rsid w:val="00006692"/>
    <w:rsid w:val="000066B1"/>
    <w:rsid w:val="0000679C"/>
    <w:rsid w:val="00006979"/>
    <w:rsid w:val="00006E49"/>
    <w:rsid w:val="000074F2"/>
    <w:rsid w:val="00007EB9"/>
    <w:rsid w:val="00007F3E"/>
    <w:rsid w:val="00010413"/>
    <w:rsid w:val="00010969"/>
    <w:rsid w:val="00010D19"/>
    <w:rsid w:val="00010FE2"/>
    <w:rsid w:val="0001200A"/>
    <w:rsid w:val="000122AA"/>
    <w:rsid w:val="000128A8"/>
    <w:rsid w:val="00012CBC"/>
    <w:rsid w:val="000131D0"/>
    <w:rsid w:val="00013A10"/>
    <w:rsid w:val="00014266"/>
    <w:rsid w:val="000151C2"/>
    <w:rsid w:val="000155BC"/>
    <w:rsid w:val="000165CD"/>
    <w:rsid w:val="00016ABD"/>
    <w:rsid w:val="0001756F"/>
    <w:rsid w:val="00017BE6"/>
    <w:rsid w:val="000200BC"/>
    <w:rsid w:val="0002017B"/>
    <w:rsid w:val="000205E6"/>
    <w:rsid w:val="000207E5"/>
    <w:rsid w:val="000226D7"/>
    <w:rsid w:val="0002310B"/>
    <w:rsid w:val="000237E1"/>
    <w:rsid w:val="00023BFA"/>
    <w:rsid w:val="000240E5"/>
    <w:rsid w:val="0002410B"/>
    <w:rsid w:val="000242BB"/>
    <w:rsid w:val="000245EC"/>
    <w:rsid w:val="00024BAE"/>
    <w:rsid w:val="000250EA"/>
    <w:rsid w:val="000251CC"/>
    <w:rsid w:val="00025EDD"/>
    <w:rsid w:val="0002619A"/>
    <w:rsid w:val="00027028"/>
    <w:rsid w:val="0002722D"/>
    <w:rsid w:val="00030F43"/>
    <w:rsid w:val="00031614"/>
    <w:rsid w:val="000318FD"/>
    <w:rsid w:val="00032054"/>
    <w:rsid w:val="00033149"/>
    <w:rsid w:val="0003327E"/>
    <w:rsid w:val="00033316"/>
    <w:rsid w:val="000337C0"/>
    <w:rsid w:val="00033FAE"/>
    <w:rsid w:val="000352D6"/>
    <w:rsid w:val="0003568D"/>
    <w:rsid w:val="00036A10"/>
    <w:rsid w:val="00037370"/>
    <w:rsid w:val="00037630"/>
    <w:rsid w:val="00037700"/>
    <w:rsid w:val="00037782"/>
    <w:rsid w:val="000406C0"/>
    <w:rsid w:val="000412C1"/>
    <w:rsid w:val="00041A8A"/>
    <w:rsid w:val="00042A03"/>
    <w:rsid w:val="000435CF"/>
    <w:rsid w:val="00043802"/>
    <w:rsid w:val="00044241"/>
    <w:rsid w:val="0004429B"/>
    <w:rsid w:val="00045767"/>
    <w:rsid w:val="0004607A"/>
    <w:rsid w:val="0004645B"/>
    <w:rsid w:val="000467B1"/>
    <w:rsid w:val="00046ED3"/>
    <w:rsid w:val="00047F1E"/>
    <w:rsid w:val="00050238"/>
    <w:rsid w:val="000503F5"/>
    <w:rsid w:val="00050C86"/>
    <w:rsid w:val="000530DD"/>
    <w:rsid w:val="00053328"/>
    <w:rsid w:val="00053549"/>
    <w:rsid w:val="00053A09"/>
    <w:rsid w:val="00053C95"/>
    <w:rsid w:val="00053D51"/>
    <w:rsid w:val="00054046"/>
    <w:rsid w:val="000547A2"/>
    <w:rsid w:val="00054959"/>
    <w:rsid w:val="00054DC0"/>
    <w:rsid w:val="00054FA8"/>
    <w:rsid w:val="00055134"/>
    <w:rsid w:val="000557B3"/>
    <w:rsid w:val="00056013"/>
    <w:rsid w:val="000567C4"/>
    <w:rsid w:val="000567CC"/>
    <w:rsid w:val="00056AD6"/>
    <w:rsid w:val="000575AE"/>
    <w:rsid w:val="00057A7F"/>
    <w:rsid w:val="00057E39"/>
    <w:rsid w:val="00060BA2"/>
    <w:rsid w:val="00060E20"/>
    <w:rsid w:val="000617AA"/>
    <w:rsid w:val="00062076"/>
    <w:rsid w:val="00062322"/>
    <w:rsid w:val="0006335D"/>
    <w:rsid w:val="00063DB9"/>
    <w:rsid w:val="00063FFE"/>
    <w:rsid w:val="000646F4"/>
    <w:rsid w:val="000650B9"/>
    <w:rsid w:val="0006589C"/>
    <w:rsid w:val="000662B2"/>
    <w:rsid w:val="00066BD9"/>
    <w:rsid w:val="00066FC6"/>
    <w:rsid w:val="00067435"/>
    <w:rsid w:val="000679F4"/>
    <w:rsid w:val="00067D53"/>
    <w:rsid w:val="000702CE"/>
    <w:rsid w:val="0007039F"/>
    <w:rsid w:val="000714FC"/>
    <w:rsid w:val="0007264E"/>
    <w:rsid w:val="00072F26"/>
    <w:rsid w:val="000752A2"/>
    <w:rsid w:val="0007671E"/>
    <w:rsid w:val="00077B2F"/>
    <w:rsid w:val="00080398"/>
    <w:rsid w:val="00080507"/>
    <w:rsid w:val="000820E1"/>
    <w:rsid w:val="00082936"/>
    <w:rsid w:val="00082BC6"/>
    <w:rsid w:val="000835E4"/>
    <w:rsid w:val="00084835"/>
    <w:rsid w:val="0008579E"/>
    <w:rsid w:val="00085BC8"/>
    <w:rsid w:val="00086AA1"/>
    <w:rsid w:val="00087791"/>
    <w:rsid w:val="00087A51"/>
    <w:rsid w:val="00087C1D"/>
    <w:rsid w:val="00087DB0"/>
    <w:rsid w:val="00087E73"/>
    <w:rsid w:val="00090844"/>
    <w:rsid w:val="00090DBE"/>
    <w:rsid w:val="00091D14"/>
    <w:rsid w:val="00091E6F"/>
    <w:rsid w:val="00091F54"/>
    <w:rsid w:val="0009219B"/>
    <w:rsid w:val="0009261E"/>
    <w:rsid w:val="00093A6F"/>
    <w:rsid w:val="00093AE2"/>
    <w:rsid w:val="00094669"/>
    <w:rsid w:val="00094A51"/>
    <w:rsid w:val="000963AF"/>
    <w:rsid w:val="00096465"/>
    <w:rsid w:val="0009651D"/>
    <w:rsid w:val="00097246"/>
    <w:rsid w:val="000975AE"/>
    <w:rsid w:val="00097A72"/>
    <w:rsid w:val="00097CA7"/>
    <w:rsid w:val="000A0F4F"/>
    <w:rsid w:val="000A140E"/>
    <w:rsid w:val="000A143B"/>
    <w:rsid w:val="000A17C3"/>
    <w:rsid w:val="000A18AE"/>
    <w:rsid w:val="000A2468"/>
    <w:rsid w:val="000A2DC0"/>
    <w:rsid w:val="000A2FC2"/>
    <w:rsid w:val="000A45E9"/>
    <w:rsid w:val="000A581D"/>
    <w:rsid w:val="000A63C3"/>
    <w:rsid w:val="000A6660"/>
    <w:rsid w:val="000A666B"/>
    <w:rsid w:val="000A66DC"/>
    <w:rsid w:val="000A673C"/>
    <w:rsid w:val="000A6E4A"/>
    <w:rsid w:val="000A7861"/>
    <w:rsid w:val="000A7F7F"/>
    <w:rsid w:val="000B0161"/>
    <w:rsid w:val="000B03AD"/>
    <w:rsid w:val="000B04DD"/>
    <w:rsid w:val="000B06E4"/>
    <w:rsid w:val="000B0841"/>
    <w:rsid w:val="000B0DA8"/>
    <w:rsid w:val="000B12F7"/>
    <w:rsid w:val="000B13C8"/>
    <w:rsid w:val="000B256D"/>
    <w:rsid w:val="000B30B1"/>
    <w:rsid w:val="000B407B"/>
    <w:rsid w:val="000B41CC"/>
    <w:rsid w:val="000B43E0"/>
    <w:rsid w:val="000B56F0"/>
    <w:rsid w:val="000B62CC"/>
    <w:rsid w:val="000B6806"/>
    <w:rsid w:val="000B7DC2"/>
    <w:rsid w:val="000C162C"/>
    <w:rsid w:val="000C1771"/>
    <w:rsid w:val="000C21A8"/>
    <w:rsid w:val="000C21C9"/>
    <w:rsid w:val="000C2A35"/>
    <w:rsid w:val="000C432C"/>
    <w:rsid w:val="000C4EA6"/>
    <w:rsid w:val="000C4ED2"/>
    <w:rsid w:val="000C675A"/>
    <w:rsid w:val="000C6F59"/>
    <w:rsid w:val="000C7300"/>
    <w:rsid w:val="000D08EF"/>
    <w:rsid w:val="000D0CCB"/>
    <w:rsid w:val="000D12AA"/>
    <w:rsid w:val="000D1E60"/>
    <w:rsid w:val="000D223A"/>
    <w:rsid w:val="000D2377"/>
    <w:rsid w:val="000D2E8D"/>
    <w:rsid w:val="000D343D"/>
    <w:rsid w:val="000D3523"/>
    <w:rsid w:val="000D46F2"/>
    <w:rsid w:val="000D4F84"/>
    <w:rsid w:val="000D60FC"/>
    <w:rsid w:val="000D6147"/>
    <w:rsid w:val="000D63F5"/>
    <w:rsid w:val="000D692C"/>
    <w:rsid w:val="000D6E0A"/>
    <w:rsid w:val="000D797E"/>
    <w:rsid w:val="000D7EEE"/>
    <w:rsid w:val="000E03F4"/>
    <w:rsid w:val="000E06FC"/>
    <w:rsid w:val="000E0A2C"/>
    <w:rsid w:val="000E1408"/>
    <w:rsid w:val="000E1D50"/>
    <w:rsid w:val="000E2138"/>
    <w:rsid w:val="000E22B2"/>
    <w:rsid w:val="000E236B"/>
    <w:rsid w:val="000E2FE4"/>
    <w:rsid w:val="000E356A"/>
    <w:rsid w:val="000E38B4"/>
    <w:rsid w:val="000E4455"/>
    <w:rsid w:val="000E4F83"/>
    <w:rsid w:val="000E54CF"/>
    <w:rsid w:val="000E6153"/>
    <w:rsid w:val="000E6A48"/>
    <w:rsid w:val="000E73C0"/>
    <w:rsid w:val="000E7420"/>
    <w:rsid w:val="000E750C"/>
    <w:rsid w:val="000E7C7C"/>
    <w:rsid w:val="000E7D44"/>
    <w:rsid w:val="000F0152"/>
    <w:rsid w:val="000F018E"/>
    <w:rsid w:val="000F0E4D"/>
    <w:rsid w:val="000F107D"/>
    <w:rsid w:val="000F1740"/>
    <w:rsid w:val="000F1800"/>
    <w:rsid w:val="000F1D3D"/>
    <w:rsid w:val="000F1DAE"/>
    <w:rsid w:val="000F2675"/>
    <w:rsid w:val="000F390B"/>
    <w:rsid w:val="000F4581"/>
    <w:rsid w:val="000F5177"/>
    <w:rsid w:val="000F5670"/>
    <w:rsid w:val="000F5FE1"/>
    <w:rsid w:val="000F770C"/>
    <w:rsid w:val="0010095D"/>
    <w:rsid w:val="00101BCF"/>
    <w:rsid w:val="00101BE5"/>
    <w:rsid w:val="00101BEA"/>
    <w:rsid w:val="00101D93"/>
    <w:rsid w:val="00102051"/>
    <w:rsid w:val="00102890"/>
    <w:rsid w:val="001032F0"/>
    <w:rsid w:val="00103692"/>
    <w:rsid w:val="00103999"/>
    <w:rsid w:val="00103C04"/>
    <w:rsid w:val="00104468"/>
    <w:rsid w:val="001056BA"/>
    <w:rsid w:val="00105CF4"/>
    <w:rsid w:val="00105F7E"/>
    <w:rsid w:val="00106685"/>
    <w:rsid w:val="001066AD"/>
    <w:rsid w:val="00106992"/>
    <w:rsid w:val="00106D97"/>
    <w:rsid w:val="00106F52"/>
    <w:rsid w:val="001075D0"/>
    <w:rsid w:val="00107837"/>
    <w:rsid w:val="00107AE9"/>
    <w:rsid w:val="00107E28"/>
    <w:rsid w:val="001100D5"/>
    <w:rsid w:val="00111005"/>
    <w:rsid w:val="001111DA"/>
    <w:rsid w:val="0011188E"/>
    <w:rsid w:val="00111CCD"/>
    <w:rsid w:val="0011238A"/>
    <w:rsid w:val="001138CF"/>
    <w:rsid w:val="001147D3"/>
    <w:rsid w:val="001148E7"/>
    <w:rsid w:val="00114F24"/>
    <w:rsid w:val="00115227"/>
    <w:rsid w:val="00115DAC"/>
    <w:rsid w:val="0011656B"/>
    <w:rsid w:val="001165BA"/>
    <w:rsid w:val="00116ACC"/>
    <w:rsid w:val="001173BD"/>
    <w:rsid w:val="00117956"/>
    <w:rsid w:val="00120F87"/>
    <w:rsid w:val="001214F2"/>
    <w:rsid w:val="001215D3"/>
    <w:rsid w:val="00122783"/>
    <w:rsid w:val="00122C10"/>
    <w:rsid w:val="00122F92"/>
    <w:rsid w:val="0012326C"/>
    <w:rsid w:val="001233C8"/>
    <w:rsid w:val="00123A91"/>
    <w:rsid w:val="00123AAF"/>
    <w:rsid w:val="00124F47"/>
    <w:rsid w:val="00124F58"/>
    <w:rsid w:val="0012599D"/>
    <w:rsid w:val="00125BCA"/>
    <w:rsid w:val="00125E7E"/>
    <w:rsid w:val="001262F9"/>
    <w:rsid w:val="0012641C"/>
    <w:rsid w:val="00126ABA"/>
    <w:rsid w:val="00126B71"/>
    <w:rsid w:val="00126C0E"/>
    <w:rsid w:val="00127377"/>
    <w:rsid w:val="00127A82"/>
    <w:rsid w:val="00130E24"/>
    <w:rsid w:val="00130FD5"/>
    <w:rsid w:val="0013153C"/>
    <w:rsid w:val="00131AA4"/>
    <w:rsid w:val="001331D9"/>
    <w:rsid w:val="001336A7"/>
    <w:rsid w:val="00133FCA"/>
    <w:rsid w:val="00134124"/>
    <w:rsid w:val="001347B3"/>
    <w:rsid w:val="00134AB0"/>
    <w:rsid w:val="00135B50"/>
    <w:rsid w:val="00135F9C"/>
    <w:rsid w:val="0013642B"/>
    <w:rsid w:val="00136E9B"/>
    <w:rsid w:val="00137E5A"/>
    <w:rsid w:val="00137F01"/>
    <w:rsid w:val="0014032D"/>
    <w:rsid w:val="00140CAA"/>
    <w:rsid w:val="001416A9"/>
    <w:rsid w:val="00142172"/>
    <w:rsid w:val="0014384B"/>
    <w:rsid w:val="0014454E"/>
    <w:rsid w:val="00144A1A"/>
    <w:rsid w:val="0014663F"/>
    <w:rsid w:val="0014708A"/>
    <w:rsid w:val="0014724C"/>
    <w:rsid w:val="00147A21"/>
    <w:rsid w:val="00147FBA"/>
    <w:rsid w:val="001506BA"/>
    <w:rsid w:val="0015151E"/>
    <w:rsid w:val="00151F55"/>
    <w:rsid w:val="00152209"/>
    <w:rsid w:val="00152342"/>
    <w:rsid w:val="001524C9"/>
    <w:rsid w:val="001532DF"/>
    <w:rsid w:val="00153C77"/>
    <w:rsid w:val="00153E71"/>
    <w:rsid w:val="001541FB"/>
    <w:rsid w:val="0015453E"/>
    <w:rsid w:val="00154A46"/>
    <w:rsid w:val="00154DF2"/>
    <w:rsid w:val="001557B3"/>
    <w:rsid w:val="001562C9"/>
    <w:rsid w:val="00156520"/>
    <w:rsid w:val="00156912"/>
    <w:rsid w:val="001569FB"/>
    <w:rsid w:val="00157183"/>
    <w:rsid w:val="001575DB"/>
    <w:rsid w:val="001577F2"/>
    <w:rsid w:val="00157C88"/>
    <w:rsid w:val="00157F12"/>
    <w:rsid w:val="001602C7"/>
    <w:rsid w:val="00160A9E"/>
    <w:rsid w:val="00161813"/>
    <w:rsid w:val="00161940"/>
    <w:rsid w:val="00161DB4"/>
    <w:rsid w:val="00162FD1"/>
    <w:rsid w:val="0016358F"/>
    <w:rsid w:val="00163A5F"/>
    <w:rsid w:val="001641B3"/>
    <w:rsid w:val="001641C2"/>
    <w:rsid w:val="00164245"/>
    <w:rsid w:val="00164967"/>
    <w:rsid w:val="00164EB0"/>
    <w:rsid w:val="0016520B"/>
    <w:rsid w:val="001657DB"/>
    <w:rsid w:val="00165B4F"/>
    <w:rsid w:val="00166FC4"/>
    <w:rsid w:val="00167077"/>
    <w:rsid w:val="0016715C"/>
    <w:rsid w:val="00167A40"/>
    <w:rsid w:val="001700C1"/>
    <w:rsid w:val="001703A1"/>
    <w:rsid w:val="001706DB"/>
    <w:rsid w:val="00170D0F"/>
    <w:rsid w:val="001716FF"/>
    <w:rsid w:val="00171E84"/>
    <w:rsid w:val="00171E95"/>
    <w:rsid w:val="00171EBD"/>
    <w:rsid w:val="00171EDD"/>
    <w:rsid w:val="00171EE6"/>
    <w:rsid w:val="00174EF8"/>
    <w:rsid w:val="00174FA0"/>
    <w:rsid w:val="001751D8"/>
    <w:rsid w:val="001767E3"/>
    <w:rsid w:val="00177814"/>
    <w:rsid w:val="001804DE"/>
    <w:rsid w:val="00180B56"/>
    <w:rsid w:val="00180D6A"/>
    <w:rsid w:val="00180E08"/>
    <w:rsid w:val="00181054"/>
    <w:rsid w:val="001810F3"/>
    <w:rsid w:val="00182069"/>
    <w:rsid w:val="0018233E"/>
    <w:rsid w:val="0018299F"/>
    <w:rsid w:val="00182B25"/>
    <w:rsid w:val="00182CB9"/>
    <w:rsid w:val="001843B9"/>
    <w:rsid w:val="00184421"/>
    <w:rsid w:val="001850BF"/>
    <w:rsid w:val="001856D0"/>
    <w:rsid w:val="00185CBE"/>
    <w:rsid w:val="00186542"/>
    <w:rsid w:val="00186900"/>
    <w:rsid w:val="00186F95"/>
    <w:rsid w:val="0018728C"/>
    <w:rsid w:val="00187B3E"/>
    <w:rsid w:val="001913BE"/>
    <w:rsid w:val="00191467"/>
    <w:rsid w:val="0019173B"/>
    <w:rsid w:val="0019197C"/>
    <w:rsid w:val="00192419"/>
    <w:rsid w:val="00192BF5"/>
    <w:rsid w:val="0019340E"/>
    <w:rsid w:val="00193822"/>
    <w:rsid w:val="00193A76"/>
    <w:rsid w:val="00194374"/>
    <w:rsid w:val="0019470E"/>
    <w:rsid w:val="001953B5"/>
    <w:rsid w:val="001957EA"/>
    <w:rsid w:val="001960A5"/>
    <w:rsid w:val="0019630B"/>
    <w:rsid w:val="001967DC"/>
    <w:rsid w:val="00196827"/>
    <w:rsid w:val="00196ACE"/>
    <w:rsid w:val="0019798C"/>
    <w:rsid w:val="001A05E1"/>
    <w:rsid w:val="001A0762"/>
    <w:rsid w:val="001A0BF9"/>
    <w:rsid w:val="001A1C79"/>
    <w:rsid w:val="001A2162"/>
    <w:rsid w:val="001A2371"/>
    <w:rsid w:val="001A23C3"/>
    <w:rsid w:val="001A33FF"/>
    <w:rsid w:val="001A3EC3"/>
    <w:rsid w:val="001A4F73"/>
    <w:rsid w:val="001A51B5"/>
    <w:rsid w:val="001A5578"/>
    <w:rsid w:val="001A5729"/>
    <w:rsid w:val="001A5B8E"/>
    <w:rsid w:val="001A5CAC"/>
    <w:rsid w:val="001A5D45"/>
    <w:rsid w:val="001A6076"/>
    <w:rsid w:val="001A641B"/>
    <w:rsid w:val="001A6705"/>
    <w:rsid w:val="001A734B"/>
    <w:rsid w:val="001A7DE1"/>
    <w:rsid w:val="001B04EF"/>
    <w:rsid w:val="001B1FEF"/>
    <w:rsid w:val="001B3BA7"/>
    <w:rsid w:val="001B443F"/>
    <w:rsid w:val="001B4645"/>
    <w:rsid w:val="001B48E7"/>
    <w:rsid w:val="001B4C0B"/>
    <w:rsid w:val="001B5790"/>
    <w:rsid w:val="001B5CF2"/>
    <w:rsid w:val="001B6278"/>
    <w:rsid w:val="001B6B3A"/>
    <w:rsid w:val="001B6EB8"/>
    <w:rsid w:val="001C162C"/>
    <w:rsid w:val="001C2C2D"/>
    <w:rsid w:val="001C3874"/>
    <w:rsid w:val="001C3CEC"/>
    <w:rsid w:val="001C44A3"/>
    <w:rsid w:val="001C45E0"/>
    <w:rsid w:val="001C4695"/>
    <w:rsid w:val="001C530E"/>
    <w:rsid w:val="001C552D"/>
    <w:rsid w:val="001C5984"/>
    <w:rsid w:val="001C5B1C"/>
    <w:rsid w:val="001C5CF0"/>
    <w:rsid w:val="001C5DDC"/>
    <w:rsid w:val="001C5F40"/>
    <w:rsid w:val="001C6B5D"/>
    <w:rsid w:val="001C72DE"/>
    <w:rsid w:val="001C79CC"/>
    <w:rsid w:val="001C7E45"/>
    <w:rsid w:val="001D033D"/>
    <w:rsid w:val="001D05E1"/>
    <w:rsid w:val="001D0B34"/>
    <w:rsid w:val="001D0D00"/>
    <w:rsid w:val="001D0D80"/>
    <w:rsid w:val="001D0E6F"/>
    <w:rsid w:val="001D14B2"/>
    <w:rsid w:val="001D1A07"/>
    <w:rsid w:val="001D2089"/>
    <w:rsid w:val="001D25BC"/>
    <w:rsid w:val="001D5437"/>
    <w:rsid w:val="001D56DB"/>
    <w:rsid w:val="001D5CE1"/>
    <w:rsid w:val="001D6197"/>
    <w:rsid w:val="001D69F7"/>
    <w:rsid w:val="001D6A7B"/>
    <w:rsid w:val="001D745B"/>
    <w:rsid w:val="001D7E48"/>
    <w:rsid w:val="001E05F0"/>
    <w:rsid w:val="001E061C"/>
    <w:rsid w:val="001E06DF"/>
    <w:rsid w:val="001E34A9"/>
    <w:rsid w:val="001E38F5"/>
    <w:rsid w:val="001E49F5"/>
    <w:rsid w:val="001E553D"/>
    <w:rsid w:val="001E748D"/>
    <w:rsid w:val="001E7950"/>
    <w:rsid w:val="001E7A6D"/>
    <w:rsid w:val="001F02FF"/>
    <w:rsid w:val="001F03ED"/>
    <w:rsid w:val="001F06BB"/>
    <w:rsid w:val="001F0E6D"/>
    <w:rsid w:val="001F1878"/>
    <w:rsid w:val="001F2BE4"/>
    <w:rsid w:val="001F2F28"/>
    <w:rsid w:val="001F3637"/>
    <w:rsid w:val="001F3A12"/>
    <w:rsid w:val="001F40B6"/>
    <w:rsid w:val="001F459B"/>
    <w:rsid w:val="001F4ACD"/>
    <w:rsid w:val="001F505C"/>
    <w:rsid w:val="001F53FC"/>
    <w:rsid w:val="001F6CCD"/>
    <w:rsid w:val="001F7034"/>
    <w:rsid w:val="001F759F"/>
    <w:rsid w:val="002003EE"/>
    <w:rsid w:val="00201B16"/>
    <w:rsid w:val="0020270C"/>
    <w:rsid w:val="00202731"/>
    <w:rsid w:val="00203780"/>
    <w:rsid w:val="00203EB9"/>
    <w:rsid w:val="0020561F"/>
    <w:rsid w:val="00205B05"/>
    <w:rsid w:val="00205CF2"/>
    <w:rsid w:val="00205EC8"/>
    <w:rsid w:val="002064A3"/>
    <w:rsid w:val="0020698D"/>
    <w:rsid w:val="0020766F"/>
    <w:rsid w:val="00210327"/>
    <w:rsid w:val="002107BF"/>
    <w:rsid w:val="0021097D"/>
    <w:rsid w:val="00210A7A"/>
    <w:rsid w:val="00211B18"/>
    <w:rsid w:val="00211EC4"/>
    <w:rsid w:val="00212146"/>
    <w:rsid w:val="00212797"/>
    <w:rsid w:val="00212CD3"/>
    <w:rsid w:val="002133D2"/>
    <w:rsid w:val="00213543"/>
    <w:rsid w:val="00213C2A"/>
    <w:rsid w:val="00213DCE"/>
    <w:rsid w:val="00213FDC"/>
    <w:rsid w:val="0021421C"/>
    <w:rsid w:val="00214B58"/>
    <w:rsid w:val="00214EF9"/>
    <w:rsid w:val="0021567F"/>
    <w:rsid w:val="00215708"/>
    <w:rsid w:val="00215B0F"/>
    <w:rsid w:val="00215CFE"/>
    <w:rsid w:val="00216289"/>
    <w:rsid w:val="00216CEE"/>
    <w:rsid w:val="00217662"/>
    <w:rsid w:val="00217F81"/>
    <w:rsid w:val="002210AF"/>
    <w:rsid w:val="00221652"/>
    <w:rsid w:val="00221C00"/>
    <w:rsid w:val="002220CC"/>
    <w:rsid w:val="00222687"/>
    <w:rsid w:val="0022273B"/>
    <w:rsid w:val="00222E7D"/>
    <w:rsid w:val="0022309A"/>
    <w:rsid w:val="00223892"/>
    <w:rsid w:val="0022448C"/>
    <w:rsid w:val="002245B3"/>
    <w:rsid w:val="002251BE"/>
    <w:rsid w:val="00226AE7"/>
    <w:rsid w:val="00226B63"/>
    <w:rsid w:val="00226E3A"/>
    <w:rsid w:val="0022707F"/>
    <w:rsid w:val="002273ED"/>
    <w:rsid w:val="002304FE"/>
    <w:rsid w:val="002309D4"/>
    <w:rsid w:val="002310D8"/>
    <w:rsid w:val="00231BFD"/>
    <w:rsid w:val="00232081"/>
    <w:rsid w:val="0023268C"/>
    <w:rsid w:val="00232DF0"/>
    <w:rsid w:val="00233319"/>
    <w:rsid w:val="0023460C"/>
    <w:rsid w:val="002348FE"/>
    <w:rsid w:val="00235E97"/>
    <w:rsid w:val="00236DEF"/>
    <w:rsid w:val="00237289"/>
    <w:rsid w:val="002400D4"/>
    <w:rsid w:val="00240211"/>
    <w:rsid w:val="00240874"/>
    <w:rsid w:val="0024088E"/>
    <w:rsid w:val="00240D19"/>
    <w:rsid w:val="00241AD1"/>
    <w:rsid w:val="00242917"/>
    <w:rsid w:val="00243759"/>
    <w:rsid w:val="00243C3F"/>
    <w:rsid w:val="00244215"/>
    <w:rsid w:val="00244639"/>
    <w:rsid w:val="0024590A"/>
    <w:rsid w:val="002462F2"/>
    <w:rsid w:val="00246664"/>
    <w:rsid w:val="00247190"/>
    <w:rsid w:val="0025027B"/>
    <w:rsid w:val="00250388"/>
    <w:rsid w:val="00250491"/>
    <w:rsid w:val="00250C5C"/>
    <w:rsid w:val="0025101B"/>
    <w:rsid w:val="002512B0"/>
    <w:rsid w:val="00251CA0"/>
    <w:rsid w:val="002523DF"/>
    <w:rsid w:val="00252C87"/>
    <w:rsid w:val="00252E53"/>
    <w:rsid w:val="002534A2"/>
    <w:rsid w:val="002535D2"/>
    <w:rsid w:val="0025432F"/>
    <w:rsid w:val="0025460A"/>
    <w:rsid w:val="00254748"/>
    <w:rsid w:val="00255151"/>
    <w:rsid w:val="00255E0F"/>
    <w:rsid w:val="002566BE"/>
    <w:rsid w:val="00256752"/>
    <w:rsid w:val="00256F04"/>
    <w:rsid w:val="002572ED"/>
    <w:rsid w:val="00257B4F"/>
    <w:rsid w:val="00257BD0"/>
    <w:rsid w:val="00257D89"/>
    <w:rsid w:val="00257DB6"/>
    <w:rsid w:val="00261245"/>
    <w:rsid w:val="00261A62"/>
    <w:rsid w:val="00261E3C"/>
    <w:rsid w:val="002626BE"/>
    <w:rsid w:val="00262C79"/>
    <w:rsid w:val="00262EEC"/>
    <w:rsid w:val="00263AB3"/>
    <w:rsid w:val="00263D54"/>
    <w:rsid w:val="00264228"/>
    <w:rsid w:val="0026516D"/>
    <w:rsid w:val="00265610"/>
    <w:rsid w:val="002657C4"/>
    <w:rsid w:val="00265C03"/>
    <w:rsid w:val="00266187"/>
    <w:rsid w:val="00266293"/>
    <w:rsid w:val="002702A4"/>
    <w:rsid w:val="002706E4"/>
    <w:rsid w:val="0027089F"/>
    <w:rsid w:val="00270904"/>
    <w:rsid w:val="0027094A"/>
    <w:rsid w:val="002715E9"/>
    <w:rsid w:val="00271951"/>
    <w:rsid w:val="00271D1B"/>
    <w:rsid w:val="0027296C"/>
    <w:rsid w:val="00272C78"/>
    <w:rsid w:val="00273243"/>
    <w:rsid w:val="00273DC6"/>
    <w:rsid w:val="00273FFB"/>
    <w:rsid w:val="00274A4E"/>
    <w:rsid w:val="00274A9A"/>
    <w:rsid w:val="00275E81"/>
    <w:rsid w:val="002764A9"/>
    <w:rsid w:val="002764F8"/>
    <w:rsid w:val="002768BE"/>
    <w:rsid w:val="00276BB0"/>
    <w:rsid w:val="00276CB0"/>
    <w:rsid w:val="00276D05"/>
    <w:rsid w:val="00277C8E"/>
    <w:rsid w:val="00277ECE"/>
    <w:rsid w:val="002807A6"/>
    <w:rsid w:val="002807B7"/>
    <w:rsid w:val="00280873"/>
    <w:rsid w:val="002810EB"/>
    <w:rsid w:val="00281374"/>
    <w:rsid w:val="002815F3"/>
    <w:rsid w:val="002825F5"/>
    <w:rsid w:val="00282661"/>
    <w:rsid w:val="00282F31"/>
    <w:rsid w:val="00283015"/>
    <w:rsid w:val="00283058"/>
    <w:rsid w:val="0028373B"/>
    <w:rsid w:val="002838A3"/>
    <w:rsid w:val="00283B1F"/>
    <w:rsid w:val="0028428D"/>
    <w:rsid w:val="002842AD"/>
    <w:rsid w:val="002847E8"/>
    <w:rsid w:val="00286BE0"/>
    <w:rsid w:val="00286F2D"/>
    <w:rsid w:val="00286F5E"/>
    <w:rsid w:val="00287315"/>
    <w:rsid w:val="00287757"/>
    <w:rsid w:val="00287822"/>
    <w:rsid w:val="00290108"/>
    <w:rsid w:val="0029095A"/>
    <w:rsid w:val="00290F9F"/>
    <w:rsid w:val="00291310"/>
    <w:rsid w:val="00291442"/>
    <w:rsid w:val="002914E2"/>
    <w:rsid w:val="002924F1"/>
    <w:rsid w:val="002927B2"/>
    <w:rsid w:val="00292862"/>
    <w:rsid w:val="00293552"/>
    <w:rsid w:val="00293B1D"/>
    <w:rsid w:val="00294062"/>
    <w:rsid w:val="0029478D"/>
    <w:rsid w:val="00294973"/>
    <w:rsid w:val="00294BAF"/>
    <w:rsid w:val="00294F64"/>
    <w:rsid w:val="00295521"/>
    <w:rsid w:val="00295FB9"/>
    <w:rsid w:val="002961E2"/>
    <w:rsid w:val="0029620D"/>
    <w:rsid w:val="002964AF"/>
    <w:rsid w:val="00296901"/>
    <w:rsid w:val="00297231"/>
    <w:rsid w:val="00297632"/>
    <w:rsid w:val="00297F6D"/>
    <w:rsid w:val="002A0AAB"/>
    <w:rsid w:val="002A0BBC"/>
    <w:rsid w:val="002A0F18"/>
    <w:rsid w:val="002A1610"/>
    <w:rsid w:val="002A1B8F"/>
    <w:rsid w:val="002A1C6A"/>
    <w:rsid w:val="002A1D37"/>
    <w:rsid w:val="002A4DEF"/>
    <w:rsid w:val="002A5056"/>
    <w:rsid w:val="002A598C"/>
    <w:rsid w:val="002A5E0A"/>
    <w:rsid w:val="002A6137"/>
    <w:rsid w:val="002A65FB"/>
    <w:rsid w:val="002A6782"/>
    <w:rsid w:val="002A6C2B"/>
    <w:rsid w:val="002A6C31"/>
    <w:rsid w:val="002A6D90"/>
    <w:rsid w:val="002A6F27"/>
    <w:rsid w:val="002A7976"/>
    <w:rsid w:val="002A7F89"/>
    <w:rsid w:val="002B01AC"/>
    <w:rsid w:val="002B0401"/>
    <w:rsid w:val="002B17F0"/>
    <w:rsid w:val="002B1EE5"/>
    <w:rsid w:val="002B24B2"/>
    <w:rsid w:val="002B2852"/>
    <w:rsid w:val="002B34EC"/>
    <w:rsid w:val="002B38D5"/>
    <w:rsid w:val="002B3B50"/>
    <w:rsid w:val="002B3F77"/>
    <w:rsid w:val="002B4090"/>
    <w:rsid w:val="002B4757"/>
    <w:rsid w:val="002B4A9F"/>
    <w:rsid w:val="002B50D0"/>
    <w:rsid w:val="002B52BA"/>
    <w:rsid w:val="002B6235"/>
    <w:rsid w:val="002B6B3E"/>
    <w:rsid w:val="002B6C70"/>
    <w:rsid w:val="002B70ED"/>
    <w:rsid w:val="002B7329"/>
    <w:rsid w:val="002C01CA"/>
    <w:rsid w:val="002C0201"/>
    <w:rsid w:val="002C06E4"/>
    <w:rsid w:val="002C0E7F"/>
    <w:rsid w:val="002C1097"/>
    <w:rsid w:val="002C1B58"/>
    <w:rsid w:val="002C1F67"/>
    <w:rsid w:val="002C2AC3"/>
    <w:rsid w:val="002C3908"/>
    <w:rsid w:val="002C393A"/>
    <w:rsid w:val="002C3DBA"/>
    <w:rsid w:val="002C40AE"/>
    <w:rsid w:val="002C4AB4"/>
    <w:rsid w:val="002C4C1E"/>
    <w:rsid w:val="002C522D"/>
    <w:rsid w:val="002C576D"/>
    <w:rsid w:val="002C5D96"/>
    <w:rsid w:val="002C6316"/>
    <w:rsid w:val="002C64EE"/>
    <w:rsid w:val="002C750D"/>
    <w:rsid w:val="002C755F"/>
    <w:rsid w:val="002C7DB3"/>
    <w:rsid w:val="002D0232"/>
    <w:rsid w:val="002D0C7C"/>
    <w:rsid w:val="002D1BF8"/>
    <w:rsid w:val="002D2612"/>
    <w:rsid w:val="002D3267"/>
    <w:rsid w:val="002D3A8D"/>
    <w:rsid w:val="002D3BA2"/>
    <w:rsid w:val="002D3C4D"/>
    <w:rsid w:val="002D3FAE"/>
    <w:rsid w:val="002D4502"/>
    <w:rsid w:val="002D4CEE"/>
    <w:rsid w:val="002D65A3"/>
    <w:rsid w:val="002D7088"/>
    <w:rsid w:val="002D77F5"/>
    <w:rsid w:val="002D7C80"/>
    <w:rsid w:val="002E005F"/>
    <w:rsid w:val="002E02C1"/>
    <w:rsid w:val="002E0A64"/>
    <w:rsid w:val="002E0B60"/>
    <w:rsid w:val="002E0B9B"/>
    <w:rsid w:val="002E127C"/>
    <w:rsid w:val="002E1706"/>
    <w:rsid w:val="002E1AB4"/>
    <w:rsid w:val="002E1F1B"/>
    <w:rsid w:val="002E2084"/>
    <w:rsid w:val="002E2138"/>
    <w:rsid w:val="002E241F"/>
    <w:rsid w:val="002E27D3"/>
    <w:rsid w:val="002E2F06"/>
    <w:rsid w:val="002E32EA"/>
    <w:rsid w:val="002E4677"/>
    <w:rsid w:val="002E4D48"/>
    <w:rsid w:val="002E5348"/>
    <w:rsid w:val="002E5C40"/>
    <w:rsid w:val="002E5E3A"/>
    <w:rsid w:val="002E63BF"/>
    <w:rsid w:val="002F2220"/>
    <w:rsid w:val="002F2571"/>
    <w:rsid w:val="002F282C"/>
    <w:rsid w:val="002F2A83"/>
    <w:rsid w:val="002F2C86"/>
    <w:rsid w:val="002F2CA8"/>
    <w:rsid w:val="002F31DB"/>
    <w:rsid w:val="002F3710"/>
    <w:rsid w:val="002F3CAE"/>
    <w:rsid w:val="002F3CBD"/>
    <w:rsid w:val="002F3EDD"/>
    <w:rsid w:val="002F44E2"/>
    <w:rsid w:val="002F51ED"/>
    <w:rsid w:val="002F5AAE"/>
    <w:rsid w:val="002F626F"/>
    <w:rsid w:val="002F688C"/>
    <w:rsid w:val="002F7889"/>
    <w:rsid w:val="00300C6F"/>
    <w:rsid w:val="00302716"/>
    <w:rsid w:val="00302FE6"/>
    <w:rsid w:val="00303BD9"/>
    <w:rsid w:val="0030536E"/>
    <w:rsid w:val="0030651C"/>
    <w:rsid w:val="00307359"/>
    <w:rsid w:val="0030797F"/>
    <w:rsid w:val="0031028E"/>
    <w:rsid w:val="00310ADE"/>
    <w:rsid w:val="00310CFE"/>
    <w:rsid w:val="00311753"/>
    <w:rsid w:val="0031299E"/>
    <w:rsid w:val="003141F9"/>
    <w:rsid w:val="0031502E"/>
    <w:rsid w:val="00315872"/>
    <w:rsid w:val="0031612C"/>
    <w:rsid w:val="0031654A"/>
    <w:rsid w:val="00316C9D"/>
    <w:rsid w:val="00317028"/>
    <w:rsid w:val="003200CF"/>
    <w:rsid w:val="003203CD"/>
    <w:rsid w:val="00321EA2"/>
    <w:rsid w:val="003224DA"/>
    <w:rsid w:val="00322802"/>
    <w:rsid w:val="00322AE9"/>
    <w:rsid w:val="00323651"/>
    <w:rsid w:val="00324095"/>
    <w:rsid w:val="00324EC8"/>
    <w:rsid w:val="003254F7"/>
    <w:rsid w:val="00325AC4"/>
    <w:rsid w:val="00326248"/>
    <w:rsid w:val="003264DF"/>
    <w:rsid w:val="003265FD"/>
    <w:rsid w:val="00326B6A"/>
    <w:rsid w:val="003271B6"/>
    <w:rsid w:val="00327354"/>
    <w:rsid w:val="00327518"/>
    <w:rsid w:val="00327A37"/>
    <w:rsid w:val="00327D09"/>
    <w:rsid w:val="003302D4"/>
    <w:rsid w:val="003308D0"/>
    <w:rsid w:val="003309BC"/>
    <w:rsid w:val="00330A59"/>
    <w:rsid w:val="00330B01"/>
    <w:rsid w:val="00330D60"/>
    <w:rsid w:val="00330E54"/>
    <w:rsid w:val="00330E59"/>
    <w:rsid w:val="00330EE7"/>
    <w:rsid w:val="00332225"/>
    <w:rsid w:val="00332BD3"/>
    <w:rsid w:val="00333434"/>
    <w:rsid w:val="00333AAA"/>
    <w:rsid w:val="00333B16"/>
    <w:rsid w:val="00333C37"/>
    <w:rsid w:val="00334251"/>
    <w:rsid w:val="00334792"/>
    <w:rsid w:val="003350BD"/>
    <w:rsid w:val="003350E4"/>
    <w:rsid w:val="003355DD"/>
    <w:rsid w:val="00335AE7"/>
    <w:rsid w:val="0033616B"/>
    <w:rsid w:val="0033640C"/>
    <w:rsid w:val="00336924"/>
    <w:rsid w:val="00336A98"/>
    <w:rsid w:val="003376B1"/>
    <w:rsid w:val="003400B5"/>
    <w:rsid w:val="00340CB9"/>
    <w:rsid w:val="00340D7D"/>
    <w:rsid w:val="00340DA0"/>
    <w:rsid w:val="003410AA"/>
    <w:rsid w:val="00341853"/>
    <w:rsid w:val="00341AC8"/>
    <w:rsid w:val="00341B67"/>
    <w:rsid w:val="00342954"/>
    <w:rsid w:val="0034344A"/>
    <w:rsid w:val="00343C9D"/>
    <w:rsid w:val="00344262"/>
    <w:rsid w:val="00344EAC"/>
    <w:rsid w:val="0034522E"/>
    <w:rsid w:val="00345420"/>
    <w:rsid w:val="00345441"/>
    <w:rsid w:val="00345C28"/>
    <w:rsid w:val="003463C5"/>
    <w:rsid w:val="0034773A"/>
    <w:rsid w:val="00347F7F"/>
    <w:rsid w:val="0035004E"/>
    <w:rsid w:val="00350F78"/>
    <w:rsid w:val="00352CB9"/>
    <w:rsid w:val="0035366B"/>
    <w:rsid w:val="003538C3"/>
    <w:rsid w:val="00353B88"/>
    <w:rsid w:val="00354748"/>
    <w:rsid w:val="0035538A"/>
    <w:rsid w:val="00355B34"/>
    <w:rsid w:val="0035689E"/>
    <w:rsid w:val="00356B3A"/>
    <w:rsid w:val="00356F3A"/>
    <w:rsid w:val="00357078"/>
    <w:rsid w:val="00357521"/>
    <w:rsid w:val="00357A85"/>
    <w:rsid w:val="00357FEA"/>
    <w:rsid w:val="00360604"/>
    <w:rsid w:val="00360BE7"/>
    <w:rsid w:val="00360E77"/>
    <w:rsid w:val="00361062"/>
    <w:rsid w:val="00361820"/>
    <w:rsid w:val="00361DAA"/>
    <w:rsid w:val="0036229A"/>
    <w:rsid w:val="0036299F"/>
    <w:rsid w:val="00362AAA"/>
    <w:rsid w:val="00362DDF"/>
    <w:rsid w:val="00363124"/>
    <w:rsid w:val="00364CD9"/>
    <w:rsid w:val="00364DB3"/>
    <w:rsid w:val="00364FC7"/>
    <w:rsid w:val="003659A7"/>
    <w:rsid w:val="0036628E"/>
    <w:rsid w:val="00366438"/>
    <w:rsid w:val="00366450"/>
    <w:rsid w:val="00366896"/>
    <w:rsid w:val="00367E53"/>
    <w:rsid w:val="003709D9"/>
    <w:rsid w:val="00370F85"/>
    <w:rsid w:val="00371201"/>
    <w:rsid w:val="00371A3C"/>
    <w:rsid w:val="003726EE"/>
    <w:rsid w:val="003733A7"/>
    <w:rsid w:val="00373485"/>
    <w:rsid w:val="00374F9B"/>
    <w:rsid w:val="00375D4B"/>
    <w:rsid w:val="0037698C"/>
    <w:rsid w:val="003771C3"/>
    <w:rsid w:val="003774AE"/>
    <w:rsid w:val="00377752"/>
    <w:rsid w:val="003779C8"/>
    <w:rsid w:val="00380533"/>
    <w:rsid w:val="0038067E"/>
    <w:rsid w:val="00380981"/>
    <w:rsid w:val="003819EB"/>
    <w:rsid w:val="00381BE9"/>
    <w:rsid w:val="003832CE"/>
    <w:rsid w:val="00383304"/>
    <w:rsid w:val="0038348B"/>
    <w:rsid w:val="003839AE"/>
    <w:rsid w:val="00383BB2"/>
    <w:rsid w:val="00383F25"/>
    <w:rsid w:val="003851F3"/>
    <w:rsid w:val="0038604E"/>
    <w:rsid w:val="003862B6"/>
    <w:rsid w:val="003868F7"/>
    <w:rsid w:val="0038770B"/>
    <w:rsid w:val="00387CC4"/>
    <w:rsid w:val="00390DE8"/>
    <w:rsid w:val="003913B6"/>
    <w:rsid w:val="003919DB"/>
    <w:rsid w:val="00391EFC"/>
    <w:rsid w:val="00392712"/>
    <w:rsid w:val="00392FCA"/>
    <w:rsid w:val="0039382B"/>
    <w:rsid w:val="003947AF"/>
    <w:rsid w:val="00394C22"/>
    <w:rsid w:val="003951EE"/>
    <w:rsid w:val="00395B9D"/>
    <w:rsid w:val="00396DD7"/>
    <w:rsid w:val="003A10FA"/>
    <w:rsid w:val="003A1727"/>
    <w:rsid w:val="003A1F14"/>
    <w:rsid w:val="003A2C57"/>
    <w:rsid w:val="003A2C7A"/>
    <w:rsid w:val="003A343C"/>
    <w:rsid w:val="003A36F6"/>
    <w:rsid w:val="003A413C"/>
    <w:rsid w:val="003A480C"/>
    <w:rsid w:val="003A4A8B"/>
    <w:rsid w:val="003A5278"/>
    <w:rsid w:val="003A568D"/>
    <w:rsid w:val="003A6E2D"/>
    <w:rsid w:val="003A6F29"/>
    <w:rsid w:val="003A7EE9"/>
    <w:rsid w:val="003A7FF5"/>
    <w:rsid w:val="003B12B6"/>
    <w:rsid w:val="003B13BE"/>
    <w:rsid w:val="003B17E6"/>
    <w:rsid w:val="003B24B8"/>
    <w:rsid w:val="003B3693"/>
    <w:rsid w:val="003B3DF1"/>
    <w:rsid w:val="003B451C"/>
    <w:rsid w:val="003B485C"/>
    <w:rsid w:val="003B4CDF"/>
    <w:rsid w:val="003B5319"/>
    <w:rsid w:val="003B5511"/>
    <w:rsid w:val="003B5DB5"/>
    <w:rsid w:val="003B635B"/>
    <w:rsid w:val="003B63A5"/>
    <w:rsid w:val="003B6669"/>
    <w:rsid w:val="003B67AB"/>
    <w:rsid w:val="003B6B67"/>
    <w:rsid w:val="003B6ED8"/>
    <w:rsid w:val="003B7522"/>
    <w:rsid w:val="003B7B2A"/>
    <w:rsid w:val="003C01BB"/>
    <w:rsid w:val="003C1362"/>
    <w:rsid w:val="003C1505"/>
    <w:rsid w:val="003C1970"/>
    <w:rsid w:val="003C21B4"/>
    <w:rsid w:val="003C349C"/>
    <w:rsid w:val="003C36CC"/>
    <w:rsid w:val="003C3E03"/>
    <w:rsid w:val="003C3E61"/>
    <w:rsid w:val="003C4278"/>
    <w:rsid w:val="003C42A4"/>
    <w:rsid w:val="003C45EC"/>
    <w:rsid w:val="003C5119"/>
    <w:rsid w:val="003C698D"/>
    <w:rsid w:val="003C6A6B"/>
    <w:rsid w:val="003C6C97"/>
    <w:rsid w:val="003C74BD"/>
    <w:rsid w:val="003C77AB"/>
    <w:rsid w:val="003D0238"/>
    <w:rsid w:val="003D13A9"/>
    <w:rsid w:val="003D2632"/>
    <w:rsid w:val="003D2BB8"/>
    <w:rsid w:val="003D2E4D"/>
    <w:rsid w:val="003D3D9D"/>
    <w:rsid w:val="003D465D"/>
    <w:rsid w:val="003D4A9A"/>
    <w:rsid w:val="003D5610"/>
    <w:rsid w:val="003D5BD3"/>
    <w:rsid w:val="003D5FC3"/>
    <w:rsid w:val="003D6A6E"/>
    <w:rsid w:val="003D6C52"/>
    <w:rsid w:val="003D6E7C"/>
    <w:rsid w:val="003D753C"/>
    <w:rsid w:val="003E04E2"/>
    <w:rsid w:val="003E0DE3"/>
    <w:rsid w:val="003E1273"/>
    <w:rsid w:val="003E13C4"/>
    <w:rsid w:val="003E1E6A"/>
    <w:rsid w:val="003E24AA"/>
    <w:rsid w:val="003E2623"/>
    <w:rsid w:val="003E309B"/>
    <w:rsid w:val="003E3397"/>
    <w:rsid w:val="003E344C"/>
    <w:rsid w:val="003E360B"/>
    <w:rsid w:val="003E3A2D"/>
    <w:rsid w:val="003E529B"/>
    <w:rsid w:val="003E5461"/>
    <w:rsid w:val="003E59B9"/>
    <w:rsid w:val="003E5A98"/>
    <w:rsid w:val="003E69D3"/>
    <w:rsid w:val="003E69FD"/>
    <w:rsid w:val="003E76A6"/>
    <w:rsid w:val="003E7BCE"/>
    <w:rsid w:val="003F1415"/>
    <w:rsid w:val="003F14A0"/>
    <w:rsid w:val="003F281B"/>
    <w:rsid w:val="003F295D"/>
    <w:rsid w:val="003F4373"/>
    <w:rsid w:val="003F4FD8"/>
    <w:rsid w:val="003F5040"/>
    <w:rsid w:val="003F5B9A"/>
    <w:rsid w:val="003F5ECD"/>
    <w:rsid w:val="003F7739"/>
    <w:rsid w:val="0040016B"/>
    <w:rsid w:val="004005EE"/>
    <w:rsid w:val="0040080B"/>
    <w:rsid w:val="00400C46"/>
    <w:rsid w:val="0040166C"/>
    <w:rsid w:val="004017FC"/>
    <w:rsid w:val="0040209E"/>
    <w:rsid w:val="004029DC"/>
    <w:rsid w:val="00402B2D"/>
    <w:rsid w:val="00403E51"/>
    <w:rsid w:val="0040497D"/>
    <w:rsid w:val="00404A9A"/>
    <w:rsid w:val="00404D06"/>
    <w:rsid w:val="00404DE5"/>
    <w:rsid w:val="00405149"/>
    <w:rsid w:val="004051D0"/>
    <w:rsid w:val="00405E26"/>
    <w:rsid w:val="00406409"/>
    <w:rsid w:val="00407489"/>
    <w:rsid w:val="00410F64"/>
    <w:rsid w:val="0041123E"/>
    <w:rsid w:val="00412E2E"/>
    <w:rsid w:val="004134DA"/>
    <w:rsid w:val="00413590"/>
    <w:rsid w:val="0041359B"/>
    <w:rsid w:val="00413FD0"/>
    <w:rsid w:val="00414526"/>
    <w:rsid w:val="004165A4"/>
    <w:rsid w:val="004165FA"/>
    <w:rsid w:val="00416FC4"/>
    <w:rsid w:val="004173A0"/>
    <w:rsid w:val="00417789"/>
    <w:rsid w:val="00417E42"/>
    <w:rsid w:val="00417FE1"/>
    <w:rsid w:val="00420628"/>
    <w:rsid w:val="0042082A"/>
    <w:rsid w:val="00421FC4"/>
    <w:rsid w:val="00422143"/>
    <w:rsid w:val="0042244C"/>
    <w:rsid w:val="004224EA"/>
    <w:rsid w:val="0042262C"/>
    <w:rsid w:val="004228DD"/>
    <w:rsid w:val="00422C90"/>
    <w:rsid w:val="00422D9A"/>
    <w:rsid w:val="00422DED"/>
    <w:rsid w:val="00422E1C"/>
    <w:rsid w:val="004234C4"/>
    <w:rsid w:val="00423530"/>
    <w:rsid w:val="004247E4"/>
    <w:rsid w:val="00424C7C"/>
    <w:rsid w:val="00424E3F"/>
    <w:rsid w:val="004252D1"/>
    <w:rsid w:val="00426F84"/>
    <w:rsid w:val="0042708B"/>
    <w:rsid w:val="00427766"/>
    <w:rsid w:val="00427DD0"/>
    <w:rsid w:val="00427F4F"/>
    <w:rsid w:val="00430234"/>
    <w:rsid w:val="00430872"/>
    <w:rsid w:val="00430F0A"/>
    <w:rsid w:val="004312D7"/>
    <w:rsid w:val="00431BF5"/>
    <w:rsid w:val="00432390"/>
    <w:rsid w:val="004329C9"/>
    <w:rsid w:val="00433752"/>
    <w:rsid w:val="0043416C"/>
    <w:rsid w:val="00434184"/>
    <w:rsid w:val="0043498A"/>
    <w:rsid w:val="00434C9A"/>
    <w:rsid w:val="00434F57"/>
    <w:rsid w:val="004350CE"/>
    <w:rsid w:val="00435498"/>
    <w:rsid w:val="0043618B"/>
    <w:rsid w:val="0043638F"/>
    <w:rsid w:val="004364B5"/>
    <w:rsid w:val="00436621"/>
    <w:rsid w:val="004368E4"/>
    <w:rsid w:val="00437DA0"/>
    <w:rsid w:val="00440E6A"/>
    <w:rsid w:val="0044203B"/>
    <w:rsid w:val="00442AE3"/>
    <w:rsid w:val="00442B64"/>
    <w:rsid w:val="00442C93"/>
    <w:rsid w:val="00443000"/>
    <w:rsid w:val="0044323E"/>
    <w:rsid w:val="004435AB"/>
    <w:rsid w:val="004435AF"/>
    <w:rsid w:val="00443651"/>
    <w:rsid w:val="004448D9"/>
    <w:rsid w:val="004455B1"/>
    <w:rsid w:val="00446022"/>
    <w:rsid w:val="00446356"/>
    <w:rsid w:val="00446B7C"/>
    <w:rsid w:val="00446F93"/>
    <w:rsid w:val="004471CC"/>
    <w:rsid w:val="004472AA"/>
    <w:rsid w:val="00447FC7"/>
    <w:rsid w:val="00450896"/>
    <w:rsid w:val="00450ACC"/>
    <w:rsid w:val="0045129F"/>
    <w:rsid w:val="004513BF"/>
    <w:rsid w:val="00452A36"/>
    <w:rsid w:val="00452E8A"/>
    <w:rsid w:val="00452E91"/>
    <w:rsid w:val="00453025"/>
    <w:rsid w:val="0045344A"/>
    <w:rsid w:val="0045394E"/>
    <w:rsid w:val="00453A75"/>
    <w:rsid w:val="00453BA7"/>
    <w:rsid w:val="0045464F"/>
    <w:rsid w:val="00455289"/>
    <w:rsid w:val="004557A5"/>
    <w:rsid w:val="004561A9"/>
    <w:rsid w:val="004573D6"/>
    <w:rsid w:val="00457486"/>
    <w:rsid w:val="004575DA"/>
    <w:rsid w:val="00457B16"/>
    <w:rsid w:val="00457F36"/>
    <w:rsid w:val="00460E4E"/>
    <w:rsid w:val="004616E9"/>
    <w:rsid w:val="00461856"/>
    <w:rsid w:val="004623EE"/>
    <w:rsid w:val="00463065"/>
    <w:rsid w:val="00463B5C"/>
    <w:rsid w:val="00463D5E"/>
    <w:rsid w:val="004641C3"/>
    <w:rsid w:val="0046451A"/>
    <w:rsid w:val="00464908"/>
    <w:rsid w:val="00465121"/>
    <w:rsid w:val="0046563C"/>
    <w:rsid w:val="004659C0"/>
    <w:rsid w:val="00465E14"/>
    <w:rsid w:val="00466509"/>
    <w:rsid w:val="0046683F"/>
    <w:rsid w:val="00466EA7"/>
    <w:rsid w:val="00466F55"/>
    <w:rsid w:val="004670C8"/>
    <w:rsid w:val="00467554"/>
    <w:rsid w:val="00471448"/>
    <w:rsid w:val="00471E8F"/>
    <w:rsid w:val="00472125"/>
    <w:rsid w:val="00472517"/>
    <w:rsid w:val="00472F8F"/>
    <w:rsid w:val="004730F7"/>
    <w:rsid w:val="004733A2"/>
    <w:rsid w:val="004733A3"/>
    <w:rsid w:val="004737E5"/>
    <w:rsid w:val="0047399E"/>
    <w:rsid w:val="004742A4"/>
    <w:rsid w:val="00474A3C"/>
    <w:rsid w:val="0047637B"/>
    <w:rsid w:val="004767CC"/>
    <w:rsid w:val="00476DCF"/>
    <w:rsid w:val="004770FF"/>
    <w:rsid w:val="0047719A"/>
    <w:rsid w:val="00477369"/>
    <w:rsid w:val="00477500"/>
    <w:rsid w:val="004805A7"/>
    <w:rsid w:val="00480703"/>
    <w:rsid w:val="00481A8A"/>
    <w:rsid w:val="00481DF6"/>
    <w:rsid w:val="00482292"/>
    <w:rsid w:val="004827F9"/>
    <w:rsid w:val="00483366"/>
    <w:rsid w:val="004841FC"/>
    <w:rsid w:val="00484921"/>
    <w:rsid w:val="0048492F"/>
    <w:rsid w:val="00485265"/>
    <w:rsid w:val="00485A59"/>
    <w:rsid w:val="00485AC1"/>
    <w:rsid w:val="00485DCA"/>
    <w:rsid w:val="00485F0D"/>
    <w:rsid w:val="00486685"/>
    <w:rsid w:val="004873C1"/>
    <w:rsid w:val="00487682"/>
    <w:rsid w:val="00487CA6"/>
    <w:rsid w:val="00487D5F"/>
    <w:rsid w:val="00491D80"/>
    <w:rsid w:val="00492352"/>
    <w:rsid w:val="004927C2"/>
    <w:rsid w:val="004936CE"/>
    <w:rsid w:val="004939B6"/>
    <w:rsid w:val="00493B2E"/>
    <w:rsid w:val="00494267"/>
    <w:rsid w:val="00494960"/>
    <w:rsid w:val="00494B79"/>
    <w:rsid w:val="004952AB"/>
    <w:rsid w:val="004965A1"/>
    <w:rsid w:val="00496E71"/>
    <w:rsid w:val="004973AA"/>
    <w:rsid w:val="00497DF0"/>
    <w:rsid w:val="004A0021"/>
    <w:rsid w:val="004A0AA7"/>
    <w:rsid w:val="004A1067"/>
    <w:rsid w:val="004A1D65"/>
    <w:rsid w:val="004A1E5F"/>
    <w:rsid w:val="004A1F97"/>
    <w:rsid w:val="004A1FAB"/>
    <w:rsid w:val="004A28A2"/>
    <w:rsid w:val="004A2C69"/>
    <w:rsid w:val="004A33E7"/>
    <w:rsid w:val="004A3459"/>
    <w:rsid w:val="004A34B9"/>
    <w:rsid w:val="004A3EE6"/>
    <w:rsid w:val="004A43D6"/>
    <w:rsid w:val="004A50BA"/>
    <w:rsid w:val="004A53CC"/>
    <w:rsid w:val="004A571F"/>
    <w:rsid w:val="004A5DA9"/>
    <w:rsid w:val="004A62C9"/>
    <w:rsid w:val="004A6524"/>
    <w:rsid w:val="004A66A9"/>
    <w:rsid w:val="004A72B8"/>
    <w:rsid w:val="004A7536"/>
    <w:rsid w:val="004B076A"/>
    <w:rsid w:val="004B0966"/>
    <w:rsid w:val="004B10E3"/>
    <w:rsid w:val="004B1FDD"/>
    <w:rsid w:val="004B3782"/>
    <w:rsid w:val="004B4C2A"/>
    <w:rsid w:val="004B6035"/>
    <w:rsid w:val="004B6CE7"/>
    <w:rsid w:val="004B750B"/>
    <w:rsid w:val="004B751C"/>
    <w:rsid w:val="004B76B8"/>
    <w:rsid w:val="004B7DC9"/>
    <w:rsid w:val="004C0001"/>
    <w:rsid w:val="004C0416"/>
    <w:rsid w:val="004C0AFC"/>
    <w:rsid w:val="004C0EF2"/>
    <w:rsid w:val="004C0FC9"/>
    <w:rsid w:val="004C1223"/>
    <w:rsid w:val="004C1B60"/>
    <w:rsid w:val="004C2287"/>
    <w:rsid w:val="004C2459"/>
    <w:rsid w:val="004C2603"/>
    <w:rsid w:val="004C4792"/>
    <w:rsid w:val="004D02A2"/>
    <w:rsid w:val="004D0D33"/>
    <w:rsid w:val="004D11E7"/>
    <w:rsid w:val="004D1333"/>
    <w:rsid w:val="004D13A9"/>
    <w:rsid w:val="004D1901"/>
    <w:rsid w:val="004D1932"/>
    <w:rsid w:val="004D1E39"/>
    <w:rsid w:val="004D25FA"/>
    <w:rsid w:val="004D3148"/>
    <w:rsid w:val="004D4336"/>
    <w:rsid w:val="004D5AFB"/>
    <w:rsid w:val="004D6042"/>
    <w:rsid w:val="004D60F2"/>
    <w:rsid w:val="004D6109"/>
    <w:rsid w:val="004E066B"/>
    <w:rsid w:val="004E1956"/>
    <w:rsid w:val="004E2278"/>
    <w:rsid w:val="004E3955"/>
    <w:rsid w:val="004E3B67"/>
    <w:rsid w:val="004E4B80"/>
    <w:rsid w:val="004E51B1"/>
    <w:rsid w:val="004E6763"/>
    <w:rsid w:val="004E6B7E"/>
    <w:rsid w:val="004E707F"/>
    <w:rsid w:val="004E7178"/>
    <w:rsid w:val="004E7636"/>
    <w:rsid w:val="004E79F1"/>
    <w:rsid w:val="004F0403"/>
    <w:rsid w:val="004F080F"/>
    <w:rsid w:val="004F0BB2"/>
    <w:rsid w:val="004F0F40"/>
    <w:rsid w:val="004F12EB"/>
    <w:rsid w:val="004F2C8C"/>
    <w:rsid w:val="004F305A"/>
    <w:rsid w:val="004F35BB"/>
    <w:rsid w:val="004F47D0"/>
    <w:rsid w:val="004F6AB0"/>
    <w:rsid w:val="004F77AF"/>
    <w:rsid w:val="004F7B28"/>
    <w:rsid w:val="005001CC"/>
    <w:rsid w:val="00500832"/>
    <w:rsid w:val="00501A97"/>
    <w:rsid w:val="00501C59"/>
    <w:rsid w:val="00501ED4"/>
    <w:rsid w:val="00501F25"/>
    <w:rsid w:val="005025D4"/>
    <w:rsid w:val="005026CD"/>
    <w:rsid w:val="00502F56"/>
    <w:rsid w:val="0050395E"/>
    <w:rsid w:val="00503F19"/>
    <w:rsid w:val="005041C2"/>
    <w:rsid w:val="005046E4"/>
    <w:rsid w:val="0050484F"/>
    <w:rsid w:val="00504A26"/>
    <w:rsid w:val="0050513F"/>
    <w:rsid w:val="00505BF1"/>
    <w:rsid w:val="00505D34"/>
    <w:rsid w:val="00506C7C"/>
    <w:rsid w:val="00507276"/>
    <w:rsid w:val="005074C8"/>
    <w:rsid w:val="00507651"/>
    <w:rsid w:val="00507A5D"/>
    <w:rsid w:val="00510AF3"/>
    <w:rsid w:val="00510C4B"/>
    <w:rsid w:val="005117ED"/>
    <w:rsid w:val="00511879"/>
    <w:rsid w:val="00511B68"/>
    <w:rsid w:val="00512515"/>
    <w:rsid w:val="005125A8"/>
    <w:rsid w:val="005126D6"/>
    <w:rsid w:val="00512CC7"/>
    <w:rsid w:val="0051341C"/>
    <w:rsid w:val="005135A9"/>
    <w:rsid w:val="00513BBC"/>
    <w:rsid w:val="00514FB5"/>
    <w:rsid w:val="00515561"/>
    <w:rsid w:val="00515C3D"/>
    <w:rsid w:val="00516E86"/>
    <w:rsid w:val="00516FE6"/>
    <w:rsid w:val="005170FD"/>
    <w:rsid w:val="00517C6D"/>
    <w:rsid w:val="00520686"/>
    <w:rsid w:val="00520B12"/>
    <w:rsid w:val="00520D16"/>
    <w:rsid w:val="00520E5C"/>
    <w:rsid w:val="005214E1"/>
    <w:rsid w:val="005220DC"/>
    <w:rsid w:val="005224A9"/>
    <w:rsid w:val="00522600"/>
    <w:rsid w:val="00522A9F"/>
    <w:rsid w:val="00522F3D"/>
    <w:rsid w:val="005235DC"/>
    <w:rsid w:val="00523787"/>
    <w:rsid w:val="00523942"/>
    <w:rsid w:val="00526092"/>
    <w:rsid w:val="0052693E"/>
    <w:rsid w:val="00526D2B"/>
    <w:rsid w:val="00527823"/>
    <w:rsid w:val="00527AAA"/>
    <w:rsid w:val="00530310"/>
    <w:rsid w:val="005310D7"/>
    <w:rsid w:val="00531D32"/>
    <w:rsid w:val="00531F49"/>
    <w:rsid w:val="00532290"/>
    <w:rsid w:val="005342B2"/>
    <w:rsid w:val="00534721"/>
    <w:rsid w:val="0053479B"/>
    <w:rsid w:val="00534FD5"/>
    <w:rsid w:val="005354CD"/>
    <w:rsid w:val="00535D81"/>
    <w:rsid w:val="00535DCA"/>
    <w:rsid w:val="00535F56"/>
    <w:rsid w:val="005363A7"/>
    <w:rsid w:val="0053674B"/>
    <w:rsid w:val="005402E8"/>
    <w:rsid w:val="0054122B"/>
    <w:rsid w:val="0054194F"/>
    <w:rsid w:val="00541DEF"/>
    <w:rsid w:val="005427CC"/>
    <w:rsid w:val="0054288C"/>
    <w:rsid w:val="00542A42"/>
    <w:rsid w:val="00542AC2"/>
    <w:rsid w:val="00544798"/>
    <w:rsid w:val="005448FF"/>
    <w:rsid w:val="00546392"/>
    <w:rsid w:val="00546B79"/>
    <w:rsid w:val="0054716E"/>
    <w:rsid w:val="005472D5"/>
    <w:rsid w:val="005474B7"/>
    <w:rsid w:val="00550E26"/>
    <w:rsid w:val="005519EB"/>
    <w:rsid w:val="0055232D"/>
    <w:rsid w:val="00552C64"/>
    <w:rsid w:val="0055347A"/>
    <w:rsid w:val="00553E1F"/>
    <w:rsid w:val="00554C1B"/>
    <w:rsid w:val="00554CFF"/>
    <w:rsid w:val="00555747"/>
    <w:rsid w:val="00556048"/>
    <w:rsid w:val="00556381"/>
    <w:rsid w:val="005568FD"/>
    <w:rsid w:val="005608EC"/>
    <w:rsid w:val="00560F4D"/>
    <w:rsid w:val="0056151D"/>
    <w:rsid w:val="00561613"/>
    <w:rsid w:val="00561DE8"/>
    <w:rsid w:val="0056307A"/>
    <w:rsid w:val="005630EA"/>
    <w:rsid w:val="005631DD"/>
    <w:rsid w:val="0056378E"/>
    <w:rsid w:val="00563B55"/>
    <w:rsid w:val="005648E2"/>
    <w:rsid w:val="00565747"/>
    <w:rsid w:val="00567460"/>
    <w:rsid w:val="00567C42"/>
    <w:rsid w:val="00567D5C"/>
    <w:rsid w:val="0057081D"/>
    <w:rsid w:val="00570874"/>
    <w:rsid w:val="00570B7F"/>
    <w:rsid w:val="00570D1A"/>
    <w:rsid w:val="00571392"/>
    <w:rsid w:val="005717B6"/>
    <w:rsid w:val="00571EEC"/>
    <w:rsid w:val="00571F08"/>
    <w:rsid w:val="0057208B"/>
    <w:rsid w:val="005723C7"/>
    <w:rsid w:val="00572613"/>
    <w:rsid w:val="00572A8E"/>
    <w:rsid w:val="0057353B"/>
    <w:rsid w:val="00573934"/>
    <w:rsid w:val="00574552"/>
    <w:rsid w:val="00574AAA"/>
    <w:rsid w:val="0057594C"/>
    <w:rsid w:val="00575EB2"/>
    <w:rsid w:val="00576362"/>
    <w:rsid w:val="00576ADB"/>
    <w:rsid w:val="00576F5D"/>
    <w:rsid w:val="00577B78"/>
    <w:rsid w:val="005803A9"/>
    <w:rsid w:val="005809D5"/>
    <w:rsid w:val="00581543"/>
    <w:rsid w:val="00581B30"/>
    <w:rsid w:val="00581E9B"/>
    <w:rsid w:val="005821E2"/>
    <w:rsid w:val="00583089"/>
    <w:rsid w:val="00585138"/>
    <w:rsid w:val="005852DF"/>
    <w:rsid w:val="0058560F"/>
    <w:rsid w:val="005865D4"/>
    <w:rsid w:val="005867C4"/>
    <w:rsid w:val="00586EF4"/>
    <w:rsid w:val="00587A28"/>
    <w:rsid w:val="00590FFD"/>
    <w:rsid w:val="00591014"/>
    <w:rsid w:val="00591BC5"/>
    <w:rsid w:val="00591F0C"/>
    <w:rsid w:val="005923EC"/>
    <w:rsid w:val="005929A9"/>
    <w:rsid w:val="00592A55"/>
    <w:rsid w:val="0059361C"/>
    <w:rsid w:val="00593BFC"/>
    <w:rsid w:val="0059461E"/>
    <w:rsid w:val="005959C7"/>
    <w:rsid w:val="00596424"/>
    <w:rsid w:val="00596CA9"/>
    <w:rsid w:val="005A0171"/>
    <w:rsid w:val="005A0332"/>
    <w:rsid w:val="005A0FF2"/>
    <w:rsid w:val="005A1EC7"/>
    <w:rsid w:val="005A2187"/>
    <w:rsid w:val="005A2447"/>
    <w:rsid w:val="005A2B6B"/>
    <w:rsid w:val="005A2E83"/>
    <w:rsid w:val="005A31BD"/>
    <w:rsid w:val="005A3E7B"/>
    <w:rsid w:val="005A45F4"/>
    <w:rsid w:val="005A4E98"/>
    <w:rsid w:val="005A6901"/>
    <w:rsid w:val="005A690C"/>
    <w:rsid w:val="005A7C1C"/>
    <w:rsid w:val="005A7C3A"/>
    <w:rsid w:val="005B0E0B"/>
    <w:rsid w:val="005B15D4"/>
    <w:rsid w:val="005B21FC"/>
    <w:rsid w:val="005B2299"/>
    <w:rsid w:val="005B2F17"/>
    <w:rsid w:val="005B2FDF"/>
    <w:rsid w:val="005B3260"/>
    <w:rsid w:val="005B34E1"/>
    <w:rsid w:val="005B41B8"/>
    <w:rsid w:val="005B454A"/>
    <w:rsid w:val="005B490A"/>
    <w:rsid w:val="005B58C2"/>
    <w:rsid w:val="005B5B96"/>
    <w:rsid w:val="005B60E9"/>
    <w:rsid w:val="005B61C9"/>
    <w:rsid w:val="005B714A"/>
    <w:rsid w:val="005B78DF"/>
    <w:rsid w:val="005B7CDC"/>
    <w:rsid w:val="005C0003"/>
    <w:rsid w:val="005C0A48"/>
    <w:rsid w:val="005C0D5B"/>
    <w:rsid w:val="005C0E44"/>
    <w:rsid w:val="005C17BD"/>
    <w:rsid w:val="005C18C2"/>
    <w:rsid w:val="005C1CBA"/>
    <w:rsid w:val="005C1D96"/>
    <w:rsid w:val="005C22F4"/>
    <w:rsid w:val="005C2B26"/>
    <w:rsid w:val="005C450F"/>
    <w:rsid w:val="005C4A54"/>
    <w:rsid w:val="005C5EBD"/>
    <w:rsid w:val="005C6B19"/>
    <w:rsid w:val="005C6D45"/>
    <w:rsid w:val="005C7400"/>
    <w:rsid w:val="005D0598"/>
    <w:rsid w:val="005D10E2"/>
    <w:rsid w:val="005D17D1"/>
    <w:rsid w:val="005D1825"/>
    <w:rsid w:val="005D1854"/>
    <w:rsid w:val="005D1EB0"/>
    <w:rsid w:val="005D28AF"/>
    <w:rsid w:val="005D2ACB"/>
    <w:rsid w:val="005D2E99"/>
    <w:rsid w:val="005D4532"/>
    <w:rsid w:val="005D4CCA"/>
    <w:rsid w:val="005D4D82"/>
    <w:rsid w:val="005D4E18"/>
    <w:rsid w:val="005D5272"/>
    <w:rsid w:val="005D57FB"/>
    <w:rsid w:val="005D5961"/>
    <w:rsid w:val="005D5D16"/>
    <w:rsid w:val="005D610C"/>
    <w:rsid w:val="005D6E4F"/>
    <w:rsid w:val="005D6E87"/>
    <w:rsid w:val="005D6E92"/>
    <w:rsid w:val="005D7374"/>
    <w:rsid w:val="005D7CA8"/>
    <w:rsid w:val="005E028A"/>
    <w:rsid w:val="005E0F9B"/>
    <w:rsid w:val="005E16E4"/>
    <w:rsid w:val="005E18B3"/>
    <w:rsid w:val="005E1A00"/>
    <w:rsid w:val="005E23D9"/>
    <w:rsid w:val="005E24CA"/>
    <w:rsid w:val="005E29A9"/>
    <w:rsid w:val="005E2AAC"/>
    <w:rsid w:val="005E2C6E"/>
    <w:rsid w:val="005E430C"/>
    <w:rsid w:val="005E44B3"/>
    <w:rsid w:val="005E4AD2"/>
    <w:rsid w:val="005E4DEB"/>
    <w:rsid w:val="005E54AD"/>
    <w:rsid w:val="005E5BE5"/>
    <w:rsid w:val="005E6A66"/>
    <w:rsid w:val="005E7C65"/>
    <w:rsid w:val="005E7C7B"/>
    <w:rsid w:val="005E7EEC"/>
    <w:rsid w:val="005F045B"/>
    <w:rsid w:val="005F13FD"/>
    <w:rsid w:val="005F1B3E"/>
    <w:rsid w:val="005F2101"/>
    <w:rsid w:val="005F2C42"/>
    <w:rsid w:val="005F36DC"/>
    <w:rsid w:val="005F38E6"/>
    <w:rsid w:val="005F38FA"/>
    <w:rsid w:val="005F41A0"/>
    <w:rsid w:val="005F41F2"/>
    <w:rsid w:val="005F4D13"/>
    <w:rsid w:val="005F531F"/>
    <w:rsid w:val="005F53A9"/>
    <w:rsid w:val="005F5805"/>
    <w:rsid w:val="005F60BF"/>
    <w:rsid w:val="005F7984"/>
    <w:rsid w:val="005F7DC8"/>
    <w:rsid w:val="00601A16"/>
    <w:rsid w:val="00601A4B"/>
    <w:rsid w:val="00601D34"/>
    <w:rsid w:val="0060215D"/>
    <w:rsid w:val="006027B5"/>
    <w:rsid w:val="00602E45"/>
    <w:rsid w:val="006035B9"/>
    <w:rsid w:val="006040C0"/>
    <w:rsid w:val="00604759"/>
    <w:rsid w:val="0060620F"/>
    <w:rsid w:val="006068EA"/>
    <w:rsid w:val="00606B9F"/>
    <w:rsid w:val="00607BD7"/>
    <w:rsid w:val="006100CC"/>
    <w:rsid w:val="00610A33"/>
    <w:rsid w:val="006120DD"/>
    <w:rsid w:val="00612B13"/>
    <w:rsid w:val="00612D28"/>
    <w:rsid w:val="006150D8"/>
    <w:rsid w:val="00615A29"/>
    <w:rsid w:val="006161EB"/>
    <w:rsid w:val="00617971"/>
    <w:rsid w:val="00617E21"/>
    <w:rsid w:val="006212A7"/>
    <w:rsid w:val="006216C4"/>
    <w:rsid w:val="00621930"/>
    <w:rsid w:val="006222D8"/>
    <w:rsid w:val="00624775"/>
    <w:rsid w:val="0062489F"/>
    <w:rsid w:val="00624AD5"/>
    <w:rsid w:val="00624B67"/>
    <w:rsid w:val="00624BD8"/>
    <w:rsid w:val="00625DD6"/>
    <w:rsid w:val="00626485"/>
    <w:rsid w:val="00626881"/>
    <w:rsid w:val="00626B2D"/>
    <w:rsid w:val="006270F4"/>
    <w:rsid w:val="0062716D"/>
    <w:rsid w:val="0062727F"/>
    <w:rsid w:val="0062742E"/>
    <w:rsid w:val="00627764"/>
    <w:rsid w:val="00627D1E"/>
    <w:rsid w:val="006301D9"/>
    <w:rsid w:val="006302B2"/>
    <w:rsid w:val="00630950"/>
    <w:rsid w:val="00630AF1"/>
    <w:rsid w:val="006310B0"/>
    <w:rsid w:val="006321E9"/>
    <w:rsid w:val="00633159"/>
    <w:rsid w:val="006332FC"/>
    <w:rsid w:val="0063333C"/>
    <w:rsid w:val="00633735"/>
    <w:rsid w:val="00633D10"/>
    <w:rsid w:val="006343BE"/>
    <w:rsid w:val="0063444C"/>
    <w:rsid w:val="00634EEA"/>
    <w:rsid w:val="00634F56"/>
    <w:rsid w:val="0063561E"/>
    <w:rsid w:val="00635712"/>
    <w:rsid w:val="00636DE7"/>
    <w:rsid w:val="0063732D"/>
    <w:rsid w:val="006375B0"/>
    <w:rsid w:val="00637E3B"/>
    <w:rsid w:val="00640C4F"/>
    <w:rsid w:val="006414ED"/>
    <w:rsid w:val="006415C1"/>
    <w:rsid w:val="00641D09"/>
    <w:rsid w:val="00641F01"/>
    <w:rsid w:val="0064245E"/>
    <w:rsid w:val="006425E9"/>
    <w:rsid w:val="00642A93"/>
    <w:rsid w:val="006432BE"/>
    <w:rsid w:val="006434AB"/>
    <w:rsid w:val="00644264"/>
    <w:rsid w:val="0064463F"/>
    <w:rsid w:val="00645A5F"/>
    <w:rsid w:val="00645F1B"/>
    <w:rsid w:val="00646307"/>
    <w:rsid w:val="006465FE"/>
    <w:rsid w:val="0064691D"/>
    <w:rsid w:val="00646CE1"/>
    <w:rsid w:val="00647139"/>
    <w:rsid w:val="0064762E"/>
    <w:rsid w:val="006508D7"/>
    <w:rsid w:val="00650B31"/>
    <w:rsid w:val="0065126B"/>
    <w:rsid w:val="006525C4"/>
    <w:rsid w:val="006529FA"/>
    <w:rsid w:val="00652E06"/>
    <w:rsid w:val="0065305F"/>
    <w:rsid w:val="0065316C"/>
    <w:rsid w:val="00653D1C"/>
    <w:rsid w:val="006541EB"/>
    <w:rsid w:val="00654627"/>
    <w:rsid w:val="00655470"/>
    <w:rsid w:val="006559FC"/>
    <w:rsid w:val="00655A5E"/>
    <w:rsid w:val="00655E3F"/>
    <w:rsid w:val="0065634E"/>
    <w:rsid w:val="00656BA6"/>
    <w:rsid w:val="00660088"/>
    <w:rsid w:val="006604E2"/>
    <w:rsid w:val="00661663"/>
    <w:rsid w:val="00661852"/>
    <w:rsid w:val="006618BC"/>
    <w:rsid w:val="00661D48"/>
    <w:rsid w:val="00661E84"/>
    <w:rsid w:val="00662C52"/>
    <w:rsid w:val="00662EE6"/>
    <w:rsid w:val="0066443D"/>
    <w:rsid w:val="006649F2"/>
    <w:rsid w:val="00664B9E"/>
    <w:rsid w:val="00665139"/>
    <w:rsid w:val="00665A92"/>
    <w:rsid w:val="006675B1"/>
    <w:rsid w:val="00667782"/>
    <w:rsid w:val="00667BC9"/>
    <w:rsid w:val="006700AE"/>
    <w:rsid w:val="0067156E"/>
    <w:rsid w:val="00671579"/>
    <w:rsid w:val="00672EAA"/>
    <w:rsid w:val="00672EF8"/>
    <w:rsid w:val="00673B07"/>
    <w:rsid w:val="00673B34"/>
    <w:rsid w:val="006740BC"/>
    <w:rsid w:val="006758E9"/>
    <w:rsid w:val="00676077"/>
    <w:rsid w:val="00676E68"/>
    <w:rsid w:val="00677545"/>
    <w:rsid w:val="00677AB8"/>
    <w:rsid w:val="0068028F"/>
    <w:rsid w:val="006802FF"/>
    <w:rsid w:val="00680986"/>
    <w:rsid w:val="006818FB"/>
    <w:rsid w:val="00681984"/>
    <w:rsid w:val="006820C2"/>
    <w:rsid w:val="00682312"/>
    <w:rsid w:val="00683106"/>
    <w:rsid w:val="00683109"/>
    <w:rsid w:val="00683AA8"/>
    <w:rsid w:val="00684A88"/>
    <w:rsid w:val="00684AE5"/>
    <w:rsid w:val="0068550E"/>
    <w:rsid w:val="006856DD"/>
    <w:rsid w:val="006859B4"/>
    <w:rsid w:val="00685AC0"/>
    <w:rsid w:val="0068778C"/>
    <w:rsid w:val="00687878"/>
    <w:rsid w:val="00690458"/>
    <w:rsid w:val="00690E2C"/>
    <w:rsid w:val="00691B35"/>
    <w:rsid w:val="00691F2D"/>
    <w:rsid w:val="00692C9F"/>
    <w:rsid w:val="00693B87"/>
    <w:rsid w:val="00694315"/>
    <w:rsid w:val="00694C3F"/>
    <w:rsid w:val="00695943"/>
    <w:rsid w:val="00696246"/>
    <w:rsid w:val="006962F4"/>
    <w:rsid w:val="0069723A"/>
    <w:rsid w:val="0069726D"/>
    <w:rsid w:val="00697D50"/>
    <w:rsid w:val="00697DD1"/>
    <w:rsid w:val="006A03E1"/>
    <w:rsid w:val="006A0775"/>
    <w:rsid w:val="006A1B95"/>
    <w:rsid w:val="006A1CDC"/>
    <w:rsid w:val="006A1DFC"/>
    <w:rsid w:val="006A1ED1"/>
    <w:rsid w:val="006A2528"/>
    <w:rsid w:val="006A257A"/>
    <w:rsid w:val="006A2959"/>
    <w:rsid w:val="006A3E2B"/>
    <w:rsid w:val="006A4302"/>
    <w:rsid w:val="006A4415"/>
    <w:rsid w:val="006A4600"/>
    <w:rsid w:val="006A4B0A"/>
    <w:rsid w:val="006A5849"/>
    <w:rsid w:val="006A63A6"/>
    <w:rsid w:val="006A64B7"/>
    <w:rsid w:val="006A7B4F"/>
    <w:rsid w:val="006A7F3A"/>
    <w:rsid w:val="006B08C2"/>
    <w:rsid w:val="006B0B70"/>
    <w:rsid w:val="006B1CBB"/>
    <w:rsid w:val="006B1EEB"/>
    <w:rsid w:val="006B24F2"/>
    <w:rsid w:val="006B25CF"/>
    <w:rsid w:val="006B312A"/>
    <w:rsid w:val="006B316D"/>
    <w:rsid w:val="006B33D7"/>
    <w:rsid w:val="006B39A0"/>
    <w:rsid w:val="006B3EB7"/>
    <w:rsid w:val="006B3F32"/>
    <w:rsid w:val="006B4254"/>
    <w:rsid w:val="006B4943"/>
    <w:rsid w:val="006B4971"/>
    <w:rsid w:val="006B714C"/>
    <w:rsid w:val="006C0B25"/>
    <w:rsid w:val="006C1781"/>
    <w:rsid w:val="006C26B3"/>
    <w:rsid w:val="006C2C23"/>
    <w:rsid w:val="006C2D62"/>
    <w:rsid w:val="006C377A"/>
    <w:rsid w:val="006C3BEC"/>
    <w:rsid w:val="006C3D8E"/>
    <w:rsid w:val="006C4117"/>
    <w:rsid w:val="006C4856"/>
    <w:rsid w:val="006C5B78"/>
    <w:rsid w:val="006C6EC8"/>
    <w:rsid w:val="006C7391"/>
    <w:rsid w:val="006C7466"/>
    <w:rsid w:val="006C7687"/>
    <w:rsid w:val="006C7AB5"/>
    <w:rsid w:val="006D009B"/>
    <w:rsid w:val="006D15E5"/>
    <w:rsid w:val="006D1CCD"/>
    <w:rsid w:val="006D3FE7"/>
    <w:rsid w:val="006D4038"/>
    <w:rsid w:val="006D414F"/>
    <w:rsid w:val="006D50E4"/>
    <w:rsid w:val="006D5839"/>
    <w:rsid w:val="006D7C97"/>
    <w:rsid w:val="006E0242"/>
    <w:rsid w:val="006E0D79"/>
    <w:rsid w:val="006E0DBD"/>
    <w:rsid w:val="006E0F11"/>
    <w:rsid w:val="006E0F8B"/>
    <w:rsid w:val="006E136B"/>
    <w:rsid w:val="006E142D"/>
    <w:rsid w:val="006E14A4"/>
    <w:rsid w:val="006E194E"/>
    <w:rsid w:val="006E1C72"/>
    <w:rsid w:val="006E1D38"/>
    <w:rsid w:val="006E1FFA"/>
    <w:rsid w:val="006E20AD"/>
    <w:rsid w:val="006E24AC"/>
    <w:rsid w:val="006E38EE"/>
    <w:rsid w:val="006E40FD"/>
    <w:rsid w:val="006E41E2"/>
    <w:rsid w:val="006E4970"/>
    <w:rsid w:val="006E5262"/>
    <w:rsid w:val="006E566F"/>
    <w:rsid w:val="006E7455"/>
    <w:rsid w:val="006E75ED"/>
    <w:rsid w:val="006F0218"/>
    <w:rsid w:val="006F0E23"/>
    <w:rsid w:val="006F1485"/>
    <w:rsid w:val="006F18FC"/>
    <w:rsid w:val="006F2791"/>
    <w:rsid w:val="006F3066"/>
    <w:rsid w:val="006F30D8"/>
    <w:rsid w:val="006F30DD"/>
    <w:rsid w:val="006F32BA"/>
    <w:rsid w:val="006F33AD"/>
    <w:rsid w:val="006F35B6"/>
    <w:rsid w:val="006F4523"/>
    <w:rsid w:val="006F49D8"/>
    <w:rsid w:val="006F50F4"/>
    <w:rsid w:val="006F56A2"/>
    <w:rsid w:val="006F66F1"/>
    <w:rsid w:val="006F6FE5"/>
    <w:rsid w:val="006F707B"/>
    <w:rsid w:val="006F76D2"/>
    <w:rsid w:val="006F7EB8"/>
    <w:rsid w:val="006F7EE5"/>
    <w:rsid w:val="00700732"/>
    <w:rsid w:val="00700E10"/>
    <w:rsid w:val="0070169A"/>
    <w:rsid w:val="00701737"/>
    <w:rsid w:val="00702171"/>
    <w:rsid w:val="007023FD"/>
    <w:rsid w:val="00702A9F"/>
    <w:rsid w:val="007056E9"/>
    <w:rsid w:val="00705A5D"/>
    <w:rsid w:val="00706596"/>
    <w:rsid w:val="00706AB3"/>
    <w:rsid w:val="00706C11"/>
    <w:rsid w:val="00707C6D"/>
    <w:rsid w:val="00707D27"/>
    <w:rsid w:val="00707EB1"/>
    <w:rsid w:val="00710E85"/>
    <w:rsid w:val="00710EC3"/>
    <w:rsid w:val="00711210"/>
    <w:rsid w:val="00711EE7"/>
    <w:rsid w:val="00712518"/>
    <w:rsid w:val="00712EE7"/>
    <w:rsid w:val="00713093"/>
    <w:rsid w:val="007134F8"/>
    <w:rsid w:val="007138E4"/>
    <w:rsid w:val="00714EDA"/>
    <w:rsid w:val="007154CC"/>
    <w:rsid w:val="007158D3"/>
    <w:rsid w:val="00716440"/>
    <w:rsid w:val="00716506"/>
    <w:rsid w:val="00716C01"/>
    <w:rsid w:val="0071755A"/>
    <w:rsid w:val="00717628"/>
    <w:rsid w:val="00717BB5"/>
    <w:rsid w:val="00717BC9"/>
    <w:rsid w:val="00720466"/>
    <w:rsid w:val="00720975"/>
    <w:rsid w:val="00721B09"/>
    <w:rsid w:val="00721D7B"/>
    <w:rsid w:val="00721E46"/>
    <w:rsid w:val="00722194"/>
    <w:rsid w:val="0072286A"/>
    <w:rsid w:val="00722E1B"/>
    <w:rsid w:val="00723086"/>
    <w:rsid w:val="00723591"/>
    <w:rsid w:val="0072359F"/>
    <w:rsid w:val="0072369B"/>
    <w:rsid w:val="0072485A"/>
    <w:rsid w:val="00724E46"/>
    <w:rsid w:val="0072510D"/>
    <w:rsid w:val="0072587B"/>
    <w:rsid w:val="007264C6"/>
    <w:rsid w:val="00726D4E"/>
    <w:rsid w:val="00730230"/>
    <w:rsid w:val="007303BD"/>
    <w:rsid w:val="00730A67"/>
    <w:rsid w:val="00731763"/>
    <w:rsid w:val="00731B4E"/>
    <w:rsid w:val="00732370"/>
    <w:rsid w:val="00732DB9"/>
    <w:rsid w:val="007335C8"/>
    <w:rsid w:val="00733A5F"/>
    <w:rsid w:val="007340D6"/>
    <w:rsid w:val="00734726"/>
    <w:rsid w:val="007350E2"/>
    <w:rsid w:val="00735FC8"/>
    <w:rsid w:val="00737EC6"/>
    <w:rsid w:val="00740200"/>
    <w:rsid w:val="007402A3"/>
    <w:rsid w:val="00740584"/>
    <w:rsid w:val="00740746"/>
    <w:rsid w:val="00740A5D"/>
    <w:rsid w:val="00741059"/>
    <w:rsid w:val="007416F5"/>
    <w:rsid w:val="007432D9"/>
    <w:rsid w:val="00743701"/>
    <w:rsid w:val="007438C5"/>
    <w:rsid w:val="00743BAB"/>
    <w:rsid w:val="0074400C"/>
    <w:rsid w:val="0074480C"/>
    <w:rsid w:val="00745175"/>
    <w:rsid w:val="00745980"/>
    <w:rsid w:val="00746485"/>
    <w:rsid w:val="00746CC1"/>
    <w:rsid w:val="00747D66"/>
    <w:rsid w:val="0075237B"/>
    <w:rsid w:val="007525EC"/>
    <w:rsid w:val="00752F9E"/>
    <w:rsid w:val="00752FC2"/>
    <w:rsid w:val="007531E6"/>
    <w:rsid w:val="00753F35"/>
    <w:rsid w:val="00753F58"/>
    <w:rsid w:val="0075434E"/>
    <w:rsid w:val="00754B03"/>
    <w:rsid w:val="00754E0B"/>
    <w:rsid w:val="00754FF6"/>
    <w:rsid w:val="0075547E"/>
    <w:rsid w:val="0075570A"/>
    <w:rsid w:val="007557C4"/>
    <w:rsid w:val="00755D26"/>
    <w:rsid w:val="007565D5"/>
    <w:rsid w:val="0075662F"/>
    <w:rsid w:val="00756983"/>
    <w:rsid w:val="00756EB0"/>
    <w:rsid w:val="00756ED6"/>
    <w:rsid w:val="00756EFB"/>
    <w:rsid w:val="007604BE"/>
    <w:rsid w:val="00760F42"/>
    <w:rsid w:val="00761A05"/>
    <w:rsid w:val="00761FB9"/>
    <w:rsid w:val="00762755"/>
    <w:rsid w:val="007630B4"/>
    <w:rsid w:val="00763B68"/>
    <w:rsid w:val="00764050"/>
    <w:rsid w:val="00764992"/>
    <w:rsid w:val="00764B1B"/>
    <w:rsid w:val="007659C5"/>
    <w:rsid w:val="00765AB4"/>
    <w:rsid w:val="00770F34"/>
    <w:rsid w:val="00771186"/>
    <w:rsid w:val="00772022"/>
    <w:rsid w:val="007723A1"/>
    <w:rsid w:val="0077312C"/>
    <w:rsid w:val="0077328C"/>
    <w:rsid w:val="00773FFB"/>
    <w:rsid w:val="00774903"/>
    <w:rsid w:val="00774D22"/>
    <w:rsid w:val="00774D74"/>
    <w:rsid w:val="00775195"/>
    <w:rsid w:val="00775AF1"/>
    <w:rsid w:val="0077615E"/>
    <w:rsid w:val="00776BD5"/>
    <w:rsid w:val="0077771E"/>
    <w:rsid w:val="007801D4"/>
    <w:rsid w:val="00780834"/>
    <w:rsid w:val="007810FF"/>
    <w:rsid w:val="007818EF"/>
    <w:rsid w:val="00782042"/>
    <w:rsid w:val="00782336"/>
    <w:rsid w:val="00783A4E"/>
    <w:rsid w:val="00785277"/>
    <w:rsid w:val="00785433"/>
    <w:rsid w:val="0078547B"/>
    <w:rsid w:val="00785D3C"/>
    <w:rsid w:val="00785E0D"/>
    <w:rsid w:val="00786067"/>
    <w:rsid w:val="0078609C"/>
    <w:rsid w:val="007862EB"/>
    <w:rsid w:val="00786AAF"/>
    <w:rsid w:val="00786E13"/>
    <w:rsid w:val="00787833"/>
    <w:rsid w:val="00787A5F"/>
    <w:rsid w:val="00787EAA"/>
    <w:rsid w:val="007908F5"/>
    <w:rsid w:val="007913C9"/>
    <w:rsid w:val="00792E5A"/>
    <w:rsid w:val="0079399D"/>
    <w:rsid w:val="00793CBD"/>
    <w:rsid w:val="007945FB"/>
    <w:rsid w:val="00794B7E"/>
    <w:rsid w:val="00794DFA"/>
    <w:rsid w:val="00794FB6"/>
    <w:rsid w:val="0079509F"/>
    <w:rsid w:val="007977B8"/>
    <w:rsid w:val="007977F3"/>
    <w:rsid w:val="007A0305"/>
    <w:rsid w:val="007A042E"/>
    <w:rsid w:val="007A1465"/>
    <w:rsid w:val="007A1749"/>
    <w:rsid w:val="007A18AE"/>
    <w:rsid w:val="007A2079"/>
    <w:rsid w:val="007A2413"/>
    <w:rsid w:val="007A3314"/>
    <w:rsid w:val="007A336E"/>
    <w:rsid w:val="007A4217"/>
    <w:rsid w:val="007A5514"/>
    <w:rsid w:val="007A5B2C"/>
    <w:rsid w:val="007A63B2"/>
    <w:rsid w:val="007A6F9E"/>
    <w:rsid w:val="007A737C"/>
    <w:rsid w:val="007A76CC"/>
    <w:rsid w:val="007B0352"/>
    <w:rsid w:val="007B0AC6"/>
    <w:rsid w:val="007B0D56"/>
    <w:rsid w:val="007B12F1"/>
    <w:rsid w:val="007B1686"/>
    <w:rsid w:val="007B1AEF"/>
    <w:rsid w:val="007B1B5E"/>
    <w:rsid w:val="007B1C27"/>
    <w:rsid w:val="007B2547"/>
    <w:rsid w:val="007B292A"/>
    <w:rsid w:val="007B2E96"/>
    <w:rsid w:val="007B30FD"/>
    <w:rsid w:val="007B3433"/>
    <w:rsid w:val="007B343D"/>
    <w:rsid w:val="007B3EC4"/>
    <w:rsid w:val="007B51FF"/>
    <w:rsid w:val="007B55AD"/>
    <w:rsid w:val="007B5A4B"/>
    <w:rsid w:val="007B602F"/>
    <w:rsid w:val="007B60C1"/>
    <w:rsid w:val="007B6803"/>
    <w:rsid w:val="007B7D9B"/>
    <w:rsid w:val="007C0054"/>
    <w:rsid w:val="007C056F"/>
    <w:rsid w:val="007C0AE0"/>
    <w:rsid w:val="007C103C"/>
    <w:rsid w:val="007C1206"/>
    <w:rsid w:val="007C1352"/>
    <w:rsid w:val="007C1F97"/>
    <w:rsid w:val="007C2F50"/>
    <w:rsid w:val="007C3A47"/>
    <w:rsid w:val="007C3AC2"/>
    <w:rsid w:val="007C54A3"/>
    <w:rsid w:val="007C63CE"/>
    <w:rsid w:val="007C70DC"/>
    <w:rsid w:val="007C7913"/>
    <w:rsid w:val="007C7BD6"/>
    <w:rsid w:val="007C7C73"/>
    <w:rsid w:val="007C7D57"/>
    <w:rsid w:val="007C7ED7"/>
    <w:rsid w:val="007D00B7"/>
    <w:rsid w:val="007D0306"/>
    <w:rsid w:val="007D09CB"/>
    <w:rsid w:val="007D1979"/>
    <w:rsid w:val="007D2261"/>
    <w:rsid w:val="007D23E6"/>
    <w:rsid w:val="007D26BA"/>
    <w:rsid w:val="007D30AB"/>
    <w:rsid w:val="007D3DDF"/>
    <w:rsid w:val="007D3EF0"/>
    <w:rsid w:val="007D404C"/>
    <w:rsid w:val="007D433C"/>
    <w:rsid w:val="007D4527"/>
    <w:rsid w:val="007D498F"/>
    <w:rsid w:val="007D4B4F"/>
    <w:rsid w:val="007D5531"/>
    <w:rsid w:val="007D6A9D"/>
    <w:rsid w:val="007D6DD9"/>
    <w:rsid w:val="007D7365"/>
    <w:rsid w:val="007D757E"/>
    <w:rsid w:val="007D7B0E"/>
    <w:rsid w:val="007D7D99"/>
    <w:rsid w:val="007D7F23"/>
    <w:rsid w:val="007E02CB"/>
    <w:rsid w:val="007E0733"/>
    <w:rsid w:val="007E1019"/>
    <w:rsid w:val="007E13B3"/>
    <w:rsid w:val="007E20AB"/>
    <w:rsid w:val="007E3AC4"/>
    <w:rsid w:val="007E3CF3"/>
    <w:rsid w:val="007E4556"/>
    <w:rsid w:val="007E4857"/>
    <w:rsid w:val="007E5379"/>
    <w:rsid w:val="007E6CC1"/>
    <w:rsid w:val="007E7515"/>
    <w:rsid w:val="007E7A50"/>
    <w:rsid w:val="007E7C30"/>
    <w:rsid w:val="007F00D0"/>
    <w:rsid w:val="007F0184"/>
    <w:rsid w:val="007F0287"/>
    <w:rsid w:val="007F0601"/>
    <w:rsid w:val="007F08C5"/>
    <w:rsid w:val="007F0E5C"/>
    <w:rsid w:val="007F14EE"/>
    <w:rsid w:val="007F1F01"/>
    <w:rsid w:val="007F22AF"/>
    <w:rsid w:val="007F353B"/>
    <w:rsid w:val="007F358C"/>
    <w:rsid w:val="007F4704"/>
    <w:rsid w:val="007F574F"/>
    <w:rsid w:val="007F6315"/>
    <w:rsid w:val="007F66AD"/>
    <w:rsid w:val="007F76A5"/>
    <w:rsid w:val="007F7A53"/>
    <w:rsid w:val="0080127A"/>
    <w:rsid w:val="00801F41"/>
    <w:rsid w:val="008021B6"/>
    <w:rsid w:val="008027B2"/>
    <w:rsid w:val="008028C9"/>
    <w:rsid w:val="00802B35"/>
    <w:rsid w:val="008037B9"/>
    <w:rsid w:val="008049CC"/>
    <w:rsid w:val="00805DBF"/>
    <w:rsid w:val="00805F7E"/>
    <w:rsid w:val="00805F85"/>
    <w:rsid w:val="00806529"/>
    <w:rsid w:val="00806AED"/>
    <w:rsid w:val="00807B40"/>
    <w:rsid w:val="00807D4D"/>
    <w:rsid w:val="00807D6B"/>
    <w:rsid w:val="008107BE"/>
    <w:rsid w:val="00810C33"/>
    <w:rsid w:val="008112AC"/>
    <w:rsid w:val="00811579"/>
    <w:rsid w:val="008127D9"/>
    <w:rsid w:val="008135DE"/>
    <w:rsid w:val="008138A3"/>
    <w:rsid w:val="008148A2"/>
    <w:rsid w:val="008148FF"/>
    <w:rsid w:val="00814D50"/>
    <w:rsid w:val="00815366"/>
    <w:rsid w:val="008159FB"/>
    <w:rsid w:val="00815C94"/>
    <w:rsid w:val="008169D3"/>
    <w:rsid w:val="00817D9E"/>
    <w:rsid w:val="00820443"/>
    <w:rsid w:val="008209DC"/>
    <w:rsid w:val="008212EF"/>
    <w:rsid w:val="00821C18"/>
    <w:rsid w:val="00821EA7"/>
    <w:rsid w:val="0082253D"/>
    <w:rsid w:val="0082425B"/>
    <w:rsid w:val="008249FC"/>
    <w:rsid w:val="00824CA2"/>
    <w:rsid w:val="00825B81"/>
    <w:rsid w:val="00830037"/>
    <w:rsid w:val="00830349"/>
    <w:rsid w:val="00830390"/>
    <w:rsid w:val="00830428"/>
    <w:rsid w:val="0083066B"/>
    <w:rsid w:val="00830BA2"/>
    <w:rsid w:val="00831089"/>
    <w:rsid w:val="00831153"/>
    <w:rsid w:val="00831B1A"/>
    <w:rsid w:val="00832204"/>
    <w:rsid w:val="00832617"/>
    <w:rsid w:val="008336B2"/>
    <w:rsid w:val="0083453A"/>
    <w:rsid w:val="00834BCA"/>
    <w:rsid w:val="0083520A"/>
    <w:rsid w:val="008357F1"/>
    <w:rsid w:val="00835F06"/>
    <w:rsid w:val="008361F2"/>
    <w:rsid w:val="00836429"/>
    <w:rsid w:val="00836A4B"/>
    <w:rsid w:val="00836FF1"/>
    <w:rsid w:val="008370FA"/>
    <w:rsid w:val="00837498"/>
    <w:rsid w:val="0083757F"/>
    <w:rsid w:val="00840045"/>
    <w:rsid w:val="0084020E"/>
    <w:rsid w:val="00840AA5"/>
    <w:rsid w:val="0084141F"/>
    <w:rsid w:val="00841491"/>
    <w:rsid w:val="00841613"/>
    <w:rsid w:val="00841E5F"/>
    <w:rsid w:val="00842FE0"/>
    <w:rsid w:val="00843496"/>
    <w:rsid w:val="008436AB"/>
    <w:rsid w:val="00843C63"/>
    <w:rsid w:val="00844392"/>
    <w:rsid w:val="008450C9"/>
    <w:rsid w:val="008451BE"/>
    <w:rsid w:val="00846815"/>
    <w:rsid w:val="00846E15"/>
    <w:rsid w:val="00847085"/>
    <w:rsid w:val="00847221"/>
    <w:rsid w:val="008479B3"/>
    <w:rsid w:val="00847ABF"/>
    <w:rsid w:val="00847D3D"/>
    <w:rsid w:val="00850431"/>
    <w:rsid w:val="00850F86"/>
    <w:rsid w:val="00851CAA"/>
    <w:rsid w:val="00852617"/>
    <w:rsid w:val="00852756"/>
    <w:rsid w:val="00852D3F"/>
    <w:rsid w:val="0085311C"/>
    <w:rsid w:val="00853B09"/>
    <w:rsid w:val="00853F42"/>
    <w:rsid w:val="00854936"/>
    <w:rsid w:val="0085593D"/>
    <w:rsid w:val="00855EB9"/>
    <w:rsid w:val="00856AB0"/>
    <w:rsid w:val="00856AC5"/>
    <w:rsid w:val="00856E14"/>
    <w:rsid w:val="00856E94"/>
    <w:rsid w:val="008575A1"/>
    <w:rsid w:val="0086103D"/>
    <w:rsid w:val="008614D5"/>
    <w:rsid w:val="008630D3"/>
    <w:rsid w:val="00863530"/>
    <w:rsid w:val="00863623"/>
    <w:rsid w:val="00863C72"/>
    <w:rsid w:val="00865365"/>
    <w:rsid w:val="008657CB"/>
    <w:rsid w:val="00865836"/>
    <w:rsid w:val="008664E6"/>
    <w:rsid w:val="008665AD"/>
    <w:rsid w:val="008670FC"/>
    <w:rsid w:val="0086746F"/>
    <w:rsid w:val="00867F1A"/>
    <w:rsid w:val="008708FB"/>
    <w:rsid w:val="00870D4C"/>
    <w:rsid w:val="00871023"/>
    <w:rsid w:val="0087139A"/>
    <w:rsid w:val="00871E94"/>
    <w:rsid w:val="00872E04"/>
    <w:rsid w:val="0087301A"/>
    <w:rsid w:val="0087381C"/>
    <w:rsid w:val="00873B79"/>
    <w:rsid w:val="00873F85"/>
    <w:rsid w:val="00875D2D"/>
    <w:rsid w:val="00875FCC"/>
    <w:rsid w:val="00876A3C"/>
    <w:rsid w:val="008770B6"/>
    <w:rsid w:val="00877E42"/>
    <w:rsid w:val="00880085"/>
    <w:rsid w:val="008809B9"/>
    <w:rsid w:val="00880A52"/>
    <w:rsid w:val="00881CB9"/>
    <w:rsid w:val="00881FD3"/>
    <w:rsid w:val="00882187"/>
    <w:rsid w:val="00883254"/>
    <w:rsid w:val="0088368E"/>
    <w:rsid w:val="008841D9"/>
    <w:rsid w:val="00885895"/>
    <w:rsid w:val="008866E3"/>
    <w:rsid w:val="008872E8"/>
    <w:rsid w:val="00887AD3"/>
    <w:rsid w:val="008904A0"/>
    <w:rsid w:val="008909A9"/>
    <w:rsid w:val="00890F7D"/>
    <w:rsid w:val="0089224C"/>
    <w:rsid w:val="00893549"/>
    <w:rsid w:val="00894117"/>
    <w:rsid w:val="00894349"/>
    <w:rsid w:val="008955EA"/>
    <w:rsid w:val="008956BF"/>
    <w:rsid w:val="008956C5"/>
    <w:rsid w:val="00895931"/>
    <w:rsid w:val="00895F04"/>
    <w:rsid w:val="008963E8"/>
    <w:rsid w:val="00896563"/>
    <w:rsid w:val="00896D10"/>
    <w:rsid w:val="008970EC"/>
    <w:rsid w:val="00897856"/>
    <w:rsid w:val="00897A96"/>
    <w:rsid w:val="00897B9B"/>
    <w:rsid w:val="008A0AC3"/>
    <w:rsid w:val="008A167A"/>
    <w:rsid w:val="008A1D4F"/>
    <w:rsid w:val="008A3C31"/>
    <w:rsid w:val="008A4692"/>
    <w:rsid w:val="008A4AE6"/>
    <w:rsid w:val="008A5751"/>
    <w:rsid w:val="008A5A91"/>
    <w:rsid w:val="008A5B65"/>
    <w:rsid w:val="008A6C46"/>
    <w:rsid w:val="008A74B9"/>
    <w:rsid w:val="008B02B6"/>
    <w:rsid w:val="008B068E"/>
    <w:rsid w:val="008B0C88"/>
    <w:rsid w:val="008B1612"/>
    <w:rsid w:val="008B2196"/>
    <w:rsid w:val="008B2C8A"/>
    <w:rsid w:val="008B3799"/>
    <w:rsid w:val="008B4512"/>
    <w:rsid w:val="008B48AC"/>
    <w:rsid w:val="008B4B51"/>
    <w:rsid w:val="008B4CB3"/>
    <w:rsid w:val="008B4F06"/>
    <w:rsid w:val="008B4F9E"/>
    <w:rsid w:val="008B5049"/>
    <w:rsid w:val="008B5D31"/>
    <w:rsid w:val="008B5F55"/>
    <w:rsid w:val="008B5F95"/>
    <w:rsid w:val="008B64F4"/>
    <w:rsid w:val="008B65F1"/>
    <w:rsid w:val="008B7930"/>
    <w:rsid w:val="008C1041"/>
    <w:rsid w:val="008C278A"/>
    <w:rsid w:val="008C2E65"/>
    <w:rsid w:val="008C2F1E"/>
    <w:rsid w:val="008C3463"/>
    <w:rsid w:val="008C365B"/>
    <w:rsid w:val="008C3761"/>
    <w:rsid w:val="008C37CD"/>
    <w:rsid w:val="008C3899"/>
    <w:rsid w:val="008C3FD8"/>
    <w:rsid w:val="008C43A2"/>
    <w:rsid w:val="008C43E3"/>
    <w:rsid w:val="008C4D9D"/>
    <w:rsid w:val="008C58AA"/>
    <w:rsid w:val="008C5F1A"/>
    <w:rsid w:val="008C630C"/>
    <w:rsid w:val="008C66DE"/>
    <w:rsid w:val="008C6C87"/>
    <w:rsid w:val="008C7342"/>
    <w:rsid w:val="008D11FF"/>
    <w:rsid w:val="008D2010"/>
    <w:rsid w:val="008D216A"/>
    <w:rsid w:val="008D2602"/>
    <w:rsid w:val="008D2D21"/>
    <w:rsid w:val="008D2F20"/>
    <w:rsid w:val="008D4411"/>
    <w:rsid w:val="008D4529"/>
    <w:rsid w:val="008D45FB"/>
    <w:rsid w:val="008D4A88"/>
    <w:rsid w:val="008D5A1E"/>
    <w:rsid w:val="008D6105"/>
    <w:rsid w:val="008D66AE"/>
    <w:rsid w:val="008D6708"/>
    <w:rsid w:val="008D6765"/>
    <w:rsid w:val="008D6B0D"/>
    <w:rsid w:val="008D776C"/>
    <w:rsid w:val="008D779A"/>
    <w:rsid w:val="008D7BA5"/>
    <w:rsid w:val="008D7BD8"/>
    <w:rsid w:val="008D7EF2"/>
    <w:rsid w:val="008E07B6"/>
    <w:rsid w:val="008E18F0"/>
    <w:rsid w:val="008E1C2B"/>
    <w:rsid w:val="008E20CF"/>
    <w:rsid w:val="008E297D"/>
    <w:rsid w:val="008E2B23"/>
    <w:rsid w:val="008E2B43"/>
    <w:rsid w:val="008E3BB1"/>
    <w:rsid w:val="008E3E63"/>
    <w:rsid w:val="008E4463"/>
    <w:rsid w:val="008E4DCC"/>
    <w:rsid w:val="008E4DE4"/>
    <w:rsid w:val="008E5759"/>
    <w:rsid w:val="008E65D8"/>
    <w:rsid w:val="008E6C6E"/>
    <w:rsid w:val="008E6F00"/>
    <w:rsid w:val="008E7565"/>
    <w:rsid w:val="008E7A50"/>
    <w:rsid w:val="008E7D4B"/>
    <w:rsid w:val="008E7DDD"/>
    <w:rsid w:val="008F0B20"/>
    <w:rsid w:val="008F0BED"/>
    <w:rsid w:val="008F0E43"/>
    <w:rsid w:val="008F21DB"/>
    <w:rsid w:val="008F2242"/>
    <w:rsid w:val="008F28B6"/>
    <w:rsid w:val="008F28E0"/>
    <w:rsid w:val="008F299C"/>
    <w:rsid w:val="008F37D4"/>
    <w:rsid w:val="008F3B46"/>
    <w:rsid w:val="008F3B95"/>
    <w:rsid w:val="008F4A56"/>
    <w:rsid w:val="008F5531"/>
    <w:rsid w:val="008F5783"/>
    <w:rsid w:val="008F5CB1"/>
    <w:rsid w:val="008F5E55"/>
    <w:rsid w:val="008F7347"/>
    <w:rsid w:val="008F7A91"/>
    <w:rsid w:val="009008B6"/>
    <w:rsid w:val="009009F6"/>
    <w:rsid w:val="00900C19"/>
    <w:rsid w:val="00901026"/>
    <w:rsid w:val="0090128E"/>
    <w:rsid w:val="00901B4D"/>
    <w:rsid w:val="00901C20"/>
    <w:rsid w:val="00901EDF"/>
    <w:rsid w:val="00902BD5"/>
    <w:rsid w:val="00902BDE"/>
    <w:rsid w:val="00902E4B"/>
    <w:rsid w:val="0090319E"/>
    <w:rsid w:val="00903A8C"/>
    <w:rsid w:val="00903BBE"/>
    <w:rsid w:val="00904467"/>
    <w:rsid w:val="0090451A"/>
    <w:rsid w:val="00904AB2"/>
    <w:rsid w:val="00904C88"/>
    <w:rsid w:val="00905316"/>
    <w:rsid w:val="00905CB2"/>
    <w:rsid w:val="009066B0"/>
    <w:rsid w:val="009066F0"/>
    <w:rsid w:val="00906B11"/>
    <w:rsid w:val="00906EA5"/>
    <w:rsid w:val="0090778E"/>
    <w:rsid w:val="00907C63"/>
    <w:rsid w:val="00907F07"/>
    <w:rsid w:val="00907FC8"/>
    <w:rsid w:val="009105CB"/>
    <w:rsid w:val="009112F7"/>
    <w:rsid w:val="009115B8"/>
    <w:rsid w:val="00911751"/>
    <w:rsid w:val="009129B7"/>
    <w:rsid w:val="00913125"/>
    <w:rsid w:val="0091316F"/>
    <w:rsid w:val="0091319B"/>
    <w:rsid w:val="00913587"/>
    <w:rsid w:val="00913821"/>
    <w:rsid w:val="009139BD"/>
    <w:rsid w:val="00914238"/>
    <w:rsid w:val="00914A7C"/>
    <w:rsid w:val="00914B14"/>
    <w:rsid w:val="009156BD"/>
    <w:rsid w:val="0091598C"/>
    <w:rsid w:val="00915B28"/>
    <w:rsid w:val="0091649D"/>
    <w:rsid w:val="00916687"/>
    <w:rsid w:val="009167D8"/>
    <w:rsid w:val="00916FC2"/>
    <w:rsid w:val="0091731B"/>
    <w:rsid w:val="009210DF"/>
    <w:rsid w:val="00922145"/>
    <w:rsid w:val="00923C8A"/>
    <w:rsid w:val="0092426E"/>
    <w:rsid w:val="00924538"/>
    <w:rsid w:val="009249F5"/>
    <w:rsid w:val="00924AB4"/>
    <w:rsid w:val="009255B5"/>
    <w:rsid w:val="00926381"/>
    <w:rsid w:val="009267D5"/>
    <w:rsid w:val="009271E1"/>
    <w:rsid w:val="00927435"/>
    <w:rsid w:val="009305AD"/>
    <w:rsid w:val="00930C56"/>
    <w:rsid w:val="0093174B"/>
    <w:rsid w:val="00931823"/>
    <w:rsid w:val="0093188B"/>
    <w:rsid w:val="009322B5"/>
    <w:rsid w:val="009325D7"/>
    <w:rsid w:val="009329A7"/>
    <w:rsid w:val="009329CB"/>
    <w:rsid w:val="0093359E"/>
    <w:rsid w:val="00934951"/>
    <w:rsid w:val="00935ADD"/>
    <w:rsid w:val="00935DFF"/>
    <w:rsid w:val="00935EA6"/>
    <w:rsid w:val="00935EE5"/>
    <w:rsid w:val="00936E17"/>
    <w:rsid w:val="009376D6"/>
    <w:rsid w:val="00937A47"/>
    <w:rsid w:val="00940ECD"/>
    <w:rsid w:val="009411B5"/>
    <w:rsid w:val="00941258"/>
    <w:rsid w:val="0094230F"/>
    <w:rsid w:val="009429EF"/>
    <w:rsid w:val="00942A88"/>
    <w:rsid w:val="00942ED0"/>
    <w:rsid w:val="00943441"/>
    <w:rsid w:val="0094407E"/>
    <w:rsid w:val="00944DFD"/>
    <w:rsid w:val="00944ECE"/>
    <w:rsid w:val="00944EE5"/>
    <w:rsid w:val="00944FA3"/>
    <w:rsid w:val="00945AF4"/>
    <w:rsid w:val="00945BB9"/>
    <w:rsid w:val="00945EC2"/>
    <w:rsid w:val="009469FB"/>
    <w:rsid w:val="00946C0D"/>
    <w:rsid w:val="00947A38"/>
    <w:rsid w:val="00950843"/>
    <w:rsid w:val="00951953"/>
    <w:rsid w:val="009533EF"/>
    <w:rsid w:val="009539D2"/>
    <w:rsid w:val="00954113"/>
    <w:rsid w:val="00954829"/>
    <w:rsid w:val="0095527C"/>
    <w:rsid w:val="0095571F"/>
    <w:rsid w:val="00955C0B"/>
    <w:rsid w:val="00955EF2"/>
    <w:rsid w:val="00956274"/>
    <w:rsid w:val="00956BCB"/>
    <w:rsid w:val="0095707E"/>
    <w:rsid w:val="00957CE6"/>
    <w:rsid w:val="00957E54"/>
    <w:rsid w:val="00960387"/>
    <w:rsid w:val="0096062D"/>
    <w:rsid w:val="009607E1"/>
    <w:rsid w:val="00960AD1"/>
    <w:rsid w:val="00960BC3"/>
    <w:rsid w:val="00960C82"/>
    <w:rsid w:val="0096254A"/>
    <w:rsid w:val="00963810"/>
    <w:rsid w:val="00964861"/>
    <w:rsid w:val="0096520E"/>
    <w:rsid w:val="00965918"/>
    <w:rsid w:val="009667F6"/>
    <w:rsid w:val="00966880"/>
    <w:rsid w:val="009668F1"/>
    <w:rsid w:val="00966CF9"/>
    <w:rsid w:val="009671DE"/>
    <w:rsid w:val="009673C0"/>
    <w:rsid w:val="00967C1C"/>
    <w:rsid w:val="009708CA"/>
    <w:rsid w:val="009716FC"/>
    <w:rsid w:val="00971AA2"/>
    <w:rsid w:val="00971AE5"/>
    <w:rsid w:val="00972940"/>
    <w:rsid w:val="009732EE"/>
    <w:rsid w:val="0097373E"/>
    <w:rsid w:val="00973D30"/>
    <w:rsid w:val="00974AC6"/>
    <w:rsid w:val="00974B0B"/>
    <w:rsid w:val="00974DEE"/>
    <w:rsid w:val="009772E2"/>
    <w:rsid w:val="00977411"/>
    <w:rsid w:val="00980028"/>
    <w:rsid w:val="009808C4"/>
    <w:rsid w:val="00980EFA"/>
    <w:rsid w:val="00981497"/>
    <w:rsid w:val="00981E7F"/>
    <w:rsid w:val="00981EB2"/>
    <w:rsid w:val="0098235B"/>
    <w:rsid w:val="009823CE"/>
    <w:rsid w:val="00982420"/>
    <w:rsid w:val="0098242F"/>
    <w:rsid w:val="00982874"/>
    <w:rsid w:val="0098341F"/>
    <w:rsid w:val="00984C47"/>
    <w:rsid w:val="009851FA"/>
    <w:rsid w:val="00985303"/>
    <w:rsid w:val="00986209"/>
    <w:rsid w:val="00986A82"/>
    <w:rsid w:val="00986B4A"/>
    <w:rsid w:val="0098716D"/>
    <w:rsid w:val="00987535"/>
    <w:rsid w:val="009901D5"/>
    <w:rsid w:val="00990BB6"/>
    <w:rsid w:val="009912B3"/>
    <w:rsid w:val="0099190A"/>
    <w:rsid w:val="0099195E"/>
    <w:rsid w:val="00995258"/>
    <w:rsid w:val="009957CC"/>
    <w:rsid w:val="00996042"/>
    <w:rsid w:val="00996B38"/>
    <w:rsid w:val="00996BD9"/>
    <w:rsid w:val="00997935"/>
    <w:rsid w:val="00997D82"/>
    <w:rsid w:val="009A0107"/>
    <w:rsid w:val="009A029B"/>
    <w:rsid w:val="009A0381"/>
    <w:rsid w:val="009A0A4E"/>
    <w:rsid w:val="009A1B21"/>
    <w:rsid w:val="009A1C55"/>
    <w:rsid w:val="009A2F49"/>
    <w:rsid w:val="009A4779"/>
    <w:rsid w:val="009A507C"/>
    <w:rsid w:val="009A5169"/>
    <w:rsid w:val="009A528B"/>
    <w:rsid w:val="009A52ED"/>
    <w:rsid w:val="009A53F5"/>
    <w:rsid w:val="009A5E82"/>
    <w:rsid w:val="009A601B"/>
    <w:rsid w:val="009A6A9F"/>
    <w:rsid w:val="009B04B3"/>
    <w:rsid w:val="009B0C86"/>
    <w:rsid w:val="009B0C87"/>
    <w:rsid w:val="009B0D31"/>
    <w:rsid w:val="009B11BD"/>
    <w:rsid w:val="009B19FB"/>
    <w:rsid w:val="009B265D"/>
    <w:rsid w:val="009B3035"/>
    <w:rsid w:val="009B368C"/>
    <w:rsid w:val="009B42D6"/>
    <w:rsid w:val="009B5309"/>
    <w:rsid w:val="009B6247"/>
    <w:rsid w:val="009B6E82"/>
    <w:rsid w:val="009B6F4B"/>
    <w:rsid w:val="009B7527"/>
    <w:rsid w:val="009B7909"/>
    <w:rsid w:val="009B79BD"/>
    <w:rsid w:val="009B7AF0"/>
    <w:rsid w:val="009B7D0E"/>
    <w:rsid w:val="009C0965"/>
    <w:rsid w:val="009C16A2"/>
    <w:rsid w:val="009C2323"/>
    <w:rsid w:val="009C2A4C"/>
    <w:rsid w:val="009C38F2"/>
    <w:rsid w:val="009C3AED"/>
    <w:rsid w:val="009C538B"/>
    <w:rsid w:val="009C55CC"/>
    <w:rsid w:val="009C6181"/>
    <w:rsid w:val="009C6462"/>
    <w:rsid w:val="009C6651"/>
    <w:rsid w:val="009C6F50"/>
    <w:rsid w:val="009D0034"/>
    <w:rsid w:val="009D00A1"/>
    <w:rsid w:val="009D00DE"/>
    <w:rsid w:val="009D16F3"/>
    <w:rsid w:val="009D2172"/>
    <w:rsid w:val="009D277F"/>
    <w:rsid w:val="009D2EEB"/>
    <w:rsid w:val="009D3463"/>
    <w:rsid w:val="009D36C9"/>
    <w:rsid w:val="009D36F3"/>
    <w:rsid w:val="009D3770"/>
    <w:rsid w:val="009D3BB5"/>
    <w:rsid w:val="009D3CCE"/>
    <w:rsid w:val="009D462C"/>
    <w:rsid w:val="009D57BB"/>
    <w:rsid w:val="009D5AAC"/>
    <w:rsid w:val="009D63FC"/>
    <w:rsid w:val="009D65A4"/>
    <w:rsid w:val="009D67E1"/>
    <w:rsid w:val="009D6CB9"/>
    <w:rsid w:val="009E198B"/>
    <w:rsid w:val="009E1A95"/>
    <w:rsid w:val="009E1B05"/>
    <w:rsid w:val="009E1C74"/>
    <w:rsid w:val="009E20F5"/>
    <w:rsid w:val="009E2D5E"/>
    <w:rsid w:val="009E30A5"/>
    <w:rsid w:val="009E333C"/>
    <w:rsid w:val="009E341C"/>
    <w:rsid w:val="009E3C96"/>
    <w:rsid w:val="009E4575"/>
    <w:rsid w:val="009E4C67"/>
    <w:rsid w:val="009E4E8F"/>
    <w:rsid w:val="009E4EF4"/>
    <w:rsid w:val="009E5AD0"/>
    <w:rsid w:val="009E5ADE"/>
    <w:rsid w:val="009E5B43"/>
    <w:rsid w:val="009E5B4F"/>
    <w:rsid w:val="009E6327"/>
    <w:rsid w:val="009E697B"/>
    <w:rsid w:val="009E6D67"/>
    <w:rsid w:val="009E71CD"/>
    <w:rsid w:val="009E7677"/>
    <w:rsid w:val="009F0089"/>
    <w:rsid w:val="009F0B8D"/>
    <w:rsid w:val="009F0C6E"/>
    <w:rsid w:val="009F0F19"/>
    <w:rsid w:val="009F1B7D"/>
    <w:rsid w:val="009F2873"/>
    <w:rsid w:val="009F38FD"/>
    <w:rsid w:val="009F4204"/>
    <w:rsid w:val="009F44B8"/>
    <w:rsid w:val="009F46A9"/>
    <w:rsid w:val="009F480E"/>
    <w:rsid w:val="009F48A3"/>
    <w:rsid w:val="009F4A18"/>
    <w:rsid w:val="009F56E5"/>
    <w:rsid w:val="009F716E"/>
    <w:rsid w:val="009F7E8F"/>
    <w:rsid w:val="00A00A74"/>
    <w:rsid w:val="00A00C7A"/>
    <w:rsid w:val="00A0141B"/>
    <w:rsid w:val="00A01EF7"/>
    <w:rsid w:val="00A028D4"/>
    <w:rsid w:val="00A028F6"/>
    <w:rsid w:val="00A037D3"/>
    <w:rsid w:val="00A03ED3"/>
    <w:rsid w:val="00A046BC"/>
    <w:rsid w:val="00A053D4"/>
    <w:rsid w:val="00A055D4"/>
    <w:rsid w:val="00A05BEC"/>
    <w:rsid w:val="00A067E1"/>
    <w:rsid w:val="00A06F94"/>
    <w:rsid w:val="00A0767C"/>
    <w:rsid w:val="00A07816"/>
    <w:rsid w:val="00A10FFC"/>
    <w:rsid w:val="00A11F91"/>
    <w:rsid w:val="00A12595"/>
    <w:rsid w:val="00A13CBF"/>
    <w:rsid w:val="00A1400B"/>
    <w:rsid w:val="00A1487B"/>
    <w:rsid w:val="00A15478"/>
    <w:rsid w:val="00A15756"/>
    <w:rsid w:val="00A158CE"/>
    <w:rsid w:val="00A1616F"/>
    <w:rsid w:val="00A164E9"/>
    <w:rsid w:val="00A167E6"/>
    <w:rsid w:val="00A16A8F"/>
    <w:rsid w:val="00A1792A"/>
    <w:rsid w:val="00A2158B"/>
    <w:rsid w:val="00A215AB"/>
    <w:rsid w:val="00A2298E"/>
    <w:rsid w:val="00A2315E"/>
    <w:rsid w:val="00A238B5"/>
    <w:rsid w:val="00A242B2"/>
    <w:rsid w:val="00A24315"/>
    <w:rsid w:val="00A24357"/>
    <w:rsid w:val="00A246D9"/>
    <w:rsid w:val="00A24979"/>
    <w:rsid w:val="00A2571C"/>
    <w:rsid w:val="00A25B58"/>
    <w:rsid w:val="00A25F51"/>
    <w:rsid w:val="00A26184"/>
    <w:rsid w:val="00A26853"/>
    <w:rsid w:val="00A26874"/>
    <w:rsid w:val="00A26C38"/>
    <w:rsid w:val="00A270D5"/>
    <w:rsid w:val="00A277BA"/>
    <w:rsid w:val="00A2799F"/>
    <w:rsid w:val="00A305B0"/>
    <w:rsid w:val="00A30726"/>
    <w:rsid w:val="00A307B0"/>
    <w:rsid w:val="00A30A0B"/>
    <w:rsid w:val="00A30B16"/>
    <w:rsid w:val="00A31206"/>
    <w:rsid w:val="00A314D1"/>
    <w:rsid w:val="00A324A4"/>
    <w:rsid w:val="00A32688"/>
    <w:rsid w:val="00A329A4"/>
    <w:rsid w:val="00A33554"/>
    <w:rsid w:val="00A3428C"/>
    <w:rsid w:val="00A34731"/>
    <w:rsid w:val="00A34F8E"/>
    <w:rsid w:val="00A35105"/>
    <w:rsid w:val="00A356A2"/>
    <w:rsid w:val="00A357CD"/>
    <w:rsid w:val="00A35C97"/>
    <w:rsid w:val="00A36594"/>
    <w:rsid w:val="00A367BF"/>
    <w:rsid w:val="00A36E3F"/>
    <w:rsid w:val="00A4091F"/>
    <w:rsid w:val="00A40BD5"/>
    <w:rsid w:val="00A40EF0"/>
    <w:rsid w:val="00A4155F"/>
    <w:rsid w:val="00A4198D"/>
    <w:rsid w:val="00A42040"/>
    <w:rsid w:val="00A426B3"/>
    <w:rsid w:val="00A43C11"/>
    <w:rsid w:val="00A44436"/>
    <w:rsid w:val="00A44F5A"/>
    <w:rsid w:val="00A45034"/>
    <w:rsid w:val="00A45C35"/>
    <w:rsid w:val="00A4604E"/>
    <w:rsid w:val="00A46270"/>
    <w:rsid w:val="00A46F0E"/>
    <w:rsid w:val="00A479EC"/>
    <w:rsid w:val="00A50026"/>
    <w:rsid w:val="00A50160"/>
    <w:rsid w:val="00A507B2"/>
    <w:rsid w:val="00A51986"/>
    <w:rsid w:val="00A51B24"/>
    <w:rsid w:val="00A52001"/>
    <w:rsid w:val="00A525C7"/>
    <w:rsid w:val="00A52F7F"/>
    <w:rsid w:val="00A5329E"/>
    <w:rsid w:val="00A533EF"/>
    <w:rsid w:val="00A53B36"/>
    <w:rsid w:val="00A53E03"/>
    <w:rsid w:val="00A542D1"/>
    <w:rsid w:val="00A54419"/>
    <w:rsid w:val="00A55EBB"/>
    <w:rsid w:val="00A565CE"/>
    <w:rsid w:val="00A566F4"/>
    <w:rsid w:val="00A56EDC"/>
    <w:rsid w:val="00A573B0"/>
    <w:rsid w:val="00A57668"/>
    <w:rsid w:val="00A57ACD"/>
    <w:rsid w:val="00A600FF"/>
    <w:rsid w:val="00A63461"/>
    <w:rsid w:val="00A63BAA"/>
    <w:rsid w:val="00A64212"/>
    <w:rsid w:val="00A64CA4"/>
    <w:rsid w:val="00A64D7D"/>
    <w:rsid w:val="00A65CF9"/>
    <w:rsid w:val="00A660F9"/>
    <w:rsid w:val="00A667ED"/>
    <w:rsid w:val="00A66DE8"/>
    <w:rsid w:val="00A67953"/>
    <w:rsid w:val="00A67A3A"/>
    <w:rsid w:val="00A67B43"/>
    <w:rsid w:val="00A67E02"/>
    <w:rsid w:val="00A70039"/>
    <w:rsid w:val="00A70C42"/>
    <w:rsid w:val="00A71541"/>
    <w:rsid w:val="00A717C6"/>
    <w:rsid w:val="00A722D1"/>
    <w:rsid w:val="00A731B2"/>
    <w:rsid w:val="00A734E1"/>
    <w:rsid w:val="00A73821"/>
    <w:rsid w:val="00A73D70"/>
    <w:rsid w:val="00A740CA"/>
    <w:rsid w:val="00A7455B"/>
    <w:rsid w:val="00A7485D"/>
    <w:rsid w:val="00A74EC9"/>
    <w:rsid w:val="00A757F4"/>
    <w:rsid w:val="00A76BA3"/>
    <w:rsid w:val="00A77902"/>
    <w:rsid w:val="00A77A9A"/>
    <w:rsid w:val="00A77EAA"/>
    <w:rsid w:val="00A77F98"/>
    <w:rsid w:val="00A812DF"/>
    <w:rsid w:val="00A81D42"/>
    <w:rsid w:val="00A82276"/>
    <w:rsid w:val="00A8263D"/>
    <w:rsid w:val="00A82CDB"/>
    <w:rsid w:val="00A831D1"/>
    <w:rsid w:val="00A8364F"/>
    <w:rsid w:val="00A84219"/>
    <w:rsid w:val="00A84C34"/>
    <w:rsid w:val="00A853B2"/>
    <w:rsid w:val="00A85AA2"/>
    <w:rsid w:val="00A85FB1"/>
    <w:rsid w:val="00A878C0"/>
    <w:rsid w:val="00A9012B"/>
    <w:rsid w:val="00A903DC"/>
    <w:rsid w:val="00A90C0F"/>
    <w:rsid w:val="00A917B4"/>
    <w:rsid w:val="00A920EC"/>
    <w:rsid w:val="00A9287D"/>
    <w:rsid w:val="00A92E97"/>
    <w:rsid w:val="00A932AB"/>
    <w:rsid w:val="00A9390D"/>
    <w:rsid w:val="00A94F2D"/>
    <w:rsid w:val="00A950AB"/>
    <w:rsid w:val="00A9581B"/>
    <w:rsid w:val="00A9619A"/>
    <w:rsid w:val="00A96269"/>
    <w:rsid w:val="00A968DE"/>
    <w:rsid w:val="00A96BFF"/>
    <w:rsid w:val="00A97313"/>
    <w:rsid w:val="00A97487"/>
    <w:rsid w:val="00A97737"/>
    <w:rsid w:val="00A97D02"/>
    <w:rsid w:val="00A97E12"/>
    <w:rsid w:val="00AA05F8"/>
    <w:rsid w:val="00AA0B79"/>
    <w:rsid w:val="00AA0B89"/>
    <w:rsid w:val="00AA200F"/>
    <w:rsid w:val="00AA209E"/>
    <w:rsid w:val="00AA2495"/>
    <w:rsid w:val="00AA4301"/>
    <w:rsid w:val="00AA4522"/>
    <w:rsid w:val="00AA70D6"/>
    <w:rsid w:val="00AA76B6"/>
    <w:rsid w:val="00AB000E"/>
    <w:rsid w:val="00AB0023"/>
    <w:rsid w:val="00AB02EE"/>
    <w:rsid w:val="00AB05C1"/>
    <w:rsid w:val="00AB1135"/>
    <w:rsid w:val="00AB1EE0"/>
    <w:rsid w:val="00AB210E"/>
    <w:rsid w:val="00AB25C4"/>
    <w:rsid w:val="00AB2DA5"/>
    <w:rsid w:val="00AB2E6D"/>
    <w:rsid w:val="00AB3047"/>
    <w:rsid w:val="00AB35D2"/>
    <w:rsid w:val="00AB3A91"/>
    <w:rsid w:val="00AB4590"/>
    <w:rsid w:val="00AB5BE6"/>
    <w:rsid w:val="00AB6898"/>
    <w:rsid w:val="00AB794A"/>
    <w:rsid w:val="00AC0114"/>
    <w:rsid w:val="00AC122A"/>
    <w:rsid w:val="00AC2151"/>
    <w:rsid w:val="00AC2930"/>
    <w:rsid w:val="00AC2B57"/>
    <w:rsid w:val="00AC2B73"/>
    <w:rsid w:val="00AC2CC0"/>
    <w:rsid w:val="00AC3D29"/>
    <w:rsid w:val="00AC4049"/>
    <w:rsid w:val="00AC5E3D"/>
    <w:rsid w:val="00AC6261"/>
    <w:rsid w:val="00AC662C"/>
    <w:rsid w:val="00AC6CF7"/>
    <w:rsid w:val="00AC6E3B"/>
    <w:rsid w:val="00AD0B95"/>
    <w:rsid w:val="00AD1365"/>
    <w:rsid w:val="00AD1A8C"/>
    <w:rsid w:val="00AD31E8"/>
    <w:rsid w:val="00AD3EB6"/>
    <w:rsid w:val="00AD4ADE"/>
    <w:rsid w:val="00AD4DA7"/>
    <w:rsid w:val="00AD4E89"/>
    <w:rsid w:val="00AD50C8"/>
    <w:rsid w:val="00AD5A37"/>
    <w:rsid w:val="00AD5E13"/>
    <w:rsid w:val="00AD5E46"/>
    <w:rsid w:val="00AD713C"/>
    <w:rsid w:val="00AD7F4F"/>
    <w:rsid w:val="00AE0257"/>
    <w:rsid w:val="00AE0AE5"/>
    <w:rsid w:val="00AE10B7"/>
    <w:rsid w:val="00AE12BF"/>
    <w:rsid w:val="00AE1DAF"/>
    <w:rsid w:val="00AE2214"/>
    <w:rsid w:val="00AE2499"/>
    <w:rsid w:val="00AE2FEF"/>
    <w:rsid w:val="00AE4471"/>
    <w:rsid w:val="00AE4C05"/>
    <w:rsid w:val="00AE4C81"/>
    <w:rsid w:val="00AE52E6"/>
    <w:rsid w:val="00AE5B1C"/>
    <w:rsid w:val="00AE5C67"/>
    <w:rsid w:val="00AE658D"/>
    <w:rsid w:val="00AE7048"/>
    <w:rsid w:val="00AE74B4"/>
    <w:rsid w:val="00AF0460"/>
    <w:rsid w:val="00AF109E"/>
    <w:rsid w:val="00AF16C9"/>
    <w:rsid w:val="00AF1C25"/>
    <w:rsid w:val="00AF23A6"/>
    <w:rsid w:val="00AF35E5"/>
    <w:rsid w:val="00AF3E8B"/>
    <w:rsid w:val="00AF4182"/>
    <w:rsid w:val="00AF4241"/>
    <w:rsid w:val="00AF588D"/>
    <w:rsid w:val="00AF641F"/>
    <w:rsid w:val="00AF643A"/>
    <w:rsid w:val="00AF6596"/>
    <w:rsid w:val="00AF6B18"/>
    <w:rsid w:val="00AF6DAC"/>
    <w:rsid w:val="00AF78F9"/>
    <w:rsid w:val="00B003EF"/>
    <w:rsid w:val="00B00A42"/>
    <w:rsid w:val="00B01C02"/>
    <w:rsid w:val="00B01DD7"/>
    <w:rsid w:val="00B01F47"/>
    <w:rsid w:val="00B020F2"/>
    <w:rsid w:val="00B0210B"/>
    <w:rsid w:val="00B039DB"/>
    <w:rsid w:val="00B05604"/>
    <w:rsid w:val="00B05EF5"/>
    <w:rsid w:val="00B05FAB"/>
    <w:rsid w:val="00B078BE"/>
    <w:rsid w:val="00B078DD"/>
    <w:rsid w:val="00B07B0D"/>
    <w:rsid w:val="00B11B45"/>
    <w:rsid w:val="00B1247E"/>
    <w:rsid w:val="00B12AD4"/>
    <w:rsid w:val="00B12B94"/>
    <w:rsid w:val="00B13357"/>
    <w:rsid w:val="00B1432C"/>
    <w:rsid w:val="00B14672"/>
    <w:rsid w:val="00B146B7"/>
    <w:rsid w:val="00B149CF"/>
    <w:rsid w:val="00B152A4"/>
    <w:rsid w:val="00B1547A"/>
    <w:rsid w:val="00B15764"/>
    <w:rsid w:val="00B15A8C"/>
    <w:rsid w:val="00B16DC5"/>
    <w:rsid w:val="00B177E5"/>
    <w:rsid w:val="00B2003D"/>
    <w:rsid w:val="00B2076F"/>
    <w:rsid w:val="00B209FF"/>
    <w:rsid w:val="00B20CCB"/>
    <w:rsid w:val="00B21D78"/>
    <w:rsid w:val="00B2278D"/>
    <w:rsid w:val="00B22E2D"/>
    <w:rsid w:val="00B23111"/>
    <w:rsid w:val="00B23277"/>
    <w:rsid w:val="00B2327B"/>
    <w:rsid w:val="00B23613"/>
    <w:rsid w:val="00B23891"/>
    <w:rsid w:val="00B23DC2"/>
    <w:rsid w:val="00B23F58"/>
    <w:rsid w:val="00B254AD"/>
    <w:rsid w:val="00B270DF"/>
    <w:rsid w:val="00B27376"/>
    <w:rsid w:val="00B27906"/>
    <w:rsid w:val="00B27D02"/>
    <w:rsid w:val="00B27D36"/>
    <w:rsid w:val="00B27DA1"/>
    <w:rsid w:val="00B303CD"/>
    <w:rsid w:val="00B307BB"/>
    <w:rsid w:val="00B30967"/>
    <w:rsid w:val="00B310E8"/>
    <w:rsid w:val="00B3112E"/>
    <w:rsid w:val="00B3190B"/>
    <w:rsid w:val="00B328A2"/>
    <w:rsid w:val="00B3432D"/>
    <w:rsid w:val="00B34486"/>
    <w:rsid w:val="00B34F68"/>
    <w:rsid w:val="00B350A3"/>
    <w:rsid w:val="00B3683C"/>
    <w:rsid w:val="00B36916"/>
    <w:rsid w:val="00B36D5F"/>
    <w:rsid w:val="00B37712"/>
    <w:rsid w:val="00B3776E"/>
    <w:rsid w:val="00B404FA"/>
    <w:rsid w:val="00B4176F"/>
    <w:rsid w:val="00B41807"/>
    <w:rsid w:val="00B4189E"/>
    <w:rsid w:val="00B42811"/>
    <w:rsid w:val="00B42BD9"/>
    <w:rsid w:val="00B43056"/>
    <w:rsid w:val="00B435A2"/>
    <w:rsid w:val="00B43F70"/>
    <w:rsid w:val="00B44159"/>
    <w:rsid w:val="00B449FE"/>
    <w:rsid w:val="00B4550C"/>
    <w:rsid w:val="00B469DA"/>
    <w:rsid w:val="00B46C27"/>
    <w:rsid w:val="00B47680"/>
    <w:rsid w:val="00B50080"/>
    <w:rsid w:val="00B50847"/>
    <w:rsid w:val="00B524A1"/>
    <w:rsid w:val="00B5311E"/>
    <w:rsid w:val="00B53227"/>
    <w:rsid w:val="00B53505"/>
    <w:rsid w:val="00B541AB"/>
    <w:rsid w:val="00B54EC6"/>
    <w:rsid w:val="00B54F69"/>
    <w:rsid w:val="00B5533A"/>
    <w:rsid w:val="00B55E35"/>
    <w:rsid w:val="00B56EB8"/>
    <w:rsid w:val="00B57789"/>
    <w:rsid w:val="00B57A4E"/>
    <w:rsid w:val="00B57A5B"/>
    <w:rsid w:val="00B57FFE"/>
    <w:rsid w:val="00B60765"/>
    <w:rsid w:val="00B60AEB"/>
    <w:rsid w:val="00B60B54"/>
    <w:rsid w:val="00B6153B"/>
    <w:rsid w:val="00B61E92"/>
    <w:rsid w:val="00B61FF1"/>
    <w:rsid w:val="00B62966"/>
    <w:rsid w:val="00B63F74"/>
    <w:rsid w:val="00B653A3"/>
    <w:rsid w:val="00B6558A"/>
    <w:rsid w:val="00B658D4"/>
    <w:rsid w:val="00B668DC"/>
    <w:rsid w:val="00B669BD"/>
    <w:rsid w:val="00B67195"/>
    <w:rsid w:val="00B67D4C"/>
    <w:rsid w:val="00B71508"/>
    <w:rsid w:val="00B71B6B"/>
    <w:rsid w:val="00B71B9A"/>
    <w:rsid w:val="00B71BF1"/>
    <w:rsid w:val="00B7279E"/>
    <w:rsid w:val="00B72BAA"/>
    <w:rsid w:val="00B733FE"/>
    <w:rsid w:val="00B73DD6"/>
    <w:rsid w:val="00B74344"/>
    <w:rsid w:val="00B7474C"/>
    <w:rsid w:val="00B7535C"/>
    <w:rsid w:val="00B755C1"/>
    <w:rsid w:val="00B756A0"/>
    <w:rsid w:val="00B75DCA"/>
    <w:rsid w:val="00B76263"/>
    <w:rsid w:val="00B76465"/>
    <w:rsid w:val="00B76A32"/>
    <w:rsid w:val="00B80CC5"/>
    <w:rsid w:val="00B811C9"/>
    <w:rsid w:val="00B81B8D"/>
    <w:rsid w:val="00B81E33"/>
    <w:rsid w:val="00B82D90"/>
    <w:rsid w:val="00B83431"/>
    <w:rsid w:val="00B8357B"/>
    <w:rsid w:val="00B83A10"/>
    <w:rsid w:val="00B83D21"/>
    <w:rsid w:val="00B83D22"/>
    <w:rsid w:val="00B83E1A"/>
    <w:rsid w:val="00B84623"/>
    <w:rsid w:val="00B846FC"/>
    <w:rsid w:val="00B84953"/>
    <w:rsid w:val="00B8650B"/>
    <w:rsid w:val="00B868DF"/>
    <w:rsid w:val="00B869B9"/>
    <w:rsid w:val="00B875EB"/>
    <w:rsid w:val="00B87647"/>
    <w:rsid w:val="00B87A00"/>
    <w:rsid w:val="00B87B1B"/>
    <w:rsid w:val="00B87E9F"/>
    <w:rsid w:val="00B9053A"/>
    <w:rsid w:val="00B9067D"/>
    <w:rsid w:val="00B90AFF"/>
    <w:rsid w:val="00B90CD6"/>
    <w:rsid w:val="00B90DD0"/>
    <w:rsid w:val="00B91BA4"/>
    <w:rsid w:val="00B91C8C"/>
    <w:rsid w:val="00B9247E"/>
    <w:rsid w:val="00B92538"/>
    <w:rsid w:val="00B92AD3"/>
    <w:rsid w:val="00B92B61"/>
    <w:rsid w:val="00B92B73"/>
    <w:rsid w:val="00B930F8"/>
    <w:rsid w:val="00B951C9"/>
    <w:rsid w:val="00B95591"/>
    <w:rsid w:val="00B95891"/>
    <w:rsid w:val="00B96492"/>
    <w:rsid w:val="00B968AF"/>
    <w:rsid w:val="00B96E4F"/>
    <w:rsid w:val="00B971C5"/>
    <w:rsid w:val="00B97F29"/>
    <w:rsid w:val="00BA073F"/>
    <w:rsid w:val="00BA0A1D"/>
    <w:rsid w:val="00BA25A1"/>
    <w:rsid w:val="00BA2C1B"/>
    <w:rsid w:val="00BA2CE1"/>
    <w:rsid w:val="00BA2E38"/>
    <w:rsid w:val="00BA303A"/>
    <w:rsid w:val="00BA30E2"/>
    <w:rsid w:val="00BA4406"/>
    <w:rsid w:val="00BA4414"/>
    <w:rsid w:val="00BA4858"/>
    <w:rsid w:val="00BA5244"/>
    <w:rsid w:val="00BA524D"/>
    <w:rsid w:val="00BA6081"/>
    <w:rsid w:val="00BA60C9"/>
    <w:rsid w:val="00BA622D"/>
    <w:rsid w:val="00BA6B80"/>
    <w:rsid w:val="00BA70AA"/>
    <w:rsid w:val="00BA72CD"/>
    <w:rsid w:val="00BA73DC"/>
    <w:rsid w:val="00BA78F2"/>
    <w:rsid w:val="00BA7D26"/>
    <w:rsid w:val="00BA7FE3"/>
    <w:rsid w:val="00BB0D61"/>
    <w:rsid w:val="00BB19F1"/>
    <w:rsid w:val="00BB2223"/>
    <w:rsid w:val="00BB2C4B"/>
    <w:rsid w:val="00BB359E"/>
    <w:rsid w:val="00BB4028"/>
    <w:rsid w:val="00BB4192"/>
    <w:rsid w:val="00BB4576"/>
    <w:rsid w:val="00BB5455"/>
    <w:rsid w:val="00BB5A0E"/>
    <w:rsid w:val="00BB5B09"/>
    <w:rsid w:val="00BB67B3"/>
    <w:rsid w:val="00BB693C"/>
    <w:rsid w:val="00BB7C70"/>
    <w:rsid w:val="00BB7E7D"/>
    <w:rsid w:val="00BC0036"/>
    <w:rsid w:val="00BC06E0"/>
    <w:rsid w:val="00BC0C1E"/>
    <w:rsid w:val="00BC0DCA"/>
    <w:rsid w:val="00BC1994"/>
    <w:rsid w:val="00BC1AB7"/>
    <w:rsid w:val="00BC20CC"/>
    <w:rsid w:val="00BC21BA"/>
    <w:rsid w:val="00BC267E"/>
    <w:rsid w:val="00BC2778"/>
    <w:rsid w:val="00BC2FC4"/>
    <w:rsid w:val="00BC30C3"/>
    <w:rsid w:val="00BC3180"/>
    <w:rsid w:val="00BC33AE"/>
    <w:rsid w:val="00BC362C"/>
    <w:rsid w:val="00BC3BB0"/>
    <w:rsid w:val="00BC3C61"/>
    <w:rsid w:val="00BC4815"/>
    <w:rsid w:val="00BC5936"/>
    <w:rsid w:val="00BC59F5"/>
    <w:rsid w:val="00BC5B3B"/>
    <w:rsid w:val="00BC5E6B"/>
    <w:rsid w:val="00BC6F08"/>
    <w:rsid w:val="00BC72AD"/>
    <w:rsid w:val="00BC7ABC"/>
    <w:rsid w:val="00BC7F0D"/>
    <w:rsid w:val="00BD04A9"/>
    <w:rsid w:val="00BD0F44"/>
    <w:rsid w:val="00BD1FA4"/>
    <w:rsid w:val="00BD296F"/>
    <w:rsid w:val="00BD349B"/>
    <w:rsid w:val="00BD3F5C"/>
    <w:rsid w:val="00BD40CE"/>
    <w:rsid w:val="00BD49F4"/>
    <w:rsid w:val="00BD5383"/>
    <w:rsid w:val="00BD58FC"/>
    <w:rsid w:val="00BD5B7A"/>
    <w:rsid w:val="00BD6427"/>
    <w:rsid w:val="00BD6639"/>
    <w:rsid w:val="00BD6AD3"/>
    <w:rsid w:val="00BD7158"/>
    <w:rsid w:val="00BD74AD"/>
    <w:rsid w:val="00BD7634"/>
    <w:rsid w:val="00BD7BD5"/>
    <w:rsid w:val="00BD7BEE"/>
    <w:rsid w:val="00BE0A0A"/>
    <w:rsid w:val="00BE0C20"/>
    <w:rsid w:val="00BE1041"/>
    <w:rsid w:val="00BE13ED"/>
    <w:rsid w:val="00BE1AE7"/>
    <w:rsid w:val="00BE1E1B"/>
    <w:rsid w:val="00BE23CA"/>
    <w:rsid w:val="00BE24E1"/>
    <w:rsid w:val="00BE4558"/>
    <w:rsid w:val="00BE45EF"/>
    <w:rsid w:val="00BE4AED"/>
    <w:rsid w:val="00BE52EF"/>
    <w:rsid w:val="00BE5C89"/>
    <w:rsid w:val="00BE5C8D"/>
    <w:rsid w:val="00BE6305"/>
    <w:rsid w:val="00BE6918"/>
    <w:rsid w:val="00BE7642"/>
    <w:rsid w:val="00BF05DB"/>
    <w:rsid w:val="00BF0A09"/>
    <w:rsid w:val="00BF20E6"/>
    <w:rsid w:val="00BF27BC"/>
    <w:rsid w:val="00BF440A"/>
    <w:rsid w:val="00BF4537"/>
    <w:rsid w:val="00BF5087"/>
    <w:rsid w:val="00BF512C"/>
    <w:rsid w:val="00BF5756"/>
    <w:rsid w:val="00BF5D19"/>
    <w:rsid w:val="00BF6D6B"/>
    <w:rsid w:val="00BF7420"/>
    <w:rsid w:val="00BF764C"/>
    <w:rsid w:val="00C00670"/>
    <w:rsid w:val="00C00CDF"/>
    <w:rsid w:val="00C00E8C"/>
    <w:rsid w:val="00C015E5"/>
    <w:rsid w:val="00C01ED5"/>
    <w:rsid w:val="00C02102"/>
    <w:rsid w:val="00C023B0"/>
    <w:rsid w:val="00C03013"/>
    <w:rsid w:val="00C0317E"/>
    <w:rsid w:val="00C032E2"/>
    <w:rsid w:val="00C03A51"/>
    <w:rsid w:val="00C03C82"/>
    <w:rsid w:val="00C03CB4"/>
    <w:rsid w:val="00C04619"/>
    <w:rsid w:val="00C047F6"/>
    <w:rsid w:val="00C04959"/>
    <w:rsid w:val="00C05335"/>
    <w:rsid w:val="00C056F2"/>
    <w:rsid w:val="00C05A66"/>
    <w:rsid w:val="00C05C8B"/>
    <w:rsid w:val="00C0691C"/>
    <w:rsid w:val="00C06E5B"/>
    <w:rsid w:val="00C07A6D"/>
    <w:rsid w:val="00C10145"/>
    <w:rsid w:val="00C1071D"/>
    <w:rsid w:val="00C1083C"/>
    <w:rsid w:val="00C109A5"/>
    <w:rsid w:val="00C117B4"/>
    <w:rsid w:val="00C11A96"/>
    <w:rsid w:val="00C12392"/>
    <w:rsid w:val="00C12618"/>
    <w:rsid w:val="00C12A41"/>
    <w:rsid w:val="00C12EAF"/>
    <w:rsid w:val="00C132D0"/>
    <w:rsid w:val="00C14BC2"/>
    <w:rsid w:val="00C150DD"/>
    <w:rsid w:val="00C1546B"/>
    <w:rsid w:val="00C154C8"/>
    <w:rsid w:val="00C159E9"/>
    <w:rsid w:val="00C15B92"/>
    <w:rsid w:val="00C15E7F"/>
    <w:rsid w:val="00C17248"/>
    <w:rsid w:val="00C17299"/>
    <w:rsid w:val="00C17683"/>
    <w:rsid w:val="00C17A18"/>
    <w:rsid w:val="00C20D61"/>
    <w:rsid w:val="00C2147B"/>
    <w:rsid w:val="00C214A3"/>
    <w:rsid w:val="00C21EAA"/>
    <w:rsid w:val="00C21FCD"/>
    <w:rsid w:val="00C22F6D"/>
    <w:rsid w:val="00C243D9"/>
    <w:rsid w:val="00C2498A"/>
    <w:rsid w:val="00C250BD"/>
    <w:rsid w:val="00C259E7"/>
    <w:rsid w:val="00C2678E"/>
    <w:rsid w:val="00C26ED5"/>
    <w:rsid w:val="00C27120"/>
    <w:rsid w:val="00C3013A"/>
    <w:rsid w:val="00C3025C"/>
    <w:rsid w:val="00C3054A"/>
    <w:rsid w:val="00C3084B"/>
    <w:rsid w:val="00C3152B"/>
    <w:rsid w:val="00C32684"/>
    <w:rsid w:val="00C32C72"/>
    <w:rsid w:val="00C32CEF"/>
    <w:rsid w:val="00C33766"/>
    <w:rsid w:val="00C33843"/>
    <w:rsid w:val="00C33B26"/>
    <w:rsid w:val="00C33D00"/>
    <w:rsid w:val="00C33E8B"/>
    <w:rsid w:val="00C3426E"/>
    <w:rsid w:val="00C34779"/>
    <w:rsid w:val="00C34E9E"/>
    <w:rsid w:val="00C350B6"/>
    <w:rsid w:val="00C352F8"/>
    <w:rsid w:val="00C3590E"/>
    <w:rsid w:val="00C35F13"/>
    <w:rsid w:val="00C35F87"/>
    <w:rsid w:val="00C3620A"/>
    <w:rsid w:val="00C3679D"/>
    <w:rsid w:val="00C36D0B"/>
    <w:rsid w:val="00C3735E"/>
    <w:rsid w:val="00C374DF"/>
    <w:rsid w:val="00C375FE"/>
    <w:rsid w:val="00C37BA3"/>
    <w:rsid w:val="00C4033A"/>
    <w:rsid w:val="00C40EFB"/>
    <w:rsid w:val="00C411B2"/>
    <w:rsid w:val="00C41273"/>
    <w:rsid w:val="00C41E6B"/>
    <w:rsid w:val="00C41FC0"/>
    <w:rsid w:val="00C429A9"/>
    <w:rsid w:val="00C42BD3"/>
    <w:rsid w:val="00C4386A"/>
    <w:rsid w:val="00C43992"/>
    <w:rsid w:val="00C43DBA"/>
    <w:rsid w:val="00C44861"/>
    <w:rsid w:val="00C44F0D"/>
    <w:rsid w:val="00C45ECC"/>
    <w:rsid w:val="00C45FB8"/>
    <w:rsid w:val="00C46063"/>
    <w:rsid w:val="00C464B7"/>
    <w:rsid w:val="00C46E97"/>
    <w:rsid w:val="00C47C51"/>
    <w:rsid w:val="00C50493"/>
    <w:rsid w:val="00C50622"/>
    <w:rsid w:val="00C51A09"/>
    <w:rsid w:val="00C52241"/>
    <w:rsid w:val="00C5261D"/>
    <w:rsid w:val="00C52A63"/>
    <w:rsid w:val="00C52FFA"/>
    <w:rsid w:val="00C534F1"/>
    <w:rsid w:val="00C5392E"/>
    <w:rsid w:val="00C539CB"/>
    <w:rsid w:val="00C54556"/>
    <w:rsid w:val="00C553B0"/>
    <w:rsid w:val="00C5649C"/>
    <w:rsid w:val="00C56B07"/>
    <w:rsid w:val="00C56C08"/>
    <w:rsid w:val="00C571FA"/>
    <w:rsid w:val="00C579A5"/>
    <w:rsid w:val="00C60338"/>
    <w:rsid w:val="00C60522"/>
    <w:rsid w:val="00C60974"/>
    <w:rsid w:val="00C60E7B"/>
    <w:rsid w:val="00C62AED"/>
    <w:rsid w:val="00C62DF5"/>
    <w:rsid w:val="00C63073"/>
    <w:rsid w:val="00C634DD"/>
    <w:rsid w:val="00C63A46"/>
    <w:rsid w:val="00C63D04"/>
    <w:rsid w:val="00C63DCA"/>
    <w:rsid w:val="00C6416B"/>
    <w:rsid w:val="00C64C59"/>
    <w:rsid w:val="00C64CFD"/>
    <w:rsid w:val="00C64D95"/>
    <w:rsid w:val="00C652FA"/>
    <w:rsid w:val="00C65794"/>
    <w:rsid w:val="00C65F42"/>
    <w:rsid w:val="00C66A7E"/>
    <w:rsid w:val="00C67A42"/>
    <w:rsid w:val="00C67D02"/>
    <w:rsid w:val="00C7058E"/>
    <w:rsid w:val="00C70690"/>
    <w:rsid w:val="00C70861"/>
    <w:rsid w:val="00C7098F"/>
    <w:rsid w:val="00C70EF8"/>
    <w:rsid w:val="00C710A5"/>
    <w:rsid w:val="00C717B7"/>
    <w:rsid w:val="00C7189A"/>
    <w:rsid w:val="00C71F5A"/>
    <w:rsid w:val="00C71FEB"/>
    <w:rsid w:val="00C7234D"/>
    <w:rsid w:val="00C73A3D"/>
    <w:rsid w:val="00C73CCF"/>
    <w:rsid w:val="00C7405E"/>
    <w:rsid w:val="00C741DF"/>
    <w:rsid w:val="00C742DD"/>
    <w:rsid w:val="00C74347"/>
    <w:rsid w:val="00C74DC8"/>
    <w:rsid w:val="00C75016"/>
    <w:rsid w:val="00C75481"/>
    <w:rsid w:val="00C75D8B"/>
    <w:rsid w:val="00C760D3"/>
    <w:rsid w:val="00C765DF"/>
    <w:rsid w:val="00C767F2"/>
    <w:rsid w:val="00C77137"/>
    <w:rsid w:val="00C77180"/>
    <w:rsid w:val="00C775A6"/>
    <w:rsid w:val="00C77897"/>
    <w:rsid w:val="00C8059A"/>
    <w:rsid w:val="00C81487"/>
    <w:rsid w:val="00C825E5"/>
    <w:rsid w:val="00C82986"/>
    <w:rsid w:val="00C82F2F"/>
    <w:rsid w:val="00C832F1"/>
    <w:rsid w:val="00C83827"/>
    <w:rsid w:val="00C83C0F"/>
    <w:rsid w:val="00C8494F"/>
    <w:rsid w:val="00C849FA"/>
    <w:rsid w:val="00C84AF9"/>
    <w:rsid w:val="00C84D4F"/>
    <w:rsid w:val="00C91F24"/>
    <w:rsid w:val="00C928B1"/>
    <w:rsid w:val="00C93017"/>
    <w:rsid w:val="00C93228"/>
    <w:rsid w:val="00C93C41"/>
    <w:rsid w:val="00C94059"/>
    <w:rsid w:val="00C95E78"/>
    <w:rsid w:val="00C9611B"/>
    <w:rsid w:val="00C97A37"/>
    <w:rsid w:val="00C97B92"/>
    <w:rsid w:val="00CA072A"/>
    <w:rsid w:val="00CA0A79"/>
    <w:rsid w:val="00CA0B77"/>
    <w:rsid w:val="00CA1D17"/>
    <w:rsid w:val="00CA381A"/>
    <w:rsid w:val="00CA3EAA"/>
    <w:rsid w:val="00CA3EFF"/>
    <w:rsid w:val="00CA443B"/>
    <w:rsid w:val="00CA4B5C"/>
    <w:rsid w:val="00CA5117"/>
    <w:rsid w:val="00CA534E"/>
    <w:rsid w:val="00CA5908"/>
    <w:rsid w:val="00CA5F3F"/>
    <w:rsid w:val="00CA6223"/>
    <w:rsid w:val="00CA6330"/>
    <w:rsid w:val="00CA6BEC"/>
    <w:rsid w:val="00CA7453"/>
    <w:rsid w:val="00CA789F"/>
    <w:rsid w:val="00CA7B8B"/>
    <w:rsid w:val="00CA7BFC"/>
    <w:rsid w:val="00CB0817"/>
    <w:rsid w:val="00CB0EFF"/>
    <w:rsid w:val="00CB205B"/>
    <w:rsid w:val="00CB21CB"/>
    <w:rsid w:val="00CB2631"/>
    <w:rsid w:val="00CB292F"/>
    <w:rsid w:val="00CB2B30"/>
    <w:rsid w:val="00CB2D3E"/>
    <w:rsid w:val="00CB44CE"/>
    <w:rsid w:val="00CB59B9"/>
    <w:rsid w:val="00CB5F22"/>
    <w:rsid w:val="00CB617B"/>
    <w:rsid w:val="00CB6736"/>
    <w:rsid w:val="00CB6828"/>
    <w:rsid w:val="00CB6E25"/>
    <w:rsid w:val="00CB7176"/>
    <w:rsid w:val="00CB7A98"/>
    <w:rsid w:val="00CC10D3"/>
    <w:rsid w:val="00CC111B"/>
    <w:rsid w:val="00CC193F"/>
    <w:rsid w:val="00CC1A99"/>
    <w:rsid w:val="00CC248C"/>
    <w:rsid w:val="00CC2790"/>
    <w:rsid w:val="00CC2B18"/>
    <w:rsid w:val="00CC2F3B"/>
    <w:rsid w:val="00CC5B4B"/>
    <w:rsid w:val="00CC5F26"/>
    <w:rsid w:val="00CC5F5F"/>
    <w:rsid w:val="00CC76C2"/>
    <w:rsid w:val="00CD0A1B"/>
    <w:rsid w:val="00CD0B83"/>
    <w:rsid w:val="00CD0C26"/>
    <w:rsid w:val="00CD1CF0"/>
    <w:rsid w:val="00CD3C52"/>
    <w:rsid w:val="00CD3EA7"/>
    <w:rsid w:val="00CD3F06"/>
    <w:rsid w:val="00CD4B45"/>
    <w:rsid w:val="00CD4DD5"/>
    <w:rsid w:val="00CD6747"/>
    <w:rsid w:val="00CD703D"/>
    <w:rsid w:val="00CD7362"/>
    <w:rsid w:val="00CE00C6"/>
    <w:rsid w:val="00CE0AF1"/>
    <w:rsid w:val="00CE0CE4"/>
    <w:rsid w:val="00CE1049"/>
    <w:rsid w:val="00CE1396"/>
    <w:rsid w:val="00CE16EB"/>
    <w:rsid w:val="00CE2277"/>
    <w:rsid w:val="00CE345A"/>
    <w:rsid w:val="00CE39A8"/>
    <w:rsid w:val="00CE3B6A"/>
    <w:rsid w:val="00CE415C"/>
    <w:rsid w:val="00CE49FB"/>
    <w:rsid w:val="00CE52F3"/>
    <w:rsid w:val="00CE5336"/>
    <w:rsid w:val="00CE56D9"/>
    <w:rsid w:val="00CE5899"/>
    <w:rsid w:val="00CE6890"/>
    <w:rsid w:val="00CE6A2B"/>
    <w:rsid w:val="00CE788F"/>
    <w:rsid w:val="00CE7AF4"/>
    <w:rsid w:val="00CF0F34"/>
    <w:rsid w:val="00CF17F8"/>
    <w:rsid w:val="00CF1908"/>
    <w:rsid w:val="00CF1DBF"/>
    <w:rsid w:val="00CF1E04"/>
    <w:rsid w:val="00CF27DB"/>
    <w:rsid w:val="00CF43C3"/>
    <w:rsid w:val="00CF46F3"/>
    <w:rsid w:val="00CF4A33"/>
    <w:rsid w:val="00CF4C27"/>
    <w:rsid w:val="00CF54E0"/>
    <w:rsid w:val="00CF6689"/>
    <w:rsid w:val="00CF6BFD"/>
    <w:rsid w:val="00CF7218"/>
    <w:rsid w:val="00D0060F"/>
    <w:rsid w:val="00D0098E"/>
    <w:rsid w:val="00D00CA6"/>
    <w:rsid w:val="00D00D80"/>
    <w:rsid w:val="00D0101F"/>
    <w:rsid w:val="00D0180F"/>
    <w:rsid w:val="00D02023"/>
    <w:rsid w:val="00D0262C"/>
    <w:rsid w:val="00D03145"/>
    <w:rsid w:val="00D04B99"/>
    <w:rsid w:val="00D05804"/>
    <w:rsid w:val="00D062EE"/>
    <w:rsid w:val="00D063AD"/>
    <w:rsid w:val="00D06823"/>
    <w:rsid w:val="00D06A56"/>
    <w:rsid w:val="00D0768E"/>
    <w:rsid w:val="00D07C37"/>
    <w:rsid w:val="00D07C41"/>
    <w:rsid w:val="00D10339"/>
    <w:rsid w:val="00D10B92"/>
    <w:rsid w:val="00D110CE"/>
    <w:rsid w:val="00D11BA8"/>
    <w:rsid w:val="00D11FAE"/>
    <w:rsid w:val="00D12422"/>
    <w:rsid w:val="00D12675"/>
    <w:rsid w:val="00D126D6"/>
    <w:rsid w:val="00D1347B"/>
    <w:rsid w:val="00D14167"/>
    <w:rsid w:val="00D14537"/>
    <w:rsid w:val="00D15214"/>
    <w:rsid w:val="00D15708"/>
    <w:rsid w:val="00D1576F"/>
    <w:rsid w:val="00D15A60"/>
    <w:rsid w:val="00D16120"/>
    <w:rsid w:val="00D1682C"/>
    <w:rsid w:val="00D16BB8"/>
    <w:rsid w:val="00D20346"/>
    <w:rsid w:val="00D20B36"/>
    <w:rsid w:val="00D21C88"/>
    <w:rsid w:val="00D22100"/>
    <w:rsid w:val="00D22B97"/>
    <w:rsid w:val="00D22FE6"/>
    <w:rsid w:val="00D235B0"/>
    <w:rsid w:val="00D23742"/>
    <w:rsid w:val="00D2420E"/>
    <w:rsid w:val="00D248BA"/>
    <w:rsid w:val="00D24CCC"/>
    <w:rsid w:val="00D25240"/>
    <w:rsid w:val="00D25ED9"/>
    <w:rsid w:val="00D26033"/>
    <w:rsid w:val="00D2658F"/>
    <w:rsid w:val="00D271D6"/>
    <w:rsid w:val="00D272E3"/>
    <w:rsid w:val="00D2736F"/>
    <w:rsid w:val="00D274D8"/>
    <w:rsid w:val="00D27978"/>
    <w:rsid w:val="00D27D54"/>
    <w:rsid w:val="00D3030D"/>
    <w:rsid w:val="00D3042D"/>
    <w:rsid w:val="00D306CD"/>
    <w:rsid w:val="00D30A93"/>
    <w:rsid w:val="00D30F53"/>
    <w:rsid w:val="00D312A7"/>
    <w:rsid w:val="00D31570"/>
    <w:rsid w:val="00D3308B"/>
    <w:rsid w:val="00D3368F"/>
    <w:rsid w:val="00D3432F"/>
    <w:rsid w:val="00D34900"/>
    <w:rsid w:val="00D34A50"/>
    <w:rsid w:val="00D34CA5"/>
    <w:rsid w:val="00D34EFF"/>
    <w:rsid w:val="00D35FFC"/>
    <w:rsid w:val="00D3622F"/>
    <w:rsid w:val="00D36C35"/>
    <w:rsid w:val="00D37352"/>
    <w:rsid w:val="00D401CD"/>
    <w:rsid w:val="00D404C0"/>
    <w:rsid w:val="00D407C5"/>
    <w:rsid w:val="00D40D3E"/>
    <w:rsid w:val="00D41B14"/>
    <w:rsid w:val="00D420EE"/>
    <w:rsid w:val="00D42E23"/>
    <w:rsid w:val="00D42E78"/>
    <w:rsid w:val="00D439DA"/>
    <w:rsid w:val="00D43FE1"/>
    <w:rsid w:val="00D44338"/>
    <w:rsid w:val="00D4436E"/>
    <w:rsid w:val="00D44BA3"/>
    <w:rsid w:val="00D4564E"/>
    <w:rsid w:val="00D469D8"/>
    <w:rsid w:val="00D472A2"/>
    <w:rsid w:val="00D472AE"/>
    <w:rsid w:val="00D47425"/>
    <w:rsid w:val="00D47DA6"/>
    <w:rsid w:val="00D504EE"/>
    <w:rsid w:val="00D50A5A"/>
    <w:rsid w:val="00D541D5"/>
    <w:rsid w:val="00D543FF"/>
    <w:rsid w:val="00D55439"/>
    <w:rsid w:val="00D57179"/>
    <w:rsid w:val="00D576E8"/>
    <w:rsid w:val="00D577D4"/>
    <w:rsid w:val="00D57E91"/>
    <w:rsid w:val="00D607F3"/>
    <w:rsid w:val="00D60FF3"/>
    <w:rsid w:val="00D6111C"/>
    <w:rsid w:val="00D613ED"/>
    <w:rsid w:val="00D6184C"/>
    <w:rsid w:val="00D61A50"/>
    <w:rsid w:val="00D6240E"/>
    <w:rsid w:val="00D63004"/>
    <w:rsid w:val="00D63A19"/>
    <w:rsid w:val="00D63FB4"/>
    <w:rsid w:val="00D64283"/>
    <w:rsid w:val="00D65360"/>
    <w:rsid w:val="00D658F3"/>
    <w:rsid w:val="00D65C96"/>
    <w:rsid w:val="00D66999"/>
    <w:rsid w:val="00D67092"/>
    <w:rsid w:val="00D671E5"/>
    <w:rsid w:val="00D672F8"/>
    <w:rsid w:val="00D67634"/>
    <w:rsid w:val="00D67CAE"/>
    <w:rsid w:val="00D71117"/>
    <w:rsid w:val="00D71246"/>
    <w:rsid w:val="00D7170A"/>
    <w:rsid w:val="00D71E3B"/>
    <w:rsid w:val="00D72AA9"/>
    <w:rsid w:val="00D72AFA"/>
    <w:rsid w:val="00D72B4B"/>
    <w:rsid w:val="00D72E1B"/>
    <w:rsid w:val="00D72E3C"/>
    <w:rsid w:val="00D746C7"/>
    <w:rsid w:val="00D75F75"/>
    <w:rsid w:val="00D768C2"/>
    <w:rsid w:val="00D76C90"/>
    <w:rsid w:val="00D76CB3"/>
    <w:rsid w:val="00D76FA7"/>
    <w:rsid w:val="00D77659"/>
    <w:rsid w:val="00D77790"/>
    <w:rsid w:val="00D777A6"/>
    <w:rsid w:val="00D77A04"/>
    <w:rsid w:val="00D8016F"/>
    <w:rsid w:val="00D81D2C"/>
    <w:rsid w:val="00D828B5"/>
    <w:rsid w:val="00D83298"/>
    <w:rsid w:val="00D8337D"/>
    <w:rsid w:val="00D843F8"/>
    <w:rsid w:val="00D84C94"/>
    <w:rsid w:val="00D8501B"/>
    <w:rsid w:val="00D853A4"/>
    <w:rsid w:val="00D85860"/>
    <w:rsid w:val="00D8601F"/>
    <w:rsid w:val="00D86684"/>
    <w:rsid w:val="00D86876"/>
    <w:rsid w:val="00D86933"/>
    <w:rsid w:val="00D86D85"/>
    <w:rsid w:val="00D874FD"/>
    <w:rsid w:val="00D87E57"/>
    <w:rsid w:val="00D90A4C"/>
    <w:rsid w:val="00D90DB0"/>
    <w:rsid w:val="00D912BD"/>
    <w:rsid w:val="00D91AD3"/>
    <w:rsid w:val="00D9311B"/>
    <w:rsid w:val="00D93EC5"/>
    <w:rsid w:val="00D93ECD"/>
    <w:rsid w:val="00D943D1"/>
    <w:rsid w:val="00D94A4C"/>
    <w:rsid w:val="00D94C15"/>
    <w:rsid w:val="00D968F0"/>
    <w:rsid w:val="00D96F67"/>
    <w:rsid w:val="00D979D6"/>
    <w:rsid w:val="00D97A40"/>
    <w:rsid w:val="00D97BCA"/>
    <w:rsid w:val="00D97CD0"/>
    <w:rsid w:val="00DA01BD"/>
    <w:rsid w:val="00DA0AF0"/>
    <w:rsid w:val="00DA0FB0"/>
    <w:rsid w:val="00DA1B61"/>
    <w:rsid w:val="00DA1C1C"/>
    <w:rsid w:val="00DA1D48"/>
    <w:rsid w:val="00DA234E"/>
    <w:rsid w:val="00DA2684"/>
    <w:rsid w:val="00DA2F85"/>
    <w:rsid w:val="00DA31DF"/>
    <w:rsid w:val="00DA3512"/>
    <w:rsid w:val="00DA394F"/>
    <w:rsid w:val="00DA3B52"/>
    <w:rsid w:val="00DA550A"/>
    <w:rsid w:val="00DA5E82"/>
    <w:rsid w:val="00DA64D2"/>
    <w:rsid w:val="00DA6818"/>
    <w:rsid w:val="00DA6D7E"/>
    <w:rsid w:val="00DA7366"/>
    <w:rsid w:val="00DB0545"/>
    <w:rsid w:val="00DB08B1"/>
    <w:rsid w:val="00DB0D83"/>
    <w:rsid w:val="00DB13ED"/>
    <w:rsid w:val="00DB1536"/>
    <w:rsid w:val="00DB16F4"/>
    <w:rsid w:val="00DB19EB"/>
    <w:rsid w:val="00DB1DE8"/>
    <w:rsid w:val="00DB230A"/>
    <w:rsid w:val="00DB2680"/>
    <w:rsid w:val="00DB3442"/>
    <w:rsid w:val="00DB3B43"/>
    <w:rsid w:val="00DB3D7B"/>
    <w:rsid w:val="00DB3F8A"/>
    <w:rsid w:val="00DB494C"/>
    <w:rsid w:val="00DB55C6"/>
    <w:rsid w:val="00DB586C"/>
    <w:rsid w:val="00DB5D54"/>
    <w:rsid w:val="00DB5F63"/>
    <w:rsid w:val="00DB5F8A"/>
    <w:rsid w:val="00DB6488"/>
    <w:rsid w:val="00DB744E"/>
    <w:rsid w:val="00DB7E85"/>
    <w:rsid w:val="00DC01C9"/>
    <w:rsid w:val="00DC0230"/>
    <w:rsid w:val="00DC0ECB"/>
    <w:rsid w:val="00DC190E"/>
    <w:rsid w:val="00DC20CA"/>
    <w:rsid w:val="00DC2E0C"/>
    <w:rsid w:val="00DC3089"/>
    <w:rsid w:val="00DC338C"/>
    <w:rsid w:val="00DC3465"/>
    <w:rsid w:val="00DC39C3"/>
    <w:rsid w:val="00DC3BD4"/>
    <w:rsid w:val="00DC3D4E"/>
    <w:rsid w:val="00DC4011"/>
    <w:rsid w:val="00DC4B2F"/>
    <w:rsid w:val="00DC52FE"/>
    <w:rsid w:val="00DC5CBD"/>
    <w:rsid w:val="00DC5DD5"/>
    <w:rsid w:val="00DC60BC"/>
    <w:rsid w:val="00DC6214"/>
    <w:rsid w:val="00DC752C"/>
    <w:rsid w:val="00DC76A8"/>
    <w:rsid w:val="00DC7758"/>
    <w:rsid w:val="00DC7A48"/>
    <w:rsid w:val="00DC7A82"/>
    <w:rsid w:val="00DD023D"/>
    <w:rsid w:val="00DD2408"/>
    <w:rsid w:val="00DD2912"/>
    <w:rsid w:val="00DD2C2E"/>
    <w:rsid w:val="00DD2C9A"/>
    <w:rsid w:val="00DD2DCF"/>
    <w:rsid w:val="00DD3599"/>
    <w:rsid w:val="00DD46C8"/>
    <w:rsid w:val="00DD4A74"/>
    <w:rsid w:val="00DD6E83"/>
    <w:rsid w:val="00DD7558"/>
    <w:rsid w:val="00DD76B8"/>
    <w:rsid w:val="00DD7CAA"/>
    <w:rsid w:val="00DE09B4"/>
    <w:rsid w:val="00DE1178"/>
    <w:rsid w:val="00DE11B5"/>
    <w:rsid w:val="00DE1947"/>
    <w:rsid w:val="00DE1BE7"/>
    <w:rsid w:val="00DE1D9D"/>
    <w:rsid w:val="00DE2A43"/>
    <w:rsid w:val="00DE3082"/>
    <w:rsid w:val="00DE3305"/>
    <w:rsid w:val="00DE38F2"/>
    <w:rsid w:val="00DE3B25"/>
    <w:rsid w:val="00DE401D"/>
    <w:rsid w:val="00DE4DC0"/>
    <w:rsid w:val="00DE5731"/>
    <w:rsid w:val="00DE5F95"/>
    <w:rsid w:val="00DE600E"/>
    <w:rsid w:val="00DE6102"/>
    <w:rsid w:val="00DE7AB5"/>
    <w:rsid w:val="00DE7AD7"/>
    <w:rsid w:val="00DF009B"/>
    <w:rsid w:val="00DF03DB"/>
    <w:rsid w:val="00DF06D8"/>
    <w:rsid w:val="00DF0D11"/>
    <w:rsid w:val="00DF0D36"/>
    <w:rsid w:val="00DF12E7"/>
    <w:rsid w:val="00DF161D"/>
    <w:rsid w:val="00DF17CA"/>
    <w:rsid w:val="00DF1ACE"/>
    <w:rsid w:val="00DF1C31"/>
    <w:rsid w:val="00DF22E5"/>
    <w:rsid w:val="00DF2867"/>
    <w:rsid w:val="00DF376A"/>
    <w:rsid w:val="00DF3C6F"/>
    <w:rsid w:val="00DF3F81"/>
    <w:rsid w:val="00DF5CCB"/>
    <w:rsid w:val="00DF5DF4"/>
    <w:rsid w:val="00DF6551"/>
    <w:rsid w:val="00DF6B1B"/>
    <w:rsid w:val="00DF7359"/>
    <w:rsid w:val="00DF74CB"/>
    <w:rsid w:val="00DF7B4F"/>
    <w:rsid w:val="00E00394"/>
    <w:rsid w:val="00E00872"/>
    <w:rsid w:val="00E02CC0"/>
    <w:rsid w:val="00E02CEB"/>
    <w:rsid w:val="00E02DB3"/>
    <w:rsid w:val="00E02DEC"/>
    <w:rsid w:val="00E03421"/>
    <w:rsid w:val="00E03520"/>
    <w:rsid w:val="00E03AB3"/>
    <w:rsid w:val="00E04064"/>
    <w:rsid w:val="00E0451D"/>
    <w:rsid w:val="00E050DE"/>
    <w:rsid w:val="00E06662"/>
    <w:rsid w:val="00E06850"/>
    <w:rsid w:val="00E06B64"/>
    <w:rsid w:val="00E07667"/>
    <w:rsid w:val="00E0774D"/>
    <w:rsid w:val="00E07A6A"/>
    <w:rsid w:val="00E10414"/>
    <w:rsid w:val="00E1047E"/>
    <w:rsid w:val="00E10BBC"/>
    <w:rsid w:val="00E125CF"/>
    <w:rsid w:val="00E12B7A"/>
    <w:rsid w:val="00E13B3E"/>
    <w:rsid w:val="00E1410B"/>
    <w:rsid w:val="00E14F0D"/>
    <w:rsid w:val="00E150CF"/>
    <w:rsid w:val="00E15BD6"/>
    <w:rsid w:val="00E15FA4"/>
    <w:rsid w:val="00E16E77"/>
    <w:rsid w:val="00E20382"/>
    <w:rsid w:val="00E20569"/>
    <w:rsid w:val="00E20CE5"/>
    <w:rsid w:val="00E20F3D"/>
    <w:rsid w:val="00E21383"/>
    <w:rsid w:val="00E21796"/>
    <w:rsid w:val="00E2195D"/>
    <w:rsid w:val="00E22268"/>
    <w:rsid w:val="00E2274A"/>
    <w:rsid w:val="00E22A7B"/>
    <w:rsid w:val="00E22FED"/>
    <w:rsid w:val="00E235E0"/>
    <w:rsid w:val="00E244E6"/>
    <w:rsid w:val="00E2531B"/>
    <w:rsid w:val="00E254F7"/>
    <w:rsid w:val="00E25C5E"/>
    <w:rsid w:val="00E25D14"/>
    <w:rsid w:val="00E2662A"/>
    <w:rsid w:val="00E26F82"/>
    <w:rsid w:val="00E2711E"/>
    <w:rsid w:val="00E27B15"/>
    <w:rsid w:val="00E32404"/>
    <w:rsid w:val="00E329FE"/>
    <w:rsid w:val="00E331FF"/>
    <w:rsid w:val="00E335C2"/>
    <w:rsid w:val="00E33956"/>
    <w:rsid w:val="00E340EB"/>
    <w:rsid w:val="00E34EEC"/>
    <w:rsid w:val="00E35FE4"/>
    <w:rsid w:val="00E3703A"/>
    <w:rsid w:val="00E40CD0"/>
    <w:rsid w:val="00E412E4"/>
    <w:rsid w:val="00E415C6"/>
    <w:rsid w:val="00E41C47"/>
    <w:rsid w:val="00E42780"/>
    <w:rsid w:val="00E43334"/>
    <w:rsid w:val="00E434F4"/>
    <w:rsid w:val="00E44035"/>
    <w:rsid w:val="00E44889"/>
    <w:rsid w:val="00E44CF5"/>
    <w:rsid w:val="00E45F20"/>
    <w:rsid w:val="00E46392"/>
    <w:rsid w:val="00E46F42"/>
    <w:rsid w:val="00E47184"/>
    <w:rsid w:val="00E475AB"/>
    <w:rsid w:val="00E501C6"/>
    <w:rsid w:val="00E50358"/>
    <w:rsid w:val="00E505B6"/>
    <w:rsid w:val="00E50E91"/>
    <w:rsid w:val="00E51EE6"/>
    <w:rsid w:val="00E520A3"/>
    <w:rsid w:val="00E5216C"/>
    <w:rsid w:val="00E52C84"/>
    <w:rsid w:val="00E53088"/>
    <w:rsid w:val="00E5480C"/>
    <w:rsid w:val="00E54B12"/>
    <w:rsid w:val="00E55DED"/>
    <w:rsid w:val="00E567C3"/>
    <w:rsid w:val="00E56985"/>
    <w:rsid w:val="00E56CBB"/>
    <w:rsid w:val="00E56EE5"/>
    <w:rsid w:val="00E56F64"/>
    <w:rsid w:val="00E60B83"/>
    <w:rsid w:val="00E60CCE"/>
    <w:rsid w:val="00E615A2"/>
    <w:rsid w:val="00E6328F"/>
    <w:rsid w:val="00E64255"/>
    <w:rsid w:val="00E643F6"/>
    <w:rsid w:val="00E65009"/>
    <w:rsid w:val="00E65454"/>
    <w:rsid w:val="00E6597F"/>
    <w:rsid w:val="00E65EC6"/>
    <w:rsid w:val="00E662B8"/>
    <w:rsid w:val="00E66925"/>
    <w:rsid w:val="00E67F98"/>
    <w:rsid w:val="00E7000C"/>
    <w:rsid w:val="00E703F9"/>
    <w:rsid w:val="00E70743"/>
    <w:rsid w:val="00E7205B"/>
    <w:rsid w:val="00E724BA"/>
    <w:rsid w:val="00E7267D"/>
    <w:rsid w:val="00E72D4E"/>
    <w:rsid w:val="00E72F64"/>
    <w:rsid w:val="00E730D6"/>
    <w:rsid w:val="00E7331B"/>
    <w:rsid w:val="00E73DF6"/>
    <w:rsid w:val="00E74EFE"/>
    <w:rsid w:val="00E7597E"/>
    <w:rsid w:val="00E75BEA"/>
    <w:rsid w:val="00E76687"/>
    <w:rsid w:val="00E76892"/>
    <w:rsid w:val="00E777C0"/>
    <w:rsid w:val="00E8013B"/>
    <w:rsid w:val="00E8023B"/>
    <w:rsid w:val="00E80CA4"/>
    <w:rsid w:val="00E80D0F"/>
    <w:rsid w:val="00E819C1"/>
    <w:rsid w:val="00E81DB2"/>
    <w:rsid w:val="00E81F61"/>
    <w:rsid w:val="00E82E0B"/>
    <w:rsid w:val="00E82FAF"/>
    <w:rsid w:val="00E830B4"/>
    <w:rsid w:val="00E831DF"/>
    <w:rsid w:val="00E83417"/>
    <w:rsid w:val="00E834A5"/>
    <w:rsid w:val="00E84708"/>
    <w:rsid w:val="00E85346"/>
    <w:rsid w:val="00E85500"/>
    <w:rsid w:val="00E85512"/>
    <w:rsid w:val="00E855B4"/>
    <w:rsid w:val="00E85CFC"/>
    <w:rsid w:val="00E85D00"/>
    <w:rsid w:val="00E865A9"/>
    <w:rsid w:val="00E8716B"/>
    <w:rsid w:val="00E871CD"/>
    <w:rsid w:val="00E8737A"/>
    <w:rsid w:val="00E9007C"/>
    <w:rsid w:val="00E90E4F"/>
    <w:rsid w:val="00E915B3"/>
    <w:rsid w:val="00E9174D"/>
    <w:rsid w:val="00E919BF"/>
    <w:rsid w:val="00E91DAE"/>
    <w:rsid w:val="00E93275"/>
    <w:rsid w:val="00E93F6F"/>
    <w:rsid w:val="00E95043"/>
    <w:rsid w:val="00E95092"/>
    <w:rsid w:val="00E975EA"/>
    <w:rsid w:val="00E977D8"/>
    <w:rsid w:val="00E97FFB"/>
    <w:rsid w:val="00EA07BE"/>
    <w:rsid w:val="00EA1DAF"/>
    <w:rsid w:val="00EA1E9B"/>
    <w:rsid w:val="00EA1FB2"/>
    <w:rsid w:val="00EA207C"/>
    <w:rsid w:val="00EA21B1"/>
    <w:rsid w:val="00EA2AEB"/>
    <w:rsid w:val="00EA412B"/>
    <w:rsid w:val="00EA5353"/>
    <w:rsid w:val="00EA54F2"/>
    <w:rsid w:val="00EA5507"/>
    <w:rsid w:val="00EA5816"/>
    <w:rsid w:val="00EA5B6F"/>
    <w:rsid w:val="00EA64EF"/>
    <w:rsid w:val="00EA66DF"/>
    <w:rsid w:val="00EA6D2B"/>
    <w:rsid w:val="00EA6FE9"/>
    <w:rsid w:val="00EA78DF"/>
    <w:rsid w:val="00EB0280"/>
    <w:rsid w:val="00EB074B"/>
    <w:rsid w:val="00EB10FB"/>
    <w:rsid w:val="00EB1AF7"/>
    <w:rsid w:val="00EB2415"/>
    <w:rsid w:val="00EB2547"/>
    <w:rsid w:val="00EB25BE"/>
    <w:rsid w:val="00EB2EC7"/>
    <w:rsid w:val="00EB34F5"/>
    <w:rsid w:val="00EB55A5"/>
    <w:rsid w:val="00EB66CA"/>
    <w:rsid w:val="00EB6C5C"/>
    <w:rsid w:val="00EB7632"/>
    <w:rsid w:val="00EB7E04"/>
    <w:rsid w:val="00EC0A7D"/>
    <w:rsid w:val="00EC1F20"/>
    <w:rsid w:val="00EC2240"/>
    <w:rsid w:val="00EC324A"/>
    <w:rsid w:val="00EC37DB"/>
    <w:rsid w:val="00EC49CA"/>
    <w:rsid w:val="00EC4B32"/>
    <w:rsid w:val="00EC59CC"/>
    <w:rsid w:val="00EC6DEB"/>
    <w:rsid w:val="00EC702C"/>
    <w:rsid w:val="00EC7315"/>
    <w:rsid w:val="00EC7A2B"/>
    <w:rsid w:val="00EC7AFC"/>
    <w:rsid w:val="00ED0003"/>
    <w:rsid w:val="00ED09BD"/>
    <w:rsid w:val="00ED0BD1"/>
    <w:rsid w:val="00ED1245"/>
    <w:rsid w:val="00ED1657"/>
    <w:rsid w:val="00ED2EC1"/>
    <w:rsid w:val="00ED3542"/>
    <w:rsid w:val="00ED3C74"/>
    <w:rsid w:val="00ED3E22"/>
    <w:rsid w:val="00ED41AE"/>
    <w:rsid w:val="00ED4432"/>
    <w:rsid w:val="00ED4545"/>
    <w:rsid w:val="00ED46A8"/>
    <w:rsid w:val="00ED55F7"/>
    <w:rsid w:val="00ED5A20"/>
    <w:rsid w:val="00ED6A69"/>
    <w:rsid w:val="00ED726A"/>
    <w:rsid w:val="00ED72DE"/>
    <w:rsid w:val="00ED7439"/>
    <w:rsid w:val="00ED745F"/>
    <w:rsid w:val="00ED7536"/>
    <w:rsid w:val="00ED7939"/>
    <w:rsid w:val="00ED7BB0"/>
    <w:rsid w:val="00EE0044"/>
    <w:rsid w:val="00EE0D16"/>
    <w:rsid w:val="00EE23B6"/>
    <w:rsid w:val="00EE28FE"/>
    <w:rsid w:val="00EE2A13"/>
    <w:rsid w:val="00EE2EBE"/>
    <w:rsid w:val="00EE395C"/>
    <w:rsid w:val="00EE4B43"/>
    <w:rsid w:val="00EE5056"/>
    <w:rsid w:val="00EE54AC"/>
    <w:rsid w:val="00EE56EF"/>
    <w:rsid w:val="00EE5A9D"/>
    <w:rsid w:val="00EE60ED"/>
    <w:rsid w:val="00EE68A4"/>
    <w:rsid w:val="00EE68F2"/>
    <w:rsid w:val="00EE6B9A"/>
    <w:rsid w:val="00EE6E88"/>
    <w:rsid w:val="00EE7601"/>
    <w:rsid w:val="00EE7AE6"/>
    <w:rsid w:val="00EE7F16"/>
    <w:rsid w:val="00EE7FB0"/>
    <w:rsid w:val="00EF0772"/>
    <w:rsid w:val="00EF0862"/>
    <w:rsid w:val="00EF08DA"/>
    <w:rsid w:val="00EF0AFF"/>
    <w:rsid w:val="00EF17BE"/>
    <w:rsid w:val="00EF234B"/>
    <w:rsid w:val="00EF3B6D"/>
    <w:rsid w:val="00EF452B"/>
    <w:rsid w:val="00EF4894"/>
    <w:rsid w:val="00EF5E69"/>
    <w:rsid w:val="00EF6364"/>
    <w:rsid w:val="00EF6CE2"/>
    <w:rsid w:val="00EF7341"/>
    <w:rsid w:val="00F00ABE"/>
    <w:rsid w:val="00F00FEF"/>
    <w:rsid w:val="00F0250A"/>
    <w:rsid w:val="00F02712"/>
    <w:rsid w:val="00F0283A"/>
    <w:rsid w:val="00F02F89"/>
    <w:rsid w:val="00F04D16"/>
    <w:rsid w:val="00F054AB"/>
    <w:rsid w:val="00F057D4"/>
    <w:rsid w:val="00F078F0"/>
    <w:rsid w:val="00F07E9E"/>
    <w:rsid w:val="00F1096B"/>
    <w:rsid w:val="00F10B2A"/>
    <w:rsid w:val="00F1111D"/>
    <w:rsid w:val="00F11607"/>
    <w:rsid w:val="00F12272"/>
    <w:rsid w:val="00F1353A"/>
    <w:rsid w:val="00F13E2D"/>
    <w:rsid w:val="00F14D9D"/>
    <w:rsid w:val="00F152D3"/>
    <w:rsid w:val="00F1595C"/>
    <w:rsid w:val="00F1679E"/>
    <w:rsid w:val="00F16A28"/>
    <w:rsid w:val="00F16E91"/>
    <w:rsid w:val="00F17308"/>
    <w:rsid w:val="00F1755D"/>
    <w:rsid w:val="00F17912"/>
    <w:rsid w:val="00F17BAD"/>
    <w:rsid w:val="00F17EC4"/>
    <w:rsid w:val="00F200AA"/>
    <w:rsid w:val="00F205A1"/>
    <w:rsid w:val="00F208E0"/>
    <w:rsid w:val="00F20D9E"/>
    <w:rsid w:val="00F2117E"/>
    <w:rsid w:val="00F217FC"/>
    <w:rsid w:val="00F22E02"/>
    <w:rsid w:val="00F230E3"/>
    <w:rsid w:val="00F2458A"/>
    <w:rsid w:val="00F245A3"/>
    <w:rsid w:val="00F2538D"/>
    <w:rsid w:val="00F254AE"/>
    <w:rsid w:val="00F26E81"/>
    <w:rsid w:val="00F279BC"/>
    <w:rsid w:val="00F27C30"/>
    <w:rsid w:val="00F27FD9"/>
    <w:rsid w:val="00F30373"/>
    <w:rsid w:val="00F30BA9"/>
    <w:rsid w:val="00F30EFA"/>
    <w:rsid w:val="00F31998"/>
    <w:rsid w:val="00F31C45"/>
    <w:rsid w:val="00F3219B"/>
    <w:rsid w:val="00F32272"/>
    <w:rsid w:val="00F3246C"/>
    <w:rsid w:val="00F3373C"/>
    <w:rsid w:val="00F3448F"/>
    <w:rsid w:val="00F348D7"/>
    <w:rsid w:val="00F34A19"/>
    <w:rsid w:val="00F34B34"/>
    <w:rsid w:val="00F35A1E"/>
    <w:rsid w:val="00F3616A"/>
    <w:rsid w:val="00F367A6"/>
    <w:rsid w:val="00F3711D"/>
    <w:rsid w:val="00F37352"/>
    <w:rsid w:val="00F401D7"/>
    <w:rsid w:val="00F411A4"/>
    <w:rsid w:val="00F41331"/>
    <w:rsid w:val="00F4194D"/>
    <w:rsid w:val="00F41DF8"/>
    <w:rsid w:val="00F41ED0"/>
    <w:rsid w:val="00F43211"/>
    <w:rsid w:val="00F43C4A"/>
    <w:rsid w:val="00F43CE0"/>
    <w:rsid w:val="00F44358"/>
    <w:rsid w:val="00F44474"/>
    <w:rsid w:val="00F45B6E"/>
    <w:rsid w:val="00F45F55"/>
    <w:rsid w:val="00F46282"/>
    <w:rsid w:val="00F46E47"/>
    <w:rsid w:val="00F47578"/>
    <w:rsid w:val="00F50DB2"/>
    <w:rsid w:val="00F5129B"/>
    <w:rsid w:val="00F51335"/>
    <w:rsid w:val="00F51430"/>
    <w:rsid w:val="00F5301C"/>
    <w:rsid w:val="00F534EE"/>
    <w:rsid w:val="00F53840"/>
    <w:rsid w:val="00F53BB1"/>
    <w:rsid w:val="00F53FD1"/>
    <w:rsid w:val="00F545A7"/>
    <w:rsid w:val="00F54DC3"/>
    <w:rsid w:val="00F5508B"/>
    <w:rsid w:val="00F561B1"/>
    <w:rsid w:val="00F561B8"/>
    <w:rsid w:val="00F569CC"/>
    <w:rsid w:val="00F56C40"/>
    <w:rsid w:val="00F5716B"/>
    <w:rsid w:val="00F57C3A"/>
    <w:rsid w:val="00F602C6"/>
    <w:rsid w:val="00F60BB1"/>
    <w:rsid w:val="00F61A18"/>
    <w:rsid w:val="00F61FAC"/>
    <w:rsid w:val="00F623F4"/>
    <w:rsid w:val="00F62423"/>
    <w:rsid w:val="00F62E9E"/>
    <w:rsid w:val="00F62F34"/>
    <w:rsid w:val="00F64457"/>
    <w:rsid w:val="00F6465D"/>
    <w:rsid w:val="00F647C4"/>
    <w:rsid w:val="00F64B26"/>
    <w:rsid w:val="00F64BB5"/>
    <w:rsid w:val="00F6526E"/>
    <w:rsid w:val="00F653DD"/>
    <w:rsid w:val="00F65BE8"/>
    <w:rsid w:val="00F65C25"/>
    <w:rsid w:val="00F6603E"/>
    <w:rsid w:val="00F66832"/>
    <w:rsid w:val="00F67066"/>
    <w:rsid w:val="00F715F3"/>
    <w:rsid w:val="00F71A9B"/>
    <w:rsid w:val="00F72D0D"/>
    <w:rsid w:val="00F733DF"/>
    <w:rsid w:val="00F73B5C"/>
    <w:rsid w:val="00F741DB"/>
    <w:rsid w:val="00F74AE7"/>
    <w:rsid w:val="00F75411"/>
    <w:rsid w:val="00F7591E"/>
    <w:rsid w:val="00F766D6"/>
    <w:rsid w:val="00F76771"/>
    <w:rsid w:val="00F770FD"/>
    <w:rsid w:val="00F771A8"/>
    <w:rsid w:val="00F77812"/>
    <w:rsid w:val="00F778C5"/>
    <w:rsid w:val="00F77B6D"/>
    <w:rsid w:val="00F80050"/>
    <w:rsid w:val="00F80376"/>
    <w:rsid w:val="00F80ACA"/>
    <w:rsid w:val="00F80CB6"/>
    <w:rsid w:val="00F81851"/>
    <w:rsid w:val="00F82459"/>
    <w:rsid w:val="00F82E5A"/>
    <w:rsid w:val="00F8322B"/>
    <w:rsid w:val="00F83239"/>
    <w:rsid w:val="00F832CF"/>
    <w:rsid w:val="00F834F7"/>
    <w:rsid w:val="00F83CD2"/>
    <w:rsid w:val="00F8434B"/>
    <w:rsid w:val="00F846B1"/>
    <w:rsid w:val="00F91868"/>
    <w:rsid w:val="00F921E4"/>
    <w:rsid w:val="00F923D0"/>
    <w:rsid w:val="00F92A76"/>
    <w:rsid w:val="00F92C26"/>
    <w:rsid w:val="00F93D81"/>
    <w:rsid w:val="00F942D8"/>
    <w:rsid w:val="00F94E11"/>
    <w:rsid w:val="00F94E26"/>
    <w:rsid w:val="00F94FA9"/>
    <w:rsid w:val="00F95165"/>
    <w:rsid w:val="00F95A3F"/>
    <w:rsid w:val="00F95A71"/>
    <w:rsid w:val="00F95B05"/>
    <w:rsid w:val="00F9647C"/>
    <w:rsid w:val="00F96A2A"/>
    <w:rsid w:val="00F96B05"/>
    <w:rsid w:val="00F96C7C"/>
    <w:rsid w:val="00F97277"/>
    <w:rsid w:val="00F977B5"/>
    <w:rsid w:val="00F97853"/>
    <w:rsid w:val="00FA01E9"/>
    <w:rsid w:val="00FA0C24"/>
    <w:rsid w:val="00FA24B5"/>
    <w:rsid w:val="00FA2A6A"/>
    <w:rsid w:val="00FA2B9D"/>
    <w:rsid w:val="00FA3BFB"/>
    <w:rsid w:val="00FA3C46"/>
    <w:rsid w:val="00FA3FBF"/>
    <w:rsid w:val="00FA4D0B"/>
    <w:rsid w:val="00FA573B"/>
    <w:rsid w:val="00FA6844"/>
    <w:rsid w:val="00FA6A4B"/>
    <w:rsid w:val="00FA71EB"/>
    <w:rsid w:val="00FA7735"/>
    <w:rsid w:val="00FA78E1"/>
    <w:rsid w:val="00FA79D9"/>
    <w:rsid w:val="00FA7B89"/>
    <w:rsid w:val="00FA7EF6"/>
    <w:rsid w:val="00FB0117"/>
    <w:rsid w:val="00FB0D28"/>
    <w:rsid w:val="00FB0D59"/>
    <w:rsid w:val="00FB15DF"/>
    <w:rsid w:val="00FB1F10"/>
    <w:rsid w:val="00FB345F"/>
    <w:rsid w:val="00FB369F"/>
    <w:rsid w:val="00FB3C35"/>
    <w:rsid w:val="00FB4086"/>
    <w:rsid w:val="00FB4527"/>
    <w:rsid w:val="00FB5C8E"/>
    <w:rsid w:val="00FB662A"/>
    <w:rsid w:val="00FB68C6"/>
    <w:rsid w:val="00FB6B30"/>
    <w:rsid w:val="00FB6BCB"/>
    <w:rsid w:val="00FB7DB9"/>
    <w:rsid w:val="00FB7FB1"/>
    <w:rsid w:val="00FC01FC"/>
    <w:rsid w:val="00FC03B3"/>
    <w:rsid w:val="00FC04CB"/>
    <w:rsid w:val="00FC07C0"/>
    <w:rsid w:val="00FC0927"/>
    <w:rsid w:val="00FC16F8"/>
    <w:rsid w:val="00FC1FBD"/>
    <w:rsid w:val="00FC2688"/>
    <w:rsid w:val="00FC2EF1"/>
    <w:rsid w:val="00FC32BE"/>
    <w:rsid w:val="00FC332A"/>
    <w:rsid w:val="00FC40CC"/>
    <w:rsid w:val="00FC4816"/>
    <w:rsid w:val="00FC4E61"/>
    <w:rsid w:val="00FC57CF"/>
    <w:rsid w:val="00FC5962"/>
    <w:rsid w:val="00FC5F37"/>
    <w:rsid w:val="00FC648D"/>
    <w:rsid w:val="00FC6664"/>
    <w:rsid w:val="00FC785B"/>
    <w:rsid w:val="00FC7AE2"/>
    <w:rsid w:val="00FC7C0E"/>
    <w:rsid w:val="00FC7C18"/>
    <w:rsid w:val="00FD0205"/>
    <w:rsid w:val="00FD0F0E"/>
    <w:rsid w:val="00FD133B"/>
    <w:rsid w:val="00FD146B"/>
    <w:rsid w:val="00FD1DD6"/>
    <w:rsid w:val="00FD200E"/>
    <w:rsid w:val="00FD207A"/>
    <w:rsid w:val="00FD2C14"/>
    <w:rsid w:val="00FD365E"/>
    <w:rsid w:val="00FD36D3"/>
    <w:rsid w:val="00FD37B3"/>
    <w:rsid w:val="00FD3BE6"/>
    <w:rsid w:val="00FD3CD7"/>
    <w:rsid w:val="00FD5A00"/>
    <w:rsid w:val="00FD5DB2"/>
    <w:rsid w:val="00FD62F8"/>
    <w:rsid w:val="00FD6E08"/>
    <w:rsid w:val="00FD7183"/>
    <w:rsid w:val="00FD7515"/>
    <w:rsid w:val="00FD7CCC"/>
    <w:rsid w:val="00FE0559"/>
    <w:rsid w:val="00FE0874"/>
    <w:rsid w:val="00FE12CB"/>
    <w:rsid w:val="00FE2426"/>
    <w:rsid w:val="00FE273D"/>
    <w:rsid w:val="00FE3054"/>
    <w:rsid w:val="00FE3070"/>
    <w:rsid w:val="00FE34C4"/>
    <w:rsid w:val="00FE3823"/>
    <w:rsid w:val="00FE3AC8"/>
    <w:rsid w:val="00FE3D9D"/>
    <w:rsid w:val="00FE4FCD"/>
    <w:rsid w:val="00FE5A09"/>
    <w:rsid w:val="00FE5B0F"/>
    <w:rsid w:val="00FE62A2"/>
    <w:rsid w:val="00FE6861"/>
    <w:rsid w:val="00FE696C"/>
    <w:rsid w:val="00FE6A4C"/>
    <w:rsid w:val="00FE6B15"/>
    <w:rsid w:val="00FE6F8C"/>
    <w:rsid w:val="00FE716D"/>
    <w:rsid w:val="00FE7590"/>
    <w:rsid w:val="00FE784C"/>
    <w:rsid w:val="00FE7941"/>
    <w:rsid w:val="00FF0199"/>
    <w:rsid w:val="00FF09D5"/>
    <w:rsid w:val="00FF0A78"/>
    <w:rsid w:val="00FF0CC6"/>
    <w:rsid w:val="00FF16F1"/>
    <w:rsid w:val="00FF1ABB"/>
    <w:rsid w:val="00FF22B9"/>
    <w:rsid w:val="00FF250D"/>
    <w:rsid w:val="00FF2647"/>
    <w:rsid w:val="00FF27FE"/>
    <w:rsid w:val="00FF2EA5"/>
    <w:rsid w:val="00FF34D5"/>
    <w:rsid w:val="00FF34E6"/>
    <w:rsid w:val="00FF38EC"/>
    <w:rsid w:val="00FF484A"/>
    <w:rsid w:val="00FF49A3"/>
    <w:rsid w:val="00FF69AC"/>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1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C8"/>
    <w:pPr>
      <w:autoSpaceDE w:val="0"/>
      <w:autoSpaceDN w:val="0"/>
      <w:adjustRightInd w:val="0"/>
    </w:pPr>
    <w:rPr>
      <w:rFonts w:ascii="Courier 10cpi" w:eastAsia="PMingLiU" w:hAnsi="Courier 10cpi"/>
      <w:sz w:val="20"/>
      <w:szCs w:val="20"/>
    </w:rPr>
  </w:style>
  <w:style w:type="paragraph" w:styleId="Heading1">
    <w:name w:val="heading 1"/>
    <w:basedOn w:val="Normal"/>
    <w:next w:val="Index1"/>
    <w:link w:val="Heading1Char1"/>
    <w:autoRedefine/>
    <w:uiPriority w:val="99"/>
    <w:qFormat/>
    <w:rsid w:val="00CC193F"/>
    <w:pPr>
      <w:keepNext/>
      <w:spacing w:before="100" w:beforeAutospacing="1" w:after="100" w:afterAutospacing="1" w:line="360" w:lineRule="auto"/>
      <w:outlineLvl w:val="0"/>
    </w:pPr>
    <w:rPr>
      <w:rFonts w:ascii="Arial" w:eastAsia="MS Mincho" w:hAnsi="Arial" w:cs="Arial"/>
      <w:b/>
      <w:bCs/>
      <w:kern w:val="36"/>
      <w:sz w:val="24"/>
      <w:szCs w:val="24"/>
    </w:rPr>
  </w:style>
  <w:style w:type="paragraph" w:styleId="Heading2">
    <w:name w:val="heading 2"/>
    <w:basedOn w:val="Normal"/>
    <w:next w:val="Normal"/>
    <w:link w:val="Heading2Char1"/>
    <w:qFormat/>
    <w:rsid w:val="00D874FD"/>
    <w:pPr>
      <w:keepNext/>
      <w:spacing w:before="240" w:after="60" w:line="36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AD50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AD50C8"/>
    <w:rPr>
      <w:rFonts w:ascii="Arial" w:hAnsi="Arial" w:cs="Arial"/>
      <w:b/>
      <w:bCs/>
      <w:kern w:val="36"/>
      <w:sz w:val="24"/>
      <w:szCs w:val="24"/>
      <w:lang w:val="en-US" w:eastAsia="en-US" w:bidi="ar-SA"/>
    </w:rPr>
  </w:style>
  <w:style w:type="character" w:customStyle="1" w:styleId="Heading2Char">
    <w:name w:val="Heading 2 Char"/>
    <w:basedOn w:val="DefaultParagraphFont"/>
    <w:uiPriority w:val="99"/>
    <w:locked/>
    <w:rsid w:val="00AD50C8"/>
    <w:rPr>
      <w:rFonts w:ascii="Arial" w:eastAsia="PMingLiU"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62727F"/>
    <w:rPr>
      <w:rFonts w:ascii="Cambria" w:hAnsi="Cambria" w:cs="Times New Roman"/>
      <w:b/>
      <w:bCs/>
      <w:sz w:val="26"/>
      <w:szCs w:val="26"/>
    </w:rPr>
  </w:style>
  <w:style w:type="paragraph" w:styleId="Index1">
    <w:name w:val="index 1"/>
    <w:basedOn w:val="Normal"/>
    <w:next w:val="Normal"/>
    <w:autoRedefine/>
    <w:uiPriority w:val="99"/>
    <w:semiHidden/>
    <w:rsid w:val="00AD50C8"/>
    <w:pPr>
      <w:ind w:left="240" w:hanging="240"/>
    </w:pPr>
  </w:style>
  <w:style w:type="character" w:customStyle="1" w:styleId="Heading1Char1">
    <w:name w:val="Heading 1 Char1"/>
    <w:basedOn w:val="DefaultParagraphFont"/>
    <w:link w:val="Heading1"/>
    <w:uiPriority w:val="99"/>
    <w:locked/>
    <w:rsid w:val="00CC193F"/>
    <w:rPr>
      <w:rFonts w:ascii="Arial" w:hAnsi="Arial" w:cs="Arial"/>
      <w:b/>
      <w:bCs/>
      <w:kern w:val="36"/>
      <w:sz w:val="24"/>
      <w:szCs w:val="24"/>
    </w:rPr>
  </w:style>
  <w:style w:type="character" w:customStyle="1" w:styleId="Heading2Char1">
    <w:name w:val="Heading 2 Char1"/>
    <w:basedOn w:val="DefaultParagraphFont"/>
    <w:link w:val="Heading2"/>
    <w:locked/>
    <w:rsid w:val="00D874FD"/>
    <w:rPr>
      <w:rFonts w:ascii="Arial" w:eastAsia="PMingLiU" w:hAnsi="Arial" w:cs="Arial"/>
      <w:b/>
      <w:bCs/>
      <w:iCs/>
      <w:sz w:val="24"/>
      <w:szCs w:val="28"/>
    </w:rPr>
  </w:style>
  <w:style w:type="paragraph" w:styleId="BodyTextIndent">
    <w:name w:val="Body Text Indent"/>
    <w:basedOn w:val="Normal"/>
    <w:link w:val="BodyTextIndentChar"/>
    <w:uiPriority w:val="99"/>
    <w:semiHidden/>
    <w:rsid w:val="00AD50C8"/>
    <w:pPr>
      <w:keepNext/>
      <w:spacing w:line="360" w:lineRule="auto"/>
      <w:ind w:left="1440"/>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62727F"/>
    <w:rPr>
      <w:rFonts w:ascii="Courier 10cpi" w:eastAsia="PMingLiU" w:hAnsi="Courier 10cpi" w:cs="Times New Roman"/>
      <w:sz w:val="20"/>
      <w:szCs w:val="20"/>
    </w:rPr>
  </w:style>
  <w:style w:type="paragraph" w:styleId="BodyTextIndent2">
    <w:name w:val="Body Text Indent 2"/>
    <w:basedOn w:val="Normal"/>
    <w:link w:val="BodyTextIndent2Char"/>
    <w:uiPriority w:val="99"/>
    <w:semiHidden/>
    <w:rsid w:val="00AD50C8"/>
    <w:pPr>
      <w:ind w:left="-108"/>
    </w:pPr>
    <w:rPr>
      <w:rFonts w:ascii="Arial Narrow" w:hAnsi="Arial Narrow"/>
      <w:sz w:val="24"/>
      <w:szCs w:val="24"/>
    </w:rPr>
  </w:style>
  <w:style w:type="character" w:customStyle="1" w:styleId="BodyTextIndent2Char">
    <w:name w:val="Body Text Indent 2 Char"/>
    <w:basedOn w:val="DefaultParagraphFont"/>
    <w:link w:val="BodyTextIndent2"/>
    <w:uiPriority w:val="99"/>
    <w:semiHidden/>
    <w:locked/>
    <w:rsid w:val="0062727F"/>
    <w:rPr>
      <w:rFonts w:ascii="Courier 10cpi" w:eastAsia="PMingLiU" w:hAnsi="Courier 10cpi" w:cs="Times New Roman"/>
      <w:sz w:val="20"/>
      <w:szCs w:val="20"/>
    </w:rPr>
  </w:style>
  <w:style w:type="paragraph" w:styleId="TOC1">
    <w:name w:val="toc 1"/>
    <w:basedOn w:val="Normal"/>
    <w:next w:val="Normal"/>
    <w:autoRedefine/>
    <w:uiPriority w:val="39"/>
    <w:rsid w:val="002B34EC"/>
    <w:pPr>
      <w:tabs>
        <w:tab w:val="right" w:leader="dot" w:pos="8630"/>
      </w:tabs>
      <w:spacing w:before="120" w:after="120"/>
    </w:pPr>
    <w:rPr>
      <w:rFonts w:ascii="Arial" w:hAnsi="Arial" w:cs="Arial"/>
      <w:b/>
      <w:bCs/>
      <w:caps/>
      <w:noProof/>
      <w:sz w:val="24"/>
      <w:szCs w:val="24"/>
    </w:rPr>
  </w:style>
  <w:style w:type="character" w:styleId="Hyperlink">
    <w:name w:val="Hyperlink"/>
    <w:basedOn w:val="DefaultParagraphFont"/>
    <w:uiPriority w:val="99"/>
    <w:rsid w:val="00AD50C8"/>
    <w:rPr>
      <w:rFonts w:cs="Times New Roman"/>
      <w:color w:val="0000FF"/>
      <w:u w:val="single"/>
    </w:rPr>
  </w:style>
  <w:style w:type="paragraph" w:styleId="TOC2">
    <w:name w:val="toc 2"/>
    <w:basedOn w:val="Normal"/>
    <w:next w:val="Normal"/>
    <w:autoRedefine/>
    <w:uiPriority w:val="39"/>
    <w:rsid w:val="00786067"/>
    <w:pPr>
      <w:tabs>
        <w:tab w:val="right" w:leader="dot" w:pos="8630"/>
      </w:tabs>
      <w:ind w:left="200" w:hanging="200"/>
    </w:pPr>
    <w:rPr>
      <w:rFonts w:ascii="Arial" w:hAnsi="Arial" w:cs="Arial"/>
      <w:bCs/>
      <w:iCs/>
      <w:smallCaps/>
      <w:noProof/>
    </w:rPr>
  </w:style>
  <w:style w:type="character" w:styleId="CommentReference">
    <w:name w:val="annotation reference"/>
    <w:basedOn w:val="DefaultParagraphFont"/>
    <w:uiPriority w:val="99"/>
    <w:semiHidden/>
    <w:rsid w:val="00AD50C8"/>
    <w:rPr>
      <w:rFonts w:cs="Times New Roman"/>
      <w:sz w:val="16"/>
      <w:szCs w:val="16"/>
    </w:rPr>
  </w:style>
  <w:style w:type="paragraph" w:styleId="CommentText">
    <w:name w:val="annotation text"/>
    <w:basedOn w:val="Normal"/>
    <w:link w:val="CommentTextChar1"/>
    <w:uiPriority w:val="99"/>
    <w:rsid w:val="00AD50C8"/>
  </w:style>
  <w:style w:type="character" w:customStyle="1" w:styleId="CommentTextChar">
    <w:name w:val="Comment Text Char"/>
    <w:basedOn w:val="DefaultParagraphFont"/>
    <w:uiPriority w:val="99"/>
    <w:locked/>
    <w:rsid w:val="002F688C"/>
    <w:rPr>
      <w:rFonts w:ascii="Courier 10cpi" w:eastAsia="PMingLiU" w:hAnsi="Courier 10cpi" w:cs="Times New Roman"/>
      <w:sz w:val="20"/>
      <w:szCs w:val="20"/>
    </w:rPr>
  </w:style>
  <w:style w:type="character" w:customStyle="1" w:styleId="CommentTextChar1">
    <w:name w:val="Comment Text Char1"/>
    <w:basedOn w:val="DefaultParagraphFont"/>
    <w:link w:val="CommentText"/>
    <w:uiPriority w:val="99"/>
    <w:locked/>
    <w:rsid w:val="00255151"/>
    <w:rPr>
      <w:rFonts w:ascii="Courier 10cpi" w:eastAsia="PMingLiU" w:hAnsi="Courier 10cpi" w:cs="Times New Roman"/>
      <w:lang w:val="en-US" w:eastAsia="en-US" w:bidi="ar-SA"/>
    </w:rPr>
  </w:style>
  <w:style w:type="paragraph" w:styleId="CommentSubject">
    <w:name w:val="annotation subject"/>
    <w:basedOn w:val="CommentText"/>
    <w:next w:val="CommentText"/>
    <w:link w:val="CommentSubjectChar"/>
    <w:uiPriority w:val="99"/>
    <w:semiHidden/>
    <w:rsid w:val="00AD50C8"/>
    <w:rPr>
      <w:b/>
      <w:bCs/>
    </w:rPr>
  </w:style>
  <w:style w:type="character" w:customStyle="1" w:styleId="CommentSubjectChar">
    <w:name w:val="Comment Subject Char"/>
    <w:basedOn w:val="CommentTextChar1"/>
    <w:link w:val="CommentSubject"/>
    <w:uiPriority w:val="99"/>
    <w:semiHidden/>
    <w:locked/>
    <w:rsid w:val="0062727F"/>
    <w:rPr>
      <w:rFonts w:ascii="Courier 10cpi" w:eastAsia="PMingLiU" w:hAnsi="Courier 10cpi" w:cs="Times New Roman"/>
      <w:b/>
      <w:bCs/>
      <w:sz w:val="20"/>
      <w:szCs w:val="20"/>
      <w:lang w:val="en-US" w:eastAsia="en-US" w:bidi="ar-SA"/>
    </w:rPr>
  </w:style>
  <w:style w:type="paragraph" w:styleId="BalloonText">
    <w:name w:val="Balloon Text"/>
    <w:basedOn w:val="Normal"/>
    <w:link w:val="BalloonTextChar"/>
    <w:uiPriority w:val="99"/>
    <w:semiHidden/>
    <w:rsid w:val="00AD5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27F"/>
    <w:rPr>
      <w:rFonts w:eastAsia="PMingLiU" w:cs="Times New Roman"/>
      <w:sz w:val="2"/>
    </w:rPr>
  </w:style>
  <w:style w:type="paragraph" w:styleId="Footer">
    <w:name w:val="footer"/>
    <w:basedOn w:val="Normal"/>
    <w:link w:val="FooterChar"/>
    <w:uiPriority w:val="99"/>
    <w:rsid w:val="00AD50C8"/>
    <w:pPr>
      <w:tabs>
        <w:tab w:val="center" w:pos="4320"/>
        <w:tab w:val="right" w:pos="8640"/>
      </w:tabs>
    </w:pPr>
  </w:style>
  <w:style w:type="character" w:customStyle="1" w:styleId="FooterChar">
    <w:name w:val="Footer Char"/>
    <w:basedOn w:val="DefaultParagraphFont"/>
    <w:link w:val="Footer"/>
    <w:uiPriority w:val="99"/>
    <w:locked/>
    <w:rsid w:val="0062727F"/>
    <w:rPr>
      <w:rFonts w:ascii="Courier 10cpi" w:eastAsia="PMingLiU" w:hAnsi="Courier 10cpi" w:cs="Times New Roman"/>
      <w:sz w:val="20"/>
      <w:szCs w:val="20"/>
    </w:rPr>
  </w:style>
  <w:style w:type="character" w:styleId="PageNumber">
    <w:name w:val="page number"/>
    <w:basedOn w:val="DefaultParagraphFont"/>
    <w:uiPriority w:val="99"/>
    <w:semiHidden/>
    <w:rsid w:val="00AD50C8"/>
    <w:rPr>
      <w:rFonts w:cs="Times New Roman"/>
    </w:rPr>
  </w:style>
  <w:style w:type="paragraph" w:styleId="TOC3">
    <w:name w:val="toc 3"/>
    <w:basedOn w:val="Normal"/>
    <w:next w:val="Normal"/>
    <w:autoRedefine/>
    <w:uiPriority w:val="39"/>
    <w:rsid w:val="00255151"/>
    <w:pPr>
      <w:tabs>
        <w:tab w:val="right" w:leader="dot" w:pos="8630"/>
      </w:tabs>
      <w:ind w:left="180"/>
    </w:pPr>
    <w:rPr>
      <w:rFonts w:ascii="Arial" w:hAnsi="Arial" w:cs="Arial"/>
      <w:i/>
      <w:iCs/>
      <w:noProof/>
    </w:rPr>
  </w:style>
  <w:style w:type="paragraph" w:styleId="TOC4">
    <w:name w:val="toc 4"/>
    <w:basedOn w:val="Normal"/>
    <w:next w:val="Normal"/>
    <w:autoRedefine/>
    <w:uiPriority w:val="39"/>
    <w:rsid w:val="00AD50C8"/>
    <w:pPr>
      <w:ind w:left="600"/>
    </w:pPr>
    <w:rPr>
      <w:rFonts w:ascii="Times New Roman" w:hAnsi="Times New Roman"/>
      <w:sz w:val="18"/>
      <w:szCs w:val="18"/>
    </w:rPr>
  </w:style>
  <w:style w:type="paragraph" w:styleId="TOC5">
    <w:name w:val="toc 5"/>
    <w:basedOn w:val="Normal"/>
    <w:next w:val="Normal"/>
    <w:autoRedefine/>
    <w:uiPriority w:val="39"/>
    <w:rsid w:val="00AD50C8"/>
    <w:pPr>
      <w:ind w:left="800"/>
    </w:pPr>
    <w:rPr>
      <w:rFonts w:ascii="Times New Roman" w:hAnsi="Times New Roman"/>
      <w:sz w:val="18"/>
      <w:szCs w:val="18"/>
    </w:rPr>
  </w:style>
  <w:style w:type="paragraph" w:styleId="TOC6">
    <w:name w:val="toc 6"/>
    <w:basedOn w:val="Normal"/>
    <w:next w:val="Normal"/>
    <w:autoRedefine/>
    <w:uiPriority w:val="39"/>
    <w:rsid w:val="00AD50C8"/>
    <w:pPr>
      <w:ind w:left="1000"/>
    </w:pPr>
    <w:rPr>
      <w:rFonts w:ascii="Times New Roman" w:hAnsi="Times New Roman"/>
      <w:sz w:val="18"/>
      <w:szCs w:val="18"/>
    </w:rPr>
  </w:style>
  <w:style w:type="paragraph" w:styleId="TOC7">
    <w:name w:val="toc 7"/>
    <w:basedOn w:val="Normal"/>
    <w:next w:val="Normal"/>
    <w:autoRedefine/>
    <w:uiPriority w:val="39"/>
    <w:rsid w:val="00AD50C8"/>
    <w:pPr>
      <w:ind w:left="1200"/>
    </w:pPr>
    <w:rPr>
      <w:rFonts w:ascii="Times New Roman" w:hAnsi="Times New Roman"/>
      <w:sz w:val="18"/>
      <w:szCs w:val="18"/>
    </w:rPr>
  </w:style>
  <w:style w:type="paragraph" w:styleId="TOC8">
    <w:name w:val="toc 8"/>
    <w:basedOn w:val="Normal"/>
    <w:next w:val="Normal"/>
    <w:autoRedefine/>
    <w:uiPriority w:val="39"/>
    <w:rsid w:val="00AD50C8"/>
    <w:pPr>
      <w:ind w:left="1400"/>
    </w:pPr>
    <w:rPr>
      <w:rFonts w:ascii="Times New Roman" w:hAnsi="Times New Roman"/>
      <w:sz w:val="18"/>
      <w:szCs w:val="18"/>
    </w:rPr>
  </w:style>
  <w:style w:type="paragraph" w:styleId="TOC9">
    <w:name w:val="toc 9"/>
    <w:basedOn w:val="Normal"/>
    <w:next w:val="Normal"/>
    <w:autoRedefine/>
    <w:uiPriority w:val="39"/>
    <w:rsid w:val="00AD50C8"/>
    <w:pPr>
      <w:ind w:left="1600"/>
    </w:pPr>
    <w:rPr>
      <w:rFonts w:ascii="Times New Roman" w:hAnsi="Times New Roman"/>
      <w:sz w:val="18"/>
      <w:szCs w:val="18"/>
    </w:rPr>
  </w:style>
  <w:style w:type="character" w:styleId="FollowedHyperlink">
    <w:name w:val="FollowedHyperlink"/>
    <w:basedOn w:val="DefaultParagraphFont"/>
    <w:uiPriority w:val="99"/>
    <w:rsid w:val="00255151"/>
    <w:rPr>
      <w:rFonts w:cs="Times New Roman"/>
      <w:color w:val="800080"/>
      <w:u w:val="single"/>
    </w:rPr>
  </w:style>
  <w:style w:type="paragraph" w:customStyle="1" w:styleId="Style1">
    <w:name w:val="Style1"/>
    <w:basedOn w:val="Normal"/>
    <w:uiPriority w:val="99"/>
    <w:rsid w:val="00AD50C8"/>
    <w:pPr>
      <w:tabs>
        <w:tab w:val="num" w:pos="1440"/>
      </w:tabs>
      <w:autoSpaceDE/>
      <w:autoSpaceDN/>
      <w:adjustRightInd/>
      <w:ind w:left="1440" w:hanging="1440"/>
    </w:pPr>
    <w:rPr>
      <w:rFonts w:ascii="Arial" w:hAnsi="Arial" w:cs="Arial"/>
      <w:sz w:val="24"/>
      <w:szCs w:val="24"/>
    </w:rPr>
  </w:style>
  <w:style w:type="character" w:customStyle="1" w:styleId="CharChar2">
    <w:name w:val="Char Char2"/>
    <w:basedOn w:val="DefaultParagraphFont"/>
    <w:uiPriority w:val="99"/>
    <w:semiHidden/>
    <w:locked/>
    <w:rsid w:val="00AD50C8"/>
    <w:rPr>
      <w:rFonts w:ascii="Courier 10cpi" w:eastAsia="PMingLiU" w:hAnsi="Courier 10cpi" w:cs="Times New Roman"/>
      <w:lang w:val="en-US" w:eastAsia="en-US" w:bidi="ar-SA"/>
    </w:rPr>
  </w:style>
  <w:style w:type="paragraph" w:customStyle="1" w:styleId="Default">
    <w:name w:val="Default"/>
    <w:rsid w:val="00AD50C8"/>
    <w:pPr>
      <w:autoSpaceDE w:val="0"/>
      <w:autoSpaceDN w:val="0"/>
      <w:adjustRightInd w:val="0"/>
    </w:pPr>
    <w:rPr>
      <w:rFonts w:ascii="Arial" w:hAnsi="Arial" w:cs="Arial"/>
      <w:color w:val="000000"/>
      <w:sz w:val="24"/>
      <w:szCs w:val="24"/>
      <w:lang w:eastAsia="ja-JP"/>
    </w:rPr>
  </w:style>
  <w:style w:type="paragraph" w:styleId="FootnoteText">
    <w:name w:val="footnote text"/>
    <w:basedOn w:val="Normal"/>
    <w:link w:val="FootnoteTextChar"/>
    <w:uiPriority w:val="99"/>
    <w:semiHidden/>
    <w:rsid w:val="00AD50C8"/>
  </w:style>
  <w:style w:type="character" w:customStyle="1" w:styleId="FootnoteTextChar">
    <w:name w:val="Footnote Text Char"/>
    <w:basedOn w:val="DefaultParagraphFont"/>
    <w:link w:val="FootnoteText"/>
    <w:uiPriority w:val="99"/>
    <w:semiHidden/>
    <w:locked/>
    <w:rsid w:val="0062727F"/>
    <w:rPr>
      <w:rFonts w:ascii="Courier 10cpi" w:eastAsia="PMingLiU" w:hAnsi="Courier 10cpi" w:cs="Times New Roman"/>
      <w:sz w:val="20"/>
      <w:szCs w:val="20"/>
    </w:rPr>
  </w:style>
  <w:style w:type="character" w:styleId="FootnoteReference">
    <w:name w:val="footnote reference"/>
    <w:basedOn w:val="DefaultParagraphFont"/>
    <w:uiPriority w:val="99"/>
    <w:semiHidden/>
    <w:rsid w:val="00AD50C8"/>
    <w:rPr>
      <w:rFonts w:cs="Times New Roman"/>
      <w:vertAlign w:val="superscript"/>
    </w:rPr>
  </w:style>
  <w:style w:type="character" w:customStyle="1" w:styleId="CharChar">
    <w:name w:val="Char Char"/>
    <w:basedOn w:val="DefaultParagraphFont"/>
    <w:uiPriority w:val="99"/>
    <w:rsid w:val="00AD50C8"/>
    <w:rPr>
      <w:rFonts w:ascii="Courier 10cpi" w:eastAsia="PMingLiU" w:hAnsi="Courier 10cpi" w:cs="Times New Roman"/>
      <w:lang w:val="en-US" w:eastAsia="en-US" w:bidi="ar-SA"/>
    </w:rPr>
  </w:style>
  <w:style w:type="character" w:customStyle="1" w:styleId="CharChar1">
    <w:name w:val="Char Char1"/>
    <w:basedOn w:val="DefaultParagraphFont"/>
    <w:uiPriority w:val="99"/>
    <w:semiHidden/>
    <w:locked/>
    <w:rsid w:val="00AD50C8"/>
    <w:rPr>
      <w:rFonts w:ascii="Courier 10cpi" w:eastAsia="PMingLiU" w:hAnsi="Courier 10cpi" w:cs="Times New Roman"/>
      <w:lang w:val="en-US" w:eastAsia="en-US" w:bidi="ar-SA"/>
    </w:rPr>
  </w:style>
  <w:style w:type="character" w:styleId="Emphasis">
    <w:name w:val="Emphasis"/>
    <w:basedOn w:val="DefaultParagraphFont"/>
    <w:uiPriority w:val="99"/>
    <w:qFormat/>
    <w:rsid w:val="00AD50C8"/>
    <w:rPr>
      <w:rFonts w:cs="Times New Roman"/>
      <w:i/>
      <w:iCs/>
    </w:rPr>
  </w:style>
  <w:style w:type="paragraph" w:styleId="Header">
    <w:name w:val="header"/>
    <w:basedOn w:val="Normal"/>
    <w:link w:val="HeaderChar"/>
    <w:uiPriority w:val="99"/>
    <w:semiHidden/>
    <w:rsid w:val="00AD50C8"/>
    <w:pPr>
      <w:tabs>
        <w:tab w:val="center" w:pos="4320"/>
        <w:tab w:val="right" w:pos="8640"/>
      </w:tabs>
    </w:pPr>
  </w:style>
  <w:style w:type="character" w:customStyle="1" w:styleId="HeaderChar">
    <w:name w:val="Header Char"/>
    <w:basedOn w:val="DefaultParagraphFont"/>
    <w:link w:val="Header"/>
    <w:uiPriority w:val="99"/>
    <w:semiHidden/>
    <w:locked/>
    <w:rsid w:val="0062727F"/>
    <w:rPr>
      <w:rFonts w:ascii="Courier 10cpi" w:eastAsia="PMingLiU" w:hAnsi="Courier 10cpi" w:cs="Times New Roman"/>
      <w:sz w:val="20"/>
      <w:szCs w:val="20"/>
    </w:rPr>
  </w:style>
  <w:style w:type="paragraph" w:customStyle="1" w:styleId="StyleLatinArialNarrow12ptItalicLeft-008">
    <w:name w:val="Style (Latin) Arial Narrow 12 pt Italic Left:  -0.08&quot;"/>
    <w:basedOn w:val="Normal"/>
    <w:uiPriority w:val="99"/>
    <w:rsid w:val="00AD50C8"/>
    <w:pPr>
      <w:shd w:val="clear" w:color="auto" w:fill="FFFFFF"/>
      <w:ind w:left="-108"/>
    </w:pPr>
    <w:rPr>
      <w:rFonts w:ascii="Arial Narrow" w:eastAsia="MS Mincho" w:hAnsi="Arial Narrow"/>
      <w:i/>
      <w:iCs/>
      <w:sz w:val="24"/>
    </w:rPr>
  </w:style>
  <w:style w:type="paragraph" w:customStyle="1" w:styleId="default0">
    <w:name w:val="default"/>
    <w:basedOn w:val="Normal"/>
    <w:uiPriority w:val="99"/>
    <w:rsid w:val="00AD50C8"/>
    <w:pPr>
      <w:autoSpaceDE/>
      <w:autoSpaceDN/>
      <w:adjustRightInd/>
      <w:spacing w:before="100" w:beforeAutospacing="1" w:after="100" w:afterAutospacing="1"/>
    </w:pPr>
    <w:rPr>
      <w:rFonts w:ascii="Times New Roman" w:eastAsia="MS Mincho" w:hAnsi="Times New Roman"/>
      <w:sz w:val="24"/>
      <w:szCs w:val="24"/>
    </w:rPr>
  </w:style>
  <w:style w:type="character" w:customStyle="1" w:styleId="CharChar3">
    <w:name w:val="Char Char3"/>
    <w:basedOn w:val="DefaultParagraphFont"/>
    <w:uiPriority w:val="99"/>
    <w:semiHidden/>
    <w:rsid w:val="00255151"/>
    <w:rPr>
      <w:rFonts w:ascii="Courier 10cpi" w:eastAsia="PMingLiU" w:hAnsi="Courier 10cpi" w:cs="Times New Roman"/>
      <w:sz w:val="20"/>
      <w:szCs w:val="20"/>
    </w:rPr>
  </w:style>
  <w:style w:type="character" w:customStyle="1" w:styleId="ManpreetMattu">
    <w:name w:val="Manpreet Mattu"/>
    <w:basedOn w:val="DefaultParagraphFont"/>
    <w:uiPriority w:val="99"/>
    <w:semiHidden/>
    <w:rsid w:val="00255151"/>
    <w:rPr>
      <w:rFonts w:ascii="Arial Narrow" w:hAnsi="Arial Narrow" w:cs="Times New Roman"/>
      <w:color w:val="000080"/>
      <w:sz w:val="24"/>
      <w:szCs w:val="24"/>
      <w:u w:val="none"/>
    </w:rPr>
  </w:style>
  <w:style w:type="paragraph" w:styleId="Revision">
    <w:name w:val="Revision"/>
    <w:hidden/>
    <w:uiPriority w:val="99"/>
    <w:semiHidden/>
    <w:rsid w:val="003B485C"/>
    <w:rPr>
      <w:rFonts w:ascii="Courier 10cpi" w:eastAsia="PMingLiU" w:hAnsi="Courier 10cpi"/>
      <w:sz w:val="20"/>
      <w:szCs w:val="20"/>
    </w:rPr>
  </w:style>
  <w:style w:type="paragraph" w:customStyle="1" w:styleId="CM6">
    <w:name w:val="CM6"/>
    <w:basedOn w:val="Default"/>
    <w:next w:val="Default"/>
    <w:uiPriority w:val="99"/>
    <w:rsid w:val="008A5B65"/>
    <w:pPr>
      <w:spacing w:line="193" w:lineRule="atLeast"/>
    </w:pPr>
    <w:rPr>
      <w:rFonts w:ascii="HHLIH M+ Melior" w:hAnsi="HHLIH M+ Melior" w:cs="Times New Roman"/>
      <w:color w:val="auto"/>
    </w:rPr>
  </w:style>
  <w:style w:type="character" w:customStyle="1" w:styleId="CharChar6">
    <w:name w:val="Char Char6"/>
    <w:basedOn w:val="DefaultParagraphFont"/>
    <w:uiPriority w:val="99"/>
    <w:rsid w:val="002715E9"/>
    <w:rPr>
      <w:rFonts w:ascii="Arial" w:hAnsi="Arial" w:cs="Arial"/>
      <w:b/>
      <w:bCs/>
      <w:kern w:val="36"/>
      <w:sz w:val="28"/>
      <w:szCs w:val="28"/>
      <w:lang w:val="en-US" w:eastAsia="en-US" w:bidi="ar-SA"/>
    </w:rPr>
  </w:style>
  <w:style w:type="paragraph" w:customStyle="1" w:styleId="AutoNumbered">
    <w:name w:val="AutoNumbered"/>
    <w:basedOn w:val="Normal"/>
    <w:link w:val="AutoNumberedChar"/>
    <w:uiPriority w:val="99"/>
    <w:rsid w:val="0093174B"/>
    <w:pPr>
      <w:numPr>
        <w:numId w:val="27"/>
      </w:numPr>
      <w:tabs>
        <w:tab w:val="left" w:pos="1440"/>
      </w:tabs>
      <w:autoSpaceDE/>
      <w:autoSpaceDN/>
      <w:adjustRightInd/>
      <w:spacing w:after="240"/>
    </w:pPr>
    <w:rPr>
      <w:rFonts w:ascii="Arial" w:eastAsia="MS Mincho" w:hAnsi="Arial" w:cs="Arial"/>
      <w:sz w:val="24"/>
      <w:szCs w:val="24"/>
    </w:rPr>
  </w:style>
  <w:style w:type="character" w:customStyle="1" w:styleId="AutoNumberedChar">
    <w:name w:val="AutoNumbered Char"/>
    <w:basedOn w:val="DefaultParagraphFont"/>
    <w:link w:val="AutoNumbered"/>
    <w:uiPriority w:val="99"/>
    <w:locked/>
    <w:rsid w:val="0093174B"/>
    <w:rPr>
      <w:rFonts w:ascii="Arial" w:hAnsi="Arial" w:cs="Arial"/>
      <w:sz w:val="24"/>
      <w:szCs w:val="24"/>
    </w:rPr>
  </w:style>
  <w:style w:type="table" w:styleId="TableGrid">
    <w:name w:val="Table Grid"/>
    <w:basedOn w:val="TableNormal"/>
    <w:uiPriority w:val="59"/>
    <w:rsid w:val="00BD58FC"/>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10C"/>
    <w:pPr>
      <w:ind w:left="720"/>
      <w:contextualSpacing/>
    </w:pPr>
  </w:style>
  <w:style w:type="paragraph" w:customStyle="1" w:styleId="Style3">
    <w:name w:val="Style3"/>
    <w:basedOn w:val="Normal"/>
    <w:link w:val="Style3Char"/>
    <w:uiPriority w:val="99"/>
    <w:rsid w:val="00A917B4"/>
    <w:pPr>
      <w:tabs>
        <w:tab w:val="left" w:pos="720"/>
      </w:tabs>
      <w:autoSpaceDE/>
      <w:autoSpaceDN/>
      <w:adjustRightInd/>
      <w:ind w:left="1008" w:hanging="576"/>
      <w:outlineLvl w:val="1"/>
    </w:pPr>
    <w:rPr>
      <w:rFonts w:ascii="Arial" w:eastAsia="MS Mincho" w:hAnsi="Arial" w:cs="Arial"/>
      <w:sz w:val="24"/>
    </w:rPr>
  </w:style>
  <w:style w:type="character" w:customStyle="1" w:styleId="Style3Char">
    <w:name w:val="Style3 Char"/>
    <w:basedOn w:val="DefaultParagraphFont"/>
    <w:link w:val="Style3"/>
    <w:uiPriority w:val="99"/>
    <w:locked/>
    <w:rsid w:val="00A917B4"/>
    <w:rPr>
      <w:rFonts w:ascii="Arial" w:hAnsi="Arial" w:cs="Arial"/>
      <w:sz w:val="24"/>
    </w:rPr>
  </w:style>
  <w:style w:type="paragraph" w:customStyle="1" w:styleId="Style5">
    <w:name w:val="Style5"/>
    <w:basedOn w:val="Normal"/>
    <w:uiPriority w:val="99"/>
    <w:rsid w:val="009009F6"/>
    <w:pPr>
      <w:tabs>
        <w:tab w:val="left" w:pos="1440"/>
      </w:tabs>
      <w:autoSpaceDE/>
      <w:autoSpaceDN/>
      <w:adjustRightInd/>
      <w:ind w:left="1944" w:hanging="360"/>
    </w:pPr>
    <w:rPr>
      <w:rFonts w:ascii="Arial" w:eastAsia="MS Mincho" w:hAnsi="Arial" w:cs="Arial"/>
      <w:sz w:val="24"/>
    </w:rPr>
  </w:style>
  <w:style w:type="character" w:customStyle="1" w:styleId="CharChar4">
    <w:name w:val="Char Char4"/>
    <w:uiPriority w:val="99"/>
    <w:rsid w:val="00C02102"/>
    <w:rPr>
      <w:rFonts w:ascii="Courier 10cpi" w:eastAsia="PMingLiU" w:hAnsi="Courier 10cpi"/>
      <w:lang w:val="en-US" w:eastAsia="en-US"/>
    </w:rPr>
  </w:style>
  <w:style w:type="character" w:customStyle="1" w:styleId="CharChar61">
    <w:name w:val="Char Char61"/>
    <w:uiPriority w:val="99"/>
    <w:rsid w:val="00C02102"/>
    <w:rPr>
      <w:rFonts w:ascii="Arial" w:hAnsi="Arial"/>
      <w:b/>
      <w:kern w:val="36"/>
      <w:sz w:val="28"/>
      <w:lang w:val="en-US" w:eastAsia="en-US"/>
    </w:rPr>
  </w:style>
  <w:style w:type="paragraph" w:styleId="NormalWeb">
    <w:name w:val="Normal (Web)"/>
    <w:basedOn w:val="Normal"/>
    <w:uiPriority w:val="99"/>
    <w:rsid w:val="00AB5BE6"/>
    <w:pPr>
      <w:autoSpaceDE/>
      <w:autoSpaceDN/>
      <w:adjustRightInd/>
      <w:spacing w:before="100" w:beforeAutospacing="1" w:after="100" w:afterAutospacing="1"/>
    </w:pPr>
    <w:rPr>
      <w:rFonts w:ascii="Times New Roman" w:eastAsia="MS Mincho" w:hAnsi="Times New Roman"/>
      <w:sz w:val="24"/>
      <w:szCs w:val="24"/>
      <w:lang w:eastAsia="ja-JP"/>
    </w:rPr>
  </w:style>
  <w:style w:type="paragraph" w:customStyle="1" w:styleId="default00">
    <w:name w:val="default0"/>
    <w:basedOn w:val="Normal"/>
    <w:uiPriority w:val="99"/>
    <w:rsid w:val="00AB5BE6"/>
    <w:pPr>
      <w:adjustRightInd/>
    </w:pPr>
    <w:rPr>
      <w:rFonts w:ascii="Arial" w:eastAsia="MS Mincho" w:hAnsi="Arial" w:cs="Arial"/>
      <w:color w:val="000000"/>
      <w:sz w:val="24"/>
      <w:szCs w:val="24"/>
      <w:lang w:eastAsia="ja-JP"/>
    </w:rPr>
  </w:style>
  <w:style w:type="character" w:customStyle="1" w:styleId="updatebodytest">
    <w:name w:val="updatebodytest"/>
    <w:basedOn w:val="DefaultParagraphFont"/>
    <w:uiPriority w:val="99"/>
    <w:rsid w:val="00941258"/>
    <w:rPr>
      <w:rFonts w:ascii="Times New Roman" w:hAnsi="Times New Roman" w:cs="Times New Roman"/>
    </w:rPr>
  </w:style>
  <w:style w:type="character" w:styleId="Strong">
    <w:name w:val="Strong"/>
    <w:basedOn w:val="DefaultParagraphFont"/>
    <w:uiPriority w:val="22"/>
    <w:qFormat/>
    <w:locked/>
    <w:rsid w:val="00D71117"/>
    <w:rPr>
      <w:b/>
      <w:bCs/>
    </w:rPr>
  </w:style>
  <w:style w:type="paragraph" w:customStyle="1" w:styleId="autonumbered0">
    <w:name w:val="autonumbered0"/>
    <w:basedOn w:val="Normal"/>
    <w:rsid w:val="005E29A9"/>
    <w:pPr>
      <w:autoSpaceDE/>
      <w:autoSpaceDN/>
      <w:adjustRightInd/>
      <w:spacing w:before="100" w:beforeAutospacing="1" w:after="100" w:afterAutospacing="1"/>
    </w:pPr>
    <w:rPr>
      <w:rFonts w:ascii="Times New Roman" w:eastAsia="Times New Roman" w:hAnsi="Times New Roman"/>
      <w:sz w:val="24"/>
      <w:szCs w:val="24"/>
    </w:rPr>
  </w:style>
  <w:style w:type="paragraph" w:customStyle="1" w:styleId="BodyText">
    <w:name w:val="BodyText"/>
    <w:basedOn w:val="Normal"/>
    <w:link w:val="BodyTextChar"/>
    <w:qFormat/>
    <w:rsid w:val="00AA0B79"/>
    <w:pPr>
      <w:autoSpaceDE/>
      <w:autoSpaceDN/>
      <w:adjustRightInd/>
      <w:spacing w:after="120"/>
    </w:pPr>
    <w:rPr>
      <w:rFonts w:ascii="Arial" w:eastAsia="Calibri" w:hAnsi="Arial" w:cs="Arial"/>
      <w:sz w:val="22"/>
      <w:szCs w:val="22"/>
    </w:rPr>
  </w:style>
  <w:style w:type="character" w:customStyle="1" w:styleId="BodyTextChar">
    <w:name w:val="BodyText Char"/>
    <w:basedOn w:val="DefaultParagraphFont"/>
    <w:link w:val="BodyText"/>
    <w:rsid w:val="00AA0B79"/>
    <w:rPr>
      <w:rFonts w:ascii="Arial" w:eastAsia="Calibri" w:hAnsi="Arial" w:cs="Arial"/>
    </w:rPr>
  </w:style>
  <w:style w:type="paragraph" w:styleId="PlainText">
    <w:name w:val="Plain Text"/>
    <w:basedOn w:val="Normal"/>
    <w:link w:val="PlainTextChar"/>
    <w:uiPriority w:val="99"/>
    <w:unhideWhenUsed/>
    <w:rsid w:val="00B42811"/>
    <w:rPr>
      <w:rFonts w:ascii="Consolas" w:hAnsi="Consolas" w:cs="Consolas"/>
      <w:sz w:val="21"/>
      <w:szCs w:val="21"/>
    </w:rPr>
  </w:style>
  <w:style w:type="character" w:customStyle="1" w:styleId="PlainTextChar">
    <w:name w:val="Plain Text Char"/>
    <w:basedOn w:val="DefaultParagraphFont"/>
    <w:link w:val="PlainText"/>
    <w:uiPriority w:val="99"/>
    <w:rsid w:val="00B42811"/>
    <w:rPr>
      <w:rFonts w:ascii="Consolas" w:eastAsia="PMingLiU" w:hAnsi="Consolas" w:cs="Consolas"/>
      <w:sz w:val="21"/>
      <w:szCs w:val="21"/>
    </w:rPr>
  </w:style>
  <w:style w:type="character" w:styleId="PlaceholderText">
    <w:name w:val="Placeholder Text"/>
    <w:basedOn w:val="DefaultParagraphFont"/>
    <w:uiPriority w:val="99"/>
    <w:semiHidden/>
    <w:rsid w:val="00C3084B"/>
    <w:rPr>
      <w:color w:val="808080"/>
    </w:rPr>
  </w:style>
  <w:style w:type="paragraph" w:styleId="EndnoteText">
    <w:name w:val="endnote text"/>
    <w:basedOn w:val="Normal"/>
    <w:link w:val="EndnoteTextChar"/>
    <w:uiPriority w:val="99"/>
    <w:semiHidden/>
    <w:unhideWhenUsed/>
    <w:rsid w:val="00C3084B"/>
  </w:style>
  <w:style w:type="character" w:customStyle="1" w:styleId="EndnoteTextChar">
    <w:name w:val="Endnote Text Char"/>
    <w:basedOn w:val="DefaultParagraphFont"/>
    <w:link w:val="EndnoteText"/>
    <w:uiPriority w:val="99"/>
    <w:semiHidden/>
    <w:rsid w:val="00C3084B"/>
    <w:rPr>
      <w:rFonts w:ascii="Courier 10cpi" w:eastAsia="PMingLiU" w:hAnsi="Courier 10cpi"/>
      <w:sz w:val="20"/>
      <w:szCs w:val="20"/>
    </w:rPr>
  </w:style>
  <w:style w:type="character" w:styleId="EndnoteReference">
    <w:name w:val="endnote reference"/>
    <w:basedOn w:val="DefaultParagraphFont"/>
    <w:uiPriority w:val="99"/>
    <w:semiHidden/>
    <w:unhideWhenUsed/>
    <w:rsid w:val="00C3084B"/>
    <w:rPr>
      <w:vertAlign w:val="superscript"/>
    </w:rPr>
  </w:style>
  <w:style w:type="paragraph" w:styleId="TOCHeading">
    <w:name w:val="TOC Heading"/>
    <w:basedOn w:val="Heading1"/>
    <w:next w:val="Normal"/>
    <w:uiPriority w:val="39"/>
    <w:unhideWhenUsed/>
    <w:qFormat/>
    <w:rsid w:val="00EF4894"/>
    <w:pPr>
      <w:keepLines/>
      <w:autoSpaceDE/>
      <w:autoSpaceDN/>
      <w:adjustRightInd/>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C8"/>
    <w:pPr>
      <w:autoSpaceDE w:val="0"/>
      <w:autoSpaceDN w:val="0"/>
      <w:adjustRightInd w:val="0"/>
    </w:pPr>
    <w:rPr>
      <w:rFonts w:ascii="Courier 10cpi" w:eastAsia="PMingLiU" w:hAnsi="Courier 10cpi"/>
      <w:sz w:val="20"/>
      <w:szCs w:val="20"/>
    </w:rPr>
  </w:style>
  <w:style w:type="paragraph" w:styleId="Heading1">
    <w:name w:val="heading 1"/>
    <w:basedOn w:val="Normal"/>
    <w:next w:val="Index1"/>
    <w:link w:val="Heading1Char1"/>
    <w:autoRedefine/>
    <w:uiPriority w:val="99"/>
    <w:qFormat/>
    <w:rsid w:val="00CC193F"/>
    <w:pPr>
      <w:keepNext/>
      <w:spacing w:before="100" w:beforeAutospacing="1" w:after="100" w:afterAutospacing="1" w:line="360" w:lineRule="auto"/>
      <w:outlineLvl w:val="0"/>
    </w:pPr>
    <w:rPr>
      <w:rFonts w:ascii="Arial" w:eastAsia="MS Mincho" w:hAnsi="Arial" w:cs="Arial"/>
      <w:b/>
      <w:bCs/>
      <w:kern w:val="36"/>
      <w:sz w:val="24"/>
      <w:szCs w:val="24"/>
    </w:rPr>
  </w:style>
  <w:style w:type="paragraph" w:styleId="Heading2">
    <w:name w:val="heading 2"/>
    <w:basedOn w:val="Normal"/>
    <w:next w:val="Normal"/>
    <w:link w:val="Heading2Char1"/>
    <w:qFormat/>
    <w:rsid w:val="00D874FD"/>
    <w:pPr>
      <w:keepNext/>
      <w:spacing w:before="240" w:after="60" w:line="36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AD50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AD50C8"/>
    <w:rPr>
      <w:rFonts w:ascii="Arial" w:hAnsi="Arial" w:cs="Arial"/>
      <w:b/>
      <w:bCs/>
      <w:kern w:val="36"/>
      <w:sz w:val="24"/>
      <w:szCs w:val="24"/>
      <w:lang w:val="en-US" w:eastAsia="en-US" w:bidi="ar-SA"/>
    </w:rPr>
  </w:style>
  <w:style w:type="character" w:customStyle="1" w:styleId="Heading2Char">
    <w:name w:val="Heading 2 Char"/>
    <w:basedOn w:val="DefaultParagraphFont"/>
    <w:uiPriority w:val="99"/>
    <w:locked/>
    <w:rsid w:val="00AD50C8"/>
    <w:rPr>
      <w:rFonts w:ascii="Arial" w:eastAsia="PMingLiU"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62727F"/>
    <w:rPr>
      <w:rFonts w:ascii="Cambria" w:hAnsi="Cambria" w:cs="Times New Roman"/>
      <w:b/>
      <w:bCs/>
      <w:sz w:val="26"/>
      <w:szCs w:val="26"/>
    </w:rPr>
  </w:style>
  <w:style w:type="paragraph" w:styleId="Index1">
    <w:name w:val="index 1"/>
    <w:basedOn w:val="Normal"/>
    <w:next w:val="Normal"/>
    <w:autoRedefine/>
    <w:uiPriority w:val="99"/>
    <w:semiHidden/>
    <w:rsid w:val="00AD50C8"/>
    <w:pPr>
      <w:ind w:left="240" w:hanging="240"/>
    </w:pPr>
  </w:style>
  <w:style w:type="character" w:customStyle="1" w:styleId="Heading1Char1">
    <w:name w:val="Heading 1 Char1"/>
    <w:basedOn w:val="DefaultParagraphFont"/>
    <w:link w:val="Heading1"/>
    <w:uiPriority w:val="99"/>
    <w:locked/>
    <w:rsid w:val="00CC193F"/>
    <w:rPr>
      <w:rFonts w:ascii="Arial" w:hAnsi="Arial" w:cs="Arial"/>
      <w:b/>
      <w:bCs/>
      <w:kern w:val="36"/>
      <w:sz w:val="24"/>
      <w:szCs w:val="24"/>
    </w:rPr>
  </w:style>
  <w:style w:type="character" w:customStyle="1" w:styleId="Heading2Char1">
    <w:name w:val="Heading 2 Char1"/>
    <w:basedOn w:val="DefaultParagraphFont"/>
    <w:link w:val="Heading2"/>
    <w:locked/>
    <w:rsid w:val="00D874FD"/>
    <w:rPr>
      <w:rFonts w:ascii="Arial" w:eastAsia="PMingLiU" w:hAnsi="Arial" w:cs="Arial"/>
      <w:b/>
      <w:bCs/>
      <w:iCs/>
      <w:sz w:val="24"/>
      <w:szCs w:val="28"/>
    </w:rPr>
  </w:style>
  <w:style w:type="paragraph" w:styleId="BodyTextIndent">
    <w:name w:val="Body Text Indent"/>
    <w:basedOn w:val="Normal"/>
    <w:link w:val="BodyTextIndentChar"/>
    <w:uiPriority w:val="99"/>
    <w:semiHidden/>
    <w:rsid w:val="00AD50C8"/>
    <w:pPr>
      <w:keepNext/>
      <w:spacing w:line="360" w:lineRule="auto"/>
      <w:ind w:left="1440"/>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62727F"/>
    <w:rPr>
      <w:rFonts w:ascii="Courier 10cpi" w:eastAsia="PMingLiU" w:hAnsi="Courier 10cpi" w:cs="Times New Roman"/>
      <w:sz w:val="20"/>
      <w:szCs w:val="20"/>
    </w:rPr>
  </w:style>
  <w:style w:type="paragraph" w:styleId="BodyTextIndent2">
    <w:name w:val="Body Text Indent 2"/>
    <w:basedOn w:val="Normal"/>
    <w:link w:val="BodyTextIndent2Char"/>
    <w:uiPriority w:val="99"/>
    <w:semiHidden/>
    <w:rsid w:val="00AD50C8"/>
    <w:pPr>
      <w:ind w:left="-108"/>
    </w:pPr>
    <w:rPr>
      <w:rFonts w:ascii="Arial Narrow" w:hAnsi="Arial Narrow"/>
      <w:sz w:val="24"/>
      <w:szCs w:val="24"/>
    </w:rPr>
  </w:style>
  <w:style w:type="character" w:customStyle="1" w:styleId="BodyTextIndent2Char">
    <w:name w:val="Body Text Indent 2 Char"/>
    <w:basedOn w:val="DefaultParagraphFont"/>
    <w:link w:val="BodyTextIndent2"/>
    <w:uiPriority w:val="99"/>
    <w:semiHidden/>
    <w:locked/>
    <w:rsid w:val="0062727F"/>
    <w:rPr>
      <w:rFonts w:ascii="Courier 10cpi" w:eastAsia="PMingLiU" w:hAnsi="Courier 10cpi" w:cs="Times New Roman"/>
      <w:sz w:val="20"/>
      <w:szCs w:val="20"/>
    </w:rPr>
  </w:style>
  <w:style w:type="paragraph" w:styleId="TOC1">
    <w:name w:val="toc 1"/>
    <w:basedOn w:val="Normal"/>
    <w:next w:val="Normal"/>
    <w:autoRedefine/>
    <w:uiPriority w:val="39"/>
    <w:rsid w:val="002B34EC"/>
    <w:pPr>
      <w:tabs>
        <w:tab w:val="right" w:leader="dot" w:pos="8630"/>
      </w:tabs>
      <w:spacing w:before="120" w:after="120"/>
    </w:pPr>
    <w:rPr>
      <w:rFonts w:ascii="Arial" w:hAnsi="Arial" w:cs="Arial"/>
      <w:b/>
      <w:bCs/>
      <w:caps/>
      <w:noProof/>
      <w:sz w:val="24"/>
      <w:szCs w:val="24"/>
    </w:rPr>
  </w:style>
  <w:style w:type="character" w:styleId="Hyperlink">
    <w:name w:val="Hyperlink"/>
    <w:basedOn w:val="DefaultParagraphFont"/>
    <w:uiPriority w:val="99"/>
    <w:rsid w:val="00AD50C8"/>
    <w:rPr>
      <w:rFonts w:cs="Times New Roman"/>
      <w:color w:val="0000FF"/>
      <w:u w:val="single"/>
    </w:rPr>
  </w:style>
  <w:style w:type="paragraph" w:styleId="TOC2">
    <w:name w:val="toc 2"/>
    <w:basedOn w:val="Normal"/>
    <w:next w:val="Normal"/>
    <w:autoRedefine/>
    <w:uiPriority w:val="39"/>
    <w:rsid w:val="00786067"/>
    <w:pPr>
      <w:tabs>
        <w:tab w:val="right" w:leader="dot" w:pos="8630"/>
      </w:tabs>
      <w:ind w:left="200" w:hanging="200"/>
    </w:pPr>
    <w:rPr>
      <w:rFonts w:ascii="Arial" w:hAnsi="Arial" w:cs="Arial"/>
      <w:bCs/>
      <w:iCs/>
      <w:smallCaps/>
      <w:noProof/>
    </w:rPr>
  </w:style>
  <w:style w:type="character" w:styleId="CommentReference">
    <w:name w:val="annotation reference"/>
    <w:basedOn w:val="DefaultParagraphFont"/>
    <w:uiPriority w:val="99"/>
    <w:semiHidden/>
    <w:rsid w:val="00AD50C8"/>
    <w:rPr>
      <w:rFonts w:cs="Times New Roman"/>
      <w:sz w:val="16"/>
      <w:szCs w:val="16"/>
    </w:rPr>
  </w:style>
  <w:style w:type="paragraph" w:styleId="CommentText">
    <w:name w:val="annotation text"/>
    <w:basedOn w:val="Normal"/>
    <w:link w:val="CommentTextChar1"/>
    <w:uiPriority w:val="99"/>
    <w:rsid w:val="00AD50C8"/>
  </w:style>
  <w:style w:type="character" w:customStyle="1" w:styleId="CommentTextChar">
    <w:name w:val="Comment Text Char"/>
    <w:basedOn w:val="DefaultParagraphFont"/>
    <w:uiPriority w:val="99"/>
    <w:locked/>
    <w:rsid w:val="002F688C"/>
    <w:rPr>
      <w:rFonts w:ascii="Courier 10cpi" w:eastAsia="PMingLiU" w:hAnsi="Courier 10cpi" w:cs="Times New Roman"/>
      <w:sz w:val="20"/>
      <w:szCs w:val="20"/>
    </w:rPr>
  </w:style>
  <w:style w:type="character" w:customStyle="1" w:styleId="CommentTextChar1">
    <w:name w:val="Comment Text Char1"/>
    <w:basedOn w:val="DefaultParagraphFont"/>
    <w:link w:val="CommentText"/>
    <w:uiPriority w:val="99"/>
    <w:locked/>
    <w:rsid w:val="00255151"/>
    <w:rPr>
      <w:rFonts w:ascii="Courier 10cpi" w:eastAsia="PMingLiU" w:hAnsi="Courier 10cpi" w:cs="Times New Roman"/>
      <w:lang w:val="en-US" w:eastAsia="en-US" w:bidi="ar-SA"/>
    </w:rPr>
  </w:style>
  <w:style w:type="paragraph" w:styleId="CommentSubject">
    <w:name w:val="annotation subject"/>
    <w:basedOn w:val="CommentText"/>
    <w:next w:val="CommentText"/>
    <w:link w:val="CommentSubjectChar"/>
    <w:uiPriority w:val="99"/>
    <w:semiHidden/>
    <w:rsid w:val="00AD50C8"/>
    <w:rPr>
      <w:b/>
      <w:bCs/>
    </w:rPr>
  </w:style>
  <w:style w:type="character" w:customStyle="1" w:styleId="CommentSubjectChar">
    <w:name w:val="Comment Subject Char"/>
    <w:basedOn w:val="CommentTextChar1"/>
    <w:link w:val="CommentSubject"/>
    <w:uiPriority w:val="99"/>
    <w:semiHidden/>
    <w:locked/>
    <w:rsid w:val="0062727F"/>
    <w:rPr>
      <w:rFonts w:ascii="Courier 10cpi" w:eastAsia="PMingLiU" w:hAnsi="Courier 10cpi" w:cs="Times New Roman"/>
      <w:b/>
      <w:bCs/>
      <w:sz w:val="20"/>
      <w:szCs w:val="20"/>
      <w:lang w:val="en-US" w:eastAsia="en-US" w:bidi="ar-SA"/>
    </w:rPr>
  </w:style>
  <w:style w:type="paragraph" w:styleId="BalloonText">
    <w:name w:val="Balloon Text"/>
    <w:basedOn w:val="Normal"/>
    <w:link w:val="BalloonTextChar"/>
    <w:uiPriority w:val="99"/>
    <w:semiHidden/>
    <w:rsid w:val="00AD5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27F"/>
    <w:rPr>
      <w:rFonts w:eastAsia="PMingLiU" w:cs="Times New Roman"/>
      <w:sz w:val="2"/>
    </w:rPr>
  </w:style>
  <w:style w:type="paragraph" w:styleId="Footer">
    <w:name w:val="footer"/>
    <w:basedOn w:val="Normal"/>
    <w:link w:val="FooterChar"/>
    <w:uiPriority w:val="99"/>
    <w:rsid w:val="00AD50C8"/>
    <w:pPr>
      <w:tabs>
        <w:tab w:val="center" w:pos="4320"/>
        <w:tab w:val="right" w:pos="8640"/>
      </w:tabs>
    </w:pPr>
  </w:style>
  <w:style w:type="character" w:customStyle="1" w:styleId="FooterChar">
    <w:name w:val="Footer Char"/>
    <w:basedOn w:val="DefaultParagraphFont"/>
    <w:link w:val="Footer"/>
    <w:uiPriority w:val="99"/>
    <w:locked/>
    <w:rsid w:val="0062727F"/>
    <w:rPr>
      <w:rFonts w:ascii="Courier 10cpi" w:eastAsia="PMingLiU" w:hAnsi="Courier 10cpi" w:cs="Times New Roman"/>
      <w:sz w:val="20"/>
      <w:szCs w:val="20"/>
    </w:rPr>
  </w:style>
  <w:style w:type="character" w:styleId="PageNumber">
    <w:name w:val="page number"/>
    <w:basedOn w:val="DefaultParagraphFont"/>
    <w:uiPriority w:val="99"/>
    <w:semiHidden/>
    <w:rsid w:val="00AD50C8"/>
    <w:rPr>
      <w:rFonts w:cs="Times New Roman"/>
    </w:rPr>
  </w:style>
  <w:style w:type="paragraph" w:styleId="TOC3">
    <w:name w:val="toc 3"/>
    <w:basedOn w:val="Normal"/>
    <w:next w:val="Normal"/>
    <w:autoRedefine/>
    <w:uiPriority w:val="39"/>
    <w:rsid w:val="00255151"/>
    <w:pPr>
      <w:tabs>
        <w:tab w:val="right" w:leader="dot" w:pos="8630"/>
      </w:tabs>
      <w:ind w:left="180"/>
    </w:pPr>
    <w:rPr>
      <w:rFonts w:ascii="Arial" w:hAnsi="Arial" w:cs="Arial"/>
      <w:i/>
      <w:iCs/>
      <w:noProof/>
    </w:rPr>
  </w:style>
  <w:style w:type="paragraph" w:styleId="TOC4">
    <w:name w:val="toc 4"/>
    <w:basedOn w:val="Normal"/>
    <w:next w:val="Normal"/>
    <w:autoRedefine/>
    <w:uiPriority w:val="39"/>
    <w:rsid w:val="00AD50C8"/>
    <w:pPr>
      <w:ind w:left="600"/>
    </w:pPr>
    <w:rPr>
      <w:rFonts w:ascii="Times New Roman" w:hAnsi="Times New Roman"/>
      <w:sz w:val="18"/>
      <w:szCs w:val="18"/>
    </w:rPr>
  </w:style>
  <w:style w:type="paragraph" w:styleId="TOC5">
    <w:name w:val="toc 5"/>
    <w:basedOn w:val="Normal"/>
    <w:next w:val="Normal"/>
    <w:autoRedefine/>
    <w:uiPriority w:val="39"/>
    <w:rsid w:val="00AD50C8"/>
    <w:pPr>
      <w:ind w:left="800"/>
    </w:pPr>
    <w:rPr>
      <w:rFonts w:ascii="Times New Roman" w:hAnsi="Times New Roman"/>
      <w:sz w:val="18"/>
      <w:szCs w:val="18"/>
    </w:rPr>
  </w:style>
  <w:style w:type="paragraph" w:styleId="TOC6">
    <w:name w:val="toc 6"/>
    <w:basedOn w:val="Normal"/>
    <w:next w:val="Normal"/>
    <w:autoRedefine/>
    <w:uiPriority w:val="39"/>
    <w:rsid w:val="00AD50C8"/>
    <w:pPr>
      <w:ind w:left="1000"/>
    </w:pPr>
    <w:rPr>
      <w:rFonts w:ascii="Times New Roman" w:hAnsi="Times New Roman"/>
      <w:sz w:val="18"/>
      <w:szCs w:val="18"/>
    </w:rPr>
  </w:style>
  <w:style w:type="paragraph" w:styleId="TOC7">
    <w:name w:val="toc 7"/>
    <w:basedOn w:val="Normal"/>
    <w:next w:val="Normal"/>
    <w:autoRedefine/>
    <w:uiPriority w:val="39"/>
    <w:rsid w:val="00AD50C8"/>
    <w:pPr>
      <w:ind w:left="1200"/>
    </w:pPr>
    <w:rPr>
      <w:rFonts w:ascii="Times New Roman" w:hAnsi="Times New Roman"/>
      <w:sz w:val="18"/>
      <w:szCs w:val="18"/>
    </w:rPr>
  </w:style>
  <w:style w:type="paragraph" w:styleId="TOC8">
    <w:name w:val="toc 8"/>
    <w:basedOn w:val="Normal"/>
    <w:next w:val="Normal"/>
    <w:autoRedefine/>
    <w:uiPriority w:val="39"/>
    <w:rsid w:val="00AD50C8"/>
    <w:pPr>
      <w:ind w:left="1400"/>
    </w:pPr>
    <w:rPr>
      <w:rFonts w:ascii="Times New Roman" w:hAnsi="Times New Roman"/>
      <w:sz w:val="18"/>
      <w:szCs w:val="18"/>
    </w:rPr>
  </w:style>
  <w:style w:type="paragraph" w:styleId="TOC9">
    <w:name w:val="toc 9"/>
    <w:basedOn w:val="Normal"/>
    <w:next w:val="Normal"/>
    <w:autoRedefine/>
    <w:uiPriority w:val="39"/>
    <w:rsid w:val="00AD50C8"/>
    <w:pPr>
      <w:ind w:left="1600"/>
    </w:pPr>
    <w:rPr>
      <w:rFonts w:ascii="Times New Roman" w:hAnsi="Times New Roman"/>
      <w:sz w:val="18"/>
      <w:szCs w:val="18"/>
    </w:rPr>
  </w:style>
  <w:style w:type="character" w:styleId="FollowedHyperlink">
    <w:name w:val="FollowedHyperlink"/>
    <w:basedOn w:val="DefaultParagraphFont"/>
    <w:uiPriority w:val="99"/>
    <w:rsid w:val="00255151"/>
    <w:rPr>
      <w:rFonts w:cs="Times New Roman"/>
      <w:color w:val="800080"/>
      <w:u w:val="single"/>
    </w:rPr>
  </w:style>
  <w:style w:type="paragraph" w:customStyle="1" w:styleId="Style1">
    <w:name w:val="Style1"/>
    <w:basedOn w:val="Normal"/>
    <w:uiPriority w:val="99"/>
    <w:rsid w:val="00AD50C8"/>
    <w:pPr>
      <w:tabs>
        <w:tab w:val="num" w:pos="1440"/>
      </w:tabs>
      <w:autoSpaceDE/>
      <w:autoSpaceDN/>
      <w:adjustRightInd/>
      <w:ind w:left="1440" w:hanging="1440"/>
    </w:pPr>
    <w:rPr>
      <w:rFonts w:ascii="Arial" w:hAnsi="Arial" w:cs="Arial"/>
      <w:sz w:val="24"/>
      <w:szCs w:val="24"/>
    </w:rPr>
  </w:style>
  <w:style w:type="character" w:customStyle="1" w:styleId="CharChar2">
    <w:name w:val="Char Char2"/>
    <w:basedOn w:val="DefaultParagraphFont"/>
    <w:uiPriority w:val="99"/>
    <w:semiHidden/>
    <w:locked/>
    <w:rsid w:val="00AD50C8"/>
    <w:rPr>
      <w:rFonts w:ascii="Courier 10cpi" w:eastAsia="PMingLiU" w:hAnsi="Courier 10cpi" w:cs="Times New Roman"/>
      <w:lang w:val="en-US" w:eastAsia="en-US" w:bidi="ar-SA"/>
    </w:rPr>
  </w:style>
  <w:style w:type="paragraph" w:customStyle="1" w:styleId="Default">
    <w:name w:val="Default"/>
    <w:rsid w:val="00AD50C8"/>
    <w:pPr>
      <w:autoSpaceDE w:val="0"/>
      <w:autoSpaceDN w:val="0"/>
      <w:adjustRightInd w:val="0"/>
    </w:pPr>
    <w:rPr>
      <w:rFonts w:ascii="Arial" w:hAnsi="Arial" w:cs="Arial"/>
      <w:color w:val="000000"/>
      <w:sz w:val="24"/>
      <w:szCs w:val="24"/>
      <w:lang w:eastAsia="ja-JP"/>
    </w:rPr>
  </w:style>
  <w:style w:type="paragraph" w:styleId="FootnoteText">
    <w:name w:val="footnote text"/>
    <w:basedOn w:val="Normal"/>
    <w:link w:val="FootnoteTextChar"/>
    <w:uiPriority w:val="99"/>
    <w:semiHidden/>
    <w:rsid w:val="00AD50C8"/>
  </w:style>
  <w:style w:type="character" w:customStyle="1" w:styleId="FootnoteTextChar">
    <w:name w:val="Footnote Text Char"/>
    <w:basedOn w:val="DefaultParagraphFont"/>
    <w:link w:val="FootnoteText"/>
    <w:uiPriority w:val="99"/>
    <w:semiHidden/>
    <w:locked/>
    <w:rsid w:val="0062727F"/>
    <w:rPr>
      <w:rFonts w:ascii="Courier 10cpi" w:eastAsia="PMingLiU" w:hAnsi="Courier 10cpi" w:cs="Times New Roman"/>
      <w:sz w:val="20"/>
      <w:szCs w:val="20"/>
    </w:rPr>
  </w:style>
  <w:style w:type="character" w:styleId="FootnoteReference">
    <w:name w:val="footnote reference"/>
    <w:basedOn w:val="DefaultParagraphFont"/>
    <w:uiPriority w:val="99"/>
    <w:semiHidden/>
    <w:rsid w:val="00AD50C8"/>
    <w:rPr>
      <w:rFonts w:cs="Times New Roman"/>
      <w:vertAlign w:val="superscript"/>
    </w:rPr>
  </w:style>
  <w:style w:type="character" w:customStyle="1" w:styleId="CharChar">
    <w:name w:val="Char Char"/>
    <w:basedOn w:val="DefaultParagraphFont"/>
    <w:uiPriority w:val="99"/>
    <w:rsid w:val="00AD50C8"/>
    <w:rPr>
      <w:rFonts w:ascii="Courier 10cpi" w:eastAsia="PMingLiU" w:hAnsi="Courier 10cpi" w:cs="Times New Roman"/>
      <w:lang w:val="en-US" w:eastAsia="en-US" w:bidi="ar-SA"/>
    </w:rPr>
  </w:style>
  <w:style w:type="character" w:customStyle="1" w:styleId="CharChar1">
    <w:name w:val="Char Char1"/>
    <w:basedOn w:val="DefaultParagraphFont"/>
    <w:uiPriority w:val="99"/>
    <w:semiHidden/>
    <w:locked/>
    <w:rsid w:val="00AD50C8"/>
    <w:rPr>
      <w:rFonts w:ascii="Courier 10cpi" w:eastAsia="PMingLiU" w:hAnsi="Courier 10cpi" w:cs="Times New Roman"/>
      <w:lang w:val="en-US" w:eastAsia="en-US" w:bidi="ar-SA"/>
    </w:rPr>
  </w:style>
  <w:style w:type="character" w:styleId="Emphasis">
    <w:name w:val="Emphasis"/>
    <w:basedOn w:val="DefaultParagraphFont"/>
    <w:uiPriority w:val="99"/>
    <w:qFormat/>
    <w:rsid w:val="00AD50C8"/>
    <w:rPr>
      <w:rFonts w:cs="Times New Roman"/>
      <w:i/>
      <w:iCs/>
    </w:rPr>
  </w:style>
  <w:style w:type="paragraph" w:styleId="Header">
    <w:name w:val="header"/>
    <w:basedOn w:val="Normal"/>
    <w:link w:val="HeaderChar"/>
    <w:uiPriority w:val="99"/>
    <w:semiHidden/>
    <w:rsid w:val="00AD50C8"/>
    <w:pPr>
      <w:tabs>
        <w:tab w:val="center" w:pos="4320"/>
        <w:tab w:val="right" w:pos="8640"/>
      </w:tabs>
    </w:pPr>
  </w:style>
  <w:style w:type="character" w:customStyle="1" w:styleId="HeaderChar">
    <w:name w:val="Header Char"/>
    <w:basedOn w:val="DefaultParagraphFont"/>
    <w:link w:val="Header"/>
    <w:uiPriority w:val="99"/>
    <w:semiHidden/>
    <w:locked/>
    <w:rsid w:val="0062727F"/>
    <w:rPr>
      <w:rFonts w:ascii="Courier 10cpi" w:eastAsia="PMingLiU" w:hAnsi="Courier 10cpi" w:cs="Times New Roman"/>
      <w:sz w:val="20"/>
      <w:szCs w:val="20"/>
    </w:rPr>
  </w:style>
  <w:style w:type="paragraph" w:customStyle="1" w:styleId="StyleLatinArialNarrow12ptItalicLeft-008">
    <w:name w:val="Style (Latin) Arial Narrow 12 pt Italic Left:  -0.08&quot;"/>
    <w:basedOn w:val="Normal"/>
    <w:uiPriority w:val="99"/>
    <w:rsid w:val="00AD50C8"/>
    <w:pPr>
      <w:shd w:val="clear" w:color="auto" w:fill="FFFFFF"/>
      <w:ind w:left="-108"/>
    </w:pPr>
    <w:rPr>
      <w:rFonts w:ascii="Arial Narrow" w:eastAsia="MS Mincho" w:hAnsi="Arial Narrow"/>
      <w:i/>
      <w:iCs/>
      <w:sz w:val="24"/>
    </w:rPr>
  </w:style>
  <w:style w:type="paragraph" w:customStyle="1" w:styleId="default0">
    <w:name w:val="default"/>
    <w:basedOn w:val="Normal"/>
    <w:uiPriority w:val="99"/>
    <w:rsid w:val="00AD50C8"/>
    <w:pPr>
      <w:autoSpaceDE/>
      <w:autoSpaceDN/>
      <w:adjustRightInd/>
      <w:spacing w:before="100" w:beforeAutospacing="1" w:after="100" w:afterAutospacing="1"/>
    </w:pPr>
    <w:rPr>
      <w:rFonts w:ascii="Times New Roman" w:eastAsia="MS Mincho" w:hAnsi="Times New Roman"/>
      <w:sz w:val="24"/>
      <w:szCs w:val="24"/>
    </w:rPr>
  </w:style>
  <w:style w:type="character" w:customStyle="1" w:styleId="CharChar3">
    <w:name w:val="Char Char3"/>
    <w:basedOn w:val="DefaultParagraphFont"/>
    <w:uiPriority w:val="99"/>
    <w:semiHidden/>
    <w:rsid w:val="00255151"/>
    <w:rPr>
      <w:rFonts w:ascii="Courier 10cpi" w:eastAsia="PMingLiU" w:hAnsi="Courier 10cpi" w:cs="Times New Roman"/>
      <w:sz w:val="20"/>
      <w:szCs w:val="20"/>
    </w:rPr>
  </w:style>
  <w:style w:type="character" w:customStyle="1" w:styleId="ManpreetMattu">
    <w:name w:val="Manpreet Mattu"/>
    <w:basedOn w:val="DefaultParagraphFont"/>
    <w:uiPriority w:val="99"/>
    <w:semiHidden/>
    <w:rsid w:val="00255151"/>
    <w:rPr>
      <w:rFonts w:ascii="Arial Narrow" w:hAnsi="Arial Narrow" w:cs="Times New Roman"/>
      <w:color w:val="000080"/>
      <w:sz w:val="24"/>
      <w:szCs w:val="24"/>
      <w:u w:val="none"/>
    </w:rPr>
  </w:style>
  <w:style w:type="paragraph" w:styleId="Revision">
    <w:name w:val="Revision"/>
    <w:hidden/>
    <w:uiPriority w:val="99"/>
    <w:semiHidden/>
    <w:rsid w:val="003B485C"/>
    <w:rPr>
      <w:rFonts w:ascii="Courier 10cpi" w:eastAsia="PMingLiU" w:hAnsi="Courier 10cpi"/>
      <w:sz w:val="20"/>
      <w:szCs w:val="20"/>
    </w:rPr>
  </w:style>
  <w:style w:type="paragraph" w:customStyle="1" w:styleId="CM6">
    <w:name w:val="CM6"/>
    <w:basedOn w:val="Default"/>
    <w:next w:val="Default"/>
    <w:uiPriority w:val="99"/>
    <w:rsid w:val="008A5B65"/>
    <w:pPr>
      <w:spacing w:line="193" w:lineRule="atLeast"/>
    </w:pPr>
    <w:rPr>
      <w:rFonts w:ascii="HHLIH M+ Melior" w:hAnsi="HHLIH M+ Melior" w:cs="Times New Roman"/>
      <w:color w:val="auto"/>
    </w:rPr>
  </w:style>
  <w:style w:type="character" w:customStyle="1" w:styleId="CharChar6">
    <w:name w:val="Char Char6"/>
    <w:basedOn w:val="DefaultParagraphFont"/>
    <w:uiPriority w:val="99"/>
    <w:rsid w:val="002715E9"/>
    <w:rPr>
      <w:rFonts w:ascii="Arial" w:hAnsi="Arial" w:cs="Arial"/>
      <w:b/>
      <w:bCs/>
      <w:kern w:val="36"/>
      <w:sz w:val="28"/>
      <w:szCs w:val="28"/>
      <w:lang w:val="en-US" w:eastAsia="en-US" w:bidi="ar-SA"/>
    </w:rPr>
  </w:style>
  <w:style w:type="paragraph" w:customStyle="1" w:styleId="AutoNumbered">
    <w:name w:val="AutoNumbered"/>
    <w:basedOn w:val="Normal"/>
    <w:link w:val="AutoNumberedChar"/>
    <w:uiPriority w:val="99"/>
    <w:rsid w:val="0093174B"/>
    <w:pPr>
      <w:numPr>
        <w:numId w:val="27"/>
      </w:numPr>
      <w:tabs>
        <w:tab w:val="left" w:pos="1440"/>
      </w:tabs>
      <w:autoSpaceDE/>
      <w:autoSpaceDN/>
      <w:adjustRightInd/>
      <w:spacing w:after="240"/>
    </w:pPr>
    <w:rPr>
      <w:rFonts w:ascii="Arial" w:eastAsia="MS Mincho" w:hAnsi="Arial" w:cs="Arial"/>
      <w:sz w:val="24"/>
      <w:szCs w:val="24"/>
    </w:rPr>
  </w:style>
  <w:style w:type="character" w:customStyle="1" w:styleId="AutoNumberedChar">
    <w:name w:val="AutoNumbered Char"/>
    <w:basedOn w:val="DefaultParagraphFont"/>
    <w:link w:val="AutoNumbered"/>
    <w:uiPriority w:val="99"/>
    <w:locked/>
    <w:rsid w:val="0093174B"/>
    <w:rPr>
      <w:rFonts w:ascii="Arial" w:hAnsi="Arial" w:cs="Arial"/>
      <w:sz w:val="24"/>
      <w:szCs w:val="24"/>
    </w:rPr>
  </w:style>
  <w:style w:type="table" w:styleId="TableGrid">
    <w:name w:val="Table Grid"/>
    <w:basedOn w:val="TableNormal"/>
    <w:uiPriority w:val="59"/>
    <w:rsid w:val="00BD58FC"/>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10C"/>
    <w:pPr>
      <w:ind w:left="720"/>
      <w:contextualSpacing/>
    </w:pPr>
  </w:style>
  <w:style w:type="paragraph" w:customStyle="1" w:styleId="Style3">
    <w:name w:val="Style3"/>
    <w:basedOn w:val="Normal"/>
    <w:link w:val="Style3Char"/>
    <w:uiPriority w:val="99"/>
    <w:rsid w:val="00A917B4"/>
    <w:pPr>
      <w:tabs>
        <w:tab w:val="left" w:pos="720"/>
      </w:tabs>
      <w:autoSpaceDE/>
      <w:autoSpaceDN/>
      <w:adjustRightInd/>
      <w:ind w:left="1008" w:hanging="576"/>
      <w:outlineLvl w:val="1"/>
    </w:pPr>
    <w:rPr>
      <w:rFonts w:ascii="Arial" w:eastAsia="MS Mincho" w:hAnsi="Arial" w:cs="Arial"/>
      <w:sz w:val="24"/>
    </w:rPr>
  </w:style>
  <w:style w:type="character" w:customStyle="1" w:styleId="Style3Char">
    <w:name w:val="Style3 Char"/>
    <w:basedOn w:val="DefaultParagraphFont"/>
    <w:link w:val="Style3"/>
    <w:uiPriority w:val="99"/>
    <w:locked/>
    <w:rsid w:val="00A917B4"/>
    <w:rPr>
      <w:rFonts w:ascii="Arial" w:hAnsi="Arial" w:cs="Arial"/>
      <w:sz w:val="24"/>
    </w:rPr>
  </w:style>
  <w:style w:type="paragraph" w:customStyle="1" w:styleId="Style5">
    <w:name w:val="Style5"/>
    <w:basedOn w:val="Normal"/>
    <w:uiPriority w:val="99"/>
    <w:rsid w:val="009009F6"/>
    <w:pPr>
      <w:tabs>
        <w:tab w:val="left" w:pos="1440"/>
      </w:tabs>
      <w:autoSpaceDE/>
      <w:autoSpaceDN/>
      <w:adjustRightInd/>
      <w:ind w:left="1944" w:hanging="360"/>
    </w:pPr>
    <w:rPr>
      <w:rFonts w:ascii="Arial" w:eastAsia="MS Mincho" w:hAnsi="Arial" w:cs="Arial"/>
      <w:sz w:val="24"/>
    </w:rPr>
  </w:style>
  <w:style w:type="character" w:customStyle="1" w:styleId="CharChar4">
    <w:name w:val="Char Char4"/>
    <w:uiPriority w:val="99"/>
    <w:rsid w:val="00C02102"/>
    <w:rPr>
      <w:rFonts w:ascii="Courier 10cpi" w:eastAsia="PMingLiU" w:hAnsi="Courier 10cpi"/>
      <w:lang w:val="en-US" w:eastAsia="en-US"/>
    </w:rPr>
  </w:style>
  <w:style w:type="character" w:customStyle="1" w:styleId="CharChar61">
    <w:name w:val="Char Char61"/>
    <w:uiPriority w:val="99"/>
    <w:rsid w:val="00C02102"/>
    <w:rPr>
      <w:rFonts w:ascii="Arial" w:hAnsi="Arial"/>
      <w:b/>
      <w:kern w:val="36"/>
      <w:sz w:val="28"/>
      <w:lang w:val="en-US" w:eastAsia="en-US"/>
    </w:rPr>
  </w:style>
  <w:style w:type="paragraph" w:styleId="NormalWeb">
    <w:name w:val="Normal (Web)"/>
    <w:basedOn w:val="Normal"/>
    <w:uiPriority w:val="99"/>
    <w:rsid w:val="00AB5BE6"/>
    <w:pPr>
      <w:autoSpaceDE/>
      <w:autoSpaceDN/>
      <w:adjustRightInd/>
      <w:spacing w:before="100" w:beforeAutospacing="1" w:after="100" w:afterAutospacing="1"/>
    </w:pPr>
    <w:rPr>
      <w:rFonts w:ascii="Times New Roman" w:eastAsia="MS Mincho" w:hAnsi="Times New Roman"/>
      <w:sz w:val="24"/>
      <w:szCs w:val="24"/>
      <w:lang w:eastAsia="ja-JP"/>
    </w:rPr>
  </w:style>
  <w:style w:type="paragraph" w:customStyle="1" w:styleId="default00">
    <w:name w:val="default0"/>
    <w:basedOn w:val="Normal"/>
    <w:uiPriority w:val="99"/>
    <w:rsid w:val="00AB5BE6"/>
    <w:pPr>
      <w:adjustRightInd/>
    </w:pPr>
    <w:rPr>
      <w:rFonts w:ascii="Arial" w:eastAsia="MS Mincho" w:hAnsi="Arial" w:cs="Arial"/>
      <w:color w:val="000000"/>
      <w:sz w:val="24"/>
      <w:szCs w:val="24"/>
      <w:lang w:eastAsia="ja-JP"/>
    </w:rPr>
  </w:style>
  <w:style w:type="character" w:customStyle="1" w:styleId="updatebodytest">
    <w:name w:val="updatebodytest"/>
    <w:basedOn w:val="DefaultParagraphFont"/>
    <w:uiPriority w:val="99"/>
    <w:rsid w:val="00941258"/>
    <w:rPr>
      <w:rFonts w:ascii="Times New Roman" w:hAnsi="Times New Roman" w:cs="Times New Roman"/>
    </w:rPr>
  </w:style>
  <w:style w:type="character" w:styleId="Strong">
    <w:name w:val="Strong"/>
    <w:basedOn w:val="DefaultParagraphFont"/>
    <w:uiPriority w:val="22"/>
    <w:qFormat/>
    <w:locked/>
    <w:rsid w:val="00D71117"/>
    <w:rPr>
      <w:b/>
      <w:bCs/>
    </w:rPr>
  </w:style>
  <w:style w:type="paragraph" w:customStyle="1" w:styleId="autonumbered0">
    <w:name w:val="autonumbered0"/>
    <w:basedOn w:val="Normal"/>
    <w:rsid w:val="005E29A9"/>
    <w:pPr>
      <w:autoSpaceDE/>
      <w:autoSpaceDN/>
      <w:adjustRightInd/>
      <w:spacing w:before="100" w:beforeAutospacing="1" w:after="100" w:afterAutospacing="1"/>
    </w:pPr>
    <w:rPr>
      <w:rFonts w:ascii="Times New Roman" w:eastAsia="Times New Roman" w:hAnsi="Times New Roman"/>
      <w:sz w:val="24"/>
      <w:szCs w:val="24"/>
    </w:rPr>
  </w:style>
  <w:style w:type="paragraph" w:customStyle="1" w:styleId="BodyText">
    <w:name w:val="BodyText"/>
    <w:basedOn w:val="Normal"/>
    <w:link w:val="BodyTextChar"/>
    <w:qFormat/>
    <w:rsid w:val="00AA0B79"/>
    <w:pPr>
      <w:autoSpaceDE/>
      <w:autoSpaceDN/>
      <w:adjustRightInd/>
      <w:spacing w:after="120"/>
    </w:pPr>
    <w:rPr>
      <w:rFonts w:ascii="Arial" w:eastAsia="Calibri" w:hAnsi="Arial" w:cs="Arial"/>
      <w:sz w:val="22"/>
      <w:szCs w:val="22"/>
    </w:rPr>
  </w:style>
  <w:style w:type="character" w:customStyle="1" w:styleId="BodyTextChar">
    <w:name w:val="BodyText Char"/>
    <w:basedOn w:val="DefaultParagraphFont"/>
    <w:link w:val="BodyText"/>
    <w:rsid w:val="00AA0B79"/>
    <w:rPr>
      <w:rFonts w:ascii="Arial" w:eastAsia="Calibri" w:hAnsi="Arial" w:cs="Arial"/>
    </w:rPr>
  </w:style>
  <w:style w:type="paragraph" w:styleId="PlainText">
    <w:name w:val="Plain Text"/>
    <w:basedOn w:val="Normal"/>
    <w:link w:val="PlainTextChar"/>
    <w:uiPriority w:val="99"/>
    <w:unhideWhenUsed/>
    <w:rsid w:val="00B42811"/>
    <w:rPr>
      <w:rFonts w:ascii="Consolas" w:hAnsi="Consolas" w:cs="Consolas"/>
      <w:sz w:val="21"/>
      <w:szCs w:val="21"/>
    </w:rPr>
  </w:style>
  <w:style w:type="character" w:customStyle="1" w:styleId="PlainTextChar">
    <w:name w:val="Plain Text Char"/>
    <w:basedOn w:val="DefaultParagraphFont"/>
    <w:link w:val="PlainText"/>
    <w:uiPriority w:val="99"/>
    <w:rsid w:val="00B42811"/>
    <w:rPr>
      <w:rFonts w:ascii="Consolas" w:eastAsia="PMingLiU" w:hAnsi="Consolas" w:cs="Consolas"/>
      <w:sz w:val="21"/>
      <w:szCs w:val="21"/>
    </w:rPr>
  </w:style>
  <w:style w:type="character" w:styleId="PlaceholderText">
    <w:name w:val="Placeholder Text"/>
    <w:basedOn w:val="DefaultParagraphFont"/>
    <w:uiPriority w:val="99"/>
    <w:semiHidden/>
    <w:rsid w:val="00C3084B"/>
    <w:rPr>
      <w:color w:val="808080"/>
    </w:rPr>
  </w:style>
  <w:style w:type="paragraph" w:styleId="EndnoteText">
    <w:name w:val="endnote text"/>
    <w:basedOn w:val="Normal"/>
    <w:link w:val="EndnoteTextChar"/>
    <w:uiPriority w:val="99"/>
    <w:semiHidden/>
    <w:unhideWhenUsed/>
    <w:rsid w:val="00C3084B"/>
  </w:style>
  <w:style w:type="character" w:customStyle="1" w:styleId="EndnoteTextChar">
    <w:name w:val="Endnote Text Char"/>
    <w:basedOn w:val="DefaultParagraphFont"/>
    <w:link w:val="EndnoteText"/>
    <w:uiPriority w:val="99"/>
    <w:semiHidden/>
    <w:rsid w:val="00C3084B"/>
    <w:rPr>
      <w:rFonts w:ascii="Courier 10cpi" w:eastAsia="PMingLiU" w:hAnsi="Courier 10cpi"/>
      <w:sz w:val="20"/>
      <w:szCs w:val="20"/>
    </w:rPr>
  </w:style>
  <w:style w:type="character" w:styleId="EndnoteReference">
    <w:name w:val="endnote reference"/>
    <w:basedOn w:val="DefaultParagraphFont"/>
    <w:uiPriority w:val="99"/>
    <w:semiHidden/>
    <w:unhideWhenUsed/>
    <w:rsid w:val="00C3084B"/>
    <w:rPr>
      <w:vertAlign w:val="superscript"/>
    </w:rPr>
  </w:style>
  <w:style w:type="paragraph" w:styleId="TOCHeading">
    <w:name w:val="TOC Heading"/>
    <w:basedOn w:val="Heading1"/>
    <w:next w:val="Normal"/>
    <w:uiPriority w:val="39"/>
    <w:unhideWhenUsed/>
    <w:qFormat/>
    <w:rsid w:val="00EF4894"/>
    <w:pPr>
      <w:keepLines/>
      <w:autoSpaceDE/>
      <w:autoSpaceDN/>
      <w:adjustRightInd/>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024">
      <w:bodyDiv w:val="1"/>
      <w:marLeft w:val="0"/>
      <w:marRight w:val="0"/>
      <w:marTop w:val="0"/>
      <w:marBottom w:val="0"/>
      <w:divBdr>
        <w:top w:val="none" w:sz="0" w:space="0" w:color="auto"/>
        <w:left w:val="none" w:sz="0" w:space="0" w:color="auto"/>
        <w:bottom w:val="none" w:sz="0" w:space="0" w:color="auto"/>
        <w:right w:val="none" w:sz="0" w:space="0" w:color="auto"/>
      </w:divBdr>
      <w:divsChild>
        <w:div w:id="1235899411">
          <w:marLeft w:val="0"/>
          <w:marRight w:val="0"/>
          <w:marTop w:val="0"/>
          <w:marBottom w:val="0"/>
          <w:divBdr>
            <w:top w:val="none" w:sz="0" w:space="0" w:color="auto"/>
            <w:left w:val="none" w:sz="0" w:space="0" w:color="auto"/>
            <w:bottom w:val="none" w:sz="0" w:space="0" w:color="auto"/>
            <w:right w:val="none" w:sz="0" w:space="0" w:color="auto"/>
          </w:divBdr>
          <w:divsChild>
            <w:div w:id="80485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67137">
                  <w:marLeft w:val="0"/>
                  <w:marRight w:val="0"/>
                  <w:marTop w:val="0"/>
                  <w:marBottom w:val="0"/>
                  <w:divBdr>
                    <w:top w:val="none" w:sz="0" w:space="0" w:color="auto"/>
                    <w:left w:val="none" w:sz="0" w:space="0" w:color="auto"/>
                    <w:bottom w:val="none" w:sz="0" w:space="0" w:color="auto"/>
                    <w:right w:val="none" w:sz="0" w:space="0" w:color="auto"/>
                  </w:divBdr>
                  <w:divsChild>
                    <w:div w:id="12784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7291">
      <w:bodyDiv w:val="1"/>
      <w:marLeft w:val="0"/>
      <w:marRight w:val="0"/>
      <w:marTop w:val="0"/>
      <w:marBottom w:val="0"/>
      <w:divBdr>
        <w:top w:val="none" w:sz="0" w:space="0" w:color="auto"/>
        <w:left w:val="none" w:sz="0" w:space="0" w:color="auto"/>
        <w:bottom w:val="none" w:sz="0" w:space="0" w:color="auto"/>
        <w:right w:val="none" w:sz="0" w:space="0" w:color="auto"/>
      </w:divBdr>
    </w:div>
    <w:div w:id="126315884">
      <w:bodyDiv w:val="1"/>
      <w:marLeft w:val="0"/>
      <w:marRight w:val="0"/>
      <w:marTop w:val="0"/>
      <w:marBottom w:val="0"/>
      <w:divBdr>
        <w:top w:val="none" w:sz="0" w:space="0" w:color="auto"/>
        <w:left w:val="none" w:sz="0" w:space="0" w:color="auto"/>
        <w:bottom w:val="none" w:sz="0" w:space="0" w:color="auto"/>
        <w:right w:val="none" w:sz="0" w:space="0" w:color="auto"/>
      </w:divBdr>
    </w:div>
    <w:div w:id="130558725">
      <w:bodyDiv w:val="1"/>
      <w:marLeft w:val="0"/>
      <w:marRight w:val="0"/>
      <w:marTop w:val="0"/>
      <w:marBottom w:val="0"/>
      <w:divBdr>
        <w:top w:val="none" w:sz="0" w:space="0" w:color="auto"/>
        <w:left w:val="none" w:sz="0" w:space="0" w:color="auto"/>
        <w:bottom w:val="none" w:sz="0" w:space="0" w:color="auto"/>
        <w:right w:val="none" w:sz="0" w:space="0" w:color="auto"/>
      </w:divBdr>
    </w:div>
    <w:div w:id="135994228">
      <w:bodyDiv w:val="1"/>
      <w:marLeft w:val="0"/>
      <w:marRight w:val="0"/>
      <w:marTop w:val="0"/>
      <w:marBottom w:val="0"/>
      <w:divBdr>
        <w:top w:val="none" w:sz="0" w:space="0" w:color="auto"/>
        <w:left w:val="none" w:sz="0" w:space="0" w:color="auto"/>
        <w:bottom w:val="none" w:sz="0" w:space="0" w:color="auto"/>
        <w:right w:val="none" w:sz="0" w:space="0" w:color="auto"/>
      </w:divBdr>
    </w:div>
    <w:div w:id="151414119">
      <w:bodyDiv w:val="1"/>
      <w:marLeft w:val="0"/>
      <w:marRight w:val="0"/>
      <w:marTop w:val="0"/>
      <w:marBottom w:val="0"/>
      <w:divBdr>
        <w:top w:val="none" w:sz="0" w:space="0" w:color="auto"/>
        <w:left w:val="none" w:sz="0" w:space="0" w:color="auto"/>
        <w:bottom w:val="none" w:sz="0" w:space="0" w:color="auto"/>
        <w:right w:val="none" w:sz="0" w:space="0" w:color="auto"/>
      </w:divBdr>
    </w:div>
    <w:div w:id="184684062">
      <w:bodyDiv w:val="1"/>
      <w:marLeft w:val="0"/>
      <w:marRight w:val="0"/>
      <w:marTop w:val="0"/>
      <w:marBottom w:val="0"/>
      <w:divBdr>
        <w:top w:val="none" w:sz="0" w:space="0" w:color="auto"/>
        <w:left w:val="none" w:sz="0" w:space="0" w:color="auto"/>
        <w:bottom w:val="none" w:sz="0" w:space="0" w:color="auto"/>
        <w:right w:val="none" w:sz="0" w:space="0" w:color="auto"/>
      </w:divBdr>
    </w:div>
    <w:div w:id="266357048">
      <w:bodyDiv w:val="1"/>
      <w:marLeft w:val="0"/>
      <w:marRight w:val="0"/>
      <w:marTop w:val="0"/>
      <w:marBottom w:val="0"/>
      <w:divBdr>
        <w:top w:val="none" w:sz="0" w:space="0" w:color="auto"/>
        <w:left w:val="none" w:sz="0" w:space="0" w:color="auto"/>
        <w:bottom w:val="none" w:sz="0" w:space="0" w:color="auto"/>
        <w:right w:val="none" w:sz="0" w:space="0" w:color="auto"/>
      </w:divBdr>
    </w:div>
    <w:div w:id="339629092">
      <w:bodyDiv w:val="1"/>
      <w:marLeft w:val="0"/>
      <w:marRight w:val="0"/>
      <w:marTop w:val="0"/>
      <w:marBottom w:val="0"/>
      <w:divBdr>
        <w:top w:val="none" w:sz="0" w:space="0" w:color="auto"/>
        <w:left w:val="none" w:sz="0" w:space="0" w:color="auto"/>
        <w:bottom w:val="none" w:sz="0" w:space="0" w:color="auto"/>
        <w:right w:val="none" w:sz="0" w:space="0" w:color="auto"/>
      </w:divBdr>
    </w:div>
    <w:div w:id="428358559">
      <w:bodyDiv w:val="1"/>
      <w:marLeft w:val="0"/>
      <w:marRight w:val="0"/>
      <w:marTop w:val="0"/>
      <w:marBottom w:val="0"/>
      <w:divBdr>
        <w:top w:val="none" w:sz="0" w:space="0" w:color="auto"/>
        <w:left w:val="none" w:sz="0" w:space="0" w:color="auto"/>
        <w:bottom w:val="none" w:sz="0" w:space="0" w:color="auto"/>
        <w:right w:val="none" w:sz="0" w:space="0" w:color="auto"/>
      </w:divBdr>
    </w:div>
    <w:div w:id="529025262">
      <w:bodyDiv w:val="1"/>
      <w:marLeft w:val="0"/>
      <w:marRight w:val="0"/>
      <w:marTop w:val="0"/>
      <w:marBottom w:val="0"/>
      <w:divBdr>
        <w:top w:val="none" w:sz="0" w:space="0" w:color="auto"/>
        <w:left w:val="none" w:sz="0" w:space="0" w:color="auto"/>
        <w:bottom w:val="none" w:sz="0" w:space="0" w:color="auto"/>
        <w:right w:val="none" w:sz="0" w:space="0" w:color="auto"/>
      </w:divBdr>
    </w:div>
    <w:div w:id="584386682">
      <w:bodyDiv w:val="1"/>
      <w:marLeft w:val="0"/>
      <w:marRight w:val="0"/>
      <w:marTop w:val="0"/>
      <w:marBottom w:val="0"/>
      <w:divBdr>
        <w:top w:val="none" w:sz="0" w:space="0" w:color="auto"/>
        <w:left w:val="none" w:sz="0" w:space="0" w:color="auto"/>
        <w:bottom w:val="none" w:sz="0" w:space="0" w:color="auto"/>
        <w:right w:val="none" w:sz="0" w:space="0" w:color="auto"/>
      </w:divBdr>
    </w:div>
    <w:div w:id="589967893">
      <w:bodyDiv w:val="1"/>
      <w:marLeft w:val="0"/>
      <w:marRight w:val="0"/>
      <w:marTop w:val="0"/>
      <w:marBottom w:val="0"/>
      <w:divBdr>
        <w:top w:val="none" w:sz="0" w:space="0" w:color="auto"/>
        <w:left w:val="none" w:sz="0" w:space="0" w:color="auto"/>
        <w:bottom w:val="none" w:sz="0" w:space="0" w:color="auto"/>
        <w:right w:val="none" w:sz="0" w:space="0" w:color="auto"/>
      </w:divBdr>
    </w:div>
    <w:div w:id="680203247">
      <w:bodyDiv w:val="1"/>
      <w:marLeft w:val="0"/>
      <w:marRight w:val="0"/>
      <w:marTop w:val="0"/>
      <w:marBottom w:val="0"/>
      <w:divBdr>
        <w:top w:val="none" w:sz="0" w:space="0" w:color="auto"/>
        <w:left w:val="none" w:sz="0" w:space="0" w:color="auto"/>
        <w:bottom w:val="none" w:sz="0" w:space="0" w:color="auto"/>
        <w:right w:val="none" w:sz="0" w:space="0" w:color="auto"/>
      </w:divBdr>
    </w:div>
    <w:div w:id="681516792">
      <w:bodyDiv w:val="1"/>
      <w:marLeft w:val="0"/>
      <w:marRight w:val="0"/>
      <w:marTop w:val="0"/>
      <w:marBottom w:val="0"/>
      <w:divBdr>
        <w:top w:val="none" w:sz="0" w:space="0" w:color="auto"/>
        <w:left w:val="none" w:sz="0" w:space="0" w:color="auto"/>
        <w:bottom w:val="none" w:sz="0" w:space="0" w:color="auto"/>
        <w:right w:val="none" w:sz="0" w:space="0" w:color="auto"/>
      </w:divBdr>
    </w:div>
    <w:div w:id="716781439">
      <w:bodyDiv w:val="1"/>
      <w:marLeft w:val="0"/>
      <w:marRight w:val="0"/>
      <w:marTop w:val="0"/>
      <w:marBottom w:val="0"/>
      <w:divBdr>
        <w:top w:val="none" w:sz="0" w:space="0" w:color="auto"/>
        <w:left w:val="none" w:sz="0" w:space="0" w:color="auto"/>
        <w:bottom w:val="none" w:sz="0" w:space="0" w:color="auto"/>
        <w:right w:val="none" w:sz="0" w:space="0" w:color="auto"/>
      </w:divBdr>
    </w:div>
    <w:div w:id="758062304">
      <w:bodyDiv w:val="1"/>
      <w:marLeft w:val="0"/>
      <w:marRight w:val="0"/>
      <w:marTop w:val="0"/>
      <w:marBottom w:val="0"/>
      <w:divBdr>
        <w:top w:val="none" w:sz="0" w:space="0" w:color="auto"/>
        <w:left w:val="none" w:sz="0" w:space="0" w:color="auto"/>
        <w:bottom w:val="none" w:sz="0" w:space="0" w:color="auto"/>
        <w:right w:val="none" w:sz="0" w:space="0" w:color="auto"/>
      </w:divBdr>
    </w:div>
    <w:div w:id="772558229">
      <w:bodyDiv w:val="1"/>
      <w:marLeft w:val="0"/>
      <w:marRight w:val="0"/>
      <w:marTop w:val="0"/>
      <w:marBottom w:val="0"/>
      <w:divBdr>
        <w:top w:val="none" w:sz="0" w:space="0" w:color="auto"/>
        <w:left w:val="none" w:sz="0" w:space="0" w:color="auto"/>
        <w:bottom w:val="none" w:sz="0" w:space="0" w:color="auto"/>
        <w:right w:val="none" w:sz="0" w:space="0" w:color="auto"/>
      </w:divBdr>
    </w:div>
    <w:div w:id="808015074">
      <w:bodyDiv w:val="1"/>
      <w:marLeft w:val="0"/>
      <w:marRight w:val="0"/>
      <w:marTop w:val="0"/>
      <w:marBottom w:val="0"/>
      <w:divBdr>
        <w:top w:val="none" w:sz="0" w:space="0" w:color="auto"/>
        <w:left w:val="none" w:sz="0" w:space="0" w:color="auto"/>
        <w:bottom w:val="none" w:sz="0" w:space="0" w:color="auto"/>
        <w:right w:val="none" w:sz="0" w:space="0" w:color="auto"/>
      </w:divBdr>
    </w:div>
    <w:div w:id="831682094">
      <w:bodyDiv w:val="1"/>
      <w:marLeft w:val="0"/>
      <w:marRight w:val="0"/>
      <w:marTop w:val="0"/>
      <w:marBottom w:val="0"/>
      <w:divBdr>
        <w:top w:val="none" w:sz="0" w:space="0" w:color="auto"/>
        <w:left w:val="none" w:sz="0" w:space="0" w:color="auto"/>
        <w:bottom w:val="none" w:sz="0" w:space="0" w:color="auto"/>
        <w:right w:val="none" w:sz="0" w:space="0" w:color="auto"/>
      </w:divBdr>
    </w:div>
    <w:div w:id="852374875">
      <w:bodyDiv w:val="1"/>
      <w:marLeft w:val="0"/>
      <w:marRight w:val="0"/>
      <w:marTop w:val="0"/>
      <w:marBottom w:val="0"/>
      <w:divBdr>
        <w:top w:val="none" w:sz="0" w:space="0" w:color="auto"/>
        <w:left w:val="none" w:sz="0" w:space="0" w:color="auto"/>
        <w:bottom w:val="none" w:sz="0" w:space="0" w:color="auto"/>
        <w:right w:val="none" w:sz="0" w:space="0" w:color="auto"/>
      </w:divBdr>
    </w:div>
    <w:div w:id="883176124">
      <w:bodyDiv w:val="1"/>
      <w:marLeft w:val="0"/>
      <w:marRight w:val="0"/>
      <w:marTop w:val="0"/>
      <w:marBottom w:val="0"/>
      <w:divBdr>
        <w:top w:val="none" w:sz="0" w:space="0" w:color="auto"/>
        <w:left w:val="none" w:sz="0" w:space="0" w:color="auto"/>
        <w:bottom w:val="none" w:sz="0" w:space="0" w:color="auto"/>
        <w:right w:val="none" w:sz="0" w:space="0" w:color="auto"/>
      </w:divBdr>
    </w:div>
    <w:div w:id="962033200">
      <w:bodyDiv w:val="1"/>
      <w:marLeft w:val="0"/>
      <w:marRight w:val="0"/>
      <w:marTop w:val="0"/>
      <w:marBottom w:val="0"/>
      <w:divBdr>
        <w:top w:val="none" w:sz="0" w:space="0" w:color="auto"/>
        <w:left w:val="none" w:sz="0" w:space="0" w:color="auto"/>
        <w:bottom w:val="none" w:sz="0" w:space="0" w:color="auto"/>
        <w:right w:val="none" w:sz="0" w:space="0" w:color="auto"/>
      </w:divBdr>
    </w:div>
    <w:div w:id="986322564">
      <w:bodyDiv w:val="1"/>
      <w:marLeft w:val="0"/>
      <w:marRight w:val="0"/>
      <w:marTop w:val="0"/>
      <w:marBottom w:val="0"/>
      <w:divBdr>
        <w:top w:val="none" w:sz="0" w:space="0" w:color="auto"/>
        <w:left w:val="none" w:sz="0" w:space="0" w:color="auto"/>
        <w:bottom w:val="none" w:sz="0" w:space="0" w:color="auto"/>
        <w:right w:val="none" w:sz="0" w:space="0" w:color="auto"/>
      </w:divBdr>
      <w:divsChild>
        <w:div w:id="1028989456">
          <w:marLeft w:val="0"/>
          <w:marRight w:val="0"/>
          <w:marTop w:val="0"/>
          <w:marBottom w:val="0"/>
          <w:divBdr>
            <w:top w:val="none" w:sz="0" w:space="0" w:color="auto"/>
            <w:left w:val="none" w:sz="0" w:space="0" w:color="auto"/>
            <w:bottom w:val="none" w:sz="0" w:space="0" w:color="auto"/>
            <w:right w:val="none" w:sz="0" w:space="0" w:color="auto"/>
          </w:divBdr>
        </w:div>
        <w:div w:id="1657487854">
          <w:marLeft w:val="0"/>
          <w:marRight w:val="0"/>
          <w:marTop w:val="0"/>
          <w:marBottom w:val="0"/>
          <w:divBdr>
            <w:top w:val="none" w:sz="0" w:space="0" w:color="auto"/>
            <w:left w:val="none" w:sz="0" w:space="0" w:color="auto"/>
            <w:bottom w:val="none" w:sz="0" w:space="0" w:color="auto"/>
            <w:right w:val="none" w:sz="0" w:space="0" w:color="auto"/>
          </w:divBdr>
        </w:div>
        <w:div w:id="1959483094">
          <w:marLeft w:val="0"/>
          <w:marRight w:val="0"/>
          <w:marTop w:val="0"/>
          <w:marBottom w:val="0"/>
          <w:divBdr>
            <w:top w:val="none" w:sz="0" w:space="0" w:color="auto"/>
            <w:left w:val="none" w:sz="0" w:space="0" w:color="auto"/>
            <w:bottom w:val="none" w:sz="0" w:space="0" w:color="auto"/>
            <w:right w:val="none" w:sz="0" w:space="0" w:color="auto"/>
          </w:divBdr>
        </w:div>
        <w:div w:id="1694108767">
          <w:marLeft w:val="0"/>
          <w:marRight w:val="0"/>
          <w:marTop w:val="0"/>
          <w:marBottom w:val="0"/>
          <w:divBdr>
            <w:top w:val="none" w:sz="0" w:space="0" w:color="auto"/>
            <w:left w:val="none" w:sz="0" w:space="0" w:color="auto"/>
            <w:bottom w:val="none" w:sz="0" w:space="0" w:color="auto"/>
            <w:right w:val="none" w:sz="0" w:space="0" w:color="auto"/>
          </w:divBdr>
        </w:div>
        <w:div w:id="471094546">
          <w:marLeft w:val="0"/>
          <w:marRight w:val="0"/>
          <w:marTop w:val="0"/>
          <w:marBottom w:val="0"/>
          <w:divBdr>
            <w:top w:val="none" w:sz="0" w:space="0" w:color="auto"/>
            <w:left w:val="none" w:sz="0" w:space="0" w:color="auto"/>
            <w:bottom w:val="none" w:sz="0" w:space="0" w:color="auto"/>
            <w:right w:val="none" w:sz="0" w:space="0" w:color="auto"/>
          </w:divBdr>
        </w:div>
        <w:div w:id="706294622">
          <w:marLeft w:val="0"/>
          <w:marRight w:val="0"/>
          <w:marTop w:val="0"/>
          <w:marBottom w:val="0"/>
          <w:divBdr>
            <w:top w:val="none" w:sz="0" w:space="0" w:color="auto"/>
            <w:left w:val="none" w:sz="0" w:space="0" w:color="auto"/>
            <w:bottom w:val="none" w:sz="0" w:space="0" w:color="auto"/>
            <w:right w:val="none" w:sz="0" w:space="0" w:color="auto"/>
          </w:divBdr>
        </w:div>
        <w:div w:id="596717828">
          <w:marLeft w:val="0"/>
          <w:marRight w:val="0"/>
          <w:marTop w:val="0"/>
          <w:marBottom w:val="0"/>
          <w:divBdr>
            <w:top w:val="none" w:sz="0" w:space="0" w:color="auto"/>
            <w:left w:val="none" w:sz="0" w:space="0" w:color="auto"/>
            <w:bottom w:val="none" w:sz="0" w:space="0" w:color="auto"/>
            <w:right w:val="none" w:sz="0" w:space="0" w:color="auto"/>
          </w:divBdr>
        </w:div>
        <w:div w:id="1810632673">
          <w:marLeft w:val="0"/>
          <w:marRight w:val="0"/>
          <w:marTop w:val="0"/>
          <w:marBottom w:val="0"/>
          <w:divBdr>
            <w:top w:val="none" w:sz="0" w:space="0" w:color="auto"/>
            <w:left w:val="none" w:sz="0" w:space="0" w:color="auto"/>
            <w:bottom w:val="none" w:sz="0" w:space="0" w:color="auto"/>
            <w:right w:val="none" w:sz="0" w:space="0" w:color="auto"/>
          </w:divBdr>
        </w:div>
      </w:divsChild>
    </w:div>
    <w:div w:id="1004429908">
      <w:bodyDiv w:val="1"/>
      <w:marLeft w:val="0"/>
      <w:marRight w:val="0"/>
      <w:marTop w:val="0"/>
      <w:marBottom w:val="0"/>
      <w:divBdr>
        <w:top w:val="none" w:sz="0" w:space="0" w:color="auto"/>
        <w:left w:val="none" w:sz="0" w:space="0" w:color="auto"/>
        <w:bottom w:val="none" w:sz="0" w:space="0" w:color="auto"/>
        <w:right w:val="none" w:sz="0" w:space="0" w:color="auto"/>
      </w:divBdr>
    </w:div>
    <w:div w:id="1017850653">
      <w:bodyDiv w:val="1"/>
      <w:marLeft w:val="0"/>
      <w:marRight w:val="0"/>
      <w:marTop w:val="0"/>
      <w:marBottom w:val="0"/>
      <w:divBdr>
        <w:top w:val="none" w:sz="0" w:space="0" w:color="auto"/>
        <w:left w:val="none" w:sz="0" w:space="0" w:color="auto"/>
        <w:bottom w:val="none" w:sz="0" w:space="0" w:color="auto"/>
        <w:right w:val="none" w:sz="0" w:space="0" w:color="auto"/>
      </w:divBdr>
    </w:div>
    <w:div w:id="1063722910">
      <w:bodyDiv w:val="1"/>
      <w:marLeft w:val="0"/>
      <w:marRight w:val="0"/>
      <w:marTop w:val="0"/>
      <w:marBottom w:val="0"/>
      <w:divBdr>
        <w:top w:val="none" w:sz="0" w:space="0" w:color="auto"/>
        <w:left w:val="none" w:sz="0" w:space="0" w:color="auto"/>
        <w:bottom w:val="none" w:sz="0" w:space="0" w:color="auto"/>
        <w:right w:val="none" w:sz="0" w:space="0" w:color="auto"/>
      </w:divBdr>
    </w:div>
    <w:div w:id="1070882686">
      <w:bodyDiv w:val="1"/>
      <w:marLeft w:val="0"/>
      <w:marRight w:val="0"/>
      <w:marTop w:val="0"/>
      <w:marBottom w:val="0"/>
      <w:divBdr>
        <w:top w:val="none" w:sz="0" w:space="0" w:color="auto"/>
        <w:left w:val="none" w:sz="0" w:space="0" w:color="auto"/>
        <w:bottom w:val="none" w:sz="0" w:space="0" w:color="auto"/>
        <w:right w:val="none" w:sz="0" w:space="0" w:color="auto"/>
      </w:divBdr>
    </w:div>
    <w:div w:id="1116288118">
      <w:bodyDiv w:val="1"/>
      <w:marLeft w:val="0"/>
      <w:marRight w:val="0"/>
      <w:marTop w:val="0"/>
      <w:marBottom w:val="0"/>
      <w:divBdr>
        <w:top w:val="none" w:sz="0" w:space="0" w:color="auto"/>
        <w:left w:val="none" w:sz="0" w:space="0" w:color="auto"/>
        <w:bottom w:val="none" w:sz="0" w:space="0" w:color="auto"/>
        <w:right w:val="none" w:sz="0" w:space="0" w:color="auto"/>
      </w:divBdr>
    </w:div>
    <w:div w:id="1129015025">
      <w:bodyDiv w:val="1"/>
      <w:marLeft w:val="0"/>
      <w:marRight w:val="0"/>
      <w:marTop w:val="0"/>
      <w:marBottom w:val="0"/>
      <w:divBdr>
        <w:top w:val="none" w:sz="0" w:space="0" w:color="auto"/>
        <w:left w:val="none" w:sz="0" w:space="0" w:color="auto"/>
        <w:bottom w:val="none" w:sz="0" w:space="0" w:color="auto"/>
        <w:right w:val="none" w:sz="0" w:space="0" w:color="auto"/>
      </w:divBdr>
    </w:div>
    <w:div w:id="1134103110">
      <w:bodyDiv w:val="1"/>
      <w:marLeft w:val="0"/>
      <w:marRight w:val="0"/>
      <w:marTop w:val="0"/>
      <w:marBottom w:val="0"/>
      <w:divBdr>
        <w:top w:val="none" w:sz="0" w:space="0" w:color="auto"/>
        <w:left w:val="none" w:sz="0" w:space="0" w:color="auto"/>
        <w:bottom w:val="none" w:sz="0" w:space="0" w:color="auto"/>
        <w:right w:val="none" w:sz="0" w:space="0" w:color="auto"/>
      </w:divBdr>
    </w:div>
    <w:div w:id="1162281335">
      <w:bodyDiv w:val="1"/>
      <w:marLeft w:val="0"/>
      <w:marRight w:val="0"/>
      <w:marTop w:val="0"/>
      <w:marBottom w:val="0"/>
      <w:divBdr>
        <w:top w:val="none" w:sz="0" w:space="0" w:color="auto"/>
        <w:left w:val="none" w:sz="0" w:space="0" w:color="auto"/>
        <w:bottom w:val="none" w:sz="0" w:space="0" w:color="auto"/>
        <w:right w:val="none" w:sz="0" w:space="0" w:color="auto"/>
      </w:divBdr>
    </w:div>
    <w:div w:id="1182548845">
      <w:bodyDiv w:val="1"/>
      <w:marLeft w:val="0"/>
      <w:marRight w:val="0"/>
      <w:marTop w:val="0"/>
      <w:marBottom w:val="0"/>
      <w:divBdr>
        <w:top w:val="none" w:sz="0" w:space="0" w:color="auto"/>
        <w:left w:val="none" w:sz="0" w:space="0" w:color="auto"/>
        <w:bottom w:val="none" w:sz="0" w:space="0" w:color="auto"/>
        <w:right w:val="none" w:sz="0" w:space="0" w:color="auto"/>
      </w:divBdr>
    </w:div>
    <w:div w:id="1185316613">
      <w:bodyDiv w:val="1"/>
      <w:marLeft w:val="0"/>
      <w:marRight w:val="0"/>
      <w:marTop w:val="0"/>
      <w:marBottom w:val="0"/>
      <w:divBdr>
        <w:top w:val="none" w:sz="0" w:space="0" w:color="auto"/>
        <w:left w:val="none" w:sz="0" w:space="0" w:color="auto"/>
        <w:bottom w:val="none" w:sz="0" w:space="0" w:color="auto"/>
        <w:right w:val="none" w:sz="0" w:space="0" w:color="auto"/>
      </w:divBdr>
    </w:div>
    <w:div w:id="1192105702">
      <w:bodyDiv w:val="1"/>
      <w:marLeft w:val="0"/>
      <w:marRight w:val="0"/>
      <w:marTop w:val="0"/>
      <w:marBottom w:val="0"/>
      <w:divBdr>
        <w:top w:val="none" w:sz="0" w:space="0" w:color="auto"/>
        <w:left w:val="none" w:sz="0" w:space="0" w:color="auto"/>
        <w:bottom w:val="none" w:sz="0" w:space="0" w:color="auto"/>
        <w:right w:val="none" w:sz="0" w:space="0" w:color="auto"/>
      </w:divBdr>
    </w:div>
    <w:div w:id="1258904409">
      <w:bodyDiv w:val="1"/>
      <w:marLeft w:val="0"/>
      <w:marRight w:val="0"/>
      <w:marTop w:val="0"/>
      <w:marBottom w:val="0"/>
      <w:divBdr>
        <w:top w:val="none" w:sz="0" w:space="0" w:color="auto"/>
        <w:left w:val="none" w:sz="0" w:space="0" w:color="auto"/>
        <w:bottom w:val="none" w:sz="0" w:space="0" w:color="auto"/>
        <w:right w:val="none" w:sz="0" w:space="0" w:color="auto"/>
      </w:divBdr>
    </w:div>
    <w:div w:id="1301228624">
      <w:bodyDiv w:val="1"/>
      <w:marLeft w:val="0"/>
      <w:marRight w:val="0"/>
      <w:marTop w:val="0"/>
      <w:marBottom w:val="0"/>
      <w:divBdr>
        <w:top w:val="none" w:sz="0" w:space="0" w:color="auto"/>
        <w:left w:val="none" w:sz="0" w:space="0" w:color="auto"/>
        <w:bottom w:val="none" w:sz="0" w:space="0" w:color="auto"/>
        <w:right w:val="none" w:sz="0" w:space="0" w:color="auto"/>
      </w:divBdr>
    </w:div>
    <w:div w:id="1341816555">
      <w:bodyDiv w:val="1"/>
      <w:marLeft w:val="0"/>
      <w:marRight w:val="0"/>
      <w:marTop w:val="0"/>
      <w:marBottom w:val="0"/>
      <w:divBdr>
        <w:top w:val="none" w:sz="0" w:space="0" w:color="auto"/>
        <w:left w:val="none" w:sz="0" w:space="0" w:color="auto"/>
        <w:bottom w:val="none" w:sz="0" w:space="0" w:color="auto"/>
        <w:right w:val="none" w:sz="0" w:space="0" w:color="auto"/>
      </w:divBdr>
    </w:div>
    <w:div w:id="1352343631">
      <w:bodyDiv w:val="1"/>
      <w:marLeft w:val="0"/>
      <w:marRight w:val="0"/>
      <w:marTop w:val="0"/>
      <w:marBottom w:val="0"/>
      <w:divBdr>
        <w:top w:val="none" w:sz="0" w:space="0" w:color="auto"/>
        <w:left w:val="none" w:sz="0" w:space="0" w:color="auto"/>
        <w:bottom w:val="none" w:sz="0" w:space="0" w:color="auto"/>
        <w:right w:val="none" w:sz="0" w:space="0" w:color="auto"/>
      </w:divBdr>
    </w:div>
    <w:div w:id="1356999588">
      <w:bodyDiv w:val="1"/>
      <w:marLeft w:val="0"/>
      <w:marRight w:val="0"/>
      <w:marTop w:val="0"/>
      <w:marBottom w:val="0"/>
      <w:divBdr>
        <w:top w:val="none" w:sz="0" w:space="0" w:color="auto"/>
        <w:left w:val="none" w:sz="0" w:space="0" w:color="auto"/>
        <w:bottom w:val="none" w:sz="0" w:space="0" w:color="auto"/>
        <w:right w:val="none" w:sz="0" w:space="0" w:color="auto"/>
      </w:divBdr>
    </w:div>
    <w:div w:id="1403141234">
      <w:bodyDiv w:val="1"/>
      <w:marLeft w:val="0"/>
      <w:marRight w:val="0"/>
      <w:marTop w:val="0"/>
      <w:marBottom w:val="0"/>
      <w:divBdr>
        <w:top w:val="none" w:sz="0" w:space="0" w:color="auto"/>
        <w:left w:val="none" w:sz="0" w:space="0" w:color="auto"/>
        <w:bottom w:val="none" w:sz="0" w:space="0" w:color="auto"/>
        <w:right w:val="none" w:sz="0" w:space="0" w:color="auto"/>
      </w:divBdr>
    </w:div>
    <w:div w:id="1476222120">
      <w:bodyDiv w:val="1"/>
      <w:marLeft w:val="0"/>
      <w:marRight w:val="0"/>
      <w:marTop w:val="0"/>
      <w:marBottom w:val="0"/>
      <w:divBdr>
        <w:top w:val="none" w:sz="0" w:space="0" w:color="auto"/>
        <w:left w:val="none" w:sz="0" w:space="0" w:color="auto"/>
        <w:bottom w:val="none" w:sz="0" w:space="0" w:color="auto"/>
        <w:right w:val="none" w:sz="0" w:space="0" w:color="auto"/>
      </w:divBdr>
    </w:div>
    <w:div w:id="1480420365">
      <w:bodyDiv w:val="1"/>
      <w:marLeft w:val="0"/>
      <w:marRight w:val="0"/>
      <w:marTop w:val="0"/>
      <w:marBottom w:val="0"/>
      <w:divBdr>
        <w:top w:val="none" w:sz="0" w:space="0" w:color="auto"/>
        <w:left w:val="none" w:sz="0" w:space="0" w:color="auto"/>
        <w:bottom w:val="none" w:sz="0" w:space="0" w:color="auto"/>
        <w:right w:val="none" w:sz="0" w:space="0" w:color="auto"/>
      </w:divBdr>
      <w:divsChild>
        <w:div w:id="424569147">
          <w:marLeft w:val="0"/>
          <w:marRight w:val="0"/>
          <w:marTop w:val="0"/>
          <w:marBottom w:val="0"/>
          <w:divBdr>
            <w:top w:val="none" w:sz="0" w:space="0" w:color="auto"/>
            <w:left w:val="none" w:sz="0" w:space="0" w:color="auto"/>
            <w:bottom w:val="none" w:sz="0" w:space="0" w:color="auto"/>
            <w:right w:val="none" w:sz="0" w:space="0" w:color="auto"/>
          </w:divBdr>
        </w:div>
        <w:div w:id="531959712">
          <w:marLeft w:val="0"/>
          <w:marRight w:val="0"/>
          <w:marTop w:val="0"/>
          <w:marBottom w:val="0"/>
          <w:divBdr>
            <w:top w:val="none" w:sz="0" w:space="0" w:color="auto"/>
            <w:left w:val="none" w:sz="0" w:space="0" w:color="auto"/>
            <w:bottom w:val="none" w:sz="0" w:space="0" w:color="auto"/>
            <w:right w:val="none" w:sz="0" w:space="0" w:color="auto"/>
          </w:divBdr>
        </w:div>
        <w:div w:id="2021420201">
          <w:marLeft w:val="0"/>
          <w:marRight w:val="0"/>
          <w:marTop w:val="0"/>
          <w:marBottom w:val="0"/>
          <w:divBdr>
            <w:top w:val="none" w:sz="0" w:space="0" w:color="auto"/>
            <w:left w:val="none" w:sz="0" w:space="0" w:color="auto"/>
            <w:bottom w:val="none" w:sz="0" w:space="0" w:color="auto"/>
            <w:right w:val="none" w:sz="0" w:space="0" w:color="auto"/>
          </w:divBdr>
        </w:div>
        <w:div w:id="738553322">
          <w:marLeft w:val="0"/>
          <w:marRight w:val="0"/>
          <w:marTop w:val="0"/>
          <w:marBottom w:val="0"/>
          <w:divBdr>
            <w:top w:val="none" w:sz="0" w:space="0" w:color="auto"/>
            <w:left w:val="none" w:sz="0" w:space="0" w:color="auto"/>
            <w:bottom w:val="none" w:sz="0" w:space="0" w:color="auto"/>
            <w:right w:val="none" w:sz="0" w:space="0" w:color="auto"/>
          </w:divBdr>
        </w:div>
      </w:divsChild>
    </w:div>
    <w:div w:id="1496142809">
      <w:bodyDiv w:val="1"/>
      <w:marLeft w:val="0"/>
      <w:marRight w:val="0"/>
      <w:marTop w:val="0"/>
      <w:marBottom w:val="0"/>
      <w:divBdr>
        <w:top w:val="none" w:sz="0" w:space="0" w:color="auto"/>
        <w:left w:val="none" w:sz="0" w:space="0" w:color="auto"/>
        <w:bottom w:val="none" w:sz="0" w:space="0" w:color="auto"/>
        <w:right w:val="none" w:sz="0" w:space="0" w:color="auto"/>
      </w:divBdr>
    </w:div>
    <w:div w:id="1496799058">
      <w:bodyDiv w:val="1"/>
      <w:marLeft w:val="0"/>
      <w:marRight w:val="0"/>
      <w:marTop w:val="0"/>
      <w:marBottom w:val="0"/>
      <w:divBdr>
        <w:top w:val="none" w:sz="0" w:space="0" w:color="auto"/>
        <w:left w:val="none" w:sz="0" w:space="0" w:color="auto"/>
        <w:bottom w:val="none" w:sz="0" w:space="0" w:color="auto"/>
        <w:right w:val="none" w:sz="0" w:space="0" w:color="auto"/>
      </w:divBdr>
    </w:div>
    <w:div w:id="1507524619">
      <w:bodyDiv w:val="1"/>
      <w:marLeft w:val="0"/>
      <w:marRight w:val="0"/>
      <w:marTop w:val="0"/>
      <w:marBottom w:val="0"/>
      <w:divBdr>
        <w:top w:val="none" w:sz="0" w:space="0" w:color="auto"/>
        <w:left w:val="none" w:sz="0" w:space="0" w:color="auto"/>
        <w:bottom w:val="none" w:sz="0" w:space="0" w:color="auto"/>
        <w:right w:val="none" w:sz="0" w:space="0" w:color="auto"/>
      </w:divBdr>
    </w:div>
    <w:div w:id="1526207475">
      <w:bodyDiv w:val="1"/>
      <w:marLeft w:val="0"/>
      <w:marRight w:val="0"/>
      <w:marTop w:val="0"/>
      <w:marBottom w:val="0"/>
      <w:divBdr>
        <w:top w:val="none" w:sz="0" w:space="0" w:color="auto"/>
        <w:left w:val="none" w:sz="0" w:space="0" w:color="auto"/>
        <w:bottom w:val="none" w:sz="0" w:space="0" w:color="auto"/>
        <w:right w:val="none" w:sz="0" w:space="0" w:color="auto"/>
      </w:divBdr>
      <w:divsChild>
        <w:div w:id="41953455">
          <w:marLeft w:val="0"/>
          <w:marRight w:val="0"/>
          <w:marTop w:val="0"/>
          <w:marBottom w:val="0"/>
          <w:divBdr>
            <w:top w:val="none" w:sz="0" w:space="0" w:color="auto"/>
            <w:left w:val="none" w:sz="0" w:space="0" w:color="auto"/>
            <w:bottom w:val="none" w:sz="0" w:space="0" w:color="auto"/>
            <w:right w:val="none" w:sz="0" w:space="0" w:color="auto"/>
          </w:divBdr>
          <w:divsChild>
            <w:div w:id="197567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6296">
                  <w:marLeft w:val="0"/>
                  <w:marRight w:val="0"/>
                  <w:marTop w:val="0"/>
                  <w:marBottom w:val="0"/>
                  <w:divBdr>
                    <w:top w:val="none" w:sz="0" w:space="0" w:color="auto"/>
                    <w:left w:val="none" w:sz="0" w:space="0" w:color="auto"/>
                    <w:bottom w:val="none" w:sz="0" w:space="0" w:color="auto"/>
                    <w:right w:val="none" w:sz="0" w:space="0" w:color="auto"/>
                  </w:divBdr>
                  <w:divsChild>
                    <w:div w:id="160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2716">
      <w:bodyDiv w:val="1"/>
      <w:marLeft w:val="0"/>
      <w:marRight w:val="0"/>
      <w:marTop w:val="0"/>
      <w:marBottom w:val="0"/>
      <w:divBdr>
        <w:top w:val="none" w:sz="0" w:space="0" w:color="auto"/>
        <w:left w:val="none" w:sz="0" w:space="0" w:color="auto"/>
        <w:bottom w:val="none" w:sz="0" w:space="0" w:color="auto"/>
        <w:right w:val="none" w:sz="0" w:space="0" w:color="auto"/>
      </w:divBdr>
    </w:div>
    <w:div w:id="1621523873">
      <w:bodyDiv w:val="1"/>
      <w:marLeft w:val="0"/>
      <w:marRight w:val="0"/>
      <w:marTop w:val="0"/>
      <w:marBottom w:val="0"/>
      <w:divBdr>
        <w:top w:val="none" w:sz="0" w:space="0" w:color="auto"/>
        <w:left w:val="none" w:sz="0" w:space="0" w:color="auto"/>
        <w:bottom w:val="none" w:sz="0" w:space="0" w:color="auto"/>
        <w:right w:val="none" w:sz="0" w:space="0" w:color="auto"/>
      </w:divBdr>
    </w:div>
    <w:div w:id="1675837049">
      <w:bodyDiv w:val="1"/>
      <w:marLeft w:val="0"/>
      <w:marRight w:val="0"/>
      <w:marTop w:val="0"/>
      <w:marBottom w:val="0"/>
      <w:divBdr>
        <w:top w:val="none" w:sz="0" w:space="0" w:color="auto"/>
        <w:left w:val="none" w:sz="0" w:space="0" w:color="auto"/>
        <w:bottom w:val="none" w:sz="0" w:space="0" w:color="auto"/>
        <w:right w:val="none" w:sz="0" w:space="0" w:color="auto"/>
      </w:divBdr>
    </w:div>
    <w:div w:id="1678383836">
      <w:bodyDiv w:val="1"/>
      <w:marLeft w:val="0"/>
      <w:marRight w:val="0"/>
      <w:marTop w:val="0"/>
      <w:marBottom w:val="0"/>
      <w:divBdr>
        <w:top w:val="none" w:sz="0" w:space="0" w:color="auto"/>
        <w:left w:val="none" w:sz="0" w:space="0" w:color="auto"/>
        <w:bottom w:val="none" w:sz="0" w:space="0" w:color="auto"/>
        <w:right w:val="none" w:sz="0" w:space="0" w:color="auto"/>
      </w:divBdr>
    </w:div>
    <w:div w:id="1688479285">
      <w:bodyDiv w:val="1"/>
      <w:marLeft w:val="0"/>
      <w:marRight w:val="0"/>
      <w:marTop w:val="0"/>
      <w:marBottom w:val="0"/>
      <w:divBdr>
        <w:top w:val="none" w:sz="0" w:space="0" w:color="auto"/>
        <w:left w:val="none" w:sz="0" w:space="0" w:color="auto"/>
        <w:bottom w:val="none" w:sz="0" w:space="0" w:color="auto"/>
        <w:right w:val="none" w:sz="0" w:space="0" w:color="auto"/>
      </w:divBdr>
    </w:div>
    <w:div w:id="1722250332">
      <w:marLeft w:val="0"/>
      <w:marRight w:val="0"/>
      <w:marTop w:val="0"/>
      <w:marBottom w:val="0"/>
      <w:divBdr>
        <w:top w:val="none" w:sz="0" w:space="0" w:color="auto"/>
        <w:left w:val="none" w:sz="0" w:space="0" w:color="auto"/>
        <w:bottom w:val="none" w:sz="0" w:space="0" w:color="auto"/>
        <w:right w:val="none" w:sz="0" w:space="0" w:color="auto"/>
      </w:divBdr>
    </w:div>
    <w:div w:id="1722250333">
      <w:marLeft w:val="0"/>
      <w:marRight w:val="0"/>
      <w:marTop w:val="0"/>
      <w:marBottom w:val="0"/>
      <w:divBdr>
        <w:top w:val="none" w:sz="0" w:space="0" w:color="auto"/>
        <w:left w:val="none" w:sz="0" w:space="0" w:color="auto"/>
        <w:bottom w:val="none" w:sz="0" w:space="0" w:color="auto"/>
        <w:right w:val="none" w:sz="0" w:space="0" w:color="auto"/>
      </w:divBdr>
    </w:div>
    <w:div w:id="1722250334">
      <w:marLeft w:val="0"/>
      <w:marRight w:val="0"/>
      <w:marTop w:val="0"/>
      <w:marBottom w:val="0"/>
      <w:divBdr>
        <w:top w:val="none" w:sz="0" w:space="0" w:color="auto"/>
        <w:left w:val="none" w:sz="0" w:space="0" w:color="auto"/>
        <w:bottom w:val="none" w:sz="0" w:space="0" w:color="auto"/>
        <w:right w:val="none" w:sz="0" w:space="0" w:color="auto"/>
      </w:divBdr>
    </w:div>
    <w:div w:id="1722250335">
      <w:marLeft w:val="0"/>
      <w:marRight w:val="0"/>
      <w:marTop w:val="0"/>
      <w:marBottom w:val="0"/>
      <w:divBdr>
        <w:top w:val="none" w:sz="0" w:space="0" w:color="auto"/>
        <w:left w:val="none" w:sz="0" w:space="0" w:color="auto"/>
        <w:bottom w:val="none" w:sz="0" w:space="0" w:color="auto"/>
        <w:right w:val="none" w:sz="0" w:space="0" w:color="auto"/>
      </w:divBdr>
    </w:div>
    <w:div w:id="1722250336">
      <w:marLeft w:val="0"/>
      <w:marRight w:val="0"/>
      <w:marTop w:val="0"/>
      <w:marBottom w:val="0"/>
      <w:divBdr>
        <w:top w:val="none" w:sz="0" w:space="0" w:color="auto"/>
        <w:left w:val="none" w:sz="0" w:space="0" w:color="auto"/>
        <w:bottom w:val="none" w:sz="0" w:space="0" w:color="auto"/>
        <w:right w:val="none" w:sz="0" w:space="0" w:color="auto"/>
      </w:divBdr>
    </w:div>
    <w:div w:id="1722250337">
      <w:marLeft w:val="0"/>
      <w:marRight w:val="0"/>
      <w:marTop w:val="0"/>
      <w:marBottom w:val="0"/>
      <w:divBdr>
        <w:top w:val="none" w:sz="0" w:space="0" w:color="auto"/>
        <w:left w:val="none" w:sz="0" w:space="0" w:color="auto"/>
        <w:bottom w:val="none" w:sz="0" w:space="0" w:color="auto"/>
        <w:right w:val="none" w:sz="0" w:space="0" w:color="auto"/>
      </w:divBdr>
    </w:div>
    <w:div w:id="1722250338">
      <w:marLeft w:val="0"/>
      <w:marRight w:val="0"/>
      <w:marTop w:val="0"/>
      <w:marBottom w:val="0"/>
      <w:divBdr>
        <w:top w:val="none" w:sz="0" w:space="0" w:color="auto"/>
        <w:left w:val="none" w:sz="0" w:space="0" w:color="auto"/>
        <w:bottom w:val="none" w:sz="0" w:space="0" w:color="auto"/>
        <w:right w:val="none" w:sz="0" w:space="0" w:color="auto"/>
      </w:divBdr>
    </w:div>
    <w:div w:id="1722250339">
      <w:marLeft w:val="0"/>
      <w:marRight w:val="0"/>
      <w:marTop w:val="0"/>
      <w:marBottom w:val="0"/>
      <w:divBdr>
        <w:top w:val="none" w:sz="0" w:space="0" w:color="auto"/>
        <w:left w:val="none" w:sz="0" w:space="0" w:color="auto"/>
        <w:bottom w:val="none" w:sz="0" w:space="0" w:color="auto"/>
        <w:right w:val="none" w:sz="0" w:space="0" w:color="auto"/>
      </w:divBdr>
    </w:div>
    <w:div w:id="1722250340">
      <w:marLeft w:val="0"/>
      <w:marRight w:val="0"/>
      <w:marTop w:val="0"/>
      <w:marBottom w:val="0"/>
      <w:divBdr>
        <w:top w:val="none" w:sz="0" w:space="0" w:color="auto"/>
        <w:left w:val="none" w:sz="0" w:space="0" w:color="auto"/>
        <w:bottom w:val="none" w:sz="0" w:space="0" w:color="auto"/>
        <w:right w:val="none" w:sz="0" w:space="0" w:color="auto"/>
      </w:divBdr>
    </w:div>
    <w:div w:id="1722250341">
      <w:marLeft w:val="0"/>
      <w:marRight w:val="0"/>
      <w:marTop w:val="0"/>
      <w:marBottom w:val="0"/>
      <w:divBdr>
        <w:top w:val="none" w:sz="0" w:space="0" w:color="auto"/>
        <w:left w:val="none" w:sz="0" w:space="0" w:color="auto"/>
        <w:bottom w:val="none" w:sz="0" w:space="0" w:color="auto"/>
        <w:right w:val="none" w:sz="0" w:space="0" w:color="auto"/>
      </w:divBdr>
    </w:div>
    <w:div w:id="1722250342">
      <w:marLeft w:val="0"/>
      <w:marRight w:val="0"/>
      <w:marTop w:val="0"/>
      <w:marBottom w:val="0"/>
      <w:divBdr>
        <w:top w:val="none" w:sz="0" w:space="0" w:color="auto"/>
        <w:left w:val="none" w:sz="0" w:space="0" w:color="auto"/>
        <w:bottom w:val="none" w:sz="0" w:space="0" w:color="auto"/>
        <w:right w:val="none" w:sz="0" w:space="0" w:color="auto"/>
      </w:divBdr>
    </w:div>
    <w:div w:id="1722250343">
      <w:marLeft w:val="0"/>
      <w:marRight w:val="0"/>
      <w:marTop w:val="0"/>
      <w:marBottom w:val="0"/>
      <w:divBdr>
        <w:top w:val="none" w:sz="0" w:space="0" w:color="auto"/>
        <w:left w:val="none" w:sz="0" w:space="0" w:color="auto"/>
        <w:bottom w:val="none" w:sz="0" w:space="0" w:color="auto"/>
        <w:right w:val="none" w:sz="0" w:space="0" w:color="auto"/>
      </w:divBdr>
    </w:div>
    <w:div w:id="1722250344">
      <w:marLeft w:val="0"/>
      <w:marRight w:val="0"/>
      <w:marTop w:val="0"/>
      <w:marBottom w:val="0"/>
      <w:divBdr>
        <w:top w:val="none" w:sz="0" w:space="0" w:color="auto"/>
        <w:left w:val="none" w:sz="0" w:space="0" w:color="auto"/>
        <w:bottom w:val="none" w:sz="0" w:space="0" w:color="auto"/>
        <w:right w:val="none" w:sz="0" w:space="0" w:color="auto"/>
      </w:divBdr>
    </w:div>
    <w:div w:id="1732802304">
      <w:bodyDiv w:val="1"/>
      <w:marLeft w:val="0"/>
      <w:marRight w:val="0"/>
      <w:marTop w:val="0"/>
      <w:marBottom w:val="0"/>
      <w:divBdr>
        <w:top w:val="none" w:sz="0" w:space="0" w:color="auto"/>
        <w:left w:val="none" w:sz="0" w:space="0" w:color="auto"/>
        <w:bottom w:val="none" w:sz="0" w:space="0" w:color="auto"/>
        <w:right w:val="none" w:sz="0" w:space="0" w:color="auto"/>
      </w:divBdr>
    </w:div>
    <w:div w:id="1748653622">
      <w:bodyDiv w:val="1"/>
      <w:marLeft w:val="0"/>
      <w:marRight w:val="0"/>
      <w:marTop w:val="0"/>
      <w:marBottom w:val="0"/>
      <w:divBdr>
        <w:top w:val="none" w:sz="0" w:space="0" w:color="auto"/>
        <w:left w:val="none" w:sz="0" w:space="0" w:color="auto"/>
        <w:bottom w:val="none" w:sz="0" w:space="0" w:color="auto"/>
        <w:right w:val="none" w:sz="0" w:space="0" w:color="auto"/>
      </w:divBdr>
    </w:div>
    <w:div w:id="1758866682">
      <w:bodyDiv w:val="1"/>
      <w:marLeft w:val="0"/>
      <w:marRight w:val="0"/>
      <w:marTop w:val="0"/>
      <w:marBottom w:val="0"/>
      <w:divBdr>
        <w:top w:val="none" w:sz="0" w:space="0" w:color="auto"/>
        <w:left w:val="none" w:sz="0" w:space="0" w:color="auto"/>
        <w:bottom w:val="none" w:sz="0" w:space="0" w:color="auto"/>
        <w:right w:val="none" w:sz="0" w:space="0" w:color="auto"/>
      </w:divBdr>
    </w:div>
    <w:div w:id="1764649130">
      <w:bodyDiv w:val="1"/>
      <w:marLeft w:val="0"/>
      <w:marRight w:val="0"/>
      <w:marTop w:val="0"/>
      <w:marBottom w:val="0"/>
      <w:divBdr>
        <w:top w:val="none" w:sz="0" w:space="0" w:color="auto"/>
        <w:left w:val="none" w:sz="0" w:space="0" w:color="auto"/>
        <w:bottom w:val="none" w:sz="0" w:space="0" w:color="auto"/>
        <w:right w:val="none" w:sz="0" w:space="0" w:color="auto"/>
      </w:divBdr>
    </w:div>
    <w:div w:id="1764840168">
      <w:bodyDiv w:val="1"/>
      <w:marLeft w:val="0"/>
      <w:marRight w:val="0"/>
      <w:marTop w:val="0"/>
      <w:marBottom w:val="0"/>
      <w:divBdr>
        <w:top w:val="none" w:sz="0" w:space="0" w:color="auto"/>
        <w:left w:val="none" w:sz="0" w:space="0" w:color="auto"/>
        <w:bottom w:val="none" w:sz="0" w:space="0" w:color="auto"/>
        <w:right w:val="none" w:sz="0" w:space="0" w:color="auto"/>
      </w:divBdr>
    </w:div>
    <w:div w:id="1853953459">
      <w:bodyDiv w:val="1"/>
      <w:marLeft w:val="0"/>
      <w:marRight w:val="0"/>
      <w:marTop w:val="0"/>
      <w:marBottom w:val="0"/>
      <w:divBdr>
        <w:top w:val="none" w:sz="0" w:space="0" w:color="auto"/>
        <w:left w:val="none" w:sz="0" w:space="0" w:color="auto"/>
        <w:bottom w:val="none" w:sz="0" w:space="0" w:color="auto"/>
        <w:right w:val="none" w:sz="0" w:space="0" w:color="auto"/>
      </w:divBdr>
    </w:div>
    <w:div w:id="1870407923">
      <w:bodyDiv w:val="1"/>
      <w:marLeft w:val="0"/>
      <w:marRight w:val="0"/>
      <w:marTop w:val="0"/>
      <w:marBottom w:val="0"/>
      <w:divBdr>
        <w:top w:val="none" w:sz="0" w:space="0" w:color="auto"/>
        <w:left w:val="none" w:sz="0" w:space="0" w:color="auto"/>
        <w:bottom w:val="none" w:sz="0" w:space="0" w:color="auto"/>
        <w:right w:val="none" w:sz="0" w:space="0" w:color="auto"/>
      </w:divBdr>
    </w:div>
    <w:div w:id="1913000076">
      <w:bodyDiv w:val="1"/>
      <w:marLeft w:val="0"/>
      <w:marRight w:val="0"/>
      <w:marTop w:val="0"/>
      <w:marBottom w:val="0"/>
      <w:divBdr>
        <w:top w:val="none" w:sz="0" w:space="0" w:color="auto"/>
        <w:left w:val="none" w:sz="0" w:space="0" w:color="auto"/>
        <w:bottom w:val="none" w:sz="0" w:space="0" w:color="auto"/>
        <w:right w:val="none" w:sz="0" w:space="0" w:color="auto"/>
      </w:divBdr>
    </w:div>
    <w:div w:id="1929847597">
      <w:bodyDiv w:val="1"/>
      <w:marLeft w:val="0"/>
      <w:marRight w:val="0"/>
      <w:marTop w:val="0"/>
      <w:marBottom w:val="0"/>
      <w:divBdr>
        <w:top w:val="none" w:sz="0" w:space="0" w:color="auto"/>
        <w:left w:val="none" w:sz="0" w:space="0" w:color="auto"/>
        <w:bottom w:val="none" w:sz="0" w:space="0" w:color="auto"/>
        <w:right w:val="none" w:sz="0" w:space="0" w:color="auto"/>
      </w:divBdr>
    </w:div>
    <w:div w:id="2050300747">
      <w:bodyDiv w:val="1"/>
      <w:marLeft w:val="0"/>
      <w:marRight w:val="0"/>
      <w:marTop w:val="0"/>
      <w:marBottom w:val="0"/>
      <w:divBdr>
        <w:top w:val="none" w:sz="0" w:space="0" w:color="auto"/>
        <w:left w:val="none" w:sz="0" w:space="0" w:color="auto"/>
        <w:bottom w:val="none" w:sz="0" w:space="0" w:color="auto"/>
        <w:right w:val="none" w:sz="0" w:space="0" w:color="auto"/>
      </w:divBdr>
    </w:div>
    <w:div w:id="21225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arb.c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i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wikipedia.org/wiki/Temperature" TargetMode="External"/><Relationship Id="rId19" Type="http://schemas.openxmlformats.org/officeDocument/2006/relationships/hyperlink" Target="http://www.arb.ca.gov" TargetMode="External"/><Relationship Id="rId4" Type="http://schemas.microsoft.com/office/2007/relationships/stylesWithEffects" Target="stylesWithEffects.xml"/><Relationship Id="rId9" Type="http://schemas.openxmlformats.org/officeDocument/2006/relationships/hyperlink" Target="http://en.wikipedia.org/wiki/Volatility_%28chemistry%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88B6-C264-42DB-A02C-7DE5092E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97474</Words>
  <Characters>555607</Characters>
  <Application>Microsoft Office Word</Application>
  <DocSecurity>0</DocSecurity>
  <Lines>4630</Lines>
  <Paragraphs>1303</Paragraphs>
  <ScaleCrop>false</ScaleCrop>
  <HeadingPairs>
    <vt:vector size="2" baseType="variant">
      <vt:variant>
        <vt:lpstr>Title</vt:lpstr>
      </vt:variant>
      <vt:variant>
        <vt:i4>1</vt:i4>
      </vt:variant>
    </vt:vector>
  </HeadingPairs>
  <TitlesOfParts>
    <vt:vector size="1" baseType="lpstr">
      <vt:lpstr>Subchapter 10 Climate Change, Article 5, sections 95800 to 9xxxx, title 17, California</vt:lpstr>
    </vt:vector>
  </TitlesOfParts>
  <Company>California Air Resources Board</Company>
  <LinksUpToDate>false</LinksUpToDate>
  <CharactersWithSpaces>651778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Subchapter 10 Climate Change, Article 5, sections 95800 to 9xxxx, title 17, California</dc:title>
  <dc:creator>David Allgood</dc:creator>
  <cp:lastModifiedBy>Johnnie Raymond</cp:lastModifiedBy>
  <cp:revision>2</cp:revision>
  <cp:lastPrinted>2013-07-16T15:54:00Z</cp:lastPrinted>
  <dcterms:created xsi:type="dcterms:W3CDTF">2013-07-18T15:24:00Z</dcterms:created>
  <dcterms:modified xsi:type="dcterms:W3CDTF">2013-07-18T15:24:00Z</dcterms:modified>
</cp:coreProperties>
</file>